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eastAsia="zh-CN" w:bidi="ar-SA"/>
        </w:rPr>
        <w:t>附件</w:t>
      </w:r>
      <w:r>
        <w:rPr>
          <w:rFonts w:hint="eastAsia" w:ascii="仿宋_GB2312" w:hAnsi="仿宋_GB2312" w:eastAsia="仿宋_GB2312" w:cs="仿宋_GB2312"/>
          <w:sz w:val="32"/>
          <w:szCs w:val="24"/>
          <w:lang w:val="en-US" w:eastAsia="zh-CN" w:bidi="ar-SA"/>
        </w:rPr>
        <w:t>1</w:t>
      </w:r>
    </w:p>
    <w:p>
      <w:pPr>
        <w:pStyle w:val="15"/>
        <w:keepNext w:val="0"/>
        <w:keepLines w:val="0"/>
        <w:pageBreakBefore w:val="0"/>
        <w:kinsoku/>
        <w:wordWrap/>
        <w:overflowPunct/>
        <w:topLinePunct w:val="0"/>
        <w:bidi w:val="0"/>
        <w:adjustRightInd w:val="0"/>
        <w:snapToGrid/>
        <w:spacing w:beforeLines="0" w:afterLines="0" w:line="560" w:lineRule="exact"/>
        <w:jc w:val="both"/>
        <w:textAlignment w:val="top"/>
        <w:rPr>
          <w:rFonts w:hint="default" w:ascii="仿宋_GB2312" w:hAnsi="仿宋_GB2312" w:cs="仿宋_GB2312"/>
          <w:sz w:val="32"/>
          <w:szCs w:val="24"/>
          <w:lang w:val="en-US" w:eastAsia="zh-CN" w:bidi="ar-SA"/>
        </w:rPr>
      </w:pPr>
      <w:bookmarkStart w:id="0" w:name="_GoBack"/>
      <w:bookmarkEnd w:id="0"/>
    </w:p>
    <w:p>
      <w:pPr>
        <w:pStyle w:val="15"/>
        <w:keepNext w:val="0"/>
        <w:keepLines w:val="0"/>
        <w:pageBreakBefore w:val="0"/>
        <w:kinsoku/>
        <w:wordWrap/>
        <w:overflowPunct/>
        <w:topLinePunct w:val="0"/>
        <w:bidi w:val="0"/>
        <w:adjustRightInd w:val="0"/>
        <w:snapToGrid/>
        <w:spacing w:beforeLines="0" w:afterLines="0" w:line="560" w:lineRule="exact"/>
        <w:jc w:val="center"/>
        <w:textAlignment w:val="top"/>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“福州老字号”认定</w:t>
      </w:r>
      <w:r>
        <w:rPr>
          <w:rFonts w:hint="eastAsia" w:ascii="方正小标宋简体" w:hAnsi="方正小标宋简体" w:eastAsia="方正小标宋简体" w:cs="方正小标宋简体"/>
          <w:sz w:val="44"/>
          <w:szCs w:val="44"/>
          <w:lang w:val="en-US" w:eastAsia="zh-CN"/>
        </w:rPr>
        <w:t>及保护</w:t>
      </w:r>
      <w:r>
        <w:rPr>
          <w:rFonts w:hint="eastAsia" w:ascii="方正小标宋简体" w:hAnsi="方正小标宋简体" w:eastAsia="方正小标宋简体" w:cs="方正小标宋简体"/>
          <w:sz w:val="44"/>
          <w:szCs w:val="44"/>
          <w:lang w:eastAsia="zh-CN"/>
        </w:rPr>
        <w:t>管理</w:t>
      </w:r>
      <w:r>
        <w:rPr>
          <w:rFonts w:hint="eastAsia" w:ascii="方正小标宋简体" w:hAnsi="方正小标宋简体" w:eastAsia="方正小标宋简体" w:cs="方正小标宋简体"/>
          <w:sz w:val="44"/>
          <w:szCs w:val="44"/>
          <w:lang w:val="en-US" w:eastAsia="zh-CN"/>
        </w:rPr>
        <w:t>办法</w:t>
      </w:r>
    </w:p>
    <w:p>
      <w:pPr>
        <w:keepNext w:val="0"/>
        <w:keepLines w:val="0"/>
        <w:pageBreakBefore w:val="0"/>
        <w:kinsoku/>
        <w:wordWrap/>
        <w:overflowPunct/>
        <w:topLinePunct w:val="0"/>
        <w:bidi w:val="0"/>
        <w:snapToGrid/>
        <w:spacing w:line="560" w:lineRule="exact"/>
        <w:jc w:val="center"/>
        <w:rPr>
          <w:rFonts w:hint="eastAsia" w:ascii="方正小标宋_GBK" w:hAnsi="方正小标宋_GBK" w:eastAsia="方正小标宋_GBK" w:cs="方正小标宋_GBK"/>
          <w:sz w:val="36"/>
          <w:szCs w:val="36"/>
          <w:lang w:eastAsia="zh-CN"/>
        </w:rPr>
      </w:pP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200"/>
        <w:jc w:val="center"/>
        <w:textAlignment w:val="auto"/>
        <w:outlineLvl w:val="9"/>
        <w:rPr>
          <w:rFonts w:hint="eastAsia" w:ascii="黑体" w:hAnsi="宋体" w:eastAsia="黑体" w:cs="黑体"/>
          <w:b w:val="0"/>
          <w:i w:val="0"/>
          <w:color w:val="000000"/>
          <w:kern w:val="2"/>
          <w:sz w:val="27"/>
          <w:szCs w:val="27"/>
          <w:shd w:val="clear" w:color="auto" w:fill="FFFFFF"/>
        </w:rPr>
      </w:pPr>
      <w:r>
        <w:rPr>
          <w:rFonts w:hint="eastAsia" w:ascii="黑体" w:hAnsi="宋体" w:eastAsia="黑体" w:cs="黑体"/>
          <w:b w:val="0"/>
          <w:i w:val="0"/>
          <w:color w:val="000000"/>
          <w:spacing w:val="0"/>
          <w:kern w:val="2"/>
          <w:sz w:val="32"/>
          <w:szCs w:val="32"/>
          <w:shd w:val="clear" w:color="auto" w:fill="FFFFFF"/>
          <w:lang w:val="en-US" w:eastAsia="zh-CN" w:bidi="ar"/>
        </w:rPr>
        <w:t>第一章  总  则</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200"/>
        <w:jc w:val="both"/>
        <w:textAlignment w:val="auto"/>
        <w:outlineLvl w:val="9"/>
        <w:rPr>
          <w:rFonts w:hint="default" w:ascii="Times New Roman" w:hAnsi="宋体" w:eastAsia="仿宋_GB2312" w:cs="Times New Roman"/>
          <w:b w:val="0"/>
          <w:i w:val="0"/>
          <w:color w:val="000000"/>
          <w:kern w:val="2"/>
          <w:sz w:val="27"/>
          <w:szCs w:val="27"/>
          <w:shd w:val="clear" w:color="auto" w:fill="FFFFFF"/>
        </w:rPr>
      </w:pPr>
      <w:r>
        <w:rPr>
          <w:rFonts w:hint="eastAsia" w:ascii="仿宋_GB2312" w:hAnsi="Times New Roman" w:eastAsia="仿宋_GB2312" w:cs="Times New Roman"/>
          <w:b/>
          <w:i w:val="0"/>
          <w:color w:val="000000"/>
          <w:spacing w:val="0"/>
          <w:kern w:val="2"/>
          <w:sz w:val="32"/>
          <w:szCs w:val="32"/>
          <w:shd w:val="clear" w:color="auto" w:fill="FFFFFF"/>
          <w:lang w:val="en-US" w:eastAsia="zh-CN" w:bidi="ar"/>
        </w:rPr>
        <w:t xml:space="preserve"> </w:t>
      </w:r>
    </w:p>
    <w:p>
      <w:pPr>
        <w:keepNext w:val="0"/>
        <w:keepLines w:val="0"/>
        <w:pageBreakBefore w:val="0"/>
        <w:widowControl w:val="0"/>
        <w:numPr>
          <w:ilvl w:val="0"/>
          <w:numId w:val="0"/>
        </w:numPr>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3" w:firstLineChars="200"/>
        <w:jc w:val="both"/>
        <w:textAlignment w:val="auto"/>
        <w:outlineLvl w:val="9"/>
        <w:rPr>
          <w:rFonts w:hint="default" w:ascii="仿宋_GB2312" w:hAnsi="Times New Roman" w:eastAsia="仿宋_GB2312" w:cs="Times New Roman"/>
          <w:b w:val="0"/>
          <w:i w:val="0"/>
          <w:color w:val="auto"/>
          <w:spacing w:val="0"/>
          <w:kern w:val="2"/>
          <w:sz w:val="32"/>
          <w:szCs w:val="32"/>
          <w:shd w:val="clear" w:color="auto" w:fill="FFFFFF"/>
          <w:lang w:val="en-US" w:eastAsia="zh-CN" w:bidi="ar"/>
        </w:rPr>
      </w:pPr>
      <w:r>
        <w:rPr>
          <w:rFonts w:hint="eastAsia" w:ascii="仿宋_GB2312" w:hAnsi="Times New Roman" w:eastAsia="仿宋_GB2312" w:cs="Times New Roman"/>
          <w:b/>
          <w:bCs/>
          <w:i w:val="0"/>
          <w:color w:val="auto"/>
          <w:spacing w:val="0"/>
          <w:kern w:val="2"/>
          <w:sz w:val="32"/>
          <w:szCs w:val="32"/>
          <w:shd w:val="clear" w:color="auto" w:fill="FFFFFF"/>
          <w:lang w:val="en-US" w:eastAsia="zh-CN" w:bidi="ar"/>
        </w:rPr>
        <w:t xml:space="preserve">第一条 </w:t>
      </w:r>
      <w:r>
        <w:rPr>
          <w:rFonts w:hint="default" w:ascii="仿宋_GB2312" w:hAnsi="Times New Roman" w:eastAsia="仿宋_GB2312" w:cs="Times New Roman"/>
          <w:b w:val="0"/>
          <w:i w:val="0"/>
          <w:color w:val="auto"/>
          <w:spacing w:val="0"/>
          <w:kern w:val="2"/>
          <w:sz w:val="32"/>
          <w:szCs w:val="32"/>
          <w:shd w:val="clear" w:color="auto" w:fill="FFFFFF"/>
          <w:lang w:val="en-US" w:eastAsia="zh-CN" w:bidi="ar"/>
        </w:rPr>
        <w:t>为弘扬</w:t>
      </w: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福州市老字号</w:t>
      </w:r>
      <w:r>
        <w:rPr>
          <w:rFonts w:hint="default" w:ascii="仿宋_GB2312" w:hAnsi="Times New Roman" w:eastAsia="仿宋_GB2312" w:cs="Times New Roman"/>
          <w:b w:val="0"/>
          <w:i w:val="0"/>
          <w:color w:val="auto"/>
          <w:spacing w:val="0"/>
          <w:kern w:val="2"/>
          <w:sz w:val="32"/>
          <w:szCs w:val="32"/>
          <w:shd w:val="clear" w:color="auto" w:fill="FFFFFF"/>
          <w:lang w:val="en-US" w:eastAsia="zh-CN" w:bidi="ar"/>
        </w:rPr>
        <w:t>传统文化，促进</w:t>
      </w: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老字号在</w:t>
      </w:r>
      <w:r>
        <w:rPr>
          <w:rFonts w:hint="default" w:ascii="仿宋_GB2312" w:hAnsi="Times New Roman" w:eastAsia="仿宋_GB2312" w:cs="Times New Roman"/>
          <w:b w:val="0"/>
          <w:i w:val="0"/>
          <w:color w:val="auto"/>
          <w:spacing w:val="0"/>
          <w:kern w:val="2"/>
          <w:sz w:val="32"/>
          <w:szCs w:val="32"/>
          <w:shd w:val="clear" w:color="auto" w:fill="FFFFFF"/>
          <w:lang w:val="en-US" w:eastAsia="zh-CN" w:bidi="ar"/>
        </w:rPr>
        <w:t>传承</w:t>
      </w: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历史中创新</w:t>
      </w:r>
      <w:r>
        <w:rPr>
          <w:rFonts w:hint="default" w:ascii="仿宋_GB2312" w:hAnsi="Times New Roman" w:eastAsia="仿宋_GB2312" w:cs="Times New Roman"/>
          <w:b w:val="0"/>
          <w:i w:val="0"/>
          <w:color w:val="auto"/>
          <w:spacing w:val="0"/>
          <w:kern w:val="2"/>
          <w:sz w:val="32"/>
          <w:szCs w:val="32"/>
          <w:shd w:val="clear" w:color="auto" w:fill="FFFFFF"/>
          <w:lang w:val="en-US" w:eastAsia="zh-CN" w:bidi="ar"/>
        </w:rPr>
        <w:t>发展，</w:t>
      </w: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提升老字号企业品牌价值，为“有福之州”城市品牌建设发挥重要作用</w:t>
      </w:r>
      <w:r>
        <w:rPr>
          <w:rFonts w:hint="default" w:ascii="仿宋_GB2312" w:hAnsi="Times New Roman" w:eastAsia="仿宋_GB2312" w:cs="Times New Roman"/>
          <w:b w:val="0"/>
          <w:i w:val="0"/>
          <w:color w:val="auto"/>
          <w:spacing w:val="0"/>
          <w:kern w:val="2"/>
          <w:sz w:val="32"/>
          <w:szCs w:val="32"/>
          <w:shd w:val="clear" w:color="auto" w:fill="FFFFFF"/>
          <w:lang w:val="en-US" w:eastAsia="zh-CN" w:bidi="ar"/>
        </w:rPr>
        <w:t>，特制定</w:t>
      </w: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本办法</w:t>
      </w:r>
      <w:r>
        <w:rPr>
          <w:rFonts w:hint="default" w:ascii="仿宋_GB2312" w:hAnsi="Times New Roman" w:eastAsia="仿宋_GB2312" w:cs="Times New Roman"/>
          <w:b w:val="0"/>
          <w:i w:val="0"/>
          <w:color w:val="auto"/>
          <w:spacing w:val="0"/>
          <w:kern w:val="2"/>
          <w:sz w:val="32"/>
          <w:szCs w:val="32"/>
          <w:shd w:val="clear" w:color="auto" w:fill="FFFFFF"/>
          <w:lang w:val="en-US" w:eastAsia="zh-CN" w:bidi="ar"/>
        </w:rPr>
        <w:t>。</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Times New Roman" w:eastAsia="仿宋_GB2312" w:cs="仿宋_GB2312"/>
          <w:b w:val="0"/>
          <w:i w:val="0"/>
          <w:color w:val="auto"/>
          <w:spacing w:val="0"/>
          <w:kern w:val="2"/>
          <w:sz w:val="32"/>
          <w:szCs w:val="32"/>
          <w:shd w:val="clear" w:color="auto" w:fill="FFFFFF"/>
          <w:lang w:val="en-US" w:eastAsia="zh-CN" w:bidi="ar"/>
        </w:rPr>
      </w:pPr>
      <w:r>
        <w:rPr>
          <w:rFonts w:hint="eastAsia" w:ascii="仿宋_GB2312" w:hAnsi="Times New Roman" w:eastAsia="仿宋_GB2312" w:cs="仿宋_GB2312"/>
          <w:b/>
          <w:bCs/>
          <w:i w:val="0"/>
          <w:color w:val="auto"/>
          <w:spacing w:val="0"/>
          <w:kern w:val="2"/>
          <w:sz w:val="32"/>
          <w:szCs w:val="32"/>
          <w:shd w:val="clear" w:color="auto" w:fill="FFFFFF"/>
          <w:lang w:val="en-US" w:eastAsia="zh-CN" w:bidi="ar"/>
        </w:rPr>
        <w:t>第二条</w:t>
      </w:r>
      <w:r>
        <w:rPr>
          <w:rFonts w:hint="eastAsia" w:ascii="仿宋_GB2312" w:hAnsi="Times New Roman" w:eastAsia="仿宋_GB2312" w:cs="仿宋_GB2312"/>
          <w:b w:val="0"/>
          <w:i w:val="0"/>
          <w:color w:val="auto"/>
          <w:spacing w:val="0"/>
          <w:kern w:val="2"/>
          <w:sz w:val="32"/>
          <w:szCs w:val="32"/>
          <w:shd w:val="clear" w:color="auto" w:fill="FFFFFF"/>
          <w:lang w:val="en-US" w:eastAsia="zh-CN" w:bidi="ar"/>
        </w:rPr>
        <w:t xml:space="preserve"> 本办法所称</w:t>
      </w: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“福州老字号”（Fuzhou Time-honored Brand），</w:t>
      </w:r>
      <w:r>
        <w:rPr>
          <w:rFonts w:hint="eastAsia" w:ascii="仿宋_GB2312" w:hAnsi="Times New Roman" w:eastAsia="仿宋_GB2312" w:cs="仿宋_GB2312"/>
          <w:b w:val="0"/>
          <w:i w:val="0"/>
          <w:color w:val="auto"/>
          <w:spacing w:val="0"/>
          <w:kern w:val="2"/>
          <w:sz w:val="32"/>
          <w:szCs w:val="32"/>
          <w:shd w:val="clear" w:color="auto" w:fill="FFFFFF"/>
          <w:lang w:val="en-US" w:eastAsia="zh-CN" w:bidi="ar"/>
        </w:rPr>
        <w:t>是指在福州市行政区域内，传承独特的产品、技艺或者服务，具有一定的历史背景、鲜明的地域特色和文化底蕴，得到社会广泛认同，形成良好信誉的品牌。</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200"/>
        <w:jc w:val="center"/>
        <w:textAlignment w:val="auto"/>
        <w:outlineLvl w:val="9"/>
        <w:rPr>
          <w:rFonts w:hint="eastAsia" w:ascii="黑体" w:hAnsi="宋体" w:eastAsia="黑体" w:cs="黑体"/>
          <w:b w:val="0"/>
          <w:i w:val="0"/>
          <w:color w:val="000000"/>
          <w:spacing w:val="0"/>
          <w:kern w:val="2"/>
          <w:sz w:val="32"/>
          <w:szCs w:val="32"/>
          <w:shd w:val="clear" w:color="auto" w:fill="FFFFFF"/>
          <w:lang w:val="en-US" w:eastAsia="zh-CN" w:bidi="ar"/>
        </w:rPr>
      </w:pPr>
    </w:p>
    <w:p>
      <w:pPr>
        <w:keepNext w:val="0"/>
        <w:keepLines w:val="0"/>
        <w:pageBreakBefore w:val="0"/>
        <w:widowControl w:val="0"/>
        <w:numPr>
          <w:ilvl w:val="0"/>
          <w:numId w:val="0"/>
        </w:numPr>
        <w:suppressLineNumbers w:val="0"/>
        <w:shd w:val="clear" w:color="auto" w:fill="FFFFFF"/>
        <w:kinsoku/>
        <w:wordWrap/>
        <w:overflowPunct/>
        <w:topLinePunct w:val="0"/>
        <w:autoSpaceDE/>
        <w:autoSpaceDN w:val="0"/>
        <w:bidi w:val="0"/>
        <w:adjustRightInd/>
        <w:snapToGrid/>
        <w:spacing w:beforeAutospacing="0" w:afterAutospacing="0" w:line="560" w:lineRule="exact"/>
        <w:ind w:left="200" w:leftChars="0" w:right="0" w:rightChars="0" w:firstLine="0"/>
        <w:jc w:val="center"/>
        <w:textAlignment w:val="auto"/>
        <w:outlineLvl w:val="9"/>
        <w:rPr>
          <w:rFonts w:hint="eastAsia" w:ascii="黑体" w:hAnsi="宋体" w:eastAsia="黑体" w:cs="黑体"/>
          <w:b w:val="0"/>
          <w:i w:val="0"/>
          <w:color w:val="000000"/>
          <w:spacing w:val="0"/>
          <w:kern w:val="2"/>
          <w:sz w:val="32"/>
          <w:szCs w:val="32"/>
          <w:shd w:val="clear" w:color="auto" w:fill="FFFFFF"/>
          <w:lang w:val="en-US" w:eastAsia="zh-CN" w:bidi="ar"/>
        </w:rPr>
      </w:pPr>
      <w:r>
        <w:rPr>
          <w:rFonts w:hint="eastAsia" w:ascii="黑体" w:hAnsi="宋体" w:eastAsia="黑体" w:cs="黑体"/>
          <w:b w:val="0"/>
          <w:i w:val="0"/>
          <w:color w:val="000000"/>
          <w:spacing w:val="0"/>
          <w:kern w:val="2"/>
          <w:sz w:val="32"/>
          <w:szCs w:val="32"/>
          <w:shd w:val="clear" w:color="auto" w:fill="FFFFFF"/>
          <w:lang w:val="en-US" w:eastAsia="zh-CN" w:bidi="ar"/>
        </w:rPr>
        <w:t>第二章  申报与认定</w:t>
      </w:r>
    </w:p>
    <w:p>
      <w:pPr>
        <w:keepNext w:val="0"/>
        <w:keepLines w:val="0"/>
        <w:pageBreakBefore w:val="0"/>
        <w:widowControl w:val="0"/>
        <w:numPr>
          <w:ilvl w:val="0"/>
          <w:numId w:val="0"/>
        </w:numPr>
        <w:suppressLineNumbers w:val="0"/>
        <w:shd w:val="clear" w:color="auto" w:fill="FFFFFF"/>
        <w:kinsoku/>
        <w:wordWrap/>
        <w:overflowPunct/>
        <w:topLinePunct w:val="0"/>
        <w:autoSpaceDE/>
        <w:autoSpaceDN w:val="0"/>
        <w:bidi w:val="0"/>
        <w:adjustRightInd/>
        <w:snapToGrid/>
        <w:spacing w:beforeAutospacing="0" w:afterAutospacing="0" w:line="560" w:lineRule="exact"/>
        <w:ind w:left="200" w:leftChars="0" w:right="0" w:rightChars="0" w:firstLine="0"/>
        <w:jc w:val="center"/>
        <w:textAlignment w:val="auto"/>
        <w:outlineLvl w:val="9"/>
        <w:rPr>
          <w:rFonts w:hint="eastAsia" w:ascii="黑体" w:hAnsi="宋体" w:eastAsia="黑体" w:cs="黑体"/>
          <w:b w:val="0"/>
          <w:i w:val="0"/>
          <w:color w:val="000000"/>
          <w:spacing w:val="0"/>
          <w:kern w:val="2"/>
          <w:sz w:val="32"/>
          <w:szCs w:val="32"/>
          <w:shd w:val="clear" w:color="auto" w:fill="FFFFFF"/>
          <w:lang w:val="en-US" w:eastAsia="zh-CN" w:bidi="ar"/>
        </w:rPr>
      </w:pPr>
    </w:p>
    <w:p>
      <w:pPr>
        <w:keepNext w:val="0"/>
        <w:keepLines w:val="0"/>
        <w:pageBreakBefore w:val="0"/>
        <w:widowControl w:val="0"/>
        <w:numPr>
          <w:ilvl w:val="0"/>
          <w:numId w:val="0"/>
        </w:numPr>
        <w:suppressLineNumbers w:val="0"/>
        <w:shd w:val="clear" w:color="auto" w:fill="FFFFFF"/>
        <w:kinsoku/>
        <w:wordWrap/>
        <w:overflowPunct/>
        <w:topLinePunct w:val="0"/>
        <w:autoSpaceDE/>
        <w:autoSpaceDN w:val="0"/>
        <w:bidi w:val="0"/>
        <w:adjustRightInd/>
        <w:snapToGrid/>
        <w:spacing w:beforeAutospacing="0" w:afterAutospacing="0" w:line="560" w:lineRule="exact"/>
        <w:ind w:right="0" w:rightChars="0" w:firstLine="643" w:firstLineChars="200"/>
        <w:jc w:val="both"/>
        <w:textAlignment w:val="auto"/>
        <w:outlineLvl w:val="9"/>
        <w:rPr>
          <w:rFonts w:hint="eastAsia" w:ascii="仿宋_GB2312" w:hAnsi="宋体" w:eastAsia="仿宋_GB2312" w:cs="宋体"/>
          <w:b w:val="0"/>
          <w:i w:val="0"/>
          <w:color w:val="auto"/>
          <w:spacing w:val="0"/>
          <w:kern w:val="0"/>
          <w:sz w:val="32"/>
          <w:szCs w:val="32"/>
          <w:shd w:val="clear" w:color="auto" w:fill="auto"/>
          <w:lang w:val="en-US" w:eastAsia="zh-CN" w:bidi="ar"/>
        </w:rPr>
      </w:pPr>
      <w:r>
        <w:rPr>
          <w:rFonts w:hint="eastAsia" w:ascii="仿宋_GB2312" w:hAnsi="Times New Roman" w:eastAsia="仿宋_GB2312" w:cs="Times New Roman"/>
          <w:b/>
          <w:bCs/>
          <w:i w:val="0"/>
          <w:color w:val="auto"/>
          <w:spacing w:val="0"/>
          <w:kern w:val="2"/>
          <w:sz w:val="32"/>
          <w:szCs w:val="32"/>
          <w:shd w:val="clear" w:color="auto" w:fill="FFFFFF"/>
          <w:lang w:val="en-US" w:eastAsia="zh-CN" w:bidi="ar"/>
        </w:rPr>
        <w:t>第三条</w:t>
      </w: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 xml:space="preserve"> </w:t>
      </w:r>
      <w:r>
        <w:rPr>
          <w:rFonts w:hint="eastAsia" w:ascii="仿宋_GB2312" w:hAnsi="宋体" w:eastAsia="仿宋_GB2312" w:cs="宋体"/>
          <w:b w:val="0"/>
          <w:i w:val="0"/>
          <w:color w:val="auto"/>
          <w:spacing w:val="0"/>
          <w:kern w:val="0"/>
          <w:sz w:val="32"/>
          <w:szCs w:val="32"/>
          <w:shd w:val="clear" w:color="auto" w:fill="auto"/>
          <w:lang w:val="en-US" w:eastAsia="zh-CN" w:bidi="ar"/>
        </w:rPr>
        <w:t xml:space="preserve"> “福州老字号”认定工作应当遵循公开、公平、公正的原则，由市商务局根据全市老字号企业发展状况，定期组织开展“福州老字号”评审认定工作，原则上每两年开展一次。</w:t>
      </w:r>
    </w:p>
    <w:p>
      <w:pPr>
        <w:keepNext w:val="0"/>
        <w:keepLines w:val="0"/>
        <w:pageBreakBefore w:val="0"/>
        <w:widowControl w:val="0"/>
        <w:numPr>
          <w:ilvl w:val="0"/>
          <w:numId w:val="0"/>
        </w:numPr>
        <w:suppressLineNumbers w:val="0"/>
        <w:shd w:val="clear" w:color="auto" w:fill="FFFFFF"/>
        <w:kinsoku/>
        <w:wordWrap/>
        <w:overflowPunct/>
        <w:topLinePunct w:val="0"/>
        <w:autoSpaceDE/>
        <w:autoSpaceDN w:val="0"/>
        <w:bidi w:val="0"/>
        <w:adjustRightInd/>
        <w:snapToGrid/>
        <w:spacing w:beforeAutospacing="0" w:afterAutospacing="0" w:line="560" w:lineRule="exact"/>
        <w:ind w:right="0" w:rightChars="0" w:firstLine="643" w:firstLineChars="200"/>
        <w:jc w:val="both"/>
        <w:textAlignment w:val="auto"/>
        <w:outlineLvl w:val="9"/>
        <w:rPr>
          <w:rFonts w:hint="eastAsia" w:ascii="仿宋_GB2312" w:hAnsi="宋体" w:eastAsia="仿宋_GB2312" w:cs="宋体"/>
          <w:kern w:val="0"/>
          <w:sz w:val="32"/>
          <w:szCs w:val="32"/>
        </w:rPr>
      </w:pPr>
      <w:r>
        <w:rPr>
          <w:rFonts w:hint="eastAsia" w:ascii="仿宋_GB2312" w:hAnsi="Times New Roman" w:eastAsia="仿宋_GB2312" w:cs="仿宋_GB2312"/>
          <w:b/>
          <w:bCs/>
          <w:i w:val="0"/>
          <w:color w:val="000000"/>
          <w:spacing w:val="0"/>
          <w:kern w:val="2"/>
          <w:sz w:val="32"/>
          <w:szCs w:val="32"/>
          <w:shd w:val="clear" w:color="auto" w:fill="FFFFFF"/>
          <w:lang w:val="en-US" w:eastAsia="zh-CN" w:bidi="ar"/>
        </w:rPr>
        <w:t xml:space="preserve">第四条  </w:t>
      </w:r>
      <w:r>
        <w:rPr>
          <w:rFonts w:hint="eastAsia" w:ascii="仿宋_GB2312" w:hAnsi="宋体" w:eastAsia="仿宋_GB2312" w:cs="宋体"/>
          <w:kern w:val="0"/>
          <w:sz w:val="32"/>
          <w:szCs w:val="32"/>
          <w:lang w:val="en-US" w:eastAsia="zh-CN"/>
        </w:rPr>
        <w:t>申报“福</w:t>
      </w:r>
      <w:r>
        <w:rPr>
          <w:rFonts w:hint="eastAsia" w:ascii="仿宋_GB2312" w:hAnsi="Times New Roman" w:eastAsia="仿宋_GB2312" w:cs="仿宋_GB2312"/>
          <w:b w:val="0"/>
          <w:i w:val="0"/>
          <w:color w:val="000000"/>
          <w:spacing w:val="0"/>
          <w:kern w:val="2"/>
          <w:sz w:val="32"/>
          <w:szCs w:val="32"/>
          <w:shd w:val="clear" w:color="auto" w:fill="FFFFFF"/>
          <w:lang w:val="en-US" w:eastAsia="zh-CN" w:bidi="ar"/>
        </w:rPr>
        <w:t>州老字号”的企业</w:t>
      </w:r>
      <w:r>
        <w:rPr>
          <w:rFonts w:hint="eastAsia" w:ascii="仿宋_GB2312" w:hAnsi="宋体" w:eastAsia="仿宋_GB2312" w:cs="宋体"/>
          <w:kern w:val="0"/>
          <w:sz w:val="32"/>
          <w:szCs w:val="32"/>
        </w:rPr>
        <w:t>应当具备以下条件：</w:t>
      </w:r>
    </w:p>
    <w:p>
      <w:pPr>
        <w:keepNext w:val="0"/>
        <w:keepLines w:val="0"/>
        <w:pageBreakBefore w:val="0"/>
        <w:widowControl w:val="0"/>
        <w:numPr>
          <w:ilvl w:val="0"/>
          <w:numId w:val="0"/>
        </w:numPr>
        <w:suppressLineNumbers w:val="0"/>
        <w:shd w:val="clear" w:color="auto" w:fill="FFFFFF"/>
        <w:kinsoku/>
        <w:wordWrap/>
        <w:overflowPunct/>
        <w:topLinePunct w:val="0"/>
        <w:autoSpaceDE/>
        <w:autoSpaceDN w:val="0"/>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Times New Roman" w:eastAsia="仿宋_GB2312" w:cs="Times New Roman"/>
          <w:b w:val="0"/>
          <w:i w:val="0"/>
          <w:color w:val="auto"/>
          <w:spacing w:val="0"/>
          <w:kern w:val="2"/>
          <w:sz w:val="32"/>
          <w:szCs w:val="32"/>
          <w:shd w:val="clear" w:color="auto" w:fill="FFFFFF"/>
          <w:lang w:val="en-US" w:eastAsia="zh-CN" w:bidi="ar"/>
        </w:rPr>
      </w:pP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（一）在福州市内登记设立；</w:t>
      </w:r>
    </w:p>
    <w:p>
      <w:pPr>
        <w:keepNext w:val="0"/>
        <w:keepLines w:val="0"/>
        <w:pageBreakBefore w:val="0"/>
        <w:widowControl w:val="0"/>
        <w:numPr>
          <w:ilvl w:val="0"/>
          <w:numId w:val="0"/>
        </w:numPr>
        <w:suppressLineNumbers w:val="0"/>
        <w:shd w:val="clear" w:color="auto" w:fill="FFFFFF"/>
        <w:kinsoku/>
        <w:wordWrap/>
        <w:overflowPunct/>
        <w:topLinePunct w:val="0"/>
        <w:autoSpaceDE/>
        <w:autoSpaceDN w:val="0"/>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Times New Roman" w:eastAsia="仿宋_GB2312" w:cs="Times New Roman"/>
          <w:b w:val="0"/>
          <w:i w:val="0"/>
          <w:color w:val="auto"/>
          <w:spacing w:val="0"/>
          <w:kern w:val="2"/>
          <w:sz w:val="32"/>
          <w:szCs w:val="32"/>
          <w:shd w:val="clear" w:color="auto" w:fill="FFFFFF"/>
          <w:lang w:val="en-US" w:eastAsia="zh-CN" w:bidi="ar"/>
        </w:rPr>
      </w:pP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（二）字号传承已满30年；</w:t>
      </w:r>
    </w:p>
    <w:p>
      <w:pPr>
        <w:keepNext w:val="0"/>
        <w:keepLines w:val="0"/>
        <w:pageBreakBefore w:val="0"/>
        <w:widowControl w:val="0"/>
        <w:numPr>
          <w:ilvl w:val="0"/>
          <w:numId w:val="0"/>
        </w:numPr>
        <w:suppressLineNumbers w:val="0"/>
        <w:shd w:val="clear" w:color="auto" w:fill="FFFFFF"/>
        <w:kinsoku/>
        <w:wordWrap/>
        <w:overflowPunct/>
        <w:topLinePunct w:val="0"/>
        <w:autoSpaceDE/>
        <w:autoSpaceDN w:val="0"/>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Times New Roman" w:eastAsia="仿宋_GB2312" w:cs="Times New Roman"/>
          <w:b w:val="0"/>
          <w:i w:val="0"/>
          <w:color w:val="auto"/>
          <w:spacing w:val="0"/>
          <w:kern w:val="2"/>
          <w:sz w:val="32"/>
          <w:szCs w:val="32"/>
          <w:shd w:val="clear" w:color="auto" w:fill="FFFFFF"/>
          <w:lang w:val="en-US" w:eastAsia="zh-CN" w:bidi="ar"/>
        </w:rPr>
      </w:pP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（三）具有与字号相一致的注册商标所有权或独占使用权；</w:t>
      </w:r>
    </w:p>
    <w:p>
      <w:pPr>
        <w:keepNext w:val="0"/>
        <w:keepLines w:val="0"/>
        <w:pageBreakBefore w:val="0"/>
        <w:widowControl w:val="0"/>
        <w:numPr>
          <w:ilvl w:val="0"/>
          <w:numId w:val="0"/>
        </w:numPr>
        <w:suppressLineNumbers w:val="0"/>
        <w:shd w:val="clear" w:color="auto" w:fill="FFFFFF"/>
        <w:kinsoku/>
        <w:wordWrap/>
        <w:overflowPunct/>
        <w:topLinePunct w:val="0"/>
        <w:autoSpaceDE/>
        <w:autoSpaceDN w:val="0"/>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Times New Roman" w:eastAsia="仿宋_GB2312" w:cs="Times New Roman"/>
          <w:b w:val="0"/>
          <w:i w:val="0"/>
          <w:color w:val="auto"/>
          <w:spacing w:val="0"/>
          <w:kern w:val="2"/>
          <w:sz w:val="32"/>
          <w:szCs w:val="32"/>
          <w:shd w:val="clear" w:color="auto" w:fill="FFFFFF"/>
          <w:lang w:val="en-US" w:eastAsia="zh-CN" w:bidi="ar"/>
        </w:rPr>
      </w:pP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（四）具有传承独特的产品、技艺或者服务；</w:t>
      </w:r>
    </w:p>
    <w:p>
      <w:pPr>
        <w:keepNext w:val="0"/>
        <w:keepLines w:val="0"/>
        <w:pageBreakBefore w:val="0"/>
        <w:widowControl w:val="0"/>
        <w:numPr>
          <w:ilvl w:val="0"/>
          <w:numId w:val="0"/>
        </w:numPr>
        <w:suppressLineNumbers w:val="0"/>
        <w:shd w:val="clear" w:color="auto" w:fill="FFFFFF"/>
        <w:kinsoku/>
        <w:wordWrap/>
        <w:overflowPunct/>
        <w:topLinePunct w:val="0"/>
        <w:autoSpaceDE/>
        <w:autoSpaceDN w:val="0"/>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Times New Roman" w:eastAsia="仿宋_GB2312" w:cs="Times New Roman"/>
          <w:b w:val="0"/>
          <w:i w:val="0"/>
          <w:color w:val="auto"/>
          <w:spacing w:val="0"/>
          <w:kern w:val="2"/>
          <w:sz w:val="32"/>
          <w:szCs w:val="32"/>
          <w:shd w:val="clear" w:color="auto" w:fill="FFFFFF"/>
          <w:lang w:val="en-US" w:eastAsia="zh-CN" w:bidi="ar"/>
        </w:rPr>
      </w:pP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（五）具有传统文化背景、地域特色、历史积淀和文化底蕴；</w:t>
      </w:r>
    </w:p>
    <w:p>
      <w:pPr>
        <w:keepNext w:val="0"/>
        <w:keepLines w:val="0"/>
        <w:pageBreakBefore w:val="0"/>
        <w:widowControl w:val="0"/>
        <w:numPr>
          <w:ilvl w:val="0"/>
          <w:numId w:val="0"/>
        </w:numPr>
        <w:suppressLineNumbers w:val="0"/>
        <w:shd w:val="clear" w:color="auto" w:fill="FFFFFF"/>
        <w:kinsoku/>
        <w:wordWrap/>
        <w:overflowPunct/>
        <w:topLinePunct w:val="0"/>
        <w:autoSpaceDE/>
        <w:autoSpaceDN w:val="0"/>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Times New Roman" w:eastAsia="仿宋_GB2312" w:cs="Times New Roman"/>
          <w:b w:val="0"/>
          <w:i w:val="0"/>
          <w:color w:val="auto"/>
          <w:spacing w:val="0"/>
          <w:kern w:val="2"/>
          <w:sz w:val="32"/>
          <w:szCs w:val="32"/>
          <w:shd w:val="clear" w:color="auto" w:fill="FFFFFF"/>
          <w:lang w:val="en-US" w:eastAsia="zh-CN" w:bidi="ar"/>
        </w:rPr>
      </w:pP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（六）具有良好的商业信誉，得到社会广泛认同和赞誉；　</w:t>
      </w:r>
    </w:p>
    <w:p>
      <w:pPr>
        <w:keepNext w:val="0"/>
        <w:keepLines w:val="0"/>
        <w:pageBreakBefore w:val="0"/>
        <w:widowControl w:val="0"/>
        <w:numPr>
          <w:ilvl w:val="0"/>
          <w:numId w:val="0"/>
        </w:numPr>
        <w:suppressLineNumbers w:val="0"/>
        <w:shd w:val="clear" w:color="auto" w:fill="FFFFFF"/>
        <w:kinsoku/>
        <w:wordWrap/>
        <w:overflowPunct/>
        <w:topLinePunct w:val="0"/>
        <w:autoSpaceDE/>
        <w:autoSpaceDN w:val="0"/>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Times New Roman" w:eastAsia="仿宋_GB2312" w:cs="Times New Roman"/>
          <w:b w:val="0"/>
          <w:i w:val="0"/>
          <w:color w:val="auto"/>
          <w:spacing w:val="0"/>
          <w:kern w:val="2"/>
          <w:sz w:val="32"/>
          <w:szCs w:val="32"/>
          <w:shd w:val="clear" w:color="auto" w:fill="FFFFFF"/>
          <w:lang w:val="en-US" w:eastAsia="zh-CN" w:bidi="ar"/>
        </w:rPr>
      </w:pP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（七）国内（含港澳台地区）资本相对控股，经营状况良好且具有较强的可持续发展能力；　</w:t>
      </w:r>
    </w:p>
    <w:p>
      <w:pPr>
        <w:keepNext w:val="0"/>
        <w:keepLines w:val="0"/>
        <w:pageBreakBefore w:val="0"/>
        <w:widowControl w:val="0"/>
        <w:numPr>
          <w:ilvl w:val="0"/>
          <w:numId w:val="0"/>
        </w:numPr>
        <w:suppressLineNumbers w:val="0"/>
        <w:shd w:val="clear" w:color="auto" w:fill="FFFFFF"/>
        <w:kinsoku/>
        <w:wordWrap/>
        <w:overflowPunct/>
        <w:topLinePunct w:val="0"/>
        <w:autoSpaceDE/>
        <w:autoSpaceDN w:val="0"/>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Times New Roman" w:eastAsia="仿宋_GB2312" w:cs="Times New Roman"/>
          <w:b w:val="0"/>
          <w:i w:val="0"/>
          <w:color w:val="auto"/>
          <w:spacing w:val="0"/>
          <w:kern w:val="2"/>
          <w:sz w:val="32"/>
          <w:szCs w:val="32"/>
          <w:shd w:val="clear" w:color="auto" w:fill="FFFFFF"/>
          <w:lang w:val="en-US" w:eastAsia="zh-CN" w:bidi="ar"/>
        </w:rPr>
      </w:pP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（八）无不良信用记录，三年内未发生较大以上生产安全事故。</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Times New Roman" w:eastAsia="仿宋_GB2312" w:cs="仿宋_GB2312"/>
          <w:b w:val="0"/>
          <w:i w:val="0"/>
          <w:color w:val="000000"/>
          <w:spacing w:val="0"/>
          <w:kern w:val="2"/>
          <w:sz w:val="32"/>
          <w:szCs w:val="32"/>
          <w:shd w:val="clear" w:color="auto" w:fill="FFFFFF"/>
          <w:lang w:val="en-US" w:eastAsia="zh-CN" w:bidi="ar"/>
        </w:rPr>
      </w:pPr>
      <w:r>
        <w:rPr>
          <w:rFonts w:hint="eastAsia" w:ascii="仿宋_GB2312" w:hAnsi="Times New Roman" w:eastAsia="仿宋_GB2312" w:cs="仿宋_GB2312"/>
          <w:b/>
          <w:bCs/>
          <w:i w:val="0"/>
          <w:color w:val="000000"/>
          <w:spacing w:val="0"/>
          <w:kern w:val="2"/>
          <w:sz w:val="32"/>
          <w:szCs w:val="32"/>
          <w:shd w:val="clear" w:color="auto" w:fill="FFFFFF"/>
          <w:lang w:val="en-US" w:eastAsia="zh-CN" w:bidi="ar"/>
        </w:rPr>
        <w:t xml:space="preserve">第五条 </w:t>
      </w:r>
      <w:r>
        <w:rPr>
          <w:rFonts w:hint="eastAsia" w:ascii="仿宋_GB2312" w:hAnsi="Times New Roman" w:eastAsia="仿宋_GB2312" w:cs="仿宋_GB2312"/>
          <w:b w:val="0"/>
          <w:i w:val="0"/>
          <w:color w:val="000000"/>
          <w:spacing w:val="0"/>
          <w:kern w:val="2"/>
          <w:sz w:val="32"/>
          <w:szCs w:val="32"/>
          <w:shd w:val="clear" w:color="auto" w:fill="FFFFFF"/>
          <w:lang w:val="en-US" w:eastAsia="zh-CN" w:bidi="ar"/>
        </w:rPr>
        <w:t>“福州老字号”的评审认定程序包括：提出申请、资料初审、调</w:t>
      </w: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查甄别、</w:t>
      </w:r>
      <w:r>
        <w:rPr>
          <w:rFonts w:hint="eastAsia" w:ascii="仿宋_GB2312" w:hAnsi="Times New Roman" w:eastAsia="仿宋_GB2312" w:cs="仿宋_GB2312"/>
          <w:b w:val="0"/>
          <w:i w:val="0"/>
          <w:color w:val="000000"/>
          <w:spacing w:val="0"/>
          <w:kern w:val="2"/>
          <w:sz w:val="32"/>
          <w:szCs w:val="32"/>
          <w:shd w:val="clear" w:color="auto" w:fill="FFFFFF"/>
          <w:lang w:val="en-US" w:eastAsia="zh-CN" w:bidi="ar"/>
        </w:rPr>
        <w:t>认定评审、社会公示、申请复核、认定决定、注册存档、核发证书等。</w:t>
      </w:r>
    </w:p>
    <w:p>
      <w:pPr>
        <w:keepNext w:val="0"/>
        <w:keepLines w:val="0"/>
        <w:pageBreakBefore w:val="0"/>
        <w:kinsoku/>
        <w:wordWrap/>
        <w:overflowPunct/>
        <w:topLinePunct w:val="0"/>
        <w:bidi w:val="0"/>
        <w:snapToGrid/>
        <w:spacing w:line="560" w:lineRule="exact"/>
        <w:ind w:right="0" w:righ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仿宋_GB2312"/>
          <w:b w:val="0"/>
          <w:i w:val="0"/>
          <w:color w:val="000000"/>
          <w:kern w:val="2"/>
          <w:sz w:val="32"/>
          <w:szCs w:val="32"/>
          <w:shd w:val="clear" w:color="auto" w:fill="FFFFFF"/>
          <w:lang w:val="en-US" w:eastAsia="zh-CN" w:bidi="ar"/>
        </w:rPr>
        <w:t>（一）提出申请：具备本办法第四条规定条件的相关企业可根据自身情况填写申报表，按照《申报“福州老字号”相关证明材料清单》提交证明材料，</w:t>
      </w:r>
      <w:r>
        <w:rPr>
          <w:rFonts w:hint="eastAsia" w:ascii="仿宋_GB2312" w:hAnsi="宋体" w:eastAsia="仿宋_GB2312" w:cs="宋体"/>
          <w:kern w:val="0"/>
          <w:sz w:val="32"/>
          <w:szCs w:val="32"/>
        </w:rPr>
        <w:t>报所</w:t>
      </w:r>
      <w:r>
        <w:rPr>
          <w:rFonts w:hint="eastAsia" w:ascii="仿宋_GB2312" w:hAnsi="宋体" w:eastAsia="仿宋_GB2312" w:cs="宋体"/>
          <w:kern w:val="0"/>
          <w:sz w:val="32"/>
          <w:szCs w:val="32"/>
          <w:lang w:val="en-US" w:eastAsia="zh-CN"/>
        </w:rPr>
        <w:t>在</w:t>
      </w:r>
      <w:r>
        <w:rPr>
          <w:rFonts w:hint="eastAsia" w:ascii="仿宋_GB2312" w:hAnsi="宋体" w:eastAsia="仿宋_GB2312" w:cs="宋体"/>
          <w:kern w:val="0"/>
          <w:sz w:val="32"/>
          <w:szCs w:val="32"/>
        </w:rPr>
        <w:t>地</w:t>
      </w:r>
      <w:r>
        <w:rPr>
          <w:rFonts w:hint="eastAsia" w:ascii="仿宋_GB2312" w:hAnsi="宋体" w:eastAsia="仿宋_GB2312" w:cs="宋体"/>
          <w:kern w:val="0"/>
          <w:sz w:val="32"/>
          <w:szCs w:val="32"/>
          <w:lang w:eastAsia="zh-CN"/>
        </w:rPr>
        <w:t>县</w:t>
      </w:r>
      <w:r>
        <w:rPr>
          <w:rFonts w:hint="eastAsia" w:ascii="仿宋_GB2312" w:hAnsi="仿宋" w:eastAsia="仿宋_GB2312" w:cs="Times New Roman"/>
          <w:sz w:val="32"/>
          <w:szCs w:val="32"/>
          <w:lang w:eastAsia="zh-CN"/>
        </w:rPr>
        <w:t>（市）区、高新区</w:t>
      </w:r>
      <w:r>
        <w:rPr>
          <w:rFonts w:hint="eastAsia" w:ascii="仿宋_GB2312" w:hAnsi="宋体" w:eastAsia="仿宋_GB2312" w:cs="宋体"/>
          <w:kern w:val="0"/>
          <w:sz w:val="32"/>
          <w:szCs w:val="32"/>
        </w:rPr>
        <w:t>商务主管部门。</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Times New Roman" w:eastAsia="仿宋_GB2312" w:cs="仿宋_GB2312"/>
          <w:b w:val="0"/>
          <w:i w:val="0"/>
          <w:color w:val="auto"/>
          <w:spacing w:val="0"/>
          <w:kern w:val="2"/>
          <w:sz w:val="32"/>
          <w:szCs w:val="32"/>
          <w:shd w:val="clear" w:color="auto" w:fill="FFFFFF"/>
          <w:lang w:val="en-US" w:eastAsia="zh-CN" w:bidi="ar"/>
        </w:rPr>
      </w:pPr>
      <w:r>
        <w:rPr>
          <w:rFonts w:hint="eastAsia" w:ascii="仿宋_GB2312" w:hAnsi="Times New Roman" w:eastAsia="仿宋_GB2312" w:cs="仿宋_GB2312"/>
          <w:b w:val="0"/>
          <w:i w:val="0"/>
          <w:color w:val="000000"/>
          <w:kern w:val="2"/>
          <w:sz w:val="32"/>
          <w:szCs w:val="32"/>
          <w:shd w:val="clear" w:color="auto" w:fill="FFFFFF"/>
          <w:lang w:val="en-US" w:eastAsia="zh-CN" w:bidi="ar"/>
        </w:rPr>
        <w:t>（二）资料初审：各县（市）区、高新区商务主管部门对企业提交的申报表和证明材料进行初审，确认申请有效的，</w:t>
      </w:r>
      <w:r>
        <w:rPr>
          <w:rFonts w:hint="eastAsia" w:ascii="仿宋_GB2312" w:hAnsi="Times New Roman" w:eastAsia="仿宋_GB2312" w:cs="仿宋_GB2312"/>
          <w:b w:val="0"/>
          <w:i w:val="0"/>
          <w:color w:val="auto"/>
          <w:spacing w:val="0"/>
          <w:kern w:val="2"/>
          <w:sz w:val="32"/>
          <w:szCs w:val="32"/>
          <w:shd w:val="clear" w:color="auto" w:fill="FFFFFF"/>
          <w:lang w:val="en-US" w:eastAsia="zh-CN" w:bidi="ar"/>
        </w:rPr>
        <w:t>报市商务局。</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Times New Roman" w:eastAsia="仿宋_GB2312" w:cs="Times New Roman"/>
          <w:b w:val="0"/>
          <w:i w:val="0"/>
          <w:color w:val="auto"/>
          <w:spacing w:val="0"/>
          <w:kern w:val="2"/>
          <w:sz w:val="32"/>
          <w:szCs w:val="32"/>
          <w:shd w:val="clear" w:color="auto" w:fill="FFFFFF"/>
          <w:lang w:val="en-US" w:eastAsia="zh-CN" w:bidi="ar"/>
        </w:rPr>
      </w:pP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（三）调查甄别：市商务局负责</w:t>
      </w:r>
      <w:r>
        <w:rPr>
          <w:rFonts w:hint="eastAsia" w:ascii="仿宋_GB2312" w:hAnsi="Times New Roman" w:eastAsia="仿宋_GB2312" w:cs="仿宋_GB2312"/>
          <w:b w:val="0"/>
          <w:i w:val="0"/>
          <w:color w:val="000000"/>
          <w:spacing w:val="0"/>
          <w:kern w:val="2"/>
          <w:sz w:val="32"/>
          <w:szCs w:val="32"/>
          <w:shd w:val="clear" w:color="auto" w:fill="FFFFFF"/>
          <w:lang w:val="en-US" w:eastAsia="zh-CN" w:bidi="ar"/>
        </w:rPr>
        <w:t>组织</w:t>
      </w: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有关专家对申报单位提交的档案资料进行原始属性和真伪分析，必要时对有关内容进行现场调研，鉴定档案内容真实性，提出初步评审意见。</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Times New Roman" w:eastAsia="仿宋_GB2312" w:cs="Times New Roman"/>
          <w:b w:val="0"/>
          <w:i w:val="0"/>
          <w:color w:val="auto"/>
          <w:spacing w:val="0"/>
          <w:kern w:val="2"/>
          <w:sz w:val="32"/>
          <w:szCs w:val="32"/>
          <w:shd w:val="clear" w:color="auto" w:fill="FFFFFF"/>
          <w:lang w:val="en-US" w:eastAsia="zh-CN" w:bidi="ar"/>
        </w:rPr>
      </w:pP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（四）认定评审：由市商务</w:t>
      </w:r>
      <w:r>
        <w:rPr>
          <w:rFonts w:hint="eastAsia" w:ascii="仿宋_GB2312" w:hAnsi="Times New Roman" w:eastAsia="仿宋_GB2312" w:cs="仿宋_GB2312"/>
          <w:b w:val="0"/>
          <w:i w:val="0"/>
          <w:color w:val="000000"/>
          <w:kern w:val="2"/>
          <w:sz w:val="32"/>
          <w:szCs w:val="32"/>
          <w:shd w:val="clear" w:color="auto" w:fill="FFFFFF"/>
          <w:lang w:val="en-US" w:eastAsia="zh-CN" w:bidi="ar"/>
        </w:rPr>
        <w:t>局会同市市场监管局、市档案局、市文化和旅游局、市工业和信息化局、市财政局等</w:t>
      </w: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部门及专家共同成立“福州老字号”认定评审委员会（以下简称“认定评审委”），负责“福州老字号”的认定评审工作。“认定评审委”办公室设在市商务局流通业发展处，负责具体组织开展评审论证。参与评审论证的专家一般应由“认定评审委”成员单位相关人员、有关行业专家学者及有关企业家组成。</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Times New Roman" w:eastAsia="仿宋_GB2312" w:cs="仿宋_GB2312"/>
          <w:b w:val="0"/>
          <w:i w:val="0"/>
          <w:color w:val="000000"/>
          <w:spacing w:val="0"/>
          <w:kern w:val="2"/>
          <w:sz w:val="32"/>
          <w:szCs w:val="32"/>
          <w:shd w:val="clear" w:color="auto" w:fill="FFFFFF"/>
          <w:lang w:val="en-US" w:eastAsia="zh-CN" w:bidi="ar"/>
        </w:rPr>
      </w:pP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（五）社会公示：“认定评审委”评审论证通过后的申报企业，作为“福州老字号”拟认定企业，由市商务局通过官方网站和公共媒体，向社会公示企业和品</w:t>
      </w:r>
      <w:r>
        <w:rPr>
          <w:rFonts w:hint="eastAsia" w:ascii="仿宋_GB2312" w:hAnsi="Times New Roman" w:eastAsia="仿宋_GB2312" w:cs="仿宋_GB2312"/>
          <w:b w:val="0"/>
          <w:i w:val="0"/>
          <w:color w:val="000000"/>
          <w:kern w:val="2"/>
          <w:sz w:val="32"/>
          <w:szCs w:val="32"/>
          <w:shd w:val="clear" w:color="auto" w:fill="FFFFFF"/>
          <w:lang w:val="en-US" w:eastAsia="zh-CN" w:bidi="ar"/>
        </w:rPr>
        <w:t>牌名单，公示期为30天。任何单位或个人对拟认定企业有异议</w:t>
      </w:r>
      <w:r>
        <w:rPr>
          <w:rFonts w:hint="eastAsia" w:ascii="仿宋_GB2312" w:hAnsi="Times New Roman" w:eastAsia="仿宋_GB2312" w:cs="仿宋_GB2312"/>
          <w:b w:val="0"/>
          <w:i w:val="0"/>
          <w:color w:val="000000"/>
          <w:spacing w:val="0"/>
          <w:kern w:val="2"/>
          <w:sz w:val="32"/>
          <w:szCs w:val="32"/>
          <w:shd w:val="clear" w:color="auto" w:fill="FFFFFF"/>
          <w:lang w:val="en-US" w:eastAsia="zh-CN" w:bidi="ar"/>
        </w:rPr>
        <w:t>的，均可向市商务局提出。</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Times New Roman" w:eastAsia="仿宋_GB2312" w:cs="仿宋_GB2312"/>
          <w:b w:val="0"/>
          <w:i w:val="0"/>
          <w:color w:val="000000"/>
          <w:kern w:val="2"/>
          <w:sz w:val="32"/>
          <w:szCs w:val="32"/>
          <w:shd w:val="clear" w:color="auto" w:fill="FFFFFF"/>
          <w:lang w:val="en-US" w:eastAsia="zh-CN" w:bidi="ar"/>
        </w:rPr>
      </w:pPr>
      <w:r>
        <w:rPr>
          <w:rFonts w:hint="eastAsia" w:ascii="仿宋_GB2312" w:hAnsi="Times New Roman" w:eastAsia="仿宋_GB2312" w:cs="仿宋_GB2312"/>
          <w:b w:val="0"/>
          <w:i w:val="0"/>
          <w:color w:val="000000"/>
          <w:spacing w:val="0"/>
          <w:kern w:val="2"/>
          <w:sz w:val="32"/>
          <w:szCs w:val="32"/>
          <w:shd w:val="clear" w:color="auto" w:fill="FFFFFF"/>
          <w:lang w:val="en-US" w:eastAsia="zh-CN" w:bidi="ar"/>
        </w:rPr>
        <w:t>（六）申请复核：申报单位对拟认定结果有异议的，可向市商务局提出复核，由市商务局提交“认定评审委”进行</w:t>
      </w:r>
      <w:r>
        <w:rPr>
          <w:rFonts w:hint="eastAsia" w:ascii="仿宋_GB2312" w:hAnsi="Times New Roman" w:eastAsia="仿宋_GB2312" w:cs="仿宋_GB2312"/>
          <w:b w:val="0"/>
          <w:i w:val="0"/>
          <w:color w:val="000000"/>
          <w:kern w:val="2"/>
          <w:sz w:val="32"/>
          <w:szCs w:val="32"/>
          <w:shd w:val="clear" w:color="auto" w:fill="FFFFFF"/>
          <w:lang w:val="en-US" w:eastAsia="zh-CN" w:bidi="ar"/>
        </w:rPr>
        <w:t>复审，并于接到异议信息后30天内作出复核决定。</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Times New Roman" w:eastAsia="仿宋_GB2312" w:cs="仿宋_GB2312"/>
          <w:b w:val="0"/>
          <w:i w:val="0"/>
          <w:color w:val="000000"/>
          <w:kern w:val="2"/>
          <w:sz w:val="32"/>
          <w:szCs w:val="32"/>
          <w:shd w:val="clear" w:color="auto" w:fill="FFFFFF"/>
          <w:lang w:val="en-US" w:eastAsia="zh-CN" w:bidi="ar"/>
        </w:rPr>
      </w:pPr>
      <w:r>
        <w:rPr>
          <w:rFonts w:hint="eastAsia" w:ascii="仿宋_GB2312" w:hAnsi="Times New Roman" w:eastAsia="仿宋_GB2312" w:cs="仿宋_GB2312"/>
          <w:b w:val="0"/>
          <w:i w:val="0"/>
          <w:color w:val="000000"/>
          <w:kern w:val="2"/>
          <w:sz w:val="32"/>
          <w:szCs w:val="32"/>
          <w:shd w:val="clear" w:color="auto" w:fill="FFFFFF"/>
          <w:lang w:val="en-US" w:eastAsia="zh-CN" w:bidi="ar"/>
        </w:rPr>
        <w:t>（七）认定决定：公示无异议或经复核后异议不成立的，由市商务局作出认定为“福州老字号”的决定。注册在本市内已被商务部和福建省商务厅认定为“中华老字号”“福建老字号”且持续正常经营的企业品牌，可申请直接认定为“福州老字号”。</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Times New Roman" w:eastAsia="仿宋_GB2312" w:cs="仿宋_GB2312"/>
          <w:b w:val="0"/>
          <w:i w:val="0"/>
          <w:color w:val="000000"/>
          <w:spacing w:val="0"/>
          <w:kern w:val="2"/>
          <w:sz w:val="32"/>
          <w:szCs w:val="32"/>
          <w:shd w:val="clear" w:color="auto" w:fill="FFFFFF"/>
          <w:lang w:val="en-US" w:eastAsia="zh-CN" w:bidi="ar"/>
        </w:rPr>
      </w:pPr>
      <w:r>
        <w:rPr>
          <w:rFonts w:hint="eastAsia" w:ascii="仿宋_GB2312" w:hAnsi="Times New Roman" w:eastAsia="仿宋_GB2312" w:cs="仿宋_GB2312"/>
          <w:b w:val="0"/>
          <w:i w:val="0"/>
          <w:color w:val="000000"/>
          <w:kern w:val="2"/>
          <w:sz w:val="32"/>
          <w:szCs w:val="32"/>
          <w:shd w:val="clear" w:color="auto" w:fill="FFFFFF"/>
          <w:lang w:val="en-US" w:eastAsia="zh-CN" w:bidi="ar"/>
        </w:rPr>
        <w:t>（八）注册存档：认定过程涉及的资料由市、县两级商</w:t>
      </w:r>
      <w:r>
        <w:rPr>
          <w:rFonts w:hint="eastAsia" w:ascii="仿宋_GB2312" w:hAnsi="Times New Roman" w:eastAsia="仿宋_GB2312" w:cs="仿宋_GB2312"/>
          <w:b w:val="0"/>
          <w:i w:val="0"/>
          <w:color w:val="000000"/>
          <w:spacing w:val="0"/>
          <w:kern w:val="2"/>
          <w:sz w:val="32"/>
          <w:szCs w:val="32"/>
          <w:shd w:val="clear" w:color="auto" w:fill="FFFFFF"/>
          <w:lang w:val="en-US" w:eastAsia="zh-CN" w:bidi="ar"/>
        </w:rPr>
        <w:t>务主管部门各存档一份，妥善保管。市商务局</w:t>
      </w: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将福州老字号及其所属企业（以下简称“福州老字号企业”）和品牌注册商标列入福州老字号名录。</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Times New Roman" w:eastAsia="仿宋_GB2312" w:cs="仿宋_GB2312"/>
          <w:b w:val="0"/>
          <w:i w:val="0"/>
          <w:color w:val="000000"/>
          <w:spacing w:val="0"/>
          <w:kern w:val="2"/>
          <w:sz w:val="32"/>
          <w:szCs w:val="32"/>
          <w:shd w:val="clear" w:color="auto" w:fill="FFFFFF"/>
          <w:lang w:val="en-US" w:eastAsia="zh-CN" w:bidi="ar"/>
        </w:rPr>
      </w:pPr>
      <w:r>
        <w:rPr>
          <w:rFonts w:hint="eastAsia" w:ascii="仿宋_GB2312" w:hAnsi="Times New Roman" w:eastAsia="仿宋_GB2312" w:cs="仿宋_GB2312"/>
          <w:b w:val="0"/>
          <w:i w:val="0"/>
          <w:color w:val="000000"/>
          <w:spacing w:val="0"/>
          <w:kern w:val="2"/>
          <w:sz w:val="32"/>
          <w:szCs w:val="32"/>
          <w:shd w:val="clear" w:color="auto" w:fill="FFFFFF"/>
          <w:lang w:val="en-US" w:eastAsia="zh-CN" w:bidi="ar"/>
        </w:rPr>
        <w:t>（九）核发证书：认定为“福州老字号”的品牌，由市商务局颁发“福州老字号”证书和牌匾，并向社会公布。</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Times New Roman" w:eastAsia="仿宋_GB2312" w:cs="Times New Roman"/>
          <w:b w:val="0"/>
          <w:i w:val="0"/>
          <w:color w:val="000000"/>
          <w:spacing w:val="0"/>
          <w:kern w:val="2"/>
          <w:sz w:val="32"/>
          <w:szCs w:val="32"/>
          <w:shd w:val="clear" w:color="auto" w:fill="FFFFFF"/>
          <w:lang w:val="en-US" w:eastAsia="zh-CN" w:bidi="ar"/>
        </w:rPr>
      </w:pPr>
      <w:r>
        <w:rPr>
          <w:rFonts w:hint="eastAsia" w:ascii="仿宋_GB2312" w:hAnsi="Times New Roman" w:eastAsia="仿宋_GB2312" w:cs="仿宋_GB2312"/>
          <w:b/>
          <w:bCs/>
          <w:i w:val="0"/>
          <w:color w:val="000000"/>
          <w:spacing w:val="0"/>
          <w:kern w:val="2"/>
          <w:sz w:val="32"/>
          <w:szCs w:val="32"/>
          <w:shd w:val="clear" w:color="auto" w:fill="FFFFFF"/>
          <w:lang w:val="en-US" w:eastAsia="zh-CN" w:bidi="ar"/>
        </w:rPr>
        <w:t>第六条</w:t>
      </w:r>
      <w:r>
        <w:rPr>
          <w:rFonts w:hint="eastAsia" w:ascii="仿宋_GB2312" w:hAnsi="Times New Roman" w:eastAsia="仿宋_GB2312" w:cs="Times New Roman"/>
          <w:b w:val="0"/>
          <w:i w:val="0"/>
          <w:color w:val="000000"/>
          <w:spacing w:val="0"/>
          <w:kern w:val="2"/>
          <w:sz w:val="32"/>
          <w:szCs w:val="32"/>
          <w:shd w:val="clear" w:color="auto" w:fill="FFFFFF"/>
          <w:lang w:val="en-US" w:eastAsia="zh-CN" w:bidi="ar"/>
        </w:rPr>
        <w:t xml:space="preserve">  认定为“福州老字号”的品牌，优先推荐申报“福建老字号”和“中华老字号”认定。</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Times New Roman" w:eastAsia="仿宋_GB2312" w:cs="仿宋_GB2312"/>
          <w:b w:val="0"/>
          <w:i w:val="0"/>
          <w:color w:val="000000"/>
          <w:spacing w:val="0"/>
          <w:kern w:val="2"/>
          <w:sz w:val="32"/>
          <w:szCs w:val="32"/>
          <w:shd w:val="clear" w:color="auto" w:fill="FFFFFF"/>
          <w:lang w:val="en-US" w:eastAsia="zh-CN" w:bidi="ar"/>
        </w:rPr>
      </w:pPr>
      <w:r>
        <w:rPr>
          <w:rFonts w:hint="eastAsia" w:ascii="仿宋_GB2312" w:hAnsi="Times New Roman" w:eastAsia="仿宋_GB2312" w:cs="仿宋_GB2312"/>
          <w:b/>
          <w:bCs/>
          <w:i w:val="0"/>
          <w:color w:val="000000"/>
          <w:spacing w:val="0"/>
          <w:kern w:val="2"/>
          <w:sz w:val="32"/>
          <w:szCs w:val="32"/>
          <w:shd w:val="clear" w:color="auto" w:fill="FFFFFF"/>
          <w:lang w:val="en-US" w:eastAsia="zh-CN" w:bidi="ar"/>
        </w:rPr>
        <w:t xml:space="preserve">第七条 </w:t>
      </w:r>
      <w:r>
        <w:rPr>
          <w:rFonts w:hint="eastAsia" w:ascii="仿宋_GB2312" w:hAnsi="Times New Roman" w:eastAsia="仿宋_GB2312" w:cs="仿宋_GB2312"/>
          <w:b w:val="0"/>
          <w:i w:val="0"/>
          <w:color w:val="000000"/>
          <w:spacing w:val="0"/>
          <w:kern w:val="2"/>
          <w:sz w:val="32"/>
          <w:szCs w:val="32"/>
          <w:shd w:val="clear" w:color="auto" w:fill="FFFFFF"/>
          <w:lang w:val="en-US" w:eastAsia="zh-CN" w:bidi="ar"/>
        </w:rPr>
        <w:t>“福州老字号”认定工作接受社会各界的监督，任何单位和个人不得借机收取费用或者开展营利性活动。</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jc w:val="center"/>
        <w:textAlignment w:val="auto"/>
        <w:outlineLvl w:val="9"/>
        <w:rPr>
          <w:rFonts w:hint="eastAsia" w:ascii="黑体" w:hAnsi="黑体" w:eastAsia="黑体" w:cs="黑体"/>
          <w:b w:val="0"/>
          <w:i w:val="0"/>
          <w:color w:val="000000"/>
          <w:spacing w:val="0"/>
          <w:kern w:val="2"/>
          <w:sz w:val="32"/>
          <w:szCs w:val="32"/>
          <w:shd w:val="clear" w:color="auto" w:fill="FFFFFF"/>
          <w:lang w:val="en-US" w:eastAsia="zh-CN" w:bidi="ar"/>
        </w:rPr>
      </w:pP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jc w:val="center"/>
        <w:textAlignment w:val="auto"/>
        <w:outlineLvl w:val="9"/>
        <w:rPr>
          <w:rFonts w:hint="eastAsia" w:ascii="黑体" w:hAnsi="黑体" w:eastAsia="黑体" w:cs="黑体"/>
          <w:b w:val="0"/>
          <w:i w:val="0"/>
          <w:color w:val="000000"/>
          <w:spacing w:val="0"/>
          <w:kern w:val="2"/>
          <w:sz w:val="32"/>
          <w:szCs w:val="32"/>
          <w:shd w:val="clear" w:color="auto" w:fill="FFFFFF"/>
          <w:lang w:val="en-US" w:eastAsia="zh-CN" w:bidi="ar"/>
        </w:rPr>
      </w:pPr>
      <w:r>
        <w:rPr>
          <w:rFonts w:hint="eastAsia" w:ascii="黑体" w:hAnsi="黑体" w:eastAsia="黑体" w:cs="黑体"/>
          <w:b w:val="0"/>
          <w:i w:val="0"/>
          <w:color w:val="000000"/>
          <w:spacing w:val="0"/>
          <w:kern w:val="2"/>
          <w:sz w:val="32"/>
          <w:szCs w:val="32"/>
          <w:shd w:val="clear" w:color="auto" w:fill="FFFFFF"/>
          <w:lang w:val="en-US" w:eastAsia="zh-CN" w:bidi="ar"/>
        </w:rPr>
        <w:t>第三章  标识使用</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Times New Roman" w:eastAsia="仿宋_GB2312" w:cs="仿宋_GB2312"/>
          <w:b w:val="0"/>
          <w:i w:val="0"/>
          <w:color w:val="000000"/>
          <w:spacing w:val="0"/>
          <w:kern w:val="2"/>
          <w:sz w:val="32"/>
          <w:szCs w:val="32"/>
          <w:shd w:val="clear" w:color="auto" w:fill="FFFFFF"/>
          <w:lang w:val="en-US" w:eastAsia="zh-CN" w:bidi="ar"/>
        </w:rPr>
      </w:pPr>
    </w:p>
    <w:p>
      <w:pPr>
        <w:keepNext w:val="0"/>
        <w:keepLines w:val="0"/>
        <w:pageBreakBefore w:val="0"/>
        <w:widowControl w:val="0"/>
        <w:numPr>
          <w:ilvl w:val="0"/>
          <w:numId w:val="0"/>
        </w:numPr>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Times New Roman" w:eastAsia="仿宋_GB2312" w:cs="Times New Roman"/>
          <w:b w:val="0"/>
          <w:i w:val="0"/>
          <w:color w:val="auto"/>
          <w:spacing w:val="0"/>
          <w:kern w:val="2"/>
          <w:sz w:val="32"/>
          <w:szCs w:val="32"/>
          <w:shd w:val="clear" w:color="auto" w:fill="FFFFFF"/>
          <w:lang w:val="en-US" w:eastAsia="zh-CN" w:bidi="ar"/>
        </w:rPr>
      </w:pPr>
      <w:r>
        <w:rPr>
          <w:rFonts w:hint="eastAsia" w:ascii="仿宋_GB2312" w:hAnsi="Times New Roman" w:eastAsia="仿宋_GB2312" w:cs="仿宋_GB2312"/>
          <w:b/>
          <w:bCs/>
          <w:i w:val="0"/>
          <w:color w:val="000000"/>
          <w:spacing w:val="0"/>
          <w:kern w:val="2"/>
          <w:sz w:val="32"/>
          <w:szCs w:val="32"/>
          <w:shd w:val="clear" w:color="auto" w:fill="FFFFFF"/>
          <w:lang w:val="en-US" w:eastAsia="zh-CN" w:bidi="ar"/>
        </w:rPr>
        <w:t>第八条</w:t>
      </w:r>
      <w:r>
        <w:rPr>
          <w:rFonts w:hint="eastAsia" w:ascii="仿宋_GB2312" w:hAnsi="Times New Roman" w:eastAsia="仿宋_GB2312" w:cs="仿宋_GB2312"/>
          <w:b w:val="0"/>
          <w:i w:val="0"/>
          <w:color w:val="000000"/>
          <w:spacing w:val="0"/>
          <w:kern w:val="2"/>
          <w:sz w:val="32"/>
          <w:szCs w:val="32"/>
          <w:shd w:val="clear" w:color="auto" w:fill="FFFFFF"/>
          <w:lang w:val="en-US" w:eastAsia="zh-CN" w:bidi="ar"/>
        </w:rPr>
        <w:t xml:space="preserve">  市商务局是“福州老字号”官方标识的权利人，其他任何组织或个人未经授权不得使用。市商务局负责</w:t>
      </w:r>
      <w:r>
        <w:rPr>
          <w:rFonts w:hint="eastAsia" w:ascii="仿宋_GB2312" w:hAnsi="Times New Roman" w:eastAsia="仿宋_GB2312" w:cs="Times New Roman"/>
          <w:sz w:val="32"/>
          <w:szCs w:val="32"/>
        </w:rPr>
        <w:t>统一制作和颁发</w:t>
      </w:r>
      <w:r>
        <w:rPr>
          <w:rFonts w:hint="eastAsia" w:ascii="仿宋_GB2312" w:hAnsi="Times New Roman" w:eastAsia="仿宋_GB2312" w:cs="Times New Roman"/>
          <w:sz w:val="32"/>
          <w:szCs w:val="32"/>
          <w:lang w:eastAsia="zh-CN"/>
        </w:rPr>
        <w:t>“福州老字号”证书、</w:t>
      </w:r>
      <w:r>
        <w:rPr>
          <w:rFonts w:hint="eastAsia" w:ascii="仿宋_GB2312" w:hAnsi="Times New Roman" w:eastAsia="仿宋_GB2312" w:cs="Times New Roman"/>
          <w:sz w:val="32"/>
          <w:szCs w:val="32"/>
        </w:rPr>
        <w:t>牌匾</w:t>
      </w:r>
      <w:r>
        <w:rPr>
          <w:rFonts w:hint="eastAsia" w:ascii="仿宋_GB2312" w:hAnsi="Times New Roman" w:eastAsia="仿宋_GB2312" w:cs="Times New Roman"/>
          <w:sz w:val="32"/>
          <w:szCs w:val="32"/>
          <w:lang w:eastAsia="zh-CN"/>
        </w:rPr>
        <w:t>。其他</w:t>
      </w:r>
      <w:r>
        <w:rPr>
          <w:rFonts w:hint="eastAsia" w:ascii="仿宋_GB2312" w:hAnsi="Times New Roman" w:eastAsia="仿宋_GB2312" w:cs="Times New Roman"/>
          <w:sz w:val="32"/>
          <w:szCs w:val="32"/>
        </w:rPr>
        <w:t>任何组织或个人不</w:t>
      </w: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得擅自制作、伪造、变造、复制、出借、出租、出售“福州老字号”证书、牌匾等证明文件。</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Times New Roman" w:eastAsia="仿宋_GB2312" w:cs="仿宋_GB2312"/>
          <w:b w:val="0"/>
          <w:i w:val="0"/>
          <w:color w:val="000000"/>
          <w:kern w:val="2"/>
          <w:sz w:val="32"/>
          <w:szCs w:val="32"/>
          <w:shd w:val="clear" w:color="auto" w:fill="FFFFFF"/>
          <w:lang w:val="en-US" w:eastAsia="zh-CN" w:bidi="ar"/>
        </w:rPr>
      </w:pPr>
      <w:r>
        <w:rPr>
          <w:rFonts w:hint="eastAsia" w:ascii="仿宋_GB2312" w:hAnsi="Times New Roman" w:eastAsia="仿宋_GB2312" w:cs="仿宋_GB2312"/>
          <w:b/>
          <w:bCs/>
          <w:i w:val="0"/>
          <w:color w:val="000000"/>
          <w:kern w:val="2"/>
          <w:sz w:val="32"/>
          <w:szCs w:val="32"/>
          <w:shd w:val="clear" w:color="auto" w:fill="FFFFFF"/>
          <w:lang w:val="en-US" w:eastAsia="zh-CN" w:bidi="ar"/>
        </w:rPr>
        <w:t xml:space="preserve">第九条  </w:t>
      </w:r>
      <w:r>
        <w:rPr>
          <w:rFonts w:hint="eastAsia" w:ascii="仿宋_GB2312" w:hAnsi="Times New Roman" w:eastAsia="仿宋_GB2312" w:cs="仿宋_GB2312"/>
          <w:b w:val="0"/>
          <w:i w:val="0"/>
          <w:color w:val="000000"/>
          <w:kern w:val="2"/>
          <w:sz w:val="32"/>
          <w:szCs w:val="32"/>
          <w:shd w:val="clear" w:color="auto" w:fill="FFFFFF"/>
          <w:lang w:val="en-US" w:eastAsia="zh-CN" w:bidi="ar"/>
        </w:rPr>
        <w:t>福州老字号企业可以在其企业、对应的字号产品或服务的宣传介绍材料中规范使用“福州老字号”标识。福州老字号企业如需在分店或其它地点悬挂、使用“福州老字号”牌匾，须向所在县（市）区、高新区商务主管部门提出申请，县（市）区、高新区商务主管部门按用途、数量和使用范围汇总后报市商务局统一制作，并由县（市）区、高新区商务主管部门监督使用。</w:t>
      </w:r>
    </w:p>
    <w:p>
      <w:pPr>
        <w:keepNext w:val="0"/>
        <w:keepLines w:val="0"/>
        <w:pageBreakBefore w:val="0"/>
        <w:widowControl w:val="0"/>
        <w:numPr>
          <w:ilvl w:val="0"/>
          <w:numId w:val="0"/>
        </w:numPr>
        <w:suppressLineNumbers w:val="0"/>
        <w:shd w:val="clear" w:color="auto" w:fill="FFFFFF"/>
        <w:kinsoku/>
        <w:wordWrap/>
        <w:overflowPunct/>
        <w:topLinePunct w:val="0"/>
        <w:autoSpaceDE/>
        <w:autoSpaceDN w:val="0"/>
        <w:bidi w:val="0"/>
        <w:adjustRightInd/>
        <w:snapToGrid/>
        <w:spacing w:beforeAutospacing="0" w:afterAutospacing="0" w:line="560" w:lineRule="exact"/>
        <w:ind w:left="200" w:leftChars="0" w:right="0" w:rightChars="0"/>
        <w:jc w:val="center"/>
        <w:textAlignment w:val="auto"/>
        <w:outlineLvl w:val="9"/>
        <w:rPr>
          <w:rFonts w:hint="eastAsia" w:ascii="黑体" w:hAnsi="宋体" w:eastAsia="黑体" w:cs="黑体"/>
          <w:b w:val="0"/>
          <w:i w:val="0"/>
          <w:color w:val="000000"/>
          <w:spacing w:val="0"/>
          <w:kern w:val="2"/>
          <w:sz w:val="32"/>
          <w:szCs w:val="32"/>
          <w:shd w:val="clear" w:color="auto" w:fill="FFFFFF"/>
          <w:lang w:val="en-US" w:eastAsia="zh-CN" w:bidi="ar"/>
        </w:rPr>
      </w:pPr>
    </w:p>
    <w:p>
      <w:pPr>
        <w:keepNext w:val="0"/>
        <w:keepLines w:val="0"/>
        <w:pageBreakBefore w:val="0"/>
        <w:widowControl w:val="0"/>
        <w:numPr>
          <w:ilvl w:val="0"/>
          <w:numId w:val="0"/>
        </w:numPr>
        <w:suppressLineNumbers w:val="0"/>
        <w:shd w:val="clear" w:color="auto" w:fill="FFFFFF"/>
        <w:kinsoku/>
        <w:wordWrap/>
        <w:overflowPunct/>
        <w:topLinePunct w:val="0"/>
        <w:autoSpaceDE/>
        <w:autoSpaceDN w:val="0"/>
        <w:bidi w:val="0"/>
        <w:adjustRightInd/>
        <w:snapToGrid/>
        <w:spacing w:beforeAutospacing="0" w:afterAutospacing="0" w:line="560" w:lineRule="exact"/>
        <w:ind w:left="200" w:leftChars="0" w:right="0" w:rightChars="0"/>
        <w:jc w:val="center"/>
        <w:textAlignment w:val="auto"/>
        <w:outlineLvl w:val="9"/>
        <w:rPr>
          <w:rFonts w:hint="eastAsia" w:ascii="黑体" w:hAnsi="宋体" w:eastAsia="黑体" w:cs="黑体"/>
          <w:b w:val="0"/>
          <w:i w:val="0"/>
          <w:color w:val="000000"/>
          <w:spacing w:val="0"/>
          <w:kern w:val="2"/>
          <w:sz w:val="32"/>
          <w:szCs w:val="32"/>
          <w:shd w:val="clear" w:color="auto" w:fill="FFFFFF"/>
          <w:lang w:val="en-US" w:eastAsia="zh-CN" w:bidi="ar"/>
        </w:rPr>
      </w:pPr>
      <w:r>
        <w:rPr>
          <w:rFonts w:hint="eastAsia" w:ascii="黑体" w:hAnsi="宋体" w:eastAsia="黑体" w:cs="黑体"/>
          <w:b w:val="0"/>
          <w:i w:val="0"/>
          <w:color w:val="000000"/>
          <w:spacing w:val="0"/>
          <w:kern w:val="2"/>
          <w:sz w:val="32"/>
          <w:szCs w:val="32"/>
          <w:shd w:val="clear" w:color="auto" w:fill="FFFFFF"/>
          <w:lang w:val="en-US" w:eastAsia="zh-CN" w:bidi="ar"/>
        </w:rPr>
        <w:t>第四章  保护与发展</w:t>
      </w:r>
    </w:p>
    <w:p>
      <w:pPr>
        <w:keepNext w:val="0"/>
        <w:keepLines w:val="0"/>
        <w:pageBreakBefore w:val="0"/>
        <w:widowControl w:val="0"/>
        <w:numPr>
          <w:ilvl w:val="0"/>
          <w:numId w:val="0"/>
        </w:numPr>
        <w:suppressLineNumbers w:val="0"/>
        <w:shd w:val="clear" w:color="auto" w:fill="FFFFFF"/>
        <w:kinsoku/>
        <w:wordWrap/>
        <w:overflowPunct/>
        <w:topLinePunct w:val="0"/>
        <w:autoSpaceDE/>
        <w:autoSpaceDN w:val="0"/>
        <w:bidi w:val="0"/>
        <w:adjustRightInd/>
        <w:snapToGrid/>
        <w:spacing w:beforeAutospacing="0" w:afterAutospacing="0" w:line="560" w:lineRule="exact"/>
        <w:ind w:right="0" w:rightChars="0"/>
        <w:jc w:val="both"/>
        <w:textAlignment w:val="auto"/>
        <w:outlineLvl w:val="9"/>
        <w:rPr>
          <w:rFonts w:hint="eastAsia" w:ascii="黑体" w:hAnsi="宋体" w:eastAsia="黑体" w:cs="黑体"/>
          <w:b w:val="0"/>
          <w:i w:val="0"/>
          <w:color w:val="000000"/>
          <w:spacing w:val="0"/>
          <w:kern w:val="2"/>
          <w:sz w:val="32"/>
          <w:szCs w:val="32"/>
          <w:shd w:val="clear" w:color="auto" w:fill="FFFFFF"/>
          <w:lang w:val="en-US" w:eastAsia="zh-CN" w:bidi="ar"/>
        </w:rPr>
      </w:pPr>
    </w:p>
    <w:p>
      <w:pPr>
        <w:keepNext w:val="0"/>
        <w:keepLines w:val="0"/>
        <w:pageBreakBefore w:val="0"/>
        <w:widowControl w:val="0"/>
        <w:numPr>
          <w:ilvl w:val="0"/>
          <w:numId w:val="0"/>
        </w:numPr>
        <w:suppressLineNumbers w:val="0"/>
        <w:shd w:val="clear" w:color="auto" w:fill="FFFFFF"/>
        <w:kinsoku/>
        <w:wordWrap/>
        <w:overflowPunct/>
        <w:topLinePunct w:val="0"/>
        <w:autoSpaceDE/>
        <w:autoSpaceDN w:val="0"/>
        <w:bidi w:val="0"/>
        <w:adjustRightInd/>
        <w:snapToGrid/>
        <w:spacing w:beforeAutospacing="0" w:afterAutospacing="0" w:line="560" w:lineRule="exact"/>
        <w:ind w:right="0" w:rightChars="0" w:firstLine="643" w:firstLineChars="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r>
        <w:rPr>
          <w:rFonts w:hint="eastAsia" w:ascii="仿宋_GB2312" w:hAnsi="Times New Roman" w:eastAsia="仿宋_GB2312" w:cs="仿宋_GB2312"/>
          <w:b/>
          <w:bCs/>
          <w:i w:val="0"/>
          <w:color w:val="000000"/>
          <w:spacing w:val="0"/>
          <w:kern w:val="2"/>
          <w:sz w:val="32"/>
          <w:szCs w:val="32"/>
          <w:shd w:val="clear" w:color="auto" w:fill="FFFFFF"/>
          <w:lang w:val="en-US" w:eastAsia="zh-CN" w:bidi="ar"/>
        </w:rPr>
        <w:t>第十条　</w:t>
      </w: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福州老字号企业应当合法合规、管理、保护和传承老字号品牌，提高产品或服务质量，维护“福州老字号”信誉及自身合法权益，且履行以下义务：</w:t>
      </w:r>
    </w:p>
    <w:p>
      <w:pPr>
        <w:keepNext w:val="0"/>
        <w:keepLines w:val="0"/>
        <w:pageBreakBefore w:val="0"/>
        <w:widowControl w:val="0"/>
        <w:numPr>
          <w:ilvl w:val="0"/>
          <w:numId w:val="0"/>
        </w:numPr>
        <w:suppressLineNumbers w:val="0"/>
        <w:shd w:val="clear" w:color="auto" w:fill="FFFFFF"/>
        <w:kinsoku/>
        <w:wordWrap/>
        <w:overflowPunct/>
        <w:topLinePunct w:val="0"/>
        <w:autoSpaceDE/>
        <w:autoSpaceDN w:val="0"/>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 xml:space="preserve">（一）收集、保存代表单位历史传承的档案、实物、资料以及在生产、服务中形成的具有责任追溯、司法证据等价值的文件、原始记录和电子数据，档案资料管理应符合国家档案法规、标准、政策的要求； </w:t>
      </w:r>
    </w:p>
    <w:p>
      <w:pPr>
        <w:keepNext w:val="0"/>
        <w:keepLines w:val="0"/>
        <w:pageBreakBefore w:val="0"/>
        <w:widowControl w:val="0"/>
        <w:numPr>
          <w:ilvl w:val="0"/>
          <w:numId w:val="0"/>
        </w:numPr>
        <w:suppressLineNumbers w:val="0"/>
        <w:shd w:val="clear" w:color="auto" w:fill="FFFFFF"/>
        <w:kinsoku/>
        <w:wordWrap/>
        <w:overflowPunct/>
        <w:topLinePunct w:val="0"/>
        <w:autoSpaceDE/>
        <w:autoSpaceDN w:val="0"/>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 xml:space="preserve">（二）为独特技艺的传承及相关活动提供必要条件； </w:t>
      </w:r>
    </w:p>
    <w:p>
      <w:pPr>
        <w:keepNext w:val="0"/>
        <w:keepLines w:val="0"/>
        <w:pageBreakBefore w:val="0"/>
        <w:widowControl w:val="0"/>
        <w:numPr>
          <w:ilvl w:val="0"/>
          <w:numId w:val="0"/>
        </w:numPr>
        <w:suppressLineNumbers w:val="0"/>
        <w:shd w:val="clear" w:color="auto" w:fill="FFFFFF"/>
        <w:kinsoku/>
        <w:wordWrap/>
        <w:overflowPunct/>
        <w:topLinePunct w:val="0"/>
        <w:autoSpaceDE/>
        <w:autoSpaceDN w:val="0"/>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 xml:space="preserve">（三）积极开展展示宣传活动； </w:t>
      </w:r>
    </w:p>
    <w:p>
      <w:pPr>
        <w:keepNext w:val="0"/>
        <w:keepLines w:val="0"/>
        <w:pageBreakBefore w:val="0"/>
        <w:widowControl w:val="0"/>
        <w:numPr>
          <w:ilvl w:val="0"/>
          <w:numId w:val="0"/>
        </w:numPr>
        <w:suppressLineNumbers w:val="0"/>
        <w:shd w:val="clear" w:color="auto" w:fill="FFFFFF"/>
        <w:kinsoku/>
        <w:wordWrap/>
        <w:overflowPunct/>
        <w:topLinePunct w:val="0"/>
        <w:autoSpaceDE/>
        <w:autoSpaceDN w:val="0"/>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 xml:space="preserve">（四）向所在县（市）区、高新区商务主管部门报告经营情况，并接受监督。 </w:t>
      </w:r>
    </w:p>
    <w:p>
      <w:pPr>
        <w:keepNext w:val="0"/>
        <w:keepLines w:val="0"/>
        <w:pageBreakBefore w:val="0"/>
        <w:kinsoku/>
        <w:wordWrap/>
        <w:overflowPunct/>
        <w:topLinePunct w:val="0"/>
        <w:bidi w:val="0"/>
        <w:snapToGrid/>
        <w:spacing w:line="560" w:lineRule="exact"/>
        <w:ind w:right="0" w:rightChars="0" w:firstLine="643" w:firstLineChars="200"/>
        <w:textAlignment w:val="auto"/>
        <w:outlineLvl w:val="9"/>
        <w:rPr>
          <w:rFonts w:hint="eastAsia" w:ascii="黑体" w:hAnsi="黑体" w:eastAsia="黑体" w:cs="黑体"/>
          <w:b w:val="0"/>
          <w:i w:val="0"/>
          <w:color w:val="FF0000"/>
          <w:spacing w:val="0"/>
          <w:kern w:val="2"/>
          <w:sz w:val="32"/>
          <w:szCs w:val="32"/>
          <w:shd w:val="clear" w:color="auto" w:fill="FFFFFF"/>
          <w:lang w:val="en-US" w:eastAsia="zh-CN" w:bidi="ar"/>
        </w:rPr>
      </w:pPr>
      <w:r>
        <w:rPr>
          <w:rFonts w:hint="eastAsia" w:ascii="仿宋_GB2312" w:hAnsi="仿宋_GB2312" w:eastAsia="仿宋_GB2312" w:cs="仿宋_GB2312"/>
          <w:b/>
          <w:bCs/>
          <w:i w:val="0"/>
          <w:color w:val="000000"/>
          <w:spacing w:val="0"/>
          <w:kern w:val="2"/>
          <w:sz w:val="32"/>
          <w:szCs w:val="32"/>
          <w:shd w:val="clear" w:color="auto" w:fill="FFFFFF"/>
          <w:lang w:val="en-US" w:eastAsia="zh-CN" w:bidi="ar"/>
        </w:rPr>
        <w:t>第十一条</w:t>
      </w: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 xml:space="preserve">  建立市级协调工作机制，商务、财政、市场监管</w:t>
      </w:r>
      <w:r>
        <w:rPr>
          <w:rFonts w:hint="eastAsia" w:ascii="仿宋_GB2312" w:hAnsi="Times New Roman" w:eastAsia="仿宋_GB2312" w:cs="仿宋_GB2312"/>
          <w:b w:val="0"/>
          <w:i w:val="0"/>
          <w:color w:val="000000"/>
          <w:spacing w:val="0"/>
          <w:kern w:val="2"/>
          <w:sz w:val="32"/>
          <w:szCs w:val="32"/>
          <w:shd w:val="clear" w:color="auto" w:fill="FFFFFF"/>
          <w:lang w:val="en-US" w:eastAsia="zh-CN" w:bidi="ar"/>
        </w:rPr>
        <w:t>、卫健、教育、</w:t>
      </w: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人社、</w:t>
      </w:r>
      <w:r>
        <w:rPr>
          <w:rFonts w:hint="eastAsia" w:ascii="仿宋_GB2312" w:hAnsi="Calibri" w:eastAsia="仿宋_GB2312" w:cs="仿宋_GB2312"/>
          <w:i w:val="0"/>
          <w:iCs w:val="0"/>
          <w:kern w:val="2"/>
          <w:sz w:val="32"/>
          <w:szCs w:val="32"/>
          <w:shd w:val="clear" w:color="auto" w:fill="FFFFFF"/>
          <w:lang w:val="en-US" w:eastAsia="zh-CN" w:bidi="ar"/>
        </w:rPr>
        <w:t>自然资源和规划、</w:t>
      </w: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文旅、金融监管、</w:t>
      </w:r>
      <w:r>
        <w:rPr>
          <w:rFonts w:hint="eastAsia" w:ascii="仿宋_GB2312" w:hAnsi="Times New Roman" w:eastAsia="仿宋_GB2312" w:cs="仿宋_GB2312"/>
          <w:b w:val="0"/>
          <w:i w:val="0"/>
          <w:color w:val="000000"/>
          <w:spacing w:val="0"/>
          <w:kern w:val="2"/>
          <w:sz w:val="32"/>
          <w:szCs w:val="32"/>
          <w:shd w:val="clear" w:color="auto" w:fill="FFFFFF"/>
          <w:lang w:val="en-US" w:eastAsia="zh-CN" w:bidi="ar"/>
        </w:rPr>
        <w:t>工信、</w:t>
      </w:r>
      <w:r>
        <w:rPr>
          <w:rFonts w:hint="eastAsia" w:ascii="仿宋_GB2312" w:hAnsi="Calibri" w:eastAsia="仿宋_GB2312" w:cs="仿宋_GB2312"/>
          <w:i w:val="0"/>
          <w:iCs w:val="0"/>
          <w:kern w:val="2"/>
          <w:sz w:val="32"/>
          <w:szCs w:val="32"/>
          <w:shd w:val="clear" w:color="auto" w:fill="FFFFFF"/>
          <w:lang w:val="en-US" w:eastAsia="zh-CN" w:bidi="ar"/>
        </w:rPr>
        <w:t>外办、贸促会</w:t>
      </w:r>
      <w:r>
        <w:rPr>
          <w:rFonts w:hint="eastAsia" w:ascii="仿宋_GB2312" w:hAnsi="Times New Roman" w:eastAsia="仿宋_GB2312" w:cs="仿宋_GB2312"/>
          <w:b w:val="0"/>
          <w:i w:val="0"/>
          <w:color w:val="000000"/>
          <w:spacing w:val="0"/>
          <w:kern w:val="2"/>
          <w:sz w:val="32"/>
          <w:szCs w:val="32"/>
          <w:shd w:val="clear" w:color="auto" w:fill="FFFFFF"/>
          <w:lang w:val="en-US" w:eastAsia="zh-CN" w:bidi="ar"/>
        </w:rPr>
        <w:t>等部门根据各自职责，积极利用各自领域的相关政策，对“福州老字号”创新发展中涉及的知识产权保护、技艺传承、人才培养、集聚经营、标准化创建、资金支持、文化遗产保护、技术改造</w:t>
      </w: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、拓展市场、企业改革等予以指导和</w:t>
      </w:r>
      <w:r>
        <w:rPr>
          <w:rFonts w:hint="eastAsia" w:ascii="仿宋_GB2312" w:hAnsi="Times New Roman" w:eastAsia="仿宋_GB2312" w:cs="仿宋_GB2312"/>
          <w:b w:val="0"/>
          <w:i w:val="0"/>
          <w:color w:val="000000"/>
          <w:spacing w:val="0"/>
          <w:kern w:val="2"/>
          <w:sz w:val="32"/>
          <w:szCs w:val="32"/>
          <w:shd w:val="clear" w:color="auto" w:fill="FFFFFF"/>
          <w:lang w:val="en-US" w:eastAsia="zh-CN" w:bidi="ar"/>
        </w:rPr>
        <w:t>支持。</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（一）市</w:t>
      </w:r>
      <w:r>
        <w:rPr>
          <w:rFonts w:hint="eastAsia" w:ascii="仿宋_GB2312" w:hAnsi="Calibri" w:eastAsia="仿宋_GB2312" w:cs="仿宋_GB2312"/>
          <w:i w:val="0"/>
          <w:iCs w:val="0"/>
          <w:kern w:val="2"/>
          <w:sz w:val="32"/>
          <w:szCs w:val="32"/>
          <w:shd w:val="clear" w:color="auto" w:fill="FFFFFF"/>
          <w:lang w:val="en-US" w:eastAsia="zh-CN" w:bidi="ar"/>
        </w:rPr>
        <w:t>自然资源和规划局</w:t>
      </w: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在历史风貌区保护规划中，根据实际情况优先落实老字号历史建筑保留和拓展的发展空间。对福州老字号企业扩大生产经营规模、建设博物馆等用地需求，为企业提供项目选址建议，做好项目前期规划服务。</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auto"/>
          <w:spacing w:val="0"/>
          <w:kern w:val="2"/>
          <w:sz w:val="32"/>
          <w:szCs w:val="32"/>
          <w:shd w:val="clear" w:color="auto" w:fill="FFFFFF"/>
          <w:lang w:val="en-US" w:eastAsia="zh-CN" w:bidi="ar"/>
        </w:rPr>
      </w:pPr>
      <w:r>
        <w:rPr>
          <w:rFonts w:hint="eastAsia" w:ascii="仿宋_GB2312" w:hAnsi="仿宋_GB2312" w:eastAsia="仿宋_GB2312" w:cs="仿宋_GB2312"/>
          <w:b w:val="0"/>
          <w:i w:val="0"/>
          <w:color w:val="auto"/>
          <w:spacing w:val="0"/>
          <w:kern w:val="2"/>
          <w:sz w:val="32"/>
          <w:szCs w:val="32"/>
          <w:shd w:val="clear" w:color="auto" w:fill="FFFFFF"/>
          <w:lang w:val="en-US" w:eastAsia="zh-CN" w:bidi="ar"/>
        </w:rPr>
        <w:t>（二）市文化和旅游局鼓励“福州老字号”传统技艺申报列入非物质文化遗产代表性项目名录，支持评选传承示范基地。</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auto"/>
          <w:spacing w:val="0"/>
          <w:kern w:val="2"/>
          <w:sz w:val="32"/>
          <w:szCs w:val="32"/>
          <w:shd w:val="clear" w:color="auto" w:fill="FFFFFF"/>
          <w:lang w:val="en-US" w:eastAsia="zh-CN" w:bidi="ar"/>
        </w:rPr>
      </w:pPr>
      <w:r>
        <w:rPr>
          <w:rFonts w:hint="eastAsia" w:ascii="仿宋_GB2312" w:hAnsi="仿宋_GB2312" w:eastAsia="仿宋_GB2312" w:cs="仿宋_GB2312"/>
          <w:b w:val="0"/>
          <w:i w:val="0"/>
          <w:color w:val="auto"/>
          <w:spacing w:val="0"/>
          <w:kern w:val="2"/>
          <w:sz w:val="32"/>
          <w:szCs w:val="32"/>
          <w:shd w:val="clear" w:color="auto" w:fill="FFFFFF"/>
          <w:lang w:val="en-US" w:eastAsia="zh-CN" w:bidi="ar"/>
        </w:rPr>
        <w:t>（三）市市场监管局依职责做好商标、专利等相关知识产权监督管理，鼓励福州老字号企业依法申报知识产权、参与国家标准、行业标准、地方标准制定。</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auto"/>
          <w:spacing w:val="0"/>
          <w:kern w:val="2"/>
          <w:sz w:val="32"/>
          <w:szCs w:val="32"/>
          <w:shd w:val="clear" w:color="auto" w:fill="FFFFFF"/>
          <w:lang w:val="en-US" w:eastAsia="zh-CN" w:bidi="ar"/>
        </w:rPr>
      </w:pPr>
      <w:r>
        <w:rPr>
          <w:rFonts w:hint="eastAsia" w:ascii="仿宋_GB2312" w:hAnsi="仿宋_GB2312" w:eastAsia="仿宋_GB2312" w:cs="仿宋_GB2312"/>
          <w:b w:val="0"/>
          <w:i w:val="0"/>
          <w:color w:val="auto"/>
          <w:spacing w:val="0"/>
          <w:kern w:val="2"/>
          <w:sz w:val="32"/>
          <w:szCs w:val="32"/>
          <w:shd w:val="clear" w:color="auto" w:fill="FFFFFF"/>
          <w:lang w:val="en-US" w:eastAsia="zh-CN" w:bidi="ar"/>
        </w:rPr>
        <w:t>（四）市卫健委应当鼓励老字号企业参与食品安全标准制定和备案。</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（五）市工业和信息化局应当支持福州老字号企业应用信息技术创新生产经营方式，对通过技术改造扩大生产规模，支持申报技改项目。符合条件的，应当给予资金支持。</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r>
        <w:rPr>
          <w:rFonts w:hint="eastAsia" w:ascii="仿宋_GB2312" w:hAnsi="Times New Roman" w:eastAsia="仿宋_GB2312" w:cs="仿宋_GB2312"/>
          <w:b w:val="0"/>
          <w:bCs w:val="0"/>
          <w:i w:val="0"/>
          <w:color w:val="000000"/>
          <w:spacing w:val="0"/>
          <w:kern w:val="2"/>
          <w:sz w:val="32"/>
          <w:szCs w:val="32"/>
          <w:shd w:val="clear" w:color="auto" w:fill="FFFFFF"/>
          <w:lang w:val="en-US" w:eastAsia="zh-CN" w:bidi="ar"/>
        </w:rPr>
        <w:t>（六）市人力资源和社会保障局应当对福州老字号传承人、技术骨干等技能型人才的培养予以支持。鼓励企业参与政府部门或行业协会组织的技能大赛和技能人才认定。</w:t>
      </w: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符合条件的，应当给予培训补贴。</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auto"/>
          <w:spacing w:val="0"/>
          <w:kern w:val="2"/>
          <w:sz w:val="32"/>
          <w:szCs w:val="32"/>
          <w:shd w:val="clear" w:color="auto" w:fill="FFFFFF"/>
          <w:lang w:val="en-US" w:eastAsia="zh-CN" w:bidi="ar"/>
        </w:rPr>
      </w:pPr>
      <w:r>
        <w:rPr>
          <w:rFonts w:hint="eastAsia" w:ascii="仿宋_GB2312" w:hAnsi="仿宋_GB2312" w:eastAsia="仿宋_GB2312" w:cs="仿宋_GB2312"/>
          <w:b w:val="0"/>
          <w:i w:val="0"/>
          <w:color w:val="auto"/>
          <w:spacing w:val="0"/>
          <w:kern w:val="2"/>
          <w:sz w:val="32"/>
          <w:szCs w:val="32"/>
          <w:shd w:val="clear" w:color="auto" w:fill="FFFFFF"/>
          <w:lang w:val="en-US" w:eastAsia="zh-CN" w:bidi="ar"/>
        </w:rPr>
        <w:t>（七）市教育局应当支持福州老字号企业与职业院校深度开展产教融合、校企合作，推进现代学徒制试点工作，鼓励职业院校创新人才培养模式，为企业输送高质量人才。</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val="0"/>
        <w:snapToGrid/>
        <w:spacing w:before="0" w:beforeAutospacing="0" w:after="0" w:afterAutospacing="0" w:line="560" w:lineRule="exact"/>
        <w:ind w:right="0" w:rightChars="0" w:firstLine="640" w:firstLineChars="200"/>
        <w:jc w:val="both"/>
        <w:textAlignment w:val="auto"/>
        <w:outlineLvl w:val="9"/>
        <w:rPr>
          <w:rFonts w:hint="eastAsia" w:ascii="仿宋_GB2312" w:hAnsi="Calibri" w:eastAsia="仿宋_GB2312" w:cs="仿宋_GB2312"/>
          <w:i w:val="0"/>
          <w:iCs w:val="0"/>
          <w:kern w:val="2"/>
          <w:sz w:val="32"/>
          <w:szCs w:val="32"/>
          <w:shd w:val="clear" w:color="auto" w:fill="FFFFFF"/>
          <w:lang w:val="en-US" w:eastAsia="zh-CN" w:bidi="ar"/>
        </w:rPr>
      </w:pP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（八）</w:t>
      </w:r>
      <w:r>
        <w:rPr>
          <w:rFonts w:hint="eastAsia" w:ascii="仿宋_GB2312" w:hAnsi="Calibri" w:eastAsia="仿宋_GB2312" w:cs="仿宋_GB2312"/>
          <w:i w:val="0"/>
          <w:iCs w:val="0"/>
          <w:kern w:val="2"/>
          <w:sz w:val="32"/>
          <w:szCs w:val="32"/>
          <w:shd w:val="clear" w:color="auto" w:fill="FFFFFF"/>
          <w:lang w:val="en-US" w:eastAsia="zh-CN" w:bidi="ar"/>
        </w:rPr>
        <w:t>市贸促会、市商务局</w:t>
      </w: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应当支持、引导福州老字号企业</w:t>
      </w:r>
      <w:r>
        <w:rPr>
          <w:rFonts w:hint="eastAsia" w:ascii="仿宋_GB2312" w:hAnsi="Calibri" w:eastAsia="仿宋_GB2312" w:cs="仿宋_GB2312"/>
          <w:i w:val="0"/>
          <w:iCs w:val="0"/>
          <w:kern w:val="2"/>
          <w:sz w:val="32"/>
          <w:szCs w:val="32"/>
          <w:shd w:val="clear" w:color="auto" w:fill="FFFFFF"/>
          <w:lang w:val="en-US" w:eastAsia="zh-CN" w:bidi="ar"/>
        </w:rPr>
        <w:t>参加各类经贸洽谈、展示交易活动，</w:t>
      </w: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或者通过连锁经营等方式开拓国内外市场</w:t>
      </w:r>
      <w:r>
        <w:rPr>
          <w:rFonts w:hint="eastAsia" w:ascii="仿宋_GB2312" w:hAnsi="Calibri" w:eastAsia="仿宋_GB2312" w:cs="仿宋_GB2312"/>
          <w:i w:val="0"/>
          <w:iCs w:val="0"/>
          <w:kern w:val="2"/>
          <w:sz w:val="32"/>
          <w:szCs w:val="32"/>
          <w:shd w:val="clear" w:color="auto" w:fill="FFFFFF"/>
          <w:lang w:val="en-US" w:eastAsia="zh-CN" w:bidi="ar"/>
        </w:rPr>
        <w:t>，符合条件的，对参展费用给予优惠或补助。</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（九）市商务局应当鼓励福州老字号企业线上线下融合发展，引导企业与国内重点线上销售平台对接，拓展线上业务，开展品牌培育，并给予资金支持。</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val="0"/>
        <w:snapToGrid/>
        <w:spacing w:before="0" w:beforeAutospacing="0" w:after="0" w:afterAutospacing="0" w:line="560" w:lineRule="exact"/>
        <w:ind w:right="0" w:rightChars="0" w:firstLine="640" w:firstLineChars="200"/>
        <w:jc w:val="both"/>
        <w:textAlignment w:val="auto"/>
        <w:outlineLvl w:val="9"/>
        <w:rPr>
          <w:rFonts w:hint="eastAsia" w:ascii="仿宋_GB2312" w:hAnsi="Calibri" w:eastAsia="仿宋_GB2312" w:cs="仿宋_GB2312"/>
          <w:color w:val="auto"/>
          <w:kern w:val="2"/>
          <w:sz w:val="32"/>
          <w:szCs w:val="32"/>
          <w:shd w:val="clear" w:color="auto" w:fill="FFFFFF"/>
          <w:lang w:eastAsia="zh-CN" w:bidi="ar"/>
        </w:rPr>
      </w:pPr>
      <w:r>
        <w:rPr>
          <w:rFonts w:hint="eastAsia" w:ascii="仿宋_GB2312" w:hAnsi="Calibri" w:eastAsia="仿宋_GB2312" w:cs="仿宋_GB2312"/>
          <w:i w:val="0"/>
          <w:iCs w:val="0"/>
          <w:color w:val="auto"/>
          <w:kern w:val="2"/>
          <w:sz w:val="32"/>
          <w:szCs w:val="32"/>
          <w:shd w:val="clear" w:color="auto" w:fill="FFFFFF"/>
          <w:lang w:val="en-US" w:eastAsia="zh-CN" w:bidi="ar"/>
        </w:rPr>
        <w:t>（十）市外办根据外事礼宾礼仪，在</w:t>
      </w:r>
      <w:r>
        <w:rPr>
          <w:rFonts w:hint="eastAsia" w:ascii="仿宋_GB2312" w:hAnsi="Calibri" w:eastAsia="仿宋_GB2312" w:cs="仿宋_GB2312"/>
          <w:color w:val="auto"/>
          <w:kern w:val="2"/>
          <w:sz w:val="32"/>
          <w:szCs w:val="32"/>
          <w:shd w:val="clear" w:color="auto" w:fill="FFFFFF"/>
          <w:lang w:val="en-US" w:eastAsia="zh-CN" w:bidi="ar"/>
        </w:rPr>
        <w:t>外事接待时对福州老字号企业产品应用尽用</w:t>
      </w:r>
      <w:r>
        <w:rPr>
          <w:rFonts w:hint="eastAsia" w:ascii="仿宋_GB2312" w:hAnsi="Calibri" w:eastAsia="仿宋_GB2312" w:cs="仿宋_GB2312"/>
          <w:color w:val="auto"/>
          <w:kern w:val="2"/>
          <w:sz w:val="32"/>
          <w:szCs w:val="32"/>
          <w:shd w:val="clear" w:color="auto" w:fill="FFFFFF"/>
          <w:lang w:eastAsia="zh-CN" w:bidi="ar"/>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val="0"/>
        <w:snapToGrid/>
        <w:spacing w:before="0" w:beforeAutospacing="0" w:after="0" w:afterAutospacing="0" w:line="560" w:lineRule="exact"/>
        <w:ind w:right="0" w:rightChars="0" w:firstLine="640" w:firstLineChars="200"/>
        <w:jc w:val="both"/>
        <w:textAlignment w:val="auto"/>
        <w:outlineLvl w:val="9"/>
        <w:rPr>
          <w:rFonts w:hint="eastAsia" w:ascii="仿宋_GB2312" w:hAnsi="Calibri" w:eastAsia="仿宋_GB2312" w:cs="仿宋_GB2312"/>
          <w:kern w:val="2"/>
          <w:sz w:val="32"/>
          <w:szCs w:val="32"/>
          <w:shd w:val="clear" w:color="auto" w:fill="FFFFFF"/>
          <w:lang w:val="en-US" w:eastAsia="zh-CN" w:bidi="ar"/>
        </w:rPr>
      </w:pPr>
      <w:r>
        <w:rPr>
          <w:rFonts w:hint="eastAsia" w:ascii="仿宋_GB2312" w:hAnsi="Calibri" w:eastAsia="仿宋_GB2312" w:cs="仿宋_GB2312"/>
          <w:kern w:val="2"/>
          <w:sz w:val="32"/>
          <w:szCs w:val="32"/>
          <w:shd w:val="clear" w:color="auto" w:fill="FFFFFF"/>
          <w:lang w:val="en-US" w:eastAsia="zh-CN" w:bidi="ar"/>
        </w:rPr>
        <w:t>（十一）</w:t>
      </w: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市财政局应当对促进和保护老字号创新发展提供资金支持。</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val="0"/>
        <w:snapToGrid/>
        <w:spacing w:before="0" w:beforeAutospacing="0" w:after="0" w:afterAutospacing="0" w:line="560" w:lineRule="exact"/>
        <w:ind w:right="0" w:rightChars="0" w:firstLine="640" w:firstLineChars="200"/>
        <w:jc w:val="both"/>
        <w:textAlignment w:val="auto"/>
        <w:outlineLvl w:val="9"/>
        <w:rPr>
          <w:rFonts w:hint="eastAsia" w:ascii="仿宋_GB2312" w:hAnsi="Calibri" w:eastAsia="仿宋_GB2312" w:cs="仿宋_GB2312"/>
          <w:i w:val="0"/>
          <w:iCs w:val="0"/>
          <w:kern w:val="2"/>
          <w:sz w:val="32"/>
          <w:szCs w:val="32"/>
          <w:shd w:val="clear" w:color="auto" w:fill="FFFFFF"/>
          <w:lang w:val="en-US" w:eastAsia="zh-CN" w:bidi="ar"/>
        </w:rPr>
      </w:pPr>
      <w:r>
        <w:rPr>
          <w:rFonts w:hint="eastAsia" w:ascii="仿宋_GB2312" w:hAnsi="Calibri" w:eastAsia="仿宋_GB2312" w:cs="仿宋_GB2312"/>
          <w:i w:val="0"/>
          <w:iCs w:val="0"/>
          <w:kern w:val="2"/>
          <w:sz w:val="32"/>
          <w:szCs w:val="32"/>
          <w:shd w:val="clear" w:color="auto" w:fill="FFFFFF"/>
          <w:lang w:val="en-US" w:eastAsia="zh-CN" w:bidi="ar"/>
        </w:rPr>
        <w:t>（十二）市金融监管局应当推动在榕金融机构在依法合规的前提下，为有资金需求的福州老字号企业提供融资支持。</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r>
        <w:rPr>
          <w:rFonts w:hint="eastAsia" w:ascii="仿宋_GB2312" w:hAnsi="仿宋_GB2312" w:eastAsia="仿宋_GB2312" w:cs="仿宋_GB2312"/>
          <w:b/>
          <w:bCs/>
          <w:i w:val="0"/>
          <w:color w:val="000000"/>
          <w:spacing w:val="0"/>
          <w:kern w:val="2"/>
          <w:sz w:val="32"/>
          <w:szCs w:val="32"/>
          <w:shd w:val="clear" w:color="auto" w:fill="FFFFFF"/>
          <w:lang w:val="en-US" w:eastAsia="zh-CN" w:bidi="ar"/>
        </w:rPr>
        <w:t>第十二条</w:t>
      </w: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 xml:space="preserve">  县（市）区政府和高新区管委会应当加强对福州老字号聚集区建筑、历史特色建筑、企业祖庭建筑的保护和管理。符合条件的，支持申报历史风貌建筑。</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鼓励相关行业协会帮助经营困难的福州老字号企业，扶持其继承人恢复祖业，抢救保护濒临失传或者受到破坏的传统技艺。</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200"/>
        <w:jc w:val="center"/>
        <w:textAlignment w:val="auto"/>
        <w:outlineLvl w:val="9"/>
        <w:rPr>
          <w:rFonts w:hint="eastAsia" w:ascii="黑体" w:hAnsi="宋体" w:eastAsia="黑体" w:cs="黑体"/>
          <w:b w:val="0"/>
          <w:i w:val="0"/>
          <w:color w:val="000000"/>
          <w:spacing w:val="0"/>
          <w:kern w:val="2"/>
          <w:sz w:val="32"/>
          <w:szCs w:val="32"/>
          <w:shd w:val="clear" w:color="auto" w:fill="FFFFFF"/>
          <w:lang w:val="en-US" w:eastAsia="zh-CN" w:bidi="ar"/>
        </w:rPr>
      </w:pPr>
      <w:r>
        <w:rPr>
          <w:rFonts w:hint="eastAsia" w:ascii="黑体" w:hAnsi="宋体" w:eastAsia="黑体" w:cs="黑体"/>
          <w:b w:val="0"/>
          <w:i w:val="0"/>
          <w:color w:val="000000"/>
          <w:spacing w:val="0"/>
          <w:kern w:val="2"/>
          <w:sz w:val="32"/>
          <w:szCs w:val="32"/>
          <w:shd w:val="clear" w:color="auto" w:fill="FFFFFF"/>
          <w:lang w:val="en-US" w:eastAsia="zh-CN" w:bidi="ar"/>
        </w:rPr>
        <w:t>第五章 动态管理</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r>
        <w:rPr>
          <w:rFonts w:hint="eastAsia" w:ascii="仿宋_GB2312" w:hAnsi="仿宋_GB2312" w:eastAsia="仿宋_GB2312" w:cs="仿宋_GB2312"/>
          <w:b/>
          <w:bCs/>
          <w:i w:val="0"/>
          <w:color w:val="000000"/>
          <w:spacing w:val="0"/>
          <w:kern w:val="2"/>
          <w:sz w:val="32"/>
          <w:szCs w:val="32"/>
          <w:shd w:val="clear" w:color="auto" w:fill="FFFFFF"/>
          <w:lang w:val="en-US" w:eastAsia="zh-CN" w:bidi="ar"/>
        </w:rPr>
        <w:t xml:space="preserve">第十三条 </w:t>
      </w: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 xml:space="preserve"> 福州老字号企业应当自觉接受商务主管部门的管理，每年2月28日前，应当向所在县（市）区、高新区商务主管部门提交上一年度企业信用、经营情况、品牌发展传承等情况报告，县（市）区、高新区商务主管部门汇总后报市商务局备案。</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r>
        <w:rPr>
          <w:rFonts w:hint="eastAsia" w:ascii="仿宋_GB2312" w:hAnsi="仿宋_GB2312" w:eastAsia="仿宋_GB2312" w:cs="仿宋_GB2312"/>
          <w:b/>
          <w:bCs/>
          <w:i w:val="0"/>
          <w:color w:val="000000"/>
          <w:spacing w:val="0"/>
          <w:kern w:val="2"/>
          <w:sz w:val="32"/>
          <w:szCs w:val="32"/>
          <w:shd w:val="clear" w:color="auto" w:fill="FFFFFF"/>
          <w:lang w:val="en-US" w:eastAsia="zh-CN" w:bidi="ar"/>
        </w:rPr>
        <w:t xml:space="preserve">第十四条 </w:t>
      </w: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 xml:space="preserve"> 福州老字号企业发生以下变更时，应当自变更完成之日起15个工作日内，向所在县（市）区、高新区商务主管部门备案：</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（一）企业名称变更；</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（二）经营地址变更;</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（三）企业法定代表人变更;</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（四）企业注册商标专用权或合法使用权变更;</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（五）企业不再开展原有主营业务，转由新成立单位或关联单位继续从事相关主营业务的；</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（六）其他重大变更。</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b w:val="0"/>
          <w:i w:val="0"/>
          <w:color w:val="auto"/>
          <w:spacing w:val="0"/>
          <w:kern w:val="2"/>
          <w:sz w:val="32"/>
          <w:szCs w:val="32"/>
          <w:shd w:val="clear" w:color="auto" w:fill="FFFFFF"/>
          <w:lang w:val="en-US" w:eastAsia="zh-CN" w:bidi="ar"/>
        </w:rPr>
      </w:pP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县（市）区、高新区商务主管部门在收到备案材料5个工作日内报市商务局。</w:t>
      </w:r>
      <w:r>
        <w:rPr>
          <w:rFonts w:hint="eastAsia" w:ascii="仿宋_GB2312" w:hAnsi="仿宋_GB2312" w:eastAsia="仿宋_GB2312" w:cs="仿宋_GB2312"/>
          <w:b w:val="0"/>
          <w:i w:val="0"/>
          <w:color w:val="auto"/>
          <w:spacing w:val="0"/>
          <w:kern w:val="2"/>
          <w:sz w:val="32"/>
          <w:szCs w:val="32"/>
          <w:shd w:val="clear" w:color="auto" w:fill="FFFFFF"/>
          <w:lang w:val="en-US" w:eastAsia="zh-CN" w:bidi="ar"/>
        </w:rPr>
        <w:t>市商务局按照“福州老字号”认定条件对变更信息进行审核，并向社会公告。</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b w:val="0"/>
          <w:i w:val="0"/>
          <w:color w:val="auto"/>
          <w:spacing w:val="0"/>
          <w:kern w:val="2"/>
          <w:sz w:val="32"/>
          <w:szCs w:val="32"/>
          <w:shd w:val="clear" w:color="auto" w:fill="FFFFFF"/>
          <w:lang w:val="en-US" w:eastAsia="zh-CN" w:bidi="ar"/>
        </w:rPr>
      </w:pPr>
      <w:r>
        <w:rPr>
          <w:rFonts w:hint="eastAsia" w:ascii="仿宋_GB2312" w:hAnsi="仿宋_GB2312" w:eastAsia="仿宋_GB2312" w:cs="仿宋_GB2312"/>
          <w:b/>
          <w:bCs/>
          <w:i w:val="0"/>
          <w:color w:val="auto"/>
          <w:spacing w:val="0"/>
          <w:kern w:val="2"/>
          <w:sz w:val="32"/>
          <w:szCs w:val="32"/>
          <w:shd w:val="clear" w:color="auto" w:fill="FFFFFF"/>
          <w:lang w:val="en-US" w:eastAsia="zh-CN" w:bidi="ar"/>
        </w:rPr>
        <w:t>第十五条</w:t>
      </w:r>
      <w:r>
        <w:rPr>
          <w:rFonts w:hint="eastAsia" w:ascii="仿宋_GB2312" w:hAnsi="仿宋_GB2312" w:eastAsia="仿宋_GB2312" w:cs="仿宋_GB2312"/>
          <w:b w:val="0"/>
          <w:i w:val="0"/>
          <w:color w:val="auto"/>
          <w:spacing w:val="0"/>
          <w:kern w:val="2"/>
          <w:sz w:val="32"/>
          <w:szCs w:val="32"/>
          <w:shd w:val="clear" w:color="auto" w:fill="FFFFFF"/>
          <w:lang w:val="en-US" w:eastAsia="zh-CN" w:bidi="ar"/>
        </w:rPr>
        <w:t xml:space="preserve">  福州老字号企业出现下列情形之一的，由所在县（市）区、高新区商务主管部门责令其一个月内予以整改： </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auto"/>
          <w:spacing w:val="0"/>
          <w:kern w:val="2"/>
          <w:sz w:val="32"/>
          <w:szCs w:val="32"/>
          <w:shd w:val="clear" w:color="auto" w:fill="FFFFFF"/>
          <w:lang w:val="en-US" w:eastAsia="zh-CN" w:bidi="ar"/>
        </w:rPr>
      </w:pPr>
      <w:r>
        <w:rPr>
          <w:rFonts w:hint="eastAsia" w:ascii="仿宋_GB2312" w:hAnsi="仿宋_GB2312" w:eastAsia="仿宋_GB2312" w:cs="仿宋_GB2312"/>
          <w:b w:val="0"/>
          <w:i w:val="0"/>
          <w:color w:val="auto"/>
          <w:spacing w:val="0"/>
          <w:kern w:val="2"/>
          <w:sz w:val="32"/>
          <w:szCs w:val="32"/>
          <w:shd w:val="clear" w:color="auto" w:fill="FFFFFF"/>
          <w:lang w:val="en-US" w:eastAsia="zh-CN" w:bidi="ar"/>
        </w:rPr>
        <w:t>（一）未按本意见第十三条规定按时提交上一年度经营情况报告；</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auto"/>
          <w:spacing w:val="0"/>
          <w:kern w:val="2"/>
          <w:sz w:val="32"/>
          <w:szCs w:val="32"/>
          <w:shd w:val="clear" w:color="auto" w:fill="FFFFFF"/>
          <w:lang w:val="en-US" w:eastAsia="zh-CN" w:bidi="ar"/>
        </w:rPr>
      </w:pPr>
      <w:r>
        <w:rPr>
          <w:rFonts w:hint="eastAsia" w:ascii="仿宋_GB2312" w:hAnsi="仿宋_GB2312" w:eastAsia="仿宋_GB2312" w:cs="仿宋_GB2312"/>
          <w:b w:val="0"/>
          <w:i w:val="0"/>
          <w:color w:val="auto"/>
          <w:spacing w:val="0"/>
          <w:kern w:val="2"/>
          <w:sz w:val="32"/>
          <w:szCs w:val="32"/>
          <w:shd w:val="clear" w:color="auto" w:fill="FFFFFF"/>
          <w:lang w:val="en-US" w:eastAsia="zh-CN" w:bidi="ar"/>
        </w:rPr>
        <w:t>（二）未按本意见第十四条规定及时备案变更信息；</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Times New Roman" w:eastAsia="仿宋_GB2312" w:cs="Times New Roman"/>
          <w:b w:val="0"/>
          <w:i w:val="0"/>
          <w:color w:val="auto"/>
          <w:spacing w:val="0"/>
          <w:kern w:val="2"/>
          <w:sz w:val="32"/>
          <w:szCs w:val="32"/>
          <w:shd w:val="clear" w:color="auto" w:fill="FFFFFF"/>
          <w:lang w:val="en-US" w:eastAsia="zh-CN" w:bidi="ar"/>
        </w:rPr>
      </w:pPr>
      <w:r>
        <w:rPr>
          <w:rFonts w:hint="eastAsia" w:ascii="仿宋_GB2312" w:hAnsi="仿宋_GB2312" w:eastAsia="仿宋_GB2312" w:cs="仿宋_GB2312"/>
          <w:b w:val="0"/>
          <w:i w:val="0"/>
          <w:color w:val="auto"/>
          <w:spacing w:val="0"/>
          <w:kern w:val="2"/>
          <w:sz w:val="32"/>
          <w:szCs w:val="32"/>
          <w:shd w:val="clear" w:color="auto" w:fill="FFFFFF"/>
          <w:lang w:val="en-US" w:eastAsia="zh-CN" w:bidi="ar"/>
        </w:rPr>
        <w:t>（三）</w:t>
      </w:r>
      <w:r>
        <w:rPr>
          <w:rFonts w:hint="eastAsia" w:ascii="仿宋_GB2312" w:hAnsi="Times New Roman" w:eastAsia="仿宋_GB2312" w:cs="Times New Roman"/>
          <w:b w:val="0"/>
          <w:i w:val="0"/>
          <w:color w:val="auto"/>
          <w:spacing w:val="0"/>
          <w:kern w:val="2"/>
          <w:sz w:val="32"/>
          <w:szCs w:val="32"/>
          <w:shd w:val="clear" w:color="auto" w:fill="FFFFFF"/>
          <w:lang w:val="en-US" w:eastAsia="zh-CN" w:bidi="ar"/>
        </w:rPr>
        <w:t>“福州老字号”标识使用不规范的；</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auto"/>
          <w:spacing w:val="0"/>
          <w:kern w:val="2"/>
          <w:sz w:val="32"/>
          <w:szCs w:val="32"/>
          <w:shd w:val="clear" w:color="auto" w:fill="FFFFFF"/>
          <w:lang w:val="en-US" w:eastAsia="zh-CN" w:bidi="ar"/>
        </w:rPr>
      </w:pPr>
      <w:r>
        <w:rPr>
          <w:rFonts w:hint="eastAsia" w:ascii="仿宋_GB2312" w:hAnsi="仿宋_GB2312" w:eastAsia="仿宋_GB2312" w:cs="仿宋_GB2312"/>
          <w:b w:val="0"/>
          <w:i w:val="0"/>
          <w:color w:val="auto"/>
          <w:spacing w:val="0"/>
          <w:kern w:val="2"/>
          <w:sz w:val="32"/>
          <w:szCs w:val="32"/>
          <w:shd w:val="clear" w:color="auto" w:fill="FFFFFF"/>
          <w:lang w:val="en-US" w:eastAsia="zh-CN" w:bidi="ar"/>
        </w:rPr>
        <w:t>（四）擅自制作、伪造、变造、复制、出借、出租、出售“福州老字号”证书、牌匾等证明文件的；</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auto"/>
          <w:spacing w:val="0"/>
          <w:kern w:val="2"/>
          <w:sz w:val="32"/>
          <w:szCs w:val="32"/>
          <w:shd w:val="clear" w:color="auto" w:fill="FFFFFF"/>
          <w:lang w:val="en-US" w:eastAsia="zh-CN" w:bidi="ar"/>
        </w:rPr>
      </w:pPr>
      <w:r>
        <w:rPr>
          <w:rFonts w:hint="eastAsia" w:ascii="仿宋_GB2312" w:hAnsi="仿宋_GB2312" w:eastAsia="仿宋_GB2312" w:cs="仿宋_GB2312"/>
          <w:b w:val="0"/>
          <w:i w:val="0"/>
          <w:color w:val="auto"/>
          <w:spacing w:val="0"/>
          <w:kern w:val="2"/>
          <w:sz w:val="32"/>
          <w:szCs w:val="32"/>
          <w:shd w:val="clear" w:color="auto" w:fill="FFFFFF"/>
          <w:lang w:val="en-US" w:eastAsia="zh-CN" w:bidi="ar"/>
        </w:rPr>
        <w:t>（五）被相关部门列入经营异常名录的。</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b w:val="0"/>
          <w:i w:val="0"/>
          <w:color w:val="auto"/>
          <w:spacing w:val="0"/>
          <w:kern w:val="2"/>
          <w:sz w:val="32"/>
          <w:szCs w:val="32"/>
          <w:shd w:val="clear" w:color="auto" w:fill="FFFFFF"/>
          <w:lang w:val="en-US" w:eastAsia="zh-CN" w:bidi="ar"/>
        </w:rPr>
      </w:pPr>
      <w:r>
        <w:rPr>
          <w:rFonts w:hint="eastAsia" w:ascii="仿宋_GB2312" w:hAnsi="仿宋_GB2312" w:eastAsia="仿宋_GB2312" w:cs="仿宋_GB2312"/>
          <w:b w:val="0"/>
          <w:i w:val="0"/>
          <w:color w:val="auto"/>
          <w:spacing w:val="0"/>
          <w:kern w:val="2"/>
          <w:sz w:val="32"/>
          <w:szCs w:val="32"/>
          <w:shd w:val="clear" w:color="auto" w:fill="FFFFFF"/>
          <w:lang w:val="en-US" w:eastAsia="zh-CN" w:bidi="ar"/>
        </w:rPr>
        <w:t>限期未整改或整改措施不力的，由市商务局约谈企业负责人。</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right="0" w:rightChars="0" w:firstLine="643" w:firstLineChars="200"/>
        <w:jc w:val="left"/>
        <w:textAlignment w:val="auto"/>
        <w:outlineLvl w:val="9"/>
        <w:rPr>
          <w:rFonts w:hint="eastAsia" w:ascii="仿宋_GB2312" w:hAnsi="仿宋_GB2312" w:eastAsia="仿宋_GB2312" w:cs="仿宋_GB2312"/>
          <w:b w:val="0"/>
          <w:i w:val="0"/>
          <w:color w:val="auto"/>
          <w:spacing w:val="0"/>
          <w:kern w:val="2"/>
          <w:sz w:val="32"/>
          <w:szCs w:val="32"/>
          <w:shd w:val="clear" w:color="auto" w:fill="FFFFFF"/>
          <w:lang w:val="en-US" w:eastAsia="zh-CN" w:bidi="ar"/>
        </w:rPr>
      </w:pPr>
      <w:r>
        <w:rPr>
          <w:rFonts w:hint="eastAsia" w:ascii="仿宋_GB2312" w:hAnsi="仿宋_GB2312" w:eastAsia="仿宋_GB2312" w:cs="仿宋_GB2312"/>
          <w:b/>
          <w:bCs/>
          <w:i w:val="0"/>
          <w:color w:val="auto"/>
          <w:spacing w:val="0"/>
          <w:kern w:val="2"/>
          <w:sz w:val="32"/>
          <w:szCs w:val="32"/>
          <w:shd w:val="clear" w:color="auto" w:fill="FFFFFF"/>
          <w:lang w:val="en-US" w:eastAsia="zh-CN" w:bidi="ar"/>
        </w:rPr>
        <w:t>第十六条</w:t>
      </w:r>
      <w:r>
        <w:rPr>
          <w:rFonts w:hint="eastAsia" w:ascii="仿宋_GB2312" w:hAnsi="仿宋_GB2312" w:eastAsia="仿宋_GB2312" w:cs="仿宋_GB2312"/>
          <w:b w:val="0"/>
          <w:i w:val="0"/>
          <w:color w:val="auto"/>
          <w:spacing w:val="0"/>
          <w:kern w:val="2"/>
          <w:sz w:val="32"/>
          <w:szCs w:val="32"/>
          <w:shd w:val="clear" w:color="auto" w:fill="FFFFFF"/>
          <w:lang w:val="en-US" w:eastAsia="zh-CN" w:bidi="ar"/>
        </w:rPr>
        <w:t xml:space="preserve">  福州老字号企业出现下列情形之一的，市商务局有权将其移出“福州老字号”名录，并收回“福州老字号”标识使用权：</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auto"/>
          <w:spacing w:val="0"/>
          <w:kern w:val="2"/>
          <w:sz w:val="32"/>
          <w:szCs w:val="32"/>
          <w:shd w:val="clear" w:color="auto" w:fill="FFFFFF"/>
          <w:lang w:val="en-US" w:eastAsia="zh-CN" w:bidi="ar"/>
        </w:rPr>
      </w:pPr>
      <w:r>
        <w:rPr>
          <w:rFonts w:hint="eastAsia" w:ascii="仿宋_GB2312" w:hAnsi="仿宋_GB2312" w:eastAsia="仿宋_GB2312" w:cs="仿宋_GB2312"/>
          <w:b w:val="0"/>
          <w:i w:val="0"/>
          <w:color w:val="auto"/>
          <w:spacing w:val="0"/>
          <w:kern w:val="2"/>
          <w:sz w:val="32"/>
          <w:szCs w:val="32"/>
          <w:shd w:val="clear" w:color="auto" w:fill="FFFFFF"/>
          <w:lang w:val="en-US" w:eastAsia="zh-CN" w:bidi="ar"/>
        </w:rPr>
        <w:t>（一）破产清算、解散、注销、被吊销营业执照或一年以上未开展生产经营活动的；</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b w:val="0"/>
          <w:i w:val="0"/>
          <w:color w:val="FF0000"/>
          <w:spacing w:val="0"/>
          <w:kern w:val="2"/>
          <w:sz w:val="32"/>
          <w:szCs w:val="32"/>
          <w:shd w:val="clear" w:color="auto" w:fill="FFFFFF"/>
          <w:lang w:val="en-US" w:eastAsia="zh-CN" w:bidi="ar"/>
        </w:rPr>
      </w:pPr>
      <w:r>
        <w:rPr>
          <w:rFonts w:hint="eastAsia" w:ascii="仿宋_GB2312" w:hAnsi="仿宋_GB2312" w:eastAsia="仿宋_GB2312" w:cs="仿宋_GB2312"/>
          <w:b w:val="0"/>
          <w:i w:val="0"/>
          <w:color w:val="auto"/>
          <w:spacing w:val="0"/>
          <w:kern w:val="2"/>
          <w:sz w:val="32"/>
          <w:szCs w:val="32"/>
          <w:shd w:val="clear" w:color="auto" w:fill="FFFFFF"/>
          <w:lang w:val="en-US" w:eastAsia="zh-CN" w:bidi="ar"/>
        </w:rPr>
        <w:t>（二）因食品安全问题，一年内连续两次以上被监管部门处罚、或发生较大以上食品安全事故的；发生其他严重损害消费者权益、出现其他重大质量问题或发生较大以上生产安全事故，严重侵犯他人知识产权、严重扰乱市场秩序或其他严重违法行为的；</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auto"/>
          <w:spacing w:val="0"/>
          <w:kern w:val="2"/>
          <w:sz w:val="32"/>
          <w:szCs w:val="32"/>
          <w:shd w:val="clear" w:color="auto" w:fill="FFFFFF"/>
          <w:lang w:val="en-US" w:eastAsia="zh-CN" w:bidi="ar"/>
        </w:rPr>
      </w:pPr>
      <w:r>
        <w:rPr>
          <w:rFonts w:hint="eastAsia" w:ascii="仿宋_GB2312" w:hAnsi="仿宋_GB2312" w:eastAsia="仿宋_GB2312" w:cs="仿宋_GB2312"/>
          <w:b w:val="0"/>
          <w:i w:val="0"/>
          <w:color w:val="auto"/>
          <w:spacing w:val="0"/>
          <w:kern w:val="2"/>
          <w:sz w:val="32"/>
          <w:szCs w:val="32"/>
          <w:shd w:val="clear" w:color="auto" w:fill="FFFFFF"/>
          <w:lang w:val="en-US" w:eastAsia="zh-CN" w:bidi="ar"/>
        </w:rPr>
        <w:t>（三）以欺骗或其他不正当手段骗取“福州老字号”资质的；</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auto"/>
          <w:spacing w:val="0"/>
          <w:kern w:val="2"/>
          <w:sz w:val="32"/>
          <w:szCs w:val="32"/>
          <w:shd w:val="clear" w:color="auto" w:fill="FFFFFF"/>
          <w:lang w:val="en-US" w:eastAsia="zh-CN" w:bidi="ar"/>
        </w:rPr>
      </w:pPr>
      <w:r>
        <w:rPr>
          <w:rFonts w:hint="eastAsia" w:ascii="仿宋_GB2312" w:hAnsi="仿宋_GB2312" w:eastAsia="仿宋_GB2312" w:cs="仿宋_GB2312"/>
          <w:b w:val="0"/>
          <w:i w:val="0"/>
          <w:color w:val="auto"/>
          <w:spacing w:val="0"/>
          <w:kern w:val="2"/>
          <w:sz w:val="32"/>
          <w:szCs w:val="32"/>
          <w:shd w:val="clear" w:color="auto" w:fill="FFFFFF"/>
          <w:lang w:val="en-US" w:eastAsia="zh-CN" w:bidi="ar"/>
        </w:rPr>
        <w:t>（四）存在本意见第十五条规定所列情形，单位负责人被约谈后三个月内未整改或整改措施不力的，或者被相关部门列入失信企业名单的；</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auto"/>
          <w:spacing w:val="0"/>
          <w:kern w:val="2"/>
          <w:sz w:val="32"/>
          <w:szCs w:val="32"/>
          <w:shd w:val="clear" w:color="auto" w:fill="FFFFFF"/>
          <w:lang w:val="en-US" w:eastAsia="zh-CN" w:bidi="ar"/>
        </w:rPr>
      </w:pPr>
      <w:r>
        <w:rPr>
          <w:rFonts w:hint="eastAsia" w:ascii="仿宋_GB2312" w:hAnsi="仿宋_GB2312" w:eastAsia="仿宋_GB2312" w:cs="仿宋_GB2312"/>
          <w:b w:val="0"/>
          <w:i w:val="0"/>
          <w:color w:val="auto"/>
          <w:spacing w:val="0"/>
          <w:kern w:val="2"/>
          <w:sz w:val="32"/>
          <w:szCs w:val="32"/>
          <w:shd w:val="clear" w:color="auto" w:fill="FFFFFF"/>
          <w:lang w:val="en-US" w:eastAsia="zh-CN" w:bidi="ar"/>
        </w:rPr>
        <w:t>（五）已经不符合“福州老字号”认定条件的。</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auto"/>
          <w:spacing w:val="0"/>
          <w:kern w:val="2"/>
          <w:sz w:val="32"/>
          <w:szCs w:val="32"/>
          <w:shd w:val="clear" w:color="auto" w:fill="FFFFFF"/>
          <w:lang w:val="en-US" w:eastAsia="zh-CN" w:bidi="ar"/>
        </w:rPr>
      </w:pPr>
      <w:r>
        <w:rPr>
          <w:rFonts w:hint="eastAsia" w:ascii="仿宋_GB2312" w:hAnsi="仿宋_GB2312" w:eastAsia="仿宋_GB2312" w:cs="仿宋_GB2312"/>
          <w:b w:val="0"/>
          <w:i w:val="0"/>
          <w:color w:val="auto"/>
          <w:spacing w:val="0"/>
          <w:kern w:val="2"/>
          <w:sz w:val="32"/>
          <w:szCs w:val="32"/>
          <w:shd w:val="clear" w:color="auto" w:fill="FFFFFF"/>
          <w:lang w:val="en-US" w:eastAsia="zh-CN" w:bidi="ar"/>
        </w:rPr>
        <w:t>被移出“福州老字号”名录的品牌自决定作出之日起五年内不得再次申报“福州老字号”认定。</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firstLine="200"/>
        <w:jc w:val="left"/>
        <w:textAlignment w:val="auto"/>
        <w:outlineLvl w:val="9"/>
        <w:rPr>
          <w:rFonts w:hint="eastAsia" w:ascii="仿宋_GB2312" w:hAnsi="仿宋_GB2312" w:eastAsia="仿宋_GB2312" w:cs="仿宋_GB2312"/>
          <w:b w:val="0"/>
          <w:i w:val="0"/>
          <w:color w:val="FF0000"/>
          <w:spacing w:val="0"/>
          <w:kern w:val="2"/>
          <w:sz w:val="32"/>
          <w:szCs w:val="32"/>
          <w:shd w:val="clear" w:color="auto" w:fill="FFFFFF"/>
          <w:lang w:val="en-US" w:eastAsia="zh-CN" w:bidi="ar"/>
        </w:rPr>
      </w:pPr>
      <w:r>
        <w:rPr>
          <w:rFonts w:hint="eastAsia" w:ascii="仿宋_GB2312" w:hAnsi="仿宋_GB2312" w:eastAsia="仿宋_GB2312" w:cs="仿宋_GB2312"/>
          <w:b w:val="0"/>
          <w:i w:val="0"/>
          <w:color w:val="FF0000"/>
          <w:spacing w:val="0"/>
          <w:kern w:val="2"/>
          <w:sz w:val="32"/>
          <w:szCs w:val="32"/>
          <w:shd w:val="clear" w:color="auto" w:fill="FFFFFF"/>
          <w:lang w:val="en-US" w:eastAsia="zh-CN" w:bidi="ar"/>
        </w:rPr>
        <w:t xml:space="preserve"> </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left="0" w:leftChars="0" w:right="0" w:rightChars="0"/>
        <w:jc w:val="center"/>
        <w:textAlignment w:val="auto"/>
        <w:outlineLvl w:val="9"/>
        <w:rPr>
          <w:rFonts w:hint="eastAsia" w:ascii="黑体" w:hAnsi="黑体" w:eastAsia="黑体" w:cs="黑体"/>
          <w:b w:val="0"/>
          <w:i w:val="0"/>
          <w:color w:val="000000"/>
          <w:spacing w:val="0"/>
          <w:kern w:val="2"/>
          <w:sz w:val="32"/>
          <w:szCs w:val="32"/>
          <w:shd w:val="clear" w:color="auto" w:fill="FFFFFF"/>
          <w:lang w:val="en-US" w:eastAsia="zh-CN" w:bidi="ar"/>
        </w:rPr>
      </w:pPr>
      <w:r>
        <w:rPr>
          <w:rFonts w:hint="eastAsia" w:ascii="黑体" w:hAnsi="黑体" w:eastAsia="黑体" w:cs="黑体"/>
          <w:b w:val="0"/>
          <w:i w:val="0"/>
          <w:color w:val="000000"/>
          <w:spacing w:val="0"/>
          <w:kern w:val="2"/>
          <w:sz w:val="32"/>
          <w:szCs w:val="32"/>
          <w:shd w:val="clear" w:color="auto" w:fill="FFFFFF"/>
          <w:lang w:val="en-US" w:eastAsia="zh-CN" w:bidi="ar"/>
        </w:rPr>
        <w:t>第六章  附  则</w:t>
      </w: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right="0" w:rightChars="0" w:firstLine="643" w:firstLineChars="200"/>
        <w:jc w:val="left"/>
        <w:textAlignment w:val="auto"/>
        <w:outlineLvl w:val="9"/>
        <w:rPr>
          <w:rFonts w:hint="eastAsia" w:ascii="仿宋_GB2312" w:hAnsi="仿宋_GB2312" w:eastAsia="仿宋_GB2312" w:cs="仿宋_GB2312"/>
          <w:b/>
          <w:bCs/>
          <w:i w:val="0"/>
          <w:color w:val="000000"/>
          <w:spacing w:val="0"/>
          <w:kern w:val="2"/>
          <w:sz w:val="32"/>
          <w:szCs w:val="32"/>
          <w:shd w:val="clear" w:color="auto" w:fill="FFFFFF"/>
          <w:lang w:val="en-US" w:eastAsia="zh-CN" w:bidi="ar"/>
        </w:rPr>
      </w:pPr>
    </w:p>
    <w:p>
      <w:pPr>
        <w:keepNext w:val="0"/>
        <w:keepLines w:val="0"/>
        <w:pageBreakBefore w:val="0"/>
        <w:widowControl w:val="0"/>
        <w:suppressLineNumbers w:val="0"/>
        <w:shd w:val="clear" w:color="auto" w:fill="FFFFFF"/>
        <w:kinsoku/>
        <w:wordWrap/>
        <w:overflowPunct/>
        <w:topLinePunct w:val="0"/>
        <w:autoSpaceDE/>
        <w:autoSpaceDN w:val="0"/>
        <w:bidi w:val="0"/>
        <w:adjustRightInd/>
        <w:snapToGrid/>
        <w:spacing w:beforeAutospacing="0" w:afterAutospacing="0" w:line="560" w:lineRule="exact"/>
        <w:ind w:right="0" w:rightChars="0" w:firstLine="643" w:firstLineChars="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r>
        <w:rPr>
          <w:rFonts w:hint="eastAsia" w:ascii="仿宋_GB2312" w:hAnsi="仿宋_GB2312" w:eastAsia="仿宋_GB2312" w:cs="仿宋_GB2312"/>
          <w:b/>
          <w:bCs/>
          <w:i w:val="0"/>
          <w:color w:val="000000"/>
          <w:spacing w:val="0"/>
          <w:kern w:val="2"/>
          <w:sz w:val="32"/>
          <w:szCs w:val="32"/>
          <w:shd w:val="clear" w:color="auto" w:fill="FFFFFF"/>
          <w:lang w:val="en-US" w:eastAsia="zh-CN" w:bidi="ar"/>
        </w:rPr>
        <w:t>第十七条</w:t>
      </w: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 xml:space="preserve">  本办法由市商务局负责解释。</w:t>
      </w:r>
    </w:p>
    <w:p>
      <w:pPr>
        <w:keepNext w:val="0"/>
        <w:keepLines w:val="0"/>
        <w:pageBreakBefore w:val="0"/>
        <w:shd w:val="clear" w:color="auto" w:fill="FFFFFF"/>
        <w:kinsoku/>
        <w:wordWrap/>
        <w:overflowPunct/>
        <w:topLinePunct w:val="0"/>
        <w:autoSpaceDN w:val="0"/>
        <w:bidi w:val="0"/>
        <w:snapToGrid/>
        <w:spacing w:line="560" w:lineRule="exact"/>
        <w:ind w:right="0" w:rightChars="0" w:firstLine="643" w:firstLineChars="200"/>
        <w:jc w:val="left"/>
        <w:textAlignment w:val="auto"/>
        <w:outlineLvl w:val="9"/>
        <w:rPr>
          <w:rFonts w:hint="eastAsia" w:ascii="仿宋_GB2312" w:hAnsi="仿宋_GB2312" w:eastAsia="仿宋_GB2312" w:cs="仿宋_GB2312"/>
          <w:b w:val="0"/>
          <w:i w:val="0"/>
          <w:color w:val="000000"/>
          <w:spacing w:val="0"/>
          <w:kern w:val="2"/>
          <w:sz w:val="32"/>
          <w:szCs w:val="32"/>
          <w:shd w:val="clear" w:color="auto" w:fill="FFFFFF"/>
          <w:lang w:val="en-US" w:eastAsia="zh-CN" w:bidi="ar"/>
        </w:rPr>
      </w:pPr>
      <w:r>
        <w:rPr>
          <w:rFonts w:hint="eastAsia" w:ascii="仿宋_GB2312" w:hAnsi="仿宋_GB2312" w:eastAsia="仿宋_GB2312" w:cs="仿宋_GB2312"/>
          <w:b/>
          <w:bCs/>
          <w:i w:val="0"/>
          <w:color w:val="000000"/>
          <w:spacing w:val="0"/>
          <w:kern w:val="2"/>
          <w:sz w:val="32"/>
          <w:szCs w:val="32"/>
          <w:shd w:val="clear" w:color="auto" w:fill="FFFFFF"/>
          <w:lang w:val="en-US" w:eastAsia="zh-CN" w:bidi="ar"/>
        </w:rPr>
        <w:t>第十八条</w:t>
      </w:r>
      <w:r>
        <w:rPr>
          <w:rFonts w:hint="eastAsia" w:ascii="仿宋_GB2312" w:hAnsi="仿宋_GB2312" w:eastAsia="仿宋_GB2312" w:cs="仿宋_GB2312"/>
          <w:b w:val="0"/>
          <w:i w:val="0"/>
          <w:color w:val="000000"/>
          <w:spacing w:val="0"/>
          <w:kern w:val="2"/>
          <w:sz w:val="32"/>
          <w:szCs w:val="32"/>
          <w:shd w:val="clear" w:color="auto" w:fill="FFFFFF"/>
          <w:lang w:val="en-US" w:eastAsia="zh-CN" w:bidi="ar"/>
        </w:rPr>
        <w:t xml:space="preserve">  本办法自发布之日起施行。</w:t>
      </w:r>
    </w:p>
    <w:p>
      <w:pPr>
        <w:keepNext w:val="0"/>
        <w:keepLines w:val="0"/>
        <w:pageBreakBefore w:val="0"/>
        <w:kinsoku/>
        <w:wordWrap/>
        <w:overflowPunct/>
        <w:topLinePunct w:val="0"/>
        <w:bidi w:val="0"/>
        <w:snapToGrid/>
        <w:spacing w:line="560" w:lineRule="exact"/>
        <w:jc w:val="both"/>
        <w:rPr>
          <w:rFonts w:hint="eastAsia" w:ascii="仿宋_GB2312" w:hAnsi="仿宋_GB2312" w:eastAsia="仿宋_GB2312" w:cs="仿宋_GB2312"/>
          <w:kern w:val="2"/>
          <w:sz w:val="32"/>
          <w:szCs w:val="32"/>
          <w:lang w:val="en-US" w:eastAsia="zh-CN"/>
        </w:rPr>
      </w:pPr>
    </w:p>
    <w:sectPr>
      <w:footerReference r:id="rId3" w:type="default"/>
      <w:footerReference r:id="rId4" w:type="even"/>
      <w:pgSz w:w="11906" w:h="16838"/>
      <w:pgMar w:top="2041" w:right="1474" w:bottom="2041" w:left="1587" w:header="851" w:footer="1587" w:gutter="0"/>
      <w:pgBorders>
        <w:top w:val="none" w:sz="0" w:space="0"/>
        <w:left w:val="none" w:sz="0" w:space="0"/>
        <w:bottom w:val="none" w:sz="0" w:space="0"/>
        <w:right w:val="none" w:sz="0" w:space="0"/>
      </w:pgBorders>
      <w:pgNumType w:fmt="decimal"/>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NGFjZTVmNWYxY2Y2NzEwYmZkOWUxZTgxZmE1ZDYifQ=="/>
  </w:docVars>
  <w:rsids>
    <w:rsidRoot w:val="040C2805"/>
    <w:rsid w:val="040C2805"/>
    <w:rsid w:val="079B1D7A"/>
    <w:rsid w:val="0A3678CE"/>
    <w:rsid w:val="0C8A677F"/>
    <w:rsid w:val="0FB2114F"/>
    <w:rsid w:val="11A8016E"/>
    <w:rsid w:val="14A474B0"/>
    <w:rsid w:val="1D351663"/>
    <w:rsid w:val="1EF7066D"/>
    <w:rsid w:val="317E749C"/>
    <w:rsid w:val="31C11355"/>
    <w:rsid w:val="36CD2176"/>
    <w:rsid w:val="375E1AA1"/>
    <w:rsid w:val="3AD760BD"/>
    <w:rsid w:val="47D97D49"/>
    <w:rsid w:val="49782543"/>
    <w:rsid w:val="4B933ECE"/>
    <w:rsid w:val="4DFB7F57"/>
    <w:rsid w:val="4FCE24CD"/>
    <w:rsid w:val="502E696E"/>
    <w:rsid w:val="53232554"/>
    <w:rsid w:val="53F65A75"/>
    <w:rsid w:val="58A873D9"/>
    <w:rsid w:val="6303255C"/>
    <w:rsid w:val="641B4661"/>
    <w:rsid w:val="6664334A"/>
    <w:rsid w:val="6B31548E"/>
    <w:rsid w:val="6E571544"/>
    <w:rsid w:val="6FBE3493"/>
    <w:rsid w:val="71DF1960"/>
    <w:rsid w:val="75900C7B"/>
    <w:rsid w:val="7BFFB7B1"/>
    <w:rsid w:val="7C6C17EC"/>
    <w:rsid w:val="7E7EF0F6"/>
    <w:rsid w:val="7F7D3390"/>
    <w:rsid w:val="7FCAFE0A"/>
    <w:rsid w:val="8FFC2FA1"/>
    <w:rsid w:val="E7DD72A3"/>
    <w:rsid w:val="EDFF59B5"/>
    <w:rsid w:val="F3F738CC"/>
    <w:rsid w:val="F7FBE8EB"/>
    <w:rsid w:val="FDFB17C6"/>
    <w:rsid w:val="FEEFA3CA"/>
    <w:rsid w:val="FF9FFA0E"/>
    <w:rsid w:val="FFFD11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2"/>
    <w:basedOn w:val="1"/>
    <w:autoRedefine/>
    <w:qFormat/>
    <w:uiPriority w:val="0"/>
    <w:pPr>
      <w:spacing w:after="120" w:afterLines="0" w:afterAutospacing="0" w:line="480" w:lineRule="auto"/>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autoRedefine/>
    <w:qFormat/>
    <w:uiPriority w:val="0"/>
    <w:pPr>
      <w:widowControl w:val="0"/>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table" w:styleId="8">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paragraph" w:customStyle="1" w:styleId="11">
    <w:name w:val="样式 公文正文 + 首行缩进:  2 字符"/>
    <w:basedOn w:val="1"/>
    <w:autoRedefine/>
    <w:qFormat/>
    <w:uiPriority w:val="0"/>
    <w:pPr>
      <w:ind w:firstLine="640" w:firstLineChars="200"/>
    </w:pPr>
    <w:rPr>
      <w:rFonts w:ascii="宋体" w:hAnsi="宋体" w:eastAsia="仿宋_GB2312"/>
      <w:kern w:val="0"/>
      <w:sz w:val="32"/>
    </w:rPr>
  </w:style>
  <w:style w:type="paragraph" w:customStyle="1" w:styleId="12">
    <w:name w:val="公文正文首行缩进2"/>
    <w:basedOn w:val="1"/>
    <w:autoRedefine/>
    <w:qFormat/>
    <w:uiPriority w:val="0"/>
    <w:rPr>
      <w:rFonts w:ascii="Times New Roman" w:hAnsi="Times New Roman" w:eastAsia="仿宋_GB2312"/>
      <w:sz w:val="32"/>
    </w:rPr>
  </w:style>
  <w:style w:type="paragraph" w:customStyle="1" w:styleId="13">
    <w:name w:val="抬头"/>
    <w:basedOn w:val="1"/>
    <w:next w:val="3"/>
    <w:autoRedefine/>
    <w:qFormat/>
    <w:uiPriority w:val="0"/>
    <w:pPr>
      <w:spacing w:line="240" w:lineRule="auto"/>
      <w:outlineLvl w:val="9"/>
    </w:pPr>
    <w:rPr>
      <w:rFonts w:ascii="Times New Roman" w:hAnsi="Times New Roman" w:eastAsia="仿宋_GB2312"/>
      <w:sz w:val="32"/>
    </w:rPr>
  </w:style>
  <w:style w:type="paragraph" w:customStyle="1" w:styleId="14">
    <w:name w:val="公文标题"/>
    <w:basedOn w:val="2"/>
    <w:autoRedefine/>
    <w:qFormat/>
    <w:uiPriority w:val="0"/>
    <w:pPr>
      <w:spacing w:before="0" w:beforeLines="0" w:beforeAutospacing="0" w:after="0" w:afterLines="0" w:afterAutospacing="0" w:line="240" w:lineRule="auto"/>
      <w:jc w:val="center"/>
    </w:pPr>
    <w:rPr>
      <w:rFonts w:ascii="Times New Roman" w:hAnsi="Times New Roman" w:eastAsia="方正小标宋_GBK"/>
      <w:b w:val="0"/>
    </w:rPr>
  </w:style>
  <w:style w:type="paragraph" w:customStyle="1" w:styleId="15">
    <w:name w:val="正文 New"/>
    <w:autoRedefine/>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38468;&#20214;1&#65306;&#8220;&#31119;&#24030;&#32769;&#23383;&#21495;&#8221;&#35748;&#23450;&#21450;&#20445;&#25252;&#31649;&#29702;&#21150;&#2786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附件1：“福州老字号”认定及保护管理办法.dotx</Template>
  <Pages>9</Pages>
  <Words>4002</Words>
  <Characters>4027</Characters>
  <Lines>1</Lines>
  <Paragraphs>1</Paragraphs>
  <TotalTime>15</TotalTime>
  <ScaleCrop>false</ScaleCrop>
  <LinksUpToDate>false</LinksUpToDate>
  <CharactersWithSpaces>4084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2024-04-01T07:54:00Z</dcterms:created>
  <dc:creator>圣盔</dc:creator>
  <cp:lastModifiedBy>圣盔</cp:lastModifiedBy>
  <dcterms:modified xsi:type="dcterms:W3CDTF">2024-04-01T08:24:36Z</dcterms:modified>
  <dc:title>000000</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144A087FE5864682B8705C01CE6CE987_11</vt:lpwstr>
  </property>
</Properties>
</file>