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p>
    <w:p>
      <w:pPr>
        <w:jc w:val="center"/>
        <w:rPr>
          <w:rFonts w:hint="eastAsia" w:ascii="方正小标宋简体" w:hAnsi="方正小标宋简体" w:eastAsia="方正小标宋简体" w:cs="方正小标宋简体"/>
          <w:color w:val="auto"/>
          <w:sz w:val="36"/>
          <w:szCs w:val="36"/>
        </w:rPr>
      </w:pPr>
      <w:bookmarkStart w:id="0" w:name="_GoBack"/>
      <w:r>
        <w:rPr>
          <w:rFonts w:hint="eastAsia" w:ascii="方正小标宋简体" w:hAnsi="方正小标宋简体" w:eastAsia="方正小标宋简体" w:cs="方正小标宋简体"/>
          <w:color w:val="auto"/>
          <w:sz w:val="36"/>
          <w:szCs w:val="36"/>
          <w:lang w:eastAsia="zh-CN"/>
        </w:rPr>
        <w:t>申报“福州老字号”相关证明材料清单</w:t>
      </w:r>
    </w:p>
    <w:bookmarkEnd w:id="0"/>
    <w:tbl>
      <w:tblPr>
        <w:tblStyle w:val="8"/>
        <w:tblW w:w="9820"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940"/>
        <w:gridCol w:w="422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宋体" w:cs="Times New Roman"/>
                <w:b/>
                <w:bCs/>
                <w:color w:val="auto"/>
                <w:sz w:val="28"/>
                <w:szCs w:val="28"/>
                <w:vertAlign w:val="baseline"/>
                <w:lang w:val="en-US" w:eastAsia="zh-CN"/>
              </w:rPr>
            </w:pPr>
            <w:r>
              <w:rPr>
                <w:rFonts w:hint="eastAsia" w:ascii="Times New Roman" w:hAnsi="Times New Roman" w:eastAsia="宋体" w:cs="Times New Roman"/>
                <w:b/>
                <w:bCs/>
                <w:color w:val="auto"/>
                <w:sz w:val="28"/>
                <w:szCs w:val="28"/>
                <w:vertAlign w:val="baseline"/>
                <w:lang w:val="en-US" w:eastAsia="zh-CN"/>
              </w:rPr>
              <w:t>序号</w:t>
            </w:r>
          </w:p>
        </w:tc>
        <w:tc>
          <w:tcPr>
            <w:tcW w:w="1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宋体" w:cs="Times New Roman"/>
                <w:b/>
                <w:bCs/>
                <w:color w:val="auto"/>
                <w:sz w:val="28"/>
                <w:szCs w:val="28"/>
                <w:vertAlign w:val="baseline"/>
                <w:lang w:val="en-US" w:eastAsia="zh-CN"/>
              </w:rPr>
            </w:pPr>
            <w:r>
              <w:rPr>
                <w:rFonts w:hint="eastAsia" w:ascii="Times New Roman" w:hAnsi="Times New Roman" w:eastAsia="宋体" w:cs="Times New Roman"/>
                <w:b/>
                <w:bCs/>
                <w:color w:val="auto"/>
                <w:sz w:val="28"/>
                <w:szCs w:val="28"/>
                <w:vertAlign w:val="baseline"/>
                <w:lang w:val="en-US" w:eastAsia="zh-CN"/>
              </w:rPr>
              <w:t>认定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宋体" w:cs="Times New Roman"/>
                <w:b/>
                <w:bCs/>
                <w:color w:val="auto"/>
                <w:sz w:val="28"/>
                <w:szCs w:val="28"/>
                <w:vertAlign w:val="baseline"/>
                <w:lang w:val="en-US" w:eastAsia="zh-CN"/>
              </w:rPr>
            </w:pPr>
            <w:r>
              <w:rPr>
                <w:rFonts w:hint="eastAsia" w:ascii="Times New Roman" w:hAnsi="Times New Roman" w:eastAsia="宋体" w:cs="Times New Roman"/>
                <w:b/>
                <w:bCs/>
                <w:color w:val="auto"/>
                <w:sz w:val="28"/>
                <w:szCs w:val="28"/>
                <w:vertAlign w:val="baseline"/>
                <w:lang w:val="en-US" w:eastAsia="zh-CN"/>
              </w:rPr>
              <w:t>条件</w:t>
            </w:r>
          </w:p>
        </w:tc>
        <w:tc>
          <w:tcPr>
            <w:tcW w:w="42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宋体" w:cs="Times New Roman"/>
                <w:b/>
                <w:bCs/>
                <w:color w:val="auto"/>
                <w:sz w:val="28"/>
                <w:szCs w:val="28"/>
                <w:vertAlign w:val="baseline"/>
                <w:lang w:val="en-US" w:eastAsia="zh-CN"/>
              </w:rPr>
            </w:pPr>
            <w:r>
              <w:rPr>
                <w:rFonts w:hint="eastAsia" w:ascii="Times New Roman" w:hAnsi="Times New Roman" w:eastAsia="宋体" w:cs="Times New Roman"/>
                <w:b/>
                <w:bCs/>
                <w:color w:val="auto"/>
                <w:sz w:val="28"/>
                <w:szCs w:val="28"/>
                <w:vertAlign w:val="baseline"/>
                <w:lang w:val="en-US" w:eastAsia="zh-CN"/>
              </w:rPr>
              <w:t>证明材料</w:t>
            </w:r>
          </w:p>
        </w:tc>
        <w:tc>
          <w:tcPr>
            <w:tcW w:w="27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宋体" w:cs="Times New Roman"/>
                <w:b/>
                <w:bCs/>
                <w:color w:val="auto"/>
                <w:sz w:val="28"/>
                <w:szCs w:val="28"/>
                <w:vertAlign w:val="baseline"/>
                <w:lang w:val="en-US" w:eastAsia="zh-CN"/>
              </w:rPr>
            </w:pPr>
            <w:r>
              <w:rPr>
                <w:rFonts w:hint="eastAsia" w:ascii="Times New Roman" w:hAnsi="Times New Roman" w:eastAsia="宋体" w:cs="Times New Roman"/>
                <w:b/>
                <w:bCs/>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70" w:type="dxa"/>
            <w:noWrap w:val="0"/>
            <w:vAlign w:val="center"/>
          </w:tcPr>
          <w:p>
            <w:pPr>
              <w:jc w:val="center"/>
              <w:rPr>
                <w:rFonts w:hint="eastAsia" w:ascii="仿宋_GB2312" w:hAnsi="仿宋_GB2312" w:eastAsia="仿宋_GB2312" w:cs="仿宋_GB2312"/>
                <w:color w:val="auto"/>
                <w:spacing w:val="-6"/>
                <w:lang w:val="en-US" w:eastAsia="zh-CN"/>
              </w:rPr>
            </w:pPr>
            <w:r>
              <w:rPr>
                <w:rFonts w:hint="eastAsia" w:ascii="仿宋_GB2312" w:hAnsi="仿宋_GB2312" w:eastAsia="仿宋_GB2312" w:cs="仿宋_GB2312"/>
                <w:color w:val="auto"/>
                <w:spacing w:val="-6"/>
                <w:lang w:val="en-US" w:eastAsia="zh-CN"/>
              </w:rPr>
              <w:t>1</w:t>
            </w:r>
          </w:p>
        </w:tc>
        <w:tc>
          <w:tcPr>
            <w:tcW w:w="1940" w:type="dxa"/>
            <w:noWrap w:val="0"/>
            <w:vAlign w:val="center"/>
          </w:tcPr>
          <w:p>
            <w:pPr>
              <w:jc w:val="center"/>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在福州市或马祖地区登记设立</w:t>
            </w:r>
          </w:p>
        </w:tc>
        <w:tc>
          <w:tcPr>
            <w:tcW w:w="4220" w:type="dxa"/>
            <w:noWrap w:val="0"/>
            <w:vAlign w:val="center"/>
          </w:tcPr>
          <w:p>
            <w:pPr>
              <w:jc w:val="left"/>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企业营业执照（副本）、法定代表人身份证明、企业负责人身份证明、银行开户许可证、</w:t>
            </w:r>
            <w:r>
              <w:rPr>
                <w:rFonts w:hint="eastAsia" w:ascii="仿宋" w:hAnsi="仿宋" w:eastAsia="仿宋" w:cs="仿宋"/>
                <w:color w:val="auto"/>
                <w:sz w:val="21"/>
                <w:szCs w:val="21"/>
                <w:vertAlign w:val="baseline"/>
                <w:lang w:val="en-US" w:eastAsia="zh-CN"/>
              </w:rPr>
              <w:t>行业预审相关证件（如食品生产许可证、酒类生产许可证等）。</w:t>
            </w:r>
          </w:p>
        </w:tc>
        <w:tc>
          <w:tcPr>
            <w:tcW w:w="2790" w:type="dxa"/>
            <w:noWrap w:val="0"/>
            <w:vAlign w:val="center"/>
          </w:tcPr>
          <w:p>
            <w:pPr>
              <w:jc w:val="left"/>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马祖地区或在福州登记注册的台资企业可提供具有同等效力的有效证件和相关证明材料。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870" w:type="dxa"/>
            <w:vMerge w:val="restart"/>
            <w:noWrap w:val="0"/>
            <w:vAlign w:val="center"/>
          </w:tcPr>
          <w:p>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2</w:t>
            </w:r>
          </w:p>
        </w:tc>
        <w:tc>
          <w:tcPr>
            <w:tcW w:w="1940" w:type="dxa"/>
            <w:vMerge w:val="restart"/>
            <w:noWrap w:val="0"/>
            <w:vAlign w:val="center"/>
          </w:tcPr>
          <w:p>
            <w:pPr>
              <w:jc w:val="center"/>
              <w:rPr>
                <w:rFonts w:hint="eastAsia" w:ascii="仿宋_GB2312" w:hAnsi="Times New Roman" w:eastAsia="仿宋_GB2312" w:cs="Times New Roman"/>
                <w:color w:val="auto"/>
                <w:spacing w:val="-6"/>
                <w:lang w:val="en-US" w:eastAsia="zh-CN"/>
              </w:rPr>
            </w:pPr>
            <w:r>
              <w:rPr>
                <w:rFonts w:hint="default" w:ascii="仿宋_GB2312" w:hAnsi="Times New Roman" w:eastAsia="仿宋_GB2312" w:cs="Times New Roman"/>
                <w:color w:val="auto"/>
                <w:spacing w:val="-6"/>
                <w:lang w:val="en-US" w:eastAsia="zh-CN"/>
              </w:rPr>
              <w:t>字号传承已满</w:t>
            </w:r>
            <w:r>
              <w:rPr>
                <w:rFonts w:hint="eastAsia" w:ascii="仿宋_GB2312" w:hAnsi="Times New Roman" w:eastAsia="仿宋_GB2312" w:cs="Times New Roman"/>
                <w:color w:val="auto"/>
                <w:spacing w:val="-6"/>
                <w:lang w:val="en-US" w:eastAsia="zh-CN"/>
              </w:rPr>
              <w:t>3</w:t>
            </w:r>
            <w:r>
              <w:rPr>
                <w:rFonts w:hint="default" w:ascii="仿宋_GB2312" w:hAnsi="Times New Roman" w:eastAsia="仿宋_GB2312" w:cs="Times New Roman"/>
                <w:color w:val="auto"/>
                <w:spacing w:val="-6"/>
                <w:lang w:val="en-US" w:eastAsia="zh-CN"/>
              </w:rPr>
              <w:t>0年</w:t>
            </w: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历史记录资料，如地方志、县志等史料记录的摘录（提供本资料时，需由当地档案馆在内容记录页扫描件盖章），证明字号在福州创立或传承满30年。单一史料记录证明效力不足时，还需提供其他证明材料，确保形成完整的证据链。</w:t>
            </w:r>
          </w:p>
        </w:tc>
        <w:tc>
          <w:tcPr>
            <w:tcW w:w="2790" w:type="dxa"/>
            <w:vMerge w:val="restart"/>
            <w:noWrap w:val="0"/>
            <w:vAlign w:val="center"/>
          </w:tcPr>
          <w:p>
            <w:pPr>
              <w:jc w:val="both"/>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至少提供其中一项证明材料。马祖地区或在福州登记注册的台资企业可提供具有同等效力的有效证件和相关证明材料。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870" w:type="dxa"/>
            <w:vMerge w:val="continue"/>
            <w:noWrap w:val="0"/>
            <w:vAlign w:val="center"/>
          </w:tcPr>
          <w:p>
            <w:pPr>
              <w:jc w:val="center"/>
              <w:rPr>
                <w:rFonts w:hint="eastAsia" w:ascii="仿宋_GB2312" w:hAnsi="仿宋_GB2312" w:eastAsia="仿宋_GB2312" w:cs="仿宋_GB2312"/>
                <w:color w:val="auto"/>
                <w:vertAlign w:val="baseline"/>
                <w:lang w:val="en-US" w:eastAsia="zh-CN"/>
              </w:rPr>
            </w:pPr>
          </w:p>
        </w:tc>
        <w:tc>
          <w:tcPr>
            <w:tcW w:w="1940" w:type="dxa"/>
            <w:vMerge w:val="continue"/>
            <w:noWrap w:val="0"/>
            <w:vAlign w:val="center"/>
          </w:tcPr>
          <w:p>
            <w:pPr>
              <w:jc w:val="cente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历史实物资料，如包括时间信息的书籍记载、专家考证资料、字号牌匾、历史账目记录、合约、发票、名人或经营者题字、刊登过的广告等照片，证明字号在福州创立或传承满30年。</w:t>
            </w:r>
          </w:p>
        </w:tc>
        <w:tc>
          <w:tcPr>
            <w:tcW w:w="2790" w:type="dxa"/>
            <w:vMerge w:val="continue"/>
            <w:noWrap w:val="0"/>
            <w:vAlign w:val="center"/>
          </w:tcPr>
          <w:p>
            <w:pPr>
              <w:jc w:val="both"/>
              <w:rPr>
                <w:rFonts w:hint="eastAsia" w:ascii="仿宋_GB2312" w:hAnsi="Times New Roman" w:eastAsia="仿宋_GB2312" w:cs="Times New Roman"/>
                <w:color w:val="auto"/>
                <w:spacing w:val="-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70" w:type="dxa"/>
            <w:vMerge w:val="restart"/>
            <w:noWrap w:val="0"/>
            <w:vAlign w:val="center"/>
          </w:tcPr>
          <w:p>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3</w:t>
            </w:r>
          </w:p>
        </w:tc>
        <w:tc>
          <w:tcPr>
            <w:tcW w:w="1940" w:type="dxa"/>
            <w:vMerge w:val="restart"/>
            <w:noWrap w:val="0"/>
            <w:vAlign w:val="center"/>
          </w:tcPr>
          <w:p>
            <w:pPr>
              <w:jc w:val="center"/>
              <w:rPr>
                <w:rFonts w:hint="eastAsia" w:ascii="Times New Roman" w:hAnsi="Times New Roman" w:eastAsia="宋体" w:cs="Times New Roman"/>
                <w:color w:val="auto"/>
                <w:vertAlign w:val="baseline"/>
                <w:lang w:val="en-US" w:eastAsia="zh-CN"/>
              </w:rPr>
            </w:pPr>
            <w:r>
              <w:rPr>
                <w:rFonts w:hint="default" w:ascii="仿宋_GB2312" w:hAnsi="Times New Roman" w:eastAsia="仿宋_GB2312" w:cs="Times New Roman"/>
                <w:color w:val="auto"/>
                <w:spacing w:val="-6"/>
                <w:lang w:val="en-US" w:eastAsia="zh-CN"/>
              </w:rPr>
              <w:t>具有与字号相一致的注册商标所有权或</w:t>
            </w:r>
            <w:r>
              <w:rPr>
                <w:rFonts w:hint="eastAsia" w:ascii="仿宋_GB2312" w:hAnsi="Times New Roman" w:eastAsia="仿宋_GB2312" w:cs="Times New Roman"/>
                <w:color w:val="auto"/>
                <w:spacing w:val="-6"/>
                <w:lang w:val="en-US" w:eastAsia="zh-CN"/>
              </w:rPr>
              <w:t>独占</w:t>
            </w:r>
            <w:r>
              <w:rPr>
                <w:rFonts w:hint="default" w:ascii="仿宋_GB2312" w:hAnsi="Times New Roman" w:eastAsia="仿宋_GB2312" w:cs="Times New Roman"/>
                <w:color w:val="auto"/>
                <w:spacing w:val="-6"/>
                <w:lang w:val="en-US" w:eastAsia="zh-CN"/>
              </w:rPr>
              <w:t>使用权</w:t>
            </w: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提供企业品牌</w:t>
            </w:r>
            <w:r>
              <w:rPr>
                <w:rFonts w:hint="default" w:ascii="仿宋" w:hAnsi="仿宋" w:eastAsia="仿宋" w:cs="仿宋"/>
                <w:color w:val="auto"/>
                <w:spacing w:val="-6"/>
                <w:sz w:val="21"/>
                <w:szCs w:val="21"/>
                <w:lang w:val="en-US" w:eastAsia="zh-CN"/>
              </w:rPr>
              <w:t>字号相一致的注册商标</w:t>
            </w:r>
            <w:r>
              <w:rPr>
                <w:rFonts w:hint="eastAsia" w:ascii="仿宋" w:hAnsi="仿宋" w:eastAsia="仿宋" w:cs="仿宋"/>
                <w:color w:val="auto"/>
                <w:spacing w:val="-6"/>
                <w:sz w:val="21"/>
                <w:szCs w:val="21"/>
                <w:lang w:val="en-US" w:eastAsia="zh-CN"/>
              </w:rPr>
              <w:t>证明（注册人应与营业执照的企业名称一致）</w:t>
            </w:r>
          </w:p>
        </w:tc>
        <w:tc>
          <w:tcPr>
            <w:tcW w:w="2790" w:type="dxa"/>
            <w:noWrap w:val="0"/>
            <w:vAlign w:val="center"/>
          </w:tcPr>
          <w:p>
            <w:pPr>
              <w:jc w:val="both"/>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拥有商标所有权的申报企业提供，马祖地区企业可提供具有同等效力的相关材料。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870" w:type="dxa"/>
            <w:vMerge w:val="continue"/>
            <w:noWrap w:val="0"/>
            <w:vAlign w:val="center"/>
          </w:tcPr>
          <w:p>
            <w:pPr>
              <w:jc w:val="center"/>
              <w:rPr>
                <w:rFonts w:hint="eastAsia" w:ascii="仿宋_GB2312" w:hAnsi="仿宋_GB2312" w:eastAsia="仿宋_GB2312" w:cs="仿宋_GB2312"/>
                <w:color w:val="auto"/>
                <w:vertAlign w:val="baseline"/>
                <w:lang w:val="en-US" w:eastAsia="zh-CN"/>
              </w:rPr>
            </w:pPr>
          </w:p>
        </w:tc>
        <w:tc>
          <w:tcPr>
            <w:tcW w:w="1940" w:type="dxa"/>
            <w:vMerge w:val="continue"/>
            <w:noWrap w:val="0"/>
            <w:vAlign w:val="center"/>
          </w:tcPr>
          <w:p>
            <w:pPr>
              <w:jc w:val="cente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《商标使用许可合同》及《商标使用许可合同备案通知书》，商标使用许可（《商标使用许可合同》中应明确商标使用许可类型为独占使用，许可期限至商标有效期满）</w:t>
            </w:r>
          </w:p>
        </w:tc>
        <w:tc>
          <w:tcPr>
            <w:tcW w:w="2790" w:type="dxa"/>
            <w:noWrap w:val="0"/>
            <w:vAlign w:val="center"/>
          </w:tcPr>
          <w:p>
            <w:pPr>
              <w:jc w:val="both"/>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商标注册人为自然人，且自然人为申报企业法人的申报单位提供。马祖地区企业可提供具有同等效力的相关材料。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70" w:type="dxa"/>
            <w:noWrap w:val="0"/>
            <w:vAlign w:val="center"/>
          </w:tcPr>
          <w:p>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4</w:t>
            </w:r>
          </w:p>
        </w:tc>
        <w:tc>
          <w:tcPr>
            <w:tcW w:w="1940" w:type="dxa"/>
            <w:noWrap w:val="0"/>
            <w:vAlign w:val="center"/>
          </w:tcPr>
          <w:p>
            <w:pPr>
              <w:jc w:val="center"/>
              <w:rPr>
                <w:rFonts w:hint="eastAsia" w:ascii="Times New Roman" w:hAnsi="Times New Roman" w:eastAsia="宋体" w:cs="Times New Roman"/>
                <w:color w:val="auto"/>
                <w:vertAlign w:val="baseline"/>
                <w:lang w:val="en-US" w:eastAsia="zh-CN"/>
              </w:rPr>
            </w:pPr>
            <w:r>
              <w:rPr>
                <w:rFonts w:hint="default" w:ascii="仿宋_GB2312" w:hAnsi="Times New Roman" w:eastAsia="仿宋_GB2312" w:cs="Times New Roman"/>
                <w:color w:val="auto"/>
                <w:spacing w:val="-6"/>
                <w:lang w:val="en-US" w:eastAsia="zh-CN"/>
              </w:rPr>
              <w:t>具有传承独特的产品、技艺或者服务</w:t>
            </w: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介绍独特产品、技艺或服务的文字、影像资料，如独特传统技巧、传承谱系等，能体现创始人、传承人等的基本信息。</w:t>
            </w:r>
          </w:p>
        </w:tc>
        <w:tc>
          <w:tcPr>
            <w:tcW w:w="2790" w:type="dxa"/>
            <w:noWrap w:val="0"/>
            <w:vAlign w:val="center"/>
          </w:tcPr>
          <w:p>
            <w:pPr>
              <w:jc w:val="both"/>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提供相关文字材料，并视情况提供图片或其他影像资料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0" w:type="dxa"/>
            <w:vMerge w:val="restart"/>
            <w:noWrap w:val="0"/>
            <w:vAlign w:val="center"/>
          </w:tcPr>
          <w:p>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5</w:t>
            </w:r>
          </w:p>
        </w:tc>
        <w:tc>
          <w:tcPr>
            <w:tcW w:w="1940" w:type="dxa"/>
            <w:vMerge w:val="restart"/>
            <w:noWrap w:val="0"/>
            <w:vAlign w:val="center"/>
          </w:tcPr>
          <w:p>
            <w:pPr>
              <w:jc w:val="center"/>
              <w:rPr>
                <w:rFonts w:hint="eastAsia" w:ascii="Times New Roman" w:hAnsi="Times New Roman" w:eastAsia="宋体" w:cs="Times New Roman"/>
                <w:color w:val="auto"/>
                <w:vertAlign w:val="baseline"/>
                <w:lang w:val="en-US" w:eastAsia="zh-CN"/>
              </w:rPr>
            </w:pPr>
            <w:r>
              <w:rPr>
                <w:rFonts w:hint="default" w:ascii="仿宋_GB2312" w:hAnsi="Times New Roman" w:eastAsia="仿宋_GB2312" w:cs="Times New Roman"/>
                <w:color w:val="auto"/>
                <w:spacing w:val="-6"/>
                <w:lang w:val="en-US" w:eastAsia="zh-CN"/>
              </w:rPr>
              <w:t>具有传统文化背景、地域特色、历史积淀和文化底蕴</w:t>
            </w: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介绍历史传承至今的企业文化相关的文字、影像资料，如店训、堂规、经营理念等，能够体现优秀传统文化和鲜明地域特征。</w:t>
            </w:r>
          </w:p>
        </w:tc>
        <w:tc>
          <w:tcPr>
            <w:tcW w:w="2790" w:type="dxa"/>
            <w:noWrap w:val="0"/>
            <w:vAlign w:val="center"/>
          </w:tcPr>
          <w:p>
            <w:pPr>
              <w:jc w:val="both"/>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提供相关文字材料，并视情况提供图片或其他影像资料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870" w:type="dxa"/>
            <w:vMerge w:val="continue"/>
            <w:noWrap w:val="0"/>
            <w:vAlign w:val="top"/>
          </w:tcPr>
          <w:p>
            <w:pPr>
              <w:rPr>
                <w:rFonts w:hint="eastAsia" w:ascii="仿宋_GB2312" w:hAnsi="仿宋_GB2312" w:eastAsia="仿宋_GB2312" w:cs="仿宋_GB2312"/>
                <w:color w:val="auto"/>
                <w:vertAlign w:val="baseline"/>
                <w:lang w:val="en-US" w:eastAsia="zh-CN"/>
              </w:rPr>
            </w:pPr>
          </w:p>
        </w:tc>
        <w:tc>
          <w:tcPr>
            <w:tcW w:w="1940" w:type="dxa"/>
            <w:vMerge w:val="continue"/>
            <w:noWrap w:val="0"/>
            <w:vAlign w:val="center"/>
          </w:tcPr>
          <w:p>
            <w:pPr>
              <w:jc w:val="cente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专利、列入文物保护单位、非物质文化遗产、中药保护品种等相关证书或牌匾；</w:t>
            </w:r>
          </w:p>
        </w:tc>
        <w:tc>
          <w:tcPr>
            <w:tcW w:w="2790" w:type="dxa"/>
            <w:noWrap w:val="0"/>
            <w:vAlign w:val="center"/>
          </w:tcPr>
          <w:p>
            <w:pPr>
              <w:jc w:val="center"/>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70" w:type="dxa"/>
            <w:vMerge w:val="restart"/>
            <w:noWrap w:val="0"/>
            <w:vAlign w:val="center"/>
          </w:tcPr>
          <w:p>
            <w:pPr>
              <w:jc w:val="center"/>
              <w:rPr>
                <w:rFonts w:hint="eastAsia" w:ascii="仿宋_GB2312" w:hAnsi="仿宋_GB2312" w:eastAsia="仿宋_GB2312" w:cs="仿宋_GB2312"/>
                <w:color w:val="auto"/>
                <w:vertAlign w:val="baseline"/>
                <w:lang w:val="en-US" w:eastAsia="zh-CN"/>
              </w:rPr>
            </w:pPr>
          </w:p>
          <w:p>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6</w:t>
            </w:r>
          </w:p>
        </w:tc>
        <w:tc>
          <w:tcPr>
            <w:tcW w:w="1940" w:type="dxa"/>
            <w:vMerge w:val="restart"/>
            <w:noWrap w:val="0"/>
            <w:vAlign w:val="center"/>
          </w:tcPr>
          <w:p>
            <w:pPr>
              <w:numPr>
                <w:ilvl w:val="0"/>
                <w:numId w:val="0"/>
              </w:numPr>
              <w:jc w:val="both"/>
              <w:rPr>
                <w:rFonts w:hint="eastAsia" w:ascii="仿宋_GB2312" w:hAnsi="Times New Roman" w:eastAsia="仿宋_GB2312" w:cs="Times New Roman"/>
                <w:color w:val="auto"/>
                <w:spacing w:val="-6"/>
                <w:lang w:val="en-US" w:eastAsia="zh-CN"/>
              </w:rPr>
            </w:pPr>
            <w:r>
              <w:rPr>
                <w:rFonts w:hint="default" w:ascii="仿宋_GB2312" w:hAnsi="Times New Roman" w:eastAsia="仿宋_GB2312" w:cs="Times New Roman"/>
                <w:color w:val="auto"/>
                <w:spacing w:val="-6"/>
                <w:lang w:val="en-US" w:eastAsia="zh-CN"/>
              </w:rPr>
              <w:t>具有良好的商业信誉，得到社会广泛认同和赞誉</w:t>
            </w: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介绍企业公益行为及在促进社会和谐稳定等方面做出的突出贡献的文字材料</w:t>
            </w:r>
          </w:p>
        </w:tc>
        <w:tc>
          <w:tcPr>
            <w:tcW w:w="2790" w:type="dxa"/>
            <w:noWrap w:val="0"/>
            <w:vAlign w:val="center"/>
          </w:tcPr>
          <w:p>
            <w:pPr>
              <w:jc w:val="both"/>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提供相关文字材料，并视情况提供图片或其他影像资料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70" w:type="dxa"/>
            <w:vMerge w:val="continue"/>
            <w:noWrap w:val="0"/>
            <w:vAlign w:val="center"/>
          </w:tcPr>
          <w:p>
            <w:pPr>
              <w:jc w:val="center"/>
              <w:rPr>
                <w:rFonts w:hint="eastAsia" w:ascii="仿宋_GB2312" w:hAnsi="仿宋_GB2312" w:eastAsia="仿宋_GB2312" w:cs="仿宋_GB2312"/>
                <w:color w:val="auto"/>
                <w:vertAlign w:val="baseline"/>
                <w:lang w:val="en-US" w:eastAsia="zh-CN"/>
              </w:rPr>
            </w:pPr>
          </w:p>
        </w:tc>
        <w:tc>
          <w:tcPr>
            <w:tcW w:w="1940" w:type="dxa"/>
            <w:vMerge w:val="continue"/>
            <w:noWrap w:val="0"/>
            <w:vAlign w:val="center"/>
          </w:tcPr>
          <w:p>
            <w:pPr>
              <w:jc w:val="cente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体现企业诚信度、知名度、美誉度的媒体报道等相关证明材料</w:t>
            </w:r>
          </w:p>
        </w:tc>
        <w:tc>
          <w:tcPr>
            <w:tcW w:w="2790" w:type="dxa"/>
            <w:noWrap w:val="0"/>
            <w:vAlign w:val="center"/>
          </w:tcPr>
          <w:p>
            <w:pPr>
              <w:jc w:val="center"/>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70" w:type="dxa"/>
            <w:vMerge w:val="continue"/>
            <w:noWrap w:val="0"/>
            <w:vAlign w:val="center"/>
          </w:tcPr>
          <w:p>
            <w:pPr>
              <w:jc w:val="center"/>
              <w:rPr>
                <w:rFonts w:hint="eastAsia" w:ascii="仿宋_GB2312" w:hAnsi="仿宋_GB2312" w:eastAsia="仿宋_GB2312" w:cs="仿宋_GB2312"/>
                <w:color w:val="auto"/>
                <w:vertAlign w:val="baseline"/>
                <w:lang w:val="en-US" w:eastAsia="zh-CN"/>
              </w:rPr>
            </w:pPr>
          </w:p>
        </w:tc>
        <w:tc>
          <w:tcPr>
            <w:tcW w:w="1940" w:type="dxa"/>
            <w:vMerge w:val="continue"/>
            <w:noWrap w:val="0"/>
            <w:vAlign w:val="center"/>
          </w:tcPr>
          <w:p>
            <w:pPr>
              <w:jc w:val="cente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获得社会荣誉称号的证书、牌匾照片、公示材料等</w:t>
            </w:r>
          </w:p>
        </w:tc>
        <w:tc>
          <w:tcPr>
            <w:tcW w:w="2790" w:type="dxa"/>
            <w:noWrap w:val="0"/>
            <w:vAlign w:val="center"/>
          </w:tcPr>
          <w:p>
            <w:pPr>
              <w:jc w:val="center"/>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70" w:type="dxa"/>
            <w:vMerge w:val="restart"/>
            <w:noWrap w:val="0"/>
            <w:vAlign w:val="center"/>
          </w:tcPr>
          <w:p>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7</w:t>
            </w:r>
          </w:p>
        </w:tc>
        <w:tc>
          <w:tcPr>
            <w:tcW w:w="1940" w:type="dxa"/>
            <w:vMerge w:val="restart"/>
            <w:noWrap w:val="0"/>
            <w:vAlign w:val="center"/>
          </w:tcPr>
          <w:p>
            <w:pPr>
              <w:numPr>
                <w:ilvl w:val="0"/>
                <w:numId w:val="0"/>
              </w:numPr>
              <w:jc w:val="both"/>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国内（含港澳台地区）资本相对控股，经营状况良好且具有较强的可持续发展能力</w:t>
            </w: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企业股权结构情况说明</w:t>
            </w:r>
          </w:p>
        </w:tc>
        <w:tc>
          <w:tcPr>
            <w:tcW w:w="2790" w:type="dxa"/>
            <w:noWrap w:val="0"/>
            <w:vAlign w:val="center"/>
          </w:tcPr>
          <w:p>
            <w:pPr>
              <w:jc w:val="center"/>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提供相关文字材料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70" w:type="dxa"/>
            <w:vMerge w:val="continue"/>
            <w:noWrap w:val="0"/>
            <w:vAlign w:val="center"/>
          </w:tcPr>
          <w:p>
            <w:pPr>
              <w:jc w:val="center"/>
              <w:rPr>
                <w:rFonts w:hint="eastAsia" w:ascii="仿宋_GB2312" w:hAnsi="仿宋_GB2312" w:eastAsia="仿宋_GB2312" w:cs="仿宋_GB2312"/>
                <w:color w:val="auto"/>
                <w:vertAlign w:val="baseline"/>
                <w:lang w:val="en-US" w:eastAsia="zh-CN"/>
              </w:rPr>
            </w:pPr>
          </w:p>
        </w:tc>
        <w:tc>
          <w:tcPr>
            <w:tcW w:w="1940" w:type="dxa"/>
            <w:vMerge w:val="continue"/>
            <w:noWrap w:val="0"/>
            <w:vAlign w:val="center"/>
          </w:tcPr>
          <w:p>
            <w:pPr>
              <w:jc w:val="cente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pacing w:val="-6"/>
                <w:sz w:val="21"/>
                <w:szCs w:val="21"/>
                <w:lang w:val="en-US" w:eastAsia="zh-CN"/>
              </w:rPr>
            </w:pPr>
            <w:r>
              <w:rPr>
                <w:rFonts w:hint="eastAsia" w:ascii="仿宋" w:hAnsi="仿宋" w:eastAsia="仿宋" w:cs="仿宋"/>
                <w:color w:val="auto"/>
                <w:spacing w:val="-6"/>
                <w:sz w:val="21"/>
                <w:szCs w:val="21"/>
                <w:lang w:val="en-US" w:eastAsia="zh-CN"/>
              </w:rPr>
              <w:t>近三年依法缴纳税收的证明</w:t>
            </w:r>
          </w:p>
        </w:tc>
        <w:tc>
          <w:tcPr>
            <w:tcW w:w="2790" w:type="dxa"/>
            <w:noWrap w:val="0"/>
            <w:vAlign w:val="center"/>
          </w:tcPr>
          <w:p>
            <w:pPr>
              <w:jc w:val="left"/>
              <w:rPr>
                <w:rFonts w:hint="eastAsia" w:ascii="仿宋_GB2312" w:hAnsi="Times New Roman" w:eastAsia="仿宋_GB2312" w:cs="Times New Roman"/>
                <w:color w:val="auto"/>
                <w:spacing w:val="-6"/>
                <w:lang w:val="en-US" w:eastAsia="zh-CN"/>
              </w:rPr>
            </w:pPr>
            <w:r>
              <w:rPr>
                <w:rFonts w:hint="eastAsia" w:ascii="仿宋_GB2312" w:hAnsi="Times New Roman" w:eastAsia="仿宋_GB2312" w:cs="Times New Roman"/>
                <w:color w:val="auto"/>
                <w:spacing w:val="-6"/>
                <w:lang w:val="en-US" w:eastAsia="zh-CN"/>
              </w:rPr>
              <w:t>马祖地区企业可提供具有同等效力的相关证明材料。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870" w:type="dxa"/>
            <w:vMerge w:val="continue"/>
            <w:noWrap w:val="0"/>
            <w:vAlign w:val="top"/>
          </w:tcPr>
          <w:p>
            <w:pPr>
              <w:rPr>
                <w:rFonts w:hint="eastAsia" w:ascii="仿宋_GB2312" w:hAnsi="仿宋_GB2312" w:eastAsia="仿宋_GB2312" w:cs="仿宋_GB2312"/>
                <w:color w:val="auto"/>
                <w:vertAlign w:val="baseline"/>
                <w:lang w:val="en-US" w:eastAsia="zh-CN"/>
              </w:rPr>
            </w:pPr>
          </w:p>
        </w:tc>
        <w:tc>
          <w:tcPr>
            <w:tcW w:w="1940" w:type="dxa"/>
            <w:vMerge w:val="continue"/>
            <w:noWrap w:val="0"/>
            <w:vAlign w:val="top"/>
          </w:tcPr>
          <w:p>
            <w:pP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近三年的资产负债和损益表（账务非独立核算的，报送近三年上级公司账务报表及公司内部管理数据）</w:t>
            </w:r>
          </w:p>
        </w:tc>
        <w:tc>
          <w:tcPr>
            <w:tcW w:w="2790" w:type="dxa"/>
            <w:noWrap w:val="0"/>
            <w:vAlign w:val="center"/>
          </w:tcPr>
          <w:p>
            <w:pPr>
              <w:jc w:val="left"/>
              <w:rPr>
                <w:rFonts w:hint="eastAsia" w:ascii="Times New Roman" w:hAnsi="Times New Roman" w:eastAsia="宋体" w:cs="Times New Roman"/>
                <w:color w:val="auto"/>
                <w:vertAlign w:val="baseline"/>
                <w:lang w:val="en-US" w:eastAsia="zh-CN"/>
              </w:rPr>
            </w:pPr>
            <w:r>
              <w:rPr>
                <w:rFonts w:hint="eastAsia" w:ascii="仿宋_GB2312" w:hAnsi="Times New Roman" w:eastAsia="仿宋_GB2312" w:cs="Times New Roman"/>
                <w:color w:val="auto"/>
                <w:spacing w:val="-6"/>
                <w:lang w:val="en-US" w:eastAsia="zh-CN"/>
              </w:rPr>
              <w:t>马祖地区企业可提供具有同等效力的相关证明材料。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70" w:type="dxa"/>
            <w:vMerge w:val="continue"/>
            <w:noWrap w:val="0"/>
            <w:vAlign w:val="top"/>
          </w:tcPr>
          <w:p>
            <w:pPr>
              <w:rPr>
                <w:rFonts w:hint="eastAsia" w:ascii="仿宋_GB2312" w:hAnsi="仿宋_GB2312" w:eastAsia="仿宋_GB2312" w:cs="仿宋_GB2312"/>
                <w:color w:val="auto"/>
                <w:vertAlign w:val="baseline"/>
                <w:lang w:val="en-US" w:eastAsia="zh-CN"/>
              </w:rPr>
            </w:pPr>
          </w:p>
        </w:tc>
        <w:tc>
          <w:tcPr>
            <w:tcW w:w="1940" w:type="dxa"/>
            <w:vMerge w:val="continue"/>
            <w:noWrap w:val="0"/>
            <w:vAlign w:val="top"/>
          </w:tcPr>
          <w:p>
            <w:pP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上一年度经第三方审计的账务报告</w:t>
            </w:r>
          </w:p>
        </w:tc>
        <w:tc>
          <w:tcPr>
            <w:tcW w:w="2790" w:type="dxa"/>
            <w:noWrap w:val="0"/>
            <w:vAlign w:val="center"/>
          </w:tcPr>
          <w:p>
            <w:pPr>
              <w:jc w:val="left"/>
              <w:rPr>
                <w:rFonts w:hint="eastAsia" w:ascii="Times New Roman" w:hAnsi="Times New Roman" w:eastAsia="宋体" w:cs="Times New Roman"/>
                <w:color w:val="auto"/>
                <w:vertAlign w:val="baseline"/>
                <w:lang w:val="en-US" w:eastAsia="zh-CN"/>
              </w:rPr>
            </w:pPr>
            <w:r>
              <w:rPr>
                <w:rFonts w:hint="eastAsia" w:ascii="仿宋_GB2312" w:hAnsi="Times New Roman" w:eastAsia="仿宋_GB2312" w:cs="Times New Roman"/>
                <w:color w:val="auto"/>
                <w:spacing w:val="-6"/>
                <w:lang w:val="en-US" w:eastAsia="zh-CN"/>
              </w:rPr>
              <w:t>马祖地区企业可提供具有同等效力的相关证明材料。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870" w:type="dxa"/>
            <w:vMerge w:val="restart"/>
            <w:noWrap w:val="0"/>
            <w:vAlign w:val="center"/>
          </w:tcPr>
          <w:p>
            <w:pPr>
              <w:jc w:val="center"/>
              <w:rPr>
                <w:rFonts w:hint="eastAsia" w:ascii="仿宋_GB2312" w:hAnsi="仿宋_GB2312" w:eastAsia="仿宋_GB2312" w:cs="仿宋_GB2312"/>
                <w:color w:val="auto"/>
                <w:vertAlign w:val="baseline"/>
                <w:lang w:val="en-US" w:eastAsia="zh-CN"/>
              </w:rPr>
            </w:pPr>
            <w:r>
              <w:rPr>
                <w:rFonts w:hint="eastAsia" w:ascii="仿宋_GB2312" w:hAnsi="仿宋_GB2312" w:eastAsia="仿宋_GB2312" w:cs="仿宋_GB2312"/>
                <w:color w:val="auto"/>
                <w:vertAlign w:val="baseline"/>
                <w:lang w:val="en-US" w:eastAsia="zh-CN"/>
              </w:rPr>
              <w:t>8</w:t>
            </w:r>
          </w:p>
        </w:tc>
        <w:tc>
          <w:tcPr>
            <w:tcW w:w="1940" w:type="dxa"/>
            <w:vMerge w:val="restart"/>
            <w:noWrap w:val="0"/>
            <w:vAlign w:val="center"/>
          </w:tcPr>
          <w:p>
            <w:pPr>
              <w:jc w:val="center"/>
              <w:rPr>
                <w:rFonts w:hint="eastAsia" w:ascii="Times New Roman" w:hAnsi="Times New Roman" w:eastAsia="宋体" w:cs="Times New Roman"/>
                <w:color w:val="auto"/>
                <w:vertAlign w:val="baseline"/>
                <w:lang w:val="en-US" w:eastAsia="zh-CN"/>
              </w:rPr>
            </w:pPr>
            <w:r>
              <w:rPr>
                <w:rFonts w:hint="eastAsia" w:ascii="仿宋_GB2312" w:hAnsi="Times New Roman" w:eastAsia="仿宋_GB2312" w:cs="Times New Roman"/>
                <w:color w:val="auto"/>
                <w:spacing w:val="-6"/>
                <w:lang w:val="en-US" w:eastAsia="zh-CN"/>
              </w:rPr>
              <w:t>无不良信用记录，三年内未发生较大以上生产安全事故</w:t>
            </w:r>
          </w:p>
        </w:tc>
        <w:tc>
          <w:tcPr>
            <w:tcW w:w="4220" w:type="dxa"/>
            <w:noWrap w:val="0"/>
            <w:vAlign w:val="center"/>
          </w:tcPr>
          <w:p>
            <w:pPr>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pacing w:val="-6"/>
                <w:sz w:val="21"/>
                <w:szCs w:val="21"/>
                <w:lang w:val="en-US" w:eastAsia="zh-CN"/>
              </w:rPr>
              <w:t>企业近三年无重大违法记录声明</w:t>
            </w:r>
          </w:p>
        </w:tc>
        <w:tc>
          <w:tcPr>
            <w:tcW w:w="2790" w:type="dxa"/>
            <w:noWrap w:val="0"/>
            <w:vAlign w:val="center"/>
          </w:tcPr>
          <w:p>
            <w:pPr>
              <w:jc w:val="center"/>
              <w:rPr>
                <w:rFonts w:hint="eastAsia" w:ascii="Times New Roman" w:hAnsi="Times New Roman" w:eastAsia="宋体" w:cs="Times New Roman"/>
                <w:color w:val="auto"/>
                <w:vertAlign w:val="baseline"/>
                <w:lang w:val="en-US" w:eastAsia="zh-CN"/>
              </w:rPr>
            </w:pPr>
            <w:r>
              <w:rPr>
                <w:rFonts w:hint="eastAsia" w:ascii="Times New Roman" w:hAnsi="Times New Roman" w:eastAsia="宋体" w:cs="Times New Roman"/>
                <w:color w:va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70" w:type="dxa"/>
            <w:vMerge w:val="continue"/>
            <w:noWrap w:val="0"/>
            <w:vAlign w:val="top"/>
          </w:tcPr>
          <w:p>
            <w:pPr>
              <w:rPr>
                <w:rFonts w:hint="eastAsia" w:ascii="Times New Roman" w:hAnsi="Times New Roman" w:eastAsia="宋体" w:cs="Times New Roman"/>
                <w:color w:val="auto"/>
                <w:vertAlign w:val="baseline"/>
                <w:lang w:val="en-US" w:eastAsia="zh-CN"/>
              </w:rPr>
            </w:pPr>
          </w:p>
        </w:tc>
        <w:tc>
          <w:tcPr>
            <w:tcW w:w="1940" w:type="dxa"/>
            <w:vMerge w:val="continue"/>
            <w:noWrap w:val="0"/>
            <w:vAlign w:val="top"/>
          </w:tcPr>
          <w:p>
            <w:pP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pacing w:val="-6"/>
                <w:sz w:val="21"/>
                <w:szCs w:val="21"/>
                <w:lang w:val="en-US" w:eastAsia="zh-CN"/>
              </w:rPr>
              <w:t>截止到申报材料上报关企业信用信息查询记录【查询方式：通过“信用中国”（www.creditsd.gov.cn）查询下载企业信用记录】</w:t>
            </w:r>
          </w:p>
        </w:tc>
        <w:tc>
          <w:tcPr>
            <w:tcW w:w="2790" w:type="dxa"/>
            <w:noWrap w:val="0"/>
            <w:vAlign w:val="center"/>
          </w:tcPr>
          <w:p>
            <w:pPr>
              <w:jc w:val="center"/>
              <w:rPr>
                <w:rFonts w:hint="eastAsia" w:ascii="Times New Roman" w:hAnsi="Times New Roman" w:eastAsia="宋体" w:cs="Times New Roman"/>
                <w:color w:val="auto"/>
                <w:vertAlign w:val="baseline"/>
                <w:lang w:val="en-US" w:eastAsia="zh-CN"/>
              </w:rPr>
            </w:pPr>
            <w:r>
              <w:rPr>
                <w:rFonts w:hint="eastAsia" w:ascii="仿宋_GB2312" w:hAnsi="Times New Roman" w:eastAsia="仿宋_GB2312" w:cs="Times New Roman"/>
                <w:color w:val="auto"/>
                <w:spacing w:val="-6"/>
                <w:lang w:val="en-US" w:eastAsia="zh-CN"/>
              </w:rPr>
              <w:t>马祖地区企业暂不提供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70" w:type="dxa"/>
            <w:vMerge w:val="continue"/>
            <w:noWrap w:val="0"/>
            <w:vAlign w:val="top"/>
          </w:tcPr>
          <w:p>
            <w:pPr>
              <w:rPr>
                <w:rFonts w:hint="eastAsia" w:ascii="Times New Roman" w:hAnsi="Times New Roman" w:eastAsia="宋体" w:cs="Times New Roman"/>
                <w:color w:val="auto"/>
                <w:vertAlign w:val="baseline"/>
                <w:lang w:val="en-US" w:eastAsia="zh-CN"/>
              </w:rPr>
            </w:pPr>
          </w:p>
        </w:tc>
        <w:tc>
          <w:tcPr>
            <w:tcW w:w="1940" w:type="dxa"/>
            <w:vMerge w:val="continue"/>
            <w:noWrap w:val="0"/>
            <w:vAlign w:val="top"/>
          </w:tcPr>
          <w:p>
            <w:pP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公安机关出具的无</w:t>
            </w:r>
            <w:r>
              <w:rPr>
                <w:rFonts w:hint="eastAsia" w:ascii="仿宋_GB2312" w:hAnsi="Times New Roman" w:eastAsia="仿宋_GB2312" w:cs="Times New Roman"/>
                <w:color w:val="auto"/>
                <w:spacing w:val="-6"/>
                <w:lang w:val="en-US" w:eastAsia="zh-CN"/>
              </w:rPr>
              <w:t>涉黑涉恶证明</w:t>
            </w:r>
          </w:p>
        </w:tc>
        <w:tc>
          <w:tcPr>
            <w:tcW w:w="2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由县（市）区商务主管部门汇总申报企业名单，统一商请当地公安机关查询。</w:t>
            </w:r>
            <w:r>
              <w:rPr>
                <w:rFonts w:hint="eastAsia" w:ascii="仿宋_GB2312" w:hAnsi="Times New Roman" w:eastAsia="仿宋_GB2312" w:cs="Times New Roman"/>
                <w:color w:val="auto"/>
                <w:spacing w:val="-6"/>
                <w:lang w:val="en-US" w:eastAsia="zh-CN"/>
              </w:rPr>
              <w:t>马祖地区企业暂不提供。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70" w:type="dxa"/>
            <w:vMerge w:val="continue"/>
            <w:noWrap w:val="0"/>
            <w:vAlign w:val="top"/>
          </w:tcPr>
          <w:p>
            <w:pPr>
              <w:rPr>
                <w:rFonts w:hint="eastAsia" w:ascii="Times New Roman" w:hAnsi="Times New Roman" w:eastAsia="宋体" w:cs="Times New Roman"/>
                <w:color w:val="auto"/>
                <w:vertAlign w:val="baseline"/>
                <w:lang w:val="en-US" w:eastAsia="zh-CN"/>
              </w:rPr>
            </w:pPr>
          </w:p>
        </w:tc>
        <w:tc>
          <w:tcPr>
            <w:tcW w:w="1940" w:type="dxa"/>
            <w:vMerge w:val="continue"/>
            <w:noWrap w:val="0"/>
            <w:vAlign w:val="top"/>
          </w:tcPr>
          <w:p>
            <w:pPr>
              <w:rPr>
                <w:rFonts w:hint="eastAsia" w:ascii="Times New Roman" w:hAnsi="Times New Roman" w:eastAsia="宋体" w:cs="Times New Roman"/>
                <w:color w:val="auto"/>
                <w:vertAlign w:val="baseline"/>
                <w:lang w:val="en-US" w:eastAsia="zh-CN"/>
              </w:rPr>
            </w:pPr>
          </w:p>
        </w:tc>
        <w:tc>
          <w:tcPr>
            <w:tcW w:w="4220" w:type="dxa"/>
            <w:noWrap w:val="0"/>
            <w:vAlign w:val="center"/>
          </w:tcPr>
          <w:p>
            <w:pPr>
              <w:jc w:val="both"/>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应急管理部门出具的三年内未发生较大以上生产安全事故证明</w:t>
            </w:r>
          </w:p>
        </w:tc>
        <w:tc>
          <w:tcPr>
            <w:tcW w:w="27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由县（市）区商务主管部门汇总申报企业名单，统一商请应急管理部门查询。马祖地区企业暂不提供。</w:t>
            </w:r>
          </w:p>
        </w:tc>
      </w:tr>
    </w:tbl>
    <w:p>
      <w:pPr>
        <w:ind w:firstLine="0" w:firstLineChars="0"/>
        <w:jc w:val="left"/>
        <w:rPr>
          <w:rFonts w:hint="eastAsia" w:ascii="仿宋_GB2312" w:hAnsi="仿宋_GB2312" w:eastAsia="仿宋_GB2312" w:cs="仿宋_GB2312"/>
          <w:kern w:val="2"/>
          <w:sz w:val="32"/>
          <w:szCs w:val="32"/>
          <w:lang w:val="en-US" w:eastAsia="zh-CN"/>
        </w:rPr>
      </w:pPr>
    </w:p>
    <w:sectPr>
      <w:footerReference r:id="rId3" w:type="default"/>
      <w:footerReference r:id="rId4" w:type="even"/>
      <w:pgSz w:w="11906" w:h="16838"/>
      <w:pgMar w:top="2041" w:right="1474" w:bottom="2041" w:left="1587" w:header="851" w:footer="1587" w:gutter="0"/>
      <w:pgBorders>
        <w:top w:val="none" w:sz="0" w:space="0"/>
        <w:left w:val="none" w:sz="0" w:space="0"/>
        <w:bottom w:val="none" w:sz="0" w:space="0"/>
        <w:right w:val="none" w:sz="0" w:space="0"/>
      </w:pgBorders>
      <w:pgNumType w:fmt="decimal" w:start="1"/>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1 </w:t>
                          </w:r>
                          <w:r>
                            <w:rPr>
                              <w:rFonts w:hint="eastAsia" w:ascii="宋体" w:hAnsi="宋体" w:eastAsia="宋体" w:cs="宋体"/>
                              <w:sz w:val="28"/>
                              <w:szCs w:val="28"/>
                              <w:lang w:eastAsia="zh-CN"/>
                            </w:rPr>
                            <w:t>—</w:t>
                          </w:r>
                        </w:p>
                      </w:txbxContent>
                    </wps:txbx>
                    <wps:bodyPr vert="horz"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DmA39EBAACk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10;ndTpPVaUdOcpLQ5vYaCdmf1IzkR6aINNf6LDKE7ani7aqiEymS6tlqtVSSFJsflA+MX9dR8wvlNg&#10;WTJqHmh4WVNx/IBxTJ1TUjUHt9qYPEDj/nEQZvIUqfexx2TFYTdMhHbQnIgPvQKq00H4xllPO1Bz&#10;RyvPmXnvSOK0LrMRZmM3Gwcf9L7L+5Rqo785RGoo95mqjSWmJmh4mem0aGk7Hp5z1v3j2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LQ5gN/RAQAApA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1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2 </w:t>
                          </w:r>
                          <w:r>
                            <w:rPr>
                              <w:rFonts w:hint="eastAsia" w:ascii="宋体" w:hAnsi="宋体" w:eastAsia="宋体" w:cs="宋体"/>
                              <w:sz w:val="28"/>
                              <w:szCs w:val="28"/>
                              <w:lang w:eastAsia="zh-CN"/>
                            </w:rPr>
                            <w:t>—</w:t>
                          </w:r>
                        </w:p>
                      </w:txbxContent>
                    </wps:txbx>
                    <wps:bodyPr vert="horz" wrap="none" lIns="0" tIns="0" rIns="0" bIns="0" upright="0">
                      <a:spAutoFit/>
                    </wps:bodyPr>
                  </wps:wsp>
                </a:graphicData>
              </a:graphic>
            </wp:anchor>
          </w:drawing>
        </mc:Choice>
        <mc:Fallback>
          <w:pict>
            <v:shape id="文本框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fwV0HRAQAApA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2 </w:t>
                    </w:r>
                    <w:r>
                      <w:rPr>
                        <w:rFonts w:hint="eastAsia" w:ascii="宋体" w:hAnsi="宋体" w:eastAsia="宋体" w:cs="宋体"/>
                        <w:sz w:val="28"/>
                        <w:szCs w:val="28"/>
                        <w:lang w:eastAsia="zh-CN"/>
                      </w:rPr>
                      <w:t>—</w:t>
                    </w:r>
                  </w:p>
                </w:txbxContent>
              </v:textbox>
            </v:shape>
          </w:pict>
        </mc:Fallback>
      </mc:AlternateContent>
    </w:r>
    <w:r>
      <w:rPr>
        <w:rFonts w:hint="eastAsia" w:ascii="宋体" w:hAnsi="宋体" w:cs="宋体"/>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GFjZTVmNWYxY2Y2NzEwYmZkOWUxZTgxZmE1ZDYifQ=="/>
  </w:docVars>
  <w:rsids>
    <w:rsidRoot w:val="040C2805"/>
    <w:rsid w:val="040C2805"/>
    <w:rsid w:val="079B1D7A"/>
    <w:rsid w:val="0A3678CE"/>
    <w:rsid w:val="0C8A677F"/>
    <w:rsid w:val="0FB2114F"/>
    <w:rsid w:val="14A474B0"/>
    <w:rsid w:val="1D351663"/>
    <w:rsid w:val="1EF7066D"/>
    <w:rsid w:val="23E1787A"/>
    <w:rsid w:val="2F095FC1"/>
    <w:rsid w:val="31C11355"/>
    <w:rsid w:val="36CD2176"/>
    <w:rsid w:val="375E1AA1"/>
    <w:rsid w:val="3AD760BD"/>
    <w:rsid w:val="47D97D49"/>
    <w:rsid w:val="49782543"/>
    <w:rsid w:val="4B933ECE"/>
    <w:rsid w:val="4DFB7F57"/>
    <w:rsid w:val="4FCE24CD"/>
    <w:rsid w:val="502E696E"/>
    <w:rsid w:val="53232554"/>
    <w:rsid w:val="53F65A75"/>
    <w:rsid w:val="548B2BF6"/>
    <w:rsid w:val="58A873D9"/>
    <w:rsid w:val="6303255C"/>
    <w:rsid w:val="641B4661"/>
    <w:rsid w:val="6664334A"/>
    <w:rsid w:val="6B31548E"/>
    <w:rsid w:val="6E571544"/>
    <w:rsid w:val="6F4F27B2"/>
    <w:rsid w:val="6FBE3493"/>
    <w:rsid w:val="71DF1960"/>
    <w:rsid w:val="75900C7B"/>
    <w:rsid w:val="7BFFB7B1"/>
    <w:rsid w:val="7C6C17EC"/>
    <w:rsid w:val="7E7EF0F6"/>
    <w:rsid w:val="7F7D3390"/>
    <w:rsid w:val="7FCAFE0A"/>
    <w:rsid w:val="8FFC2FA1"/>
    <w:rsid w:val="E7DD72A3"/>
    <w:rsid w:val="EDFF59B5"/>
    <w:rsid w:val="F3F738CC"/>
    <w:rsid w:val="F7FBE8EB"/>
    <w:rsid w:val="FDFB17C6"/>
    <w:rsid w:val="FEEFA3CA"/>
    <w:rsid w:val="FF9FFA0E"/>
    <w:rsid w:val="FFFD1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autoRedefine/>
    <w:qFormat/>
    <w:uiPriority w:val="0"/>
    <w:pPr>
      <w:spacing w:after="120" w:afterLines="0" w:afterAutospacing="0" w:line="480" w:lineRule="auto"/>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autoRedefine/>
    <w:qFormat/>
    <w:uiPriority w:val="0"/>
    <w:pPr>
      <w:widowControl w:val="0"/>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styleId="8">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样式 公文正文 + 首行缩进:  2 字符"/>
    <w:basedOn w:val="1"/>
    <w:autoRedefine/>
    <w:qFormat/>
    <w:uiPriority w:val="0"/>
    <w:pPr>
      <w:ind w:firstLine="640" w:firstLineChars="200"/>
    </w:pPr>
    <w:rPr>
      <w:rFonts w:ascii="宋体" w:hAnsi="宋体" w:eastAsia="仿宋_GB2312"/>
      <w:kern w:val="0"/>
      <w:sz w:val="32"/>
    </w:rPr>
  </w:style>
  <w:style w:type="paragraph" w:customStyle="1" w:styleId="12">
    <w:name w:val="公文正文首行缩进2"/>
    <w:basedOn w:val="1"/>
    <w:autoRedefine/>
    <w:qFormat/>
    <w:uiPriority w:val="0"/>
    <w:rPr>
      <w:rFonts w:ascii="Times New Roman" w:hAnsi="Times New Roman" w:eastAsia="仿宋_GB2312"/>
      <w:sz w:val="32"/>
    </w:rPr>
  </w:style>
  <w:style w:type="paragraph" w:customStyle="1" w:styleId="13">
    <w:name w:val="抬头"/>
    <w:basedOn w:val="1"/>
    <w:next w:val="3"/>
    <w:autoRedefine/>
    <w:qFormat/>
    <w:uiPriority w:val="0"/>
    <w:pPr>
      <w:spacing w:line="240" w:lineRule="auto"/>
      <w:outlineLvl w:val="9"/>
    </w:pPr>
    <w:rPr>
      <w:rFonts w:ascii="Times New Roman" w:hAnsi="Times New Roman" w:eastAsia="仿宋_GB2312"/>
      <w:sz w:val="32"/>
    </w:rPr>
  </w:style>
  <w:style w:type="paragraph" w:customStyle="1" w:styleId="14">
    <w:name w:val="公文标题"/>
    <w:basedOn w:val="2"/>
    <w:autoRedefine/>
    <w:qFormat/>
    <w:uiPriority w:val="0"/>
    <w:pPr>
      <w:spacing w:before="0" w:beforeLines="0" w:beforeAutospacing="0" w:after="0" w:afterLines="0" w:afterAutospacing="0" w:line="240" w:lineRule="auto"/>
      <w:jc w:val="center"/>
    </w:pPr>
    <w:rPr>
      <w:rFonts w:ascii="Times New Roman" w:hAnsi="Times New Roman" w:eastAsia="方正小标宋_GBK"/>
      <w:b w:val="0"/>
    </w:rPr>
  </w:style>
  <w:style w:type="paragraph" w:customStyle="1" w:styleId="15">
    <w:name w:val="正文 New"/>
    <w:autoRedefine/>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38468;&#20214;1&#65306;&#8220;&#31119;&#24030;&#32769;&#23383;&#21495;&#8221;&#35748;&#23450;&#21450;&#20445;&#25252;&#31649;&#29702;&#21150;&#2786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附件1：“福州老字号”认定及保护管理办法.dotx</Template>
  <Pages>18</Pages>
  <Words>6898</Words>
  <Characters>6976</Characters>
  <Lines>1</Lines>
  <Paragraphs>1</Paragraphs>
  <TotalTime>5</TotalTime>
  <ScaleCrop>false</ScaleCrop>
  <LinksUpToDate>false</LinksUpToDate>
  <CharactersWithSpaces>7978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2024-04-01T07:54:00Z</dcterms:created>
  <dc:creator>圣盔</dc:creator>
  <cp:lastModifiedBy>圣盔</cp:lastModifiedBy>
  <dcterms:modified xsi:type="dcterms:W3CDTF">2024-04-01T08:24:55Z</dcterms:modified>
  <dc:title>000000</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0D30A402AA124D59ACB602ABB3A1578C_13</vt:lpwstr>
  </property>
</Properties>
</file>