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ind w:firstLine="0"/>
        <w:jc w:val="center"/>
        <w:rPr>
          <w:rFonts w:hint="default" w:ascii="Times New Roman" w:hAnsi="Times New Roman" w:eastAsia="宋体" w:cs="Times New Roman"/>
          <w:sz w:val="30"/>
          <w:szCs w:val="30"/>
        </w:rPr>
      </w:pPr>
      <w:r>
        <w:drawing>
          <wp:inline distT="0" distB="0" distL="114300" distR="114300">
            <wp:extent cx="5268595" cy="7536180"/>
            <wp:effectExtent l="0" t="0" r="8255" b="7620"/>
            <wp:docPr id="83" name="图片 308" descr="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08" descr="封面"/>
                    <pic:cNvPicPr>
                      <a:picLocks noChangeAspect="1"/>
                    </pic:cNvPicPr>
                  </pic:nvPicPr>
                  <pic:blipFill>
                    <a:blip r:embed="rId32"/>
                    <a:stretch>
                      <a:fillRect/>
                    </a:stretch>
                  </pic:blipFill>
                  <pic:spPr>
                    <a:xfrm>
                      <a:off x="0" y="0"/>
                      <a:ext cx="5268595" cy="7536180"/>
                    </a:xfrm>
                    <a:prstGeom prst="rect">
                      <a:avLst/>
                    </a:prstGeom>
                    <a:noFill/>
                    <a:ln>
                      <a:noFill/>
                    </a:ln>
                  </pic:spPr>
                </pic:pic>
              </a:graphicData>
            </a:graphic>
          </wp:inline>
        </w:drawing>
      </w:r>
    </w:p>
    <w:p>
      <w:pPr>
        <w:pStyle w:val="874"/>
        <w:rPr>
          <w:rFonts w:hint="eastAsia"/>
          <w:lang w:eastAsia="zh-CN"/>
        </w:rPr>
        <w:sectPr>
          <w:footerReference r:id="rId3" w:type="default"/>
          <w:pgSz w:w="11907" w:h="16840"/>
          <w:pgMar w:top="1440" w:right="1797" w:bottom="1440" w:left="1797" w:header="851" w:footer="992" w:gutter="0"/>
          <w:pgNumType w:fmt="decimal"/>
          <w:cols w:space="720" w:num="1"/>
          <w:docGrid w:linePitch="389" w:charSpace="0"/>
        </w:sectPr>
      </w:pPr>
      <w:r>
        <w:drawing>
          <wp:inline distT="0" distB="0" distL="114300" distR="114300">
            <wp:extent cx="5271770" cy="7522210"/>
            <wp:effectExtent l="0" t="0" r="5080" b="2540"/>
            <wp:docPr id="84" name="图片 309" descr="盖章资质页2021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09" descr="盖章资质页20211224"/>
                    <pic:cNvPicPr>
                      <a:picLocks noChangeAspect="1"/>
                    </pic:cNvPicPr>
                  </pic:nvPicPr>
                  <pic:blipFill>
                    <a:blip r:embed="rId33"/>
                    <a:stretch>
                      <a:fillRect/>
                    </a:stretch>
                  </pic:blipFill>
                  <pic:spPr>
                    <a:xfrm>
                      <a:off x="0" y="0"/>
                      <a:ext cx="5271770" cy="7522210"/>
                    </a:xfrm>
                    <a:prstGeom prst="rect">
                      <a:avLst/>
                    </a:prstGeom>
                    <a:noFill/>
                    <a:ln>
                      <a:noFill/>
                    </a:ln>
                  </pic:spPr>
                </pic:pic>
              </a:graphicData>
            </a:graphic>
          </wp:inline>
        </w:drawing>
      </w:r>
    </w:p>
    <w:p>
      <w:pPr>
        <w:pStyle w:val="482"/>
        <w:rPr>
          <w:rFonts w:hint="default"/>
        </w:rPr>
        <w:sectPr>
          <w:pgSz w:w="16840" w:h="11907" w:orient="landscape"/>
          <w:pgMar w:top="1797" w:right="1440" w:bottom="1797" w:left="1440" w:header="851" w:footer="992" w:gutter="0"/>
          <w:pgNumType w:fmt="decimal"/>
          <w:cols w:space="720" w:num="1"/>
          <w:docGrid w:linePitch="389" w:charSpace="0"/>
        </w:sectPr>
      </w:pPr>
      <w:r>
        <w:drawing>
          <wp:inline distT="0" distB="0" distL="114300" distR="114300">
            <wp:extent cx="8855075" cy="6186170"/>
            <wp:effectExtent l="0" t="0" r="3175" b="5080"/>
            <wp:docPr id="85" name="图片 310" descr="谢芳工程师证-公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10" descr="谢芳工程师证-公章"/>
                    <pic:cNvPicPr>
                      <a:picLocks noChangeAspect="1"/>
                    </pic:cNvPicPr>
                  </pic:nvPicPr>
                  <pic:blipFill>
                    <a:blip r:embed="rId34"/>
                    <a:stretch>
                      <a:fillRect/>
                    </a:stretch>
                  </pic:blipFill>
                  <pic:spPr>
                    <a:xfrm>
                      <a:off x="0" y="0"/>
                      <a:ext cx="8855075" cy="6186170"/>
                    </a:xfrm>
                    <a:prstGeom prst="rect">
                      <a:avLst/>
                    </a:prstGeom>
                    <a:noFill/>
                    <a:ln>
                      <a:noFill/>
                    </a:ln>
                  </pic:spPr>
                </pic:pic>
              </a:graphicData>
            </a:graphic>
          </wp:inline>
        </w:drawing>
      </w:r>
    </w:p>
    <w:p>
      <w:pPr>
        <w:pStyle w:val="482"/>
        <w:keepNext w:val="0"/>
        <w:keepLines w:val="0"/>
        <w:pageBreakBefore w:val="0"/>
        <w:widowControl/>
        <w:kinsoku/>
        <w:wordWrap/>
        <w:overflowPunct/>
        <w:topLinePunct w:val="0"/>
        <w:autoSpaceDE/>
        <w:autoSpaceDN/>
        <w:bidi w:val="0"/>
        <w:adjustRightInd w:val="0"/>
        <w:snapToGrid w:val="0"/>
        <w:ind w:firstLine="0"/>
        <w:jc w:val="center"/>
        <w:textAlignment w:val="auto"/>
        <w:outlineLvl w:val="9"/>
        <w:rPr>
          <w:rFonts w:hint="default" w:ascii="Times New Roman" w:hAnsi="Times New Roman" w:cs="Times New Roman"/>
          <w:b/>
          <w:bCs w:val="0"/>
          <w:sz w:val="32"/>
          <w:szCs w:val="32"/>
          <w:lang w:val="en-US" w:eastAsia="zh-CN"/>
        </w:rPr>
      </w:pPr>
      <w:r>
        <w:rPr>
          <w:rFonts w:hint="default" w:ascii="Times New Roman" w:hAnsi="Times New Roman" w:cs="Times New Roman"/>
          <w:b/>
          <w:bCs w:val="0"/>
          <w:sz w:val="32"/>
          <w:szCs w:val="32"/>
          <w:lang w:val="en-US" w:eastAsia="zh-CN"/>
        </w:rPr>
        <w:t>目  录</w:t>
      </w:r>
    </w:p>
    <w:p>
      <w:pPr>
        <w:pStyle w:val="63"/>
        <w:keepNext w:val="0"/>
        <w:keepLines w:val="0"/>
        <w:pageBreakBefore w:val="0"/>
        <w:tabs>
          <w:tab w:val="right" w:leader="dot" w:pos="8313"/>
        </w:tabs>
        <w:kinsoku/>
        <w:wordWrap/>
        <w:overflowPunct/>
        <w:topLinePunct w:val="0"/>
        <w:autoSpaceDE/>
        <w:autoSpaceDN/>
        <w:bidi w:val="0"/>
        <w:snapToGrid w:val="0"/>
        <w:spacing w:before="0" w:after="0"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TOC \o "1-2" \h \u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_Toc157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0前言</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_Toc157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_Toc18907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0.1项目由来</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_Toc18907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_Toc27805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0.2环境影响评价的工作过程</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_Toc27805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_Toc14870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0.3相关情况分析判定</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_Toc14870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_Toc23770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0.</w:t>
      </w:r>
      <w:r>
        <w:rPr>
          <w:rFonts w:hint="default"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rPr>
        <w:t>主要环境问题</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_Toc23770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_Toc3508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0.</w:t>
      </w:r>
      <w:r>
        <w:rPr>
          <w:rFonts w:hint="default"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rPr>
        <w:t>评价结论</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_Toc3508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63"/>
        <w:keepNext w:val="0"/>
        <w:keepLines w:val="0"/>
        <w:pageBreakBefore w:val="0"/>
        <w:tabs>
          <w:tab w:val="right" w:leader="dot" w:pos="8313"/>
        </w:tabs>
        <w:kinsoku/>
        <w:wordWrap/>
        <w:overflowPunct/>
        <w:topLinePunct w:val="0"/>
        <w:autoSpaceDE/>
        <w:autoSpaceDN/>
        <w:bidi w:val="0"/>
        <w:snapToGrid w:val="0"/>
        <w:spacing w:before="0" w:after="0"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_Toc16300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val="0"/>
          <w:kern w:val="44"/>
          <w:sz w:val="24"/>
          <w:szCs w:val="24"/>
        </w:rPr>
        <w:t>1 总则</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_Toc16300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_Toc27744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1.1 编制依据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_Toc27744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_Toc11741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1.2 环境影响评价因子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_Toc11741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_Toc9291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1.3 环境功能区划及环境质量标准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_Toc9291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_Toc6974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1.4 污染物排放标准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_Toc6974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_Toc18140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1.5 评价等级和评价范围</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_Toc18140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_Toc29968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1.6 评价内容和评价重点</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_Toc29968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_Toc28665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1.7环境保护目标</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_Toc28665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63"/>
        <w:keepNext w:val="0"/>
        <w:keepLines w:val="0"/>
        <w:pageBreakBefore w:val="0"/>
        <w:tabs>
          <w:tab w:val="right" w:leader="dot" w:pos="8313"/>
        </w:tabs>
        <w:kinsoku/>
        <w:wordWrap/>
        <w:overflowPunct/>
        <w:topLinePunct w:val="0"/>
        <w:autoSpaceDE/>
        <w:autoSpaceDN/>
        <w:bidi w:val="0"/>
        <w:snapToGrid w:val="0"/>
        <w:spacing w:before="0" w:after="0"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_Toc25759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2 工程概况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_Toc25759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_Toc13497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2.1基本概况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_Toc13497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_Toc24506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2.2产品方案及规模</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_Toc24506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_Toc23671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2.3建设项目工程组成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_Toc23671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_Toc24472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2.4总图布置及环境合理性</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_Toc24472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_Toc199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2.5全厂原辅材料用量</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_Toc199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_Toc16786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2.6全厂设备</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_Toc16786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_Toc11805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2.7物料储运系统情况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_Toc11805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_Toc18404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2.8公用及辅助工程</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_Toc18404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63"/>
        <w:keepNext w:val="0"/>
        <w:keepLines w:val="0"/>
        <w:pageBreakBefore w:val="0"/>
        <w:tabs>
          <w:tab w:val="right" w:leader="dot" w:pos="8313"/>
        </w:tabs>
        <w:kinsoku/>
        <w:wordWrap/>
        <w:overflowPunct/>
        <w:topLinePunct w:val="0"/>
        <w:autoSpaceDE/>
        <w:autoSpaceDN/>
        <w:bidi w:val="0"/>
        <w:snapToGrid w:val="0"/>
        <w:spacing w:before="0" w:after="0"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_Toc22472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3 工程分析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_Toc22472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_Toc16905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3.7施工期污染源分析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_Toc16905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_Toc27659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kern w:val="0"/>
          <w:sz w:val="24"/>
          <w:szCs w:val="24"/>
        </w:rPr>
        <w:t>3.8总量分析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_Toc27659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_Toc10183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3.</w:t>
      </w:r>
      <w:r>
        <w:rPr>
          <w:rFonts w:hint="default" w:ascii="Times New Roman" w:hAnsi="Times New Roman" w:eastAsia="宋体" w:cs="Times New Roman"/>
          <w:bCs/>
          <w:sz w:val="24"/>
          <w:szCs w:val="24"/>
          <w:lang w:val="en-US" w:eastAsia="zh-CN"/>
        </w:rPr>
        <w:t>9清洁生产</w:t>
      </w:r>
      <w:r>
        <w:rPr>
          <w:rFonts w:hint="default" w:ascii="Times New Roman" w:hAnsi="Times New Roman" w:eastAsia="宋体" w:cs="Times New Roman"/>
          <w:bCs/>
          <w:sz w:val="24"/>
          <w:szCs w:val="24"/>
        </w:rPr>
        <w:t>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_Toc10183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_Toc25660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3.</w:t>
      </w:r>
      <w:r>
        <w:rPr>
          <w:rFonts w:hint="default" w:ascii="Times New Roman" w:hAnsi="Times New Roman" w:eastAsia="宋体" w:cs="Times New Roman"/>
          <w:bCs/>
          <w:sz w:val="24"/>
          <w:szCs w:val="24"/>
          <w:lang w:val="en-US" w:eastAsia="zh-CN"/>
        </w:rPr>
        <w:t>10</w:t>
      </w:r>
      <w:r>
        <w:rPr>
          <w:rFonts w:hint="default" w:ascii="Times New Roman" w:hAnsi="Times New Roman" w:eastAsia="宋体" w:cs="Times New Roman"/>
          <w:bCs/>
          <w:sz w:val="24"/>
          <w:szCs w:val="24"/>
        </w:rPr>
        <w:t>产业政策与规划符合性分析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_Toc25660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63"/>
        <w:keepNext w:val="0"/>
        <w:keepLines w:val="0"/>
        <w:pageBreakBefore w:val="0"/>
        <w:tabs>
          <w:tab w:val="right" w:leader="dot" w:pos="8313"/>
        </w:tabs>
        <w:kinsoku/>
        <w:wordWrap/>
        <w:overflowPunct/>
        <w:topLinePunct w:val="0"/>
        <w:autoSpaceDE/>
        <w:autoSpaceDN/>
        <w:bidi w:val="0"/>
        <w:snapToGrid w:val="0"/>
        <w:spacing w:before="0" w:after="0"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_Toc18707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kern w:val="44"/>
          <w:sz w:val="24"/>
          <w:szCs w:val="24"/>
        </w:rPr>
        <w:t>4环境现状调查与评价</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_Toc18707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_Toc20570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4.1自然环境状况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_Toc20570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_Toc19407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4.2福州江阴港城总体规划（2018-2035）概况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_Toc19407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_Toc19845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4.3环境质量现状调查与评价</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_Toc19845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63"/>
        <w:keepNext w:val="0"/>
        <w:keepLines w:val="0"/>
        <w:pageBreakBefore w:val="0"/>
        <w:tabs>
          <w:tab w:val="right" w:leader="dot" w:pos="8313"/>
        </w:tabs>
        <w:kinsoku/>
        <w:wordWrap/>
        <w:overflowPunct/>
        <w:topLinePunct w:val="0"/>
        <w:autoSpaceDE/>
        <w:autoSpaceDN/>
        <w:bidi w:val="0"/>
        <w:snapToGrid w:val="0"/>
        <w:spacing w:before="0" w:after="0"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_Toc13396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5环境影响评价与预测</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_Toc13396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_Toc9087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5.1水环境影响评价</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_Toc9087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_Toc29931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5.2大气环境影响评价</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_Toc29931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_Toc18129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5.3声环境影响评价</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_Toc18129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_Toc21963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5.4 固体废物影响分析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_Toc21963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_Toc21835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5.5地下水影响评价</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_Toc21835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_Toc25141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5.6土壤环境影响预测与评价</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_Toc25141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_Toc10021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5.</w:t>
      </w:r>
      <w:r>
        <w:rPr>
          <w:rFonts w:hint="default" w:ascii="Times New Roman" w:hAnsi="Times New Roman" w:eastAsia="宋体" w:cs="Times New Roman"/>
          <w:bCs/>
          <w:sz w:val="24"/>
          <w:szCs w:val="24"/>
          <w:lang w:val="en-US" w:eastAsia="zh-CN"/>
        </w:rPr>
        <w:t>7</w:t>
      </w:r>
      <w:r>
        <w:rPr>
          <w:rFonts w:hint="default" w:ascii="Times New Roman" w:hAnsi="Times New Roman" w:eastAsia="宋体" w:cs="Times New Roman"/>
          <w:bCs/>
          <w:sz w:val="24"/>
          <w:szCs w:val="24"/>
        </w:rPr>
        <w:t>碳排放影响分析与评价</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_Toc10021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63"/>
        <w:keepNext w:val="0"/>
        <w:keepLines w:val="0"/>
        <w:pageBreakBefore w:val="0"/>
        <w:tabs>
          <w:tab w:val="right" w:leader="dot" w:pos="8313"/>
        </w:tabs>
        <w:kinsoku/>
        <w:wordWrap/>
        <w:overflowPunct/>
        <w:topLinePunct w:val="0"/>
        <w:autoSpaceDE/>
        <w:autoSpaceDN/>
        <w:bidi w:val="0"/>
        <w:snapToGrid w:val="0"/>
        <w:spacing w:before="0" w:after="0"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_Toc11127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kern w:val="2"/>
          <w:sz w:val="24"/>
          <w:szCs w:val="24"/>
          <w:lang w:val="en-US" w:eastAsia="zh-CN" w:bidi="ar-SA"/>
        </w:rPr>
        <w:t>6环境风险评价</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_Toc11127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_Toc8848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val="0"/>
          <w:kern w:val="2"/>
          <w:sz w:val="24"/>
          <w:szCs w:val="24"/>
          <w:lang w:val="en-US" w:eastAsia="zh-CN" w:bidi="ar-SA"/>
        </w:rPr>
        <w:t>6.1风险识别</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_Toc8848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_Toc26531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val="0"/>
          <w:kern w:val="2"/>
          <w:sz w:val="24"/>
          <w:szCs w:val="24"/>
          <w:lang w:val="en-US" w:eastAsia="zh-CN" w:bidi="ar-SA"/>
        </w:rPr>
        <w:t>6.2评价工作等级与评价范围</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_Toc26531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_Toc10425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val="0"/>
          <w:kern w:val="2"/>
          <w:sz w:val="24"/>
          <w:szCs w:val="24"/>
          <w:lang w:val="en-US" w:eastAsia="zh-CN" w:bidi="ar-SA"/>
        </w:rPr>
        <w:t>6.3风险事故情形分析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_Toc10425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_Toc25530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val="0"/>
          <w:kern w:val="2"/>
          <w:sz w:val="24"/>
          <w:szCs w:val="24"/>
          <w:lang w:val="en-US" w:eastAsia="zh-CN" w:bidi="ar-SA"/>
        </w:rPr>
        <w:t>6.4风险预测与评价</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_Toc25530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133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_Toc11036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kern w:val="2"/>
          <w:sz w:val="24"/>
          <w:szCs w:val="24"/>
          <w:lang w:val="en-US" w:eastAsia="zh-CN" w:bidi="ar-SA"/>
        </w:rPr>
        <w:t>6.5环境风险管理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_Toc11036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136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_Toc21043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kern w:val="2"/>
          <w:sz w:val="24"/>
          <w:szCs w:val="24"/>
          <w:lang w:val="en-US" w:eastAsia="zh-CN" w:bidi="ar-SA"/>
        </w:rPr>
        <w:t>6.6环境风险评价结论与建议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_Toc21043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162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63"/>
        <w:keepNext w:val="0"/>
        <w:keepLines w:val="0"/>
        <w:pageBreakBefore w:val="0"/>
        <w:tabs>
          <w:tab w:val="right" w:leader="dot" w:pos="8313"/>
        </w:tabs>
        <w:kinsoku/>
        <w:wordWrap/>
        <w:overflowPunct/>
        <w:topLinePunct w:val="0"/>
        <w:autoSpaceDE/>
        <w:autoSpaceDN/>
        <w:bidi w:val="0"/>
        <w:snapToGrid w:val="0"/>
        <w:spacing w:before="0" w:after="0"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_Toc29163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7环境保护措施及其可行性论证</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_Toc29163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166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_Toc28090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7.1施工期环境保护措施</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_Toc28090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166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_Toc23448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7.2废水污染防治措施及可行性分析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_Toc23448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168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_Toc22412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7.3大气污染防治措施及可行性分析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_Toc22412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174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_Toc5817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7.4噪声污染防治措施及可行性分析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_Toc5817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185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_Toc29960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7.5固体废物污染防治措施及可行性分析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_Toc29960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186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_Toc10182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7.6地下水污染防治措施</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_Toc10182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189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_Toc759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7.7土壤环境保护措施与对策</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_Toc759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195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63"/>
        <w:keepNext w:val="0"/>
        <w:keepLines w:val="0"/>
        <w:pageBreakBefore w:val="0"/>
        <w:tabs>
          <w:tab w:val="right" w:leader="dot" w:pos="8313"/>
        </w:tabs>
        <w:kinsoku/>
        <w:wordWrap/>
        <w:overflowPunct/>
        <w:topLinePunct w:val="0"/>
        <w:autoSpaceDE/>
        <w:autoSpaceDN/>
        <w:bidi w:val="0"/>
        <w:snapToGrid w:val="0"/>
        <w:spacing w:before="0" w:after="0"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_Toc16853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8环境经济损益分析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_Toc16853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197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_Toc21470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8.1环境效益分析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_Toc21470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197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_Toc12812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8.2社会效益分析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_Toc12812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198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fldChar w:fldCharType="begin"/>
      </w:r>
      <w:r>
        <w:rPr>
          <w:rFonts w:hint="default" w:ascii="Times New Roman" w:hAnsi="Times New Roman" w:eastAsia="宋体" w:cs="Times New Roman"/>
          <w:sz w:val="21"/>
          <w:szCs w:val="21"/>
          <w:lang w:val="en-US" w:eastAsia="zh-CN"/>
        </w:rPr>
        <w:instrText xml:space="preserve"> HYPERLINK \l _Toc6677 </w:instrText>
      </w:r>
      <w:r>
        <w:rPr>
          <w:rFonts w:hint="default" w:ascii="Times New Roman" w:hAnsi="Times New Roman" w:eastAsia="宋体" w:cs="Times New Roman"/>
          <w:sz w:val="21"/>
          <w:szCs w:val="21"/>
          <w:lang w:val="en-US" w:eastAsia="zh-CN"/>
        </w:rPr>
        <w:fldChar w:fldCharType="separate"/>
      </w:r>
      <w:r>
        <w:rPr>
          <w:rFonts w:hint="default" w:ascii="Times New Roman" w:hAnsi="Times New Roman" w:eastAsia="宋体" w:cs="Times New Roman"/>
          <w:bCs/>
          <w:sz w:val="21"/>
          <w:szCs w:val="21"/>
        </w:rPr>
        <w:t>8.3 经济效益分析</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_Toc6677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199</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sz w:val="21"/>
          <w:szCs w:val="21"/>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_Toc23531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8.4 环境经济损益分析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_Toc23531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199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63"/>
        <w:keepNext w:val="0"/>
        <w:keepLines w:val="0"/>
        <w:pageBreakBefore w:val="0"/>
        <w:tabs>
          <w:tab w:val="right" w:leader="dot" w:pos="8313"/>
        </w:tabs>
        <w:kinsoku/>
        <w:wordWrap/>
        <w:overflowPunct/>
        <w:topLinePunct w:val="0"/>
        <w:autoSpaceDE/>
        <w:autoSpaceDN/>
        <w:bidi w:val="0"/>
        <w:snapToGrid w:val="0"/>
        <w:spacing w:before="0" w:after="0"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_Toc25476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kern w:val="44"/>
          <w:sz w:val="24"/>
          <w:szCs w:val="24"/>
        </w:rPr>
        <w:t>9 环境管理和监测计划</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_Toc25476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200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_Toc29850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9.1 环境管理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_Toc29850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200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_Toc23588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9.2环境监测计划</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_Toc23588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206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_Toc24023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9.3 排污口规范化建设</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_Toc24023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207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_Toc21948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9.4污染物排放清单及管理要求</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_Toc21948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208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63"/>
        <w:keepNext w:val="0"/>
        <w:keepLines w:val="0"/>
        <w:pageBreakBefore w:val="0"/>
        <w:tabs>
          <w:tab w:val="right" w:leader="dot" w:pos="8313"/>
        </w:tabs>
        <w:kinsoku/>
        <w:wordWrap/>
        <w:overflowPunct/>
        <w:topLinePunct w:val="0"/>
        <w:autoSpaceDE/>
        <w:autoSpaceDN/>
        <w:bidi w:val="0"/>
        <w:snapToGrid w:val="0"/>
        <w:spacing w:before="0" w:after="0"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_Toc17730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bCs/>
          <w:sz w:val="24"/>
          <w:szCs w:val="24"/>
        </w:rPr>
        <w:t>10评价结论</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_Toc17730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214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_Toc18046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10.1项目概况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_Toc18046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214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_Toc4885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10.2工程环境影响评价</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_Toc4885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214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_Toc15710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10.3工程建设的环境可行性</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_Toc15710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219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78"/>
        <w:keepNext w:val="0"/>
        <w:keepLines w:val="0"/>
        <w:pageBreakBefore w:val="0"/>
        <w:tabs>
          <w:tab w:val="right" w:leader="dot" w:pos="8313"/>
        </w:tabs>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\l _Toc19337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10.4评价结论与建议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_Toc19337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224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lang w:val="en-US" w:eastAsia="zh-CN"/>
        </w:rPr>
        <w:fldChar w:fldCharType="end"/>
      </w:r>
    </w:p>
    <w:p>
      <w:pPr>
        <w:pStyle w:val="482"/>
        <w:keepNext w:val="0"/>
        <w:keepLines w:val="0"/>
        <w:pageBreakBefore w:val="0"/>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eastAsia="宋体" w:cs="Times New Roman"/>
          <w:sz w:val="24"/>
          <w:szCs w:val="24"/>
          <w:lang w:val="en-US" w:eastAsia="zh-CN"/>
        </w:rPr>
        <w:sectPr>
          <w:pgSz w:w="11907" w:h="16840"/>
          <w:pgMar w:top="1440" w:right="1797" w:bottom="1440" w:left="1797" w:header="851" w:footer="992" w:gutter="0"/>
          <w:pgNumType w:fmt="decimal"/>
          <w:cols w:space="720" w:num="1"/>
          <w:docGrid w:linePitch="389" w:charSpace="0"/>
        </w:sectPr>
      </w:pPr>
      <w:r>
        <w:rPr>
          <w:rFonts w:hint="default" w:ascii="Times New Roman" w:hAnsi="Times New Roman" w:eastAsia="宋体" w:cs="Times New Roman"/>
          <w:sz w:val="24"/>
          <w:szCs w:val="24"/>
          <w:lang w:val="en-US" w:eastAsia="zh-CN"/>
        </w:rPr>
        <w:fldChar w:fldCharType="end"/>
      </w:r>
    </w:p>
    <w:p>
      <w:pPr>
        <w:pStyle w:val="482"/>
        <w:keepNext w:val="0"/>
        <w:keepLines w:val="0"/>
        <w:pageBreakBefore w:val="0"/>
        <w:kinsoku/>
        <w:wordWrap/>
        <w:overflowPunct/>
        <w:topLinePunct w:val="0"/>
        <w:autoSpaceDE/>
        <w:autoSpaceDN/>
        <w:bidi w:val="0"/>
        <w:snapToGrid w:val="0"/>
        <w:spacing w:line="240" w:lineRule="auto"/>
        <w:ind w:left="0" w:firstLine="0"/>
        <w:textAlignment w:val="auto"/>
        <w:outlineLvl w:val="9"/>
        <w:rPr>
          <w:rFonts w:hint="default" w:ascii="Times New Roman" w:hAnsi="Times New Roman" w:cs="Times New Roman"/>
          <w:lang w:val="en-US" w:eastAsia="zh-CN"/>
        </w:rPr>
      </w:pPr>
      <w:r>
        <w:rPr>
          <w:rFonts w:hint="default" w:ascii="Times New Roman" w:hAnsi="Times New Roman" w:cs="Times New Roman"/>
          <w:lang w:val="en-US" w:eastAsia="zh-CN"/>
        </w:rPr>
        <w:t>附件：</w:t>
      </w:r>
    </w:p>
    <w:p>
      <w:pPr>
        <w:pStyle w:val="482"/>
        <w:rPr>
          <w:rFonts w:hint="default" w:ascii="Times New Roman" w:hAnsi="Times New Roman" w:cs="Times New Roman"/>
          <w:lang w:val="en-US" w:eastAsia="zh-CN"/>
        </w:rPr>
      </w:pPr>
      <w:r>
        <w:rPr>
          <w:rFonts w:hint="default" w:ascii="Times New Roman" w:hAnsi="Times New Roman" w:cs="Times New Roman"/>
          <w:lang w:val="en-US" w:eastAsia="zh-CN"/>
        </w:rPr>
        <w:t>附件1  环评委托书</w:t>
      </w:r>
    </w:p>
    <w:p>
      <w:pPr>
        <w:pStyle w:val="482"/>
        <w:rPr>
          <w:rFonts w:hint="default" w:ascii="Times New Roman" w:hAnsi="Times New Roman" w:cs="Times New Roman"/>
          <w:lang w:val="en-US" w:eastAsia="zh-CN"/>
        </w:rPr>
      </w:pPr>
      <w:r>
        <w:rPr>
          <w:rFonts w:hint="default" w:ascii="Times New Roman" w:hAnsi="Times New Roman" w:cs="Times New Roman"/>
          <w:lang w:val="en-US" w:eastAsia="zh-CN"/>
        </w:rPr>
        <w:t>附件2  项目备案表</w:t>
      </w:r>
    </w:p>
    <w:p>
      <w:pPr>
        <w:pStyle w:val="482"/>
        <w:rPr>
          <w:rFonts w:hint="default" w:ascii="Times New Roman" w:hAnsi="Times New Roman" w:cs="Times New Roman"/>
          <w:lang w:val="en-US" w:eastAsia="zh-CN"/>
        </w:rPr>
      </w:pPr>
      <w:r>
        <w:rPr>
          <w:rFonts w:hint="default" w:ascii="Times New Roman" w:hAnsi="Times New Roman" w:cs="Times New Roman"/>
          <w:lang w:val="en-US" w:eastAsia="zh-CN"/>
        </w:rPr>
        <w:t>附件3  公司营业执照及法人身份证</w:t>
      </w:r>
    </w:p>
    <w:p>
      <w:pPr>
        <w:pStyle w:val="482"/>
        <w:rPr>
          <w:rFonts w:hint="default" w:ascii="Times New Roman" w:hAnsi="Times New Roman" w:cs="Times New Roman"/>
          <w:lang w:val="en-US" w:eastAsia="zh-CN"/>
        </w:rPr>
      </w:pPr>
      <w:r>
        <w:rPr>
          <w:rFonts w:hint="default" w:ascii="Times New Roman" w:hAnsi="Times New Roman" w:cs="Times New Roman"/>
          <w:lang w:val="en-US" w:eastAsia="zh-CN"/>
        </w:rPr>
        <w:t>附件4  公司土地证</w:t>
      </w:r>
    </w:p>
    <w:p>
      <w:pPr>
        <w:pStyle w:val="482"/>
        <w:rPr>
          <w:rFonts w:hint="default" w:ascii="Times New Roman" w:hAnsi="Times New Roman" w:cs="Times New Roman"/>
          <w:lang w:val="en-US" w:eastAsia="zh-CN"/>
        </w:rPr>
      </w:pPr>
      <w:r>
        <w:rPr>
          <w:rFonts w:hint="default" w:ascii="Times New Roman" w:hAnsi="Times New Roman" w:cs="Times New Roman"/>
          <w:lang w:val="en-US" w:eastAsia="zh-CN"/>
        </w:rPr>
        <w:t>附件5  《福州江阴港城总体规划（2018-2035）环境影响报告书》审查意见</w:t>
      </w:r>
    </w:p>
    <w:p>
      <w:pPr>
        <w:pStyle w:val="482"/>
        <w:rPr>
          <w:rFonts w:hint="default" w:ascii="Times New Roman" w:hAnsi="Times New Roman" w:cs="Times New Roman"/>
          <w:lang w:val="en-US" w:eastAsia="zh-CN"/>
        </w:rPr>
      </w:pPr>
      <w:r>
        <w:rPr>
          <w:rFonts w:hint="eastAsia" w:ascii="Times New Roman" w:hAnsi="Times New Roman" w:cs="Times New Roman"/>
          <w:lang w:val="en-US" w:eastAsia="zh-CN"/>
        </w:rPr>
        <w:t xml:space="preserve">附件6  </w:t>
      </w:r>
      <w:r>
        <w:rPr>
          <w:rFonts w:hint="default" w:ascii="Times New Roman" w:hAnsi="Times New Roman" w:cs="Times New Roman"/>
          <w:lang w:val="en-US" w:eastAsia="zh-CN"/>
        </w:rPr>
        <w:t>项目监测报告</w:t>
      </w:r>
    </w:p>
    <w:p>
      <w:pPr>
        <w:pStyle w:val="482"/>
        <w:rPr>
          <w:rFonts w:hint="default" w:ascii="Times New Roman" w:hAnsi="Times New Roman" w:cs="Times New Roman"/>
          <w:lang w:val="en-US" w:eastAsia="zh-CN"/>
        </w:rPr>
      </w:pPr>
      <w:r>
        <w:rPr>
          <w:rFonts w:hint="eastAsia" w:ascii="Times New Roman" w:hAnsi="Times New Roman" w:cs="Times New Roman"/>
          <w:lang w:val="en-US" w:eastAsia="zh-CN"/>
        </w:rPr>
        <w:t>附件7  项目补充监测报告</w:t>
      </w:r>
    </w:p>
    <w:p>
      <w:pPr>
        <w:pStyle w:val="482"/>
        <w:ind w:left="1436" w:hanging="960"/>
        <w:rPr>
          <w:rFonts w:hint="eastAsia"/>
          <w:color w:val="000000"/>
          <w:sz w:val="24"/>
          <w:szCs w:val="24"/>
        </w:rPr>
      </w:pPr>
      <w:r>
        <w:rPr>
          <w:rFonts w:hint="eastAsia"/>
          <w:color w:val="000000"/>
          <w:sz w:val="24"/>
          <w:szCs w:val="24"/>
        </w:rPr>
        <w:t>附件</w:t>
      </w:r>
      <w:r>
        <w:rPr>
          <w:rFonts w:hint="eastAsia"/>
          <w:color w:val="000000"/>
          <w:sz w:val="24"/>
          <w:szCs w:val="24"/>
          <w:lang w:val="en-US" w:eastAsia="zh-CN"/>
        </w:rPr>
        <w:t>8  项目引用的万华化学（福建）有限公司大型煤气化有效气综合利用-年产48万吨甲醛项目环境现在监测报告</w:t>
      </w:r>
    </w:p>
    <w:p>
      <w:pPr>
        <w:pStyle w:val="482"/>
        <w:rPr>
          <w:rFonts w:hint="eastAsia"/>
          <w:color w:val="000000"/>
          <w:sz w:val="24"/>
          <w:szCs w:val="24"/>
        </w:rPr>
      </w:pPr>
      <w:r>
        <w:rPr>
          <w:rFonts w:hint="eastAsia"/>
          <w:color w:val="000000"/>
          <w:sz w:val="24"/>
          <w:szCs w:val="24"/>
        </w:rPr>
        <w:t>附件</w:t>
      </w:r>
      <w:r>
        <w:rPr>
          <w:rFonts w:hint="eastAsia"/>
          <w:color w:val="000000"/>
          <w:sz w:val="24"/>
          <w:szCs w:val="24"/>
          <w:lang w:val="en-US" w:eastAsia="zh-CN"/>
        </w:rPr>
        <w:t xml:space="preserve">9  </w:t>
      </w:r>
      <w:r>
        <w:rPr>
          <w:rFonts w:hint="eastAsia"/>
          <w:color w:val="000000"/>
          <w:sz w:val="24"/>
          <w:szCs w:val="24"/>
        </w:rPr>
        <w:t>项目排污权指标取得事宜的承诺书</w:t>
      </w:r>
    </w:p>
    <w:p>
      <w:pPr>
        <w:pStyle w:val="482"/>
        <w:rPr>
          <w:rFonts w:hint="default" w:ascii="Times New Roman" w:hAnsi="Times New Roman" w:cs="Times New Roman"/>
          <w:lang w:val="en-US" w:eastAsia="zh-CN"/>
        </w:rPr>
      </w:pPr>
      <w:r>
        <w:rPr>
          <w:rFonts w:hint="eastAsia" w:ascii="Times New Roman" w:hAnsi="Times New Roman" w:cs="Times New Roman"/>
          <w:lang w:val="en-US" w:eastAsia="zh-CN"/>
        </w:rPr>
        <w:t>附件10  专家评审意见</w:t>
      </w:r>
    </w:p>
    <w:p>
      <w:pPr>
        <w:pStyle w:val="482"/>
        <w:rPr>
          <w:rFonts w:hint="eastAsia" w:ascii="Times New Roman" w:hAnsi="Times New Roman" w:cs="Times New Roman"/>
          <w:lang w:val="en-US" w:eastAsia="zh-CN"/>
        </w:rPr>
      </w:pPr>
      <w:r>
        <w:rPr>
          <w:rFonts w:hint="eastAsia" w:ascii="Times New Roman" w:hAnsi="Times New Roman" w:cs="Times New Roman"/>
          <w:lang w:val="en-US" w:eastAsia="zh-CN"/>
        </w:rPr>
        <w:t>附件11  关于环评文件未涉及国家秘密、商业秘密等内容的说明</w:t>
      </w:r>
    </w:p>
    <w:p>
      <w:pPr>
        <w:pStyle w:val="482"/>
        <w:rPr>
          <w:rFonts w:hint="eastAsia" w:ascii="Times New Roman" w:hAnsi="Times New Roman" w:cs="Times New Roman"/>
          <w:lang w:val="en-US" w:eastAsia="zh-CN"/>
        </w:rPr>
      </w:pPr>
      <w:r>
        <w:rPr>
          <w:rFonts w:hint="eastAsia" w:ascii="Times New Roman" w:hAnsi="Times New Roman" w:cs="Times New Roman"/>
          <w:lang w:val="en-US" w:eastAsia="zh-CN"/>
        </w:rPr>
        <w:t>附件12  关于公开建设项目环评文件等信息情况的说明</w:t>
      </w:r>
    </w:p>
    <w:p>
      <w:pPr>
        <w:pStyle w:val="482"/>
        <w:rPr>
          <w:rFonts w:hint="eastAsia" w:ascii="Times New Roman" w:hAnsi="Times New Roman" w:cs="Times New Roman"/>
          <w:lang w:val="en-US" w:eastAsia="zh-CN"/>
        </w:rPr>
      </w:pPr>
      <w:r>
        <w:rPr>
          <w:rFonts w:hint="eastAsia" w:ascii="Times New Roman" w:hAnsi="Times New Roman" w:cs="Times New Roman"/>
          <w:lang w:val="en-US" w:eastAsia="zh-CN"/>
        </w:rPr>
        <w:t>附件13  申请环评批复报告</w:t>
      </w:r>
    </w:p>
    <w:p>
      <w:pPr>
        <w:pStyle w:val="482"/>
        <w:rPr>
          <w:rFonts w:hint="default" w:ascii="Times New Roman" w:hAnsi="Times New Roman" w:cs="Times New Roman"/>
          <w:lang w:val="en-US" w:eastAsia="zh-CN"/>
        </w:rPr>
      </w:pPr>
      <w:r>
        <w:rPr>
          <w:rFonts w:hint="eastAsia" w:ascii="Times New Roman" w:hAnsi="Times New Roman" w:cs="Times New Roman"/>
          <w:lang w:val="en-US" w:eastAsia="zh-CN"/>
        </w:rPr>
        <w:t>附件14  授权委托书</w:t>
      </w:r>
    </w:p>
    <w:p>
      <w:pPr>
        <w:pStyle w:val="482"/>
        <w:rPr>
          <w:rFonts w:hint="default" w:ascii="Times New Roman" w:hAnsi="Times New Roman" w:cs="Times New Roman"/>
          <w:lang w:val="en-US" w:eastAsia="zh-CN"/>
        </w:rPr>
      </w:pPr>
    </w:p>
    <w:p>
      <w:pPr>
        <w:pStyle w:val="482"/>
        <w:rPr>
          <w:rFonts w:hint="default" w:ascii="Times New Roman" w:hAnsi="Times New Roman" w:cs="Times New Roman"/>
          <w:lang w:val="en-US" w:eastAsia="zh-CN"/>
        </w:rPr>
      </w:pPr>
    </w:p>
    <w:p>
      <w:pPr>
        <w:pStyle w:val="482"/>
        <w:rPr>
          <w:rFonts w:hint="default" w:ascii="Times New Roman" w:hAnsi="Times New Roman" w:cs="Times New Roman"/>
        </w:rPr>
        <w:sectPr>
          <w:pgSz w:w="11907" w:h="16840"/>
          <w:pgMar w:top="1440" w:right="1797" w:bottom="1440" w:left="1797" w:header="851" w:footer="992" w:gutter="0"/>
          <w:pgNumType w:fmt="decimal"/>
          <w:cols w:space="720" w:num="1"/>
          <w:docGrid w:linePitch="389" w:charSpace="0"/>
        </w:sectPr>
      </w:pPr>
    </w:p>
    <w:p>
      <w:pPr>
        <w:pStyle w:val="874"/>
        <w:rPr>
          <w:rFonts w:hint="default" w:ascii="Times New Roman" w:hAnsi="Times New Roman" w:cs="Times New Roman"/>
          <w:color w:val="auto"/>
          <w:sz w:val="36"/>
        </w:rPr>
      </w:pPr>
      <w:bookmarkStart w:id="0" w:name="_Toc157"/>
      <w:r>
        <w:rPr>
          <w:rFonts w:hint="default" w:ascii="Times New Roman" w:hAnsi="Times New Roman" w:cs="Times New Roman"/>
          <w:color w:val="auto"/>
          <w:sz w:val="36"/>
        </w:rPr>
        <w:t>0前言</w:t>
      </w:r>
      <w:bookmarkEnd w:id="0"/>
    </w:p>
    <w:p>
      <w:pPr>
        <w:pStyle w:val="557"/>
        <w:rPr>
          <w:rFonts w:hint="default" w:ascii="Times New Roman" w:hAnsi="Times New Roman" w:cs="Times New Roman"/>
          <w:color w:val="auto"/>
          <w:sz w:val="32"/>
        </w:rPr>
      </w:pPr>
      <w:bookmarkStart w:id="1" w:name="_Toc18907"/>
      <w:r>
        <w:rPr>
          <w:rFonts w:hint="default" w:ascii="Times New Roman" w:hAnsi="Times New Roman" w:cs="Times New Roman"/>
          <w:color w:val="auto"/>
          <w:sz w:val="32"/>
        </w:rPr>
        <w:t>0.1项目由来</w:t>
      </w:r>
      <w:bookmarkEnd w:id="1"/>
    </w:p>
    <w:p>
      <w:pPr>
        <w:pStyle w:val="3"/>
        <w:snapToGrid/>
        <w:ind w:firstLine="480"/>
        <w:rPr>
          <w:rFonts w:hint="default" w:ascii="Times New Roman" w:hAnsi="Times New Roman" w:cs="Times New Roman"/>
          <w:szCs w:val="24"/>
        </w:rPr>
      </w:pPr>
      <w:r>
        <w:rPr>
          <w:rFonts w:hint="default" w:ascii="Times New Roman" w:hAnsi="Times New Roman" w:cs="Times New Roman"/>
          <w:szCs w:val="24"/>
        </w:rPr>
        <w:t>福建富轩科技有限公司成立于2018年（公司营业执照及法人身份证见附件3），是一家集纳米陶瓷粉体材料、银系列新材料生产、研发、销售于一体的现代化企业。</w:t>
      </w:r>
    </w:p>
    <w:p>
      <w:pPr>
        <w:pStyle w:val="3"/>
        <w:snapToGrid/>
        <w:ind w:firstLine="480"/>
        <w:rPr>
          <w:rFonts w:hint="default" w:ascii="Times New Roman" w:hAnsi="Times New Roman" w:cs="Times New Roman"/>
        </w:rPr>
      </w:pPr>
      <w:r>
        <w:rPr>
          <w:rFonts w:hint="default" w:ascii="Times New Roman" w:hAnsi="Times New Roman" w:cs="Times New Roman"/>
          <w:szCs w:val="24"/>
        </w:rPr>
        <w:t>随着电子工业向智能化、信息化、轻、小、薄发展，银系列新材料在电子电气中的使用量不断增加，银系列新材料包括硝酸银、银粉等，在充分调研该市场后发现目前国内银系列新材料年产量严重短缺。在上述背景下，福建富轩科技有限公司拟选址在福建省福州江阴港城经济区，投资</w:t>
      </w:r>
      <w:r>
        <w:rPr>
          <w:rFonts w:hint="default" w:ascii="Times New Roman" w:hAnsi="Times New Roman" w:cs="Times New Roman"/>
          <w:szCs w:val="24"/>
          <w:lang w:val="en-US" w:eastAsia="zh-CN"/>
        </w:rPr>
        <w:t>41784.07</w:t>
      </w:r>
      <w:r>
        <w:rPr>
          <w:rFonts w:hint="default" w:ascii="Times New Roman" w:hAnsi="Times New Roman" w:cs="Times New Roman"/>
          <w:szCs w:val="24"/>
        </w:rPr>
        <w:t>万元，筹建</w:t>
      </w:r>
      <w:r>
        <w:rPr>
          <w:rFonts w:hint="eastAsia" w:ascii="Times New Roman" w:hAnsi="Times New Roman" w:cs="Times New Roman"/>
          <w:szCs w:val="24"/>
          <w:lang w:val="en-US" w:eastAsia="zh-CN"/>
        </w:rPr>
        <w:t>化工</w:t>
      </w:r>
      <w:r>
        <w:rPr>
          <w:rFonts w:hint="default" w:ascii="Times New Roman" w:hAnsi="Times New Roman" w:cs="Times New Roman"/>
        </w:rPr>
        <w:t>新能源纳米材料项目。</w:t>
      </w:r>
      <w:bookmarkStart w:id="2" w:name="OLE_LINK3"/>
      <w:r>
        <w:rPr>
          <w:rFonts w:hint="default" w:ascii="Times New Roman" w:hAnsi="Times New Roman" w:cs="Times New Roman"/>
        </w:rPr>
        <w:t>项目占地</w:t>
      </w:r>
      <w:r>
        <w:rPr>
          <w:rFonts w:hint="default" w:ascii="Times New Roman" w:hAnsi="Times New Roman" w:cs="Times New Roman"/>
          <w:bCs/>
          <w:color w:val="000000"/>
          <w:kern w:val="0"/>
          <w:szCs w:val="24"/>
        </w:rPr>
        <w:t>42000</w:t>
      </w:r>
      <w:r>
        <w:rPr>
          <w:rFonts w:hint="default" w:ascii="Times New Roman" w:hAnsi="Times New Roman" w:cs="Times New Roman"/>
          <w:color w:val="000000"/>
          <w:kern w:val="0"/>
          <w:szCs w:val="24"/>
        </w:rPr>
        <w:t>m</w:t>
      </w:r>
      <w:r>
        <w:rPr>
          <w:rFonts w:hint="default" w:ascii="Times New Roman" w:hAnsi="Times New Roman" w:cs="Times New Roman"/>
          <w:color w:val="000000"/>
          <w:kern w:val="0"/>
          <w:szCs w:val="24"/>
          <w:vertAlign w:val="superscript"/>
        </w:rPr>
        <w:t>2</w:t>
      </w:r>
      <w:r>
        <w:rPr>
          <w:rFonts w:hint="default" w:ascii="Times New Roman" w:hAnsi="Times New Roman" w:cs="Times New Roman"/>
          <w:color w:val="000000"/>
          <w:kern w:val="0"/>
          <w:szCs w:val="24"/>
        </w:rPr>
        <w:t>，建设1条电子级硝酸生产线，年产5000吨电子级硝酸；建设3条硝酸银生产线，年产4000吨硝酸银；建设4条超细银粉生产线，年产1200吨超细银粉。</w:t>
      </w:r>
    </w:p>
    <w:bookmarkEnd w:id="2"/>
    <w:p>
      <w:pPr>
        <w:pStyle w:val="3"/>
        <w:snapToGrid/>
        <w:ind w:firstLine="480"/>
        <w:rPr>
          <w:rFonts w:hint="default" w:ascii="Times New Roman" w:hAnsi="Times New Roman" w:cs="Times New Roman"/>
          <w:color w:val="auto"/>
          <w:kern w:val="0"/>
          <w:szCs w:val="24"/>
          <w:highlight w:val="none"/>
        </w:rPr>
      </w:pPr>
      <w:bookmarkStart w:id="3" w:name="_Toc459642472"/>
      <w:bookmarkStart w:id="4" w:name="_Toc348897168"/>
      <w:bookmarkStart w:id="5" w:name="_Toc344673999"/>
      <w:bookmarkStart w:id="6" w:name="_Toc346394968"/>
      <w:bookmarkStart w:id="7" w:name="_Toc332317662"/>
      <w:bookmarkStart w:id="8" w:name="_Toc334453449"/>
      <w:bookmarkStart w:id="9" w:name="_Toc459642378"/>
      <w:bookmarkStart w:id="10" w:name="_Toc341915686"/>
      <w:bookmarkStart w:id="11" w:name="_Toc332320640"/>
      <w:bookmarkStart w:id="12" w:name="_Toc27805"/>
      <w:bookmarkStart w:id="13" w:name="_Toc346095333"/>
      <w:r>
        <w:rPr>
          <w:rFonts w:hint="default" w:ascii="Times New Roman" w:hAnsi="Times New Roman" w:cs="Times New Roman"/>
          <w:color w:val="auto"/>
          <w:kern w:val="0"/>
          <w:szCs w:val="24"/>
          <w:highlight w:val="none"/>
        </w:rPr>
        <w:t>根据《建设</w:t>
      </w:r>
      <w:r>
        <w:rPr>
          <w:rFonts w:hint="default" w:ascii="Times New Roman" w:hAnsi="Times New Roman" w:cs="Times New Roman"/>
          <w:color w:val="auto"/>
          <w:kern w:val="0"/>
          <w:sz w:val="24"/>
          <w:szCs w:val="24"/>
          <w:highlight w:val="none"/>
        </w:rPr>
        <w:t>项目环境保护管理条例》以及《建设项目环境影响评价分类管理名录（2021年）》等相关规定</w:t>
      </w:r>
      <w:r>
        <w:rPr>
          <w:rFonts w:hint="eastAsia"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本项目</w:t>
      </w:r>
      <w:r>
        <w:rPr>
          <w:rFonts w:hint="eastAsia" w:ascii="Times New Roman" w:hAnsi="Times New Roman" w:cs="Times New Roman"/>
          <w:color w:val="auto"/>
          <w:kern w:val="0"/>
          <w:sz w:val="24"/>
          <w:szCs w:val="24"/>
          <w:highlight w:val="none"/>
          <w:lang w:val="en-US" w:eastAsia="zh-CN"/>
        </w:rPr>
        <w:t>电子级硝酸、硝酸银</w:t>
      </w:r>
      <w:r>
        <w:rPr>
          <w:rFonts w:hint="default" w:ascii="Times New Roman" w:hAnsi="Times New Roman" w:cs="Times New Roman"/>
          <w:color w:val="auto"/>
          <w:kern w:val="0"/>
          <w:sz w:val="24"/>
          <w:szCs w:val="24"/>
          <w:highlight w:val="none"/>
        </w:rPr>
        <w:t>属于“二十</w:t>
      </w:r>
      <w:r>
        <w:rPr>
          <w:rFonts w:hint="eastAsia" w:ascii="Times New Roman" w:hAnsi="Times New Roman" w:cs="Times New Roman"/>
          <w:color w:val="auto"/>
          <w:kern w:val="0"/>
          <w:sz w:val="24"/>
          <w:szCs w:val="24"/>
          <w:highlight w:val="none"/>
          <w:lang w:val="en-US" w:eastAsia="zh-CN"/>
        </w:rPr>
        <w:t>三</w:t>
      </w:r>
      <w:r>
        <w:rPr>
          <w:rFonts w:hint="default" w:ascii="Times New Roman" w:hAnsi="Times New Roman" w:cs="Times New Roman"/>
          <w:color w:val="auto"/>
          <w:kern w:val="0"/>
          <w:sz w:val="24"/>
          <w:szCs w:val="24"/>
          <w:highlight w:val="none"/>
        </w:rPr>
        <w:t>、</w:t>
      </w:r>
      <w:r>
        <w:rPr>
          <w:rFonts w:hint="eastAsia" w:ascii="Times New Roman" w:hAnsi="Times New Roman" w:cs="Times New Roman"/>
          <w:color w:val="auto"/>
          <w:kern w:val="0"/>
          <w:sz w:val="24"/>
          <w:szCs w:val="24"/>
          <w:highlight w:val="none"/>
          <w:lang w:val="en-US" w:eastAsia="zh-CN"/>
        </w:rPr>
        <w:t>化学原料和化学制品制造业</w:t>
      </w:r>
      <w:r>
        <w:rPr>
          <w:rFonts w:hint="default" w:ascii="Times New Roman" w:hAnsi="Times New Roman" w:cs="Times New Roman"/>
          <w:color w:val="auto"/>
          <w:kern w:val="0"/>
          <w:sz w:val="24"/>
          <w:szCs w:val="24"/>
          <w:highlight w:val="none"/>
        </w:rPr>
        <w:t xml:space="preserve"> 2</w:t>
      </w:r>
      <w:r>
        <w:rPr>
          <w:rFonts w:hint="eastAsia" w:ascii="Times New Roman" w:hAnsi="Times New Roman" w:cs="Times New Roman"/>
          <w:color w:val="auto"/>
          <w:kern w:val="0"/>
          <w:sz w:val="24"/>
          <w:szCs w:val="24"/>
          <w:highlight w:val="none"/>
          <w:lang w:val="en-US" w:eastAsia="zh-CN"/>
        </w:rPr>
        <w:t>6中44</w:t>
      </w:r>
      <w:r>
        <w:rPr>
          <w:rFonts w:hint="default" w:ascii="Times New Roman" w:hAnsi="Times New Roman" w:cs="Times New Roman"/>
          <w:color w:val="auto"/>
          <w:kern w:val="0"/>
          <w:sz w:val="24"/>
          <w:szCs w:val="24"/>
          <w:highlight w:val="none"/>
        </w:rPr>
        <w:t xml:space="preserve"> 基础化学原料制造261”</w:t>
      </w:r>
      <w:r>
        <w:rPr>
          <w:rFonts w:hint="eastAsia" w:ascii="Times New Roman" w:hAnsi="Times New Roman" w:cs="Times New Roman"/>
          <w:color w:val="auto"/>
          <w:kern w:val="0"/>
          <w:szCs w:val="24"/>
          <w:highlight w:val="none"/>
          <w:lang w:eastAsia="zh-CN"/>
        </w:rPr>
        <w:t>，</w:t>
      </w:r>
      <w:r>
        <w:rPr>
          <w:rFonts w:hint="eastAsia" w:ascii="Times New Roman" w:hAnsi="Times New Roman" w:cs="Times New Roman"/>
          <w:color w:val="auto"/>
          <w:kern w:val="0"/>
          <w:szCs w:val="24"/>
          <w:highlight w:val="none"/>
          <w:lang w:val="en-US" w:eastAsia="zh-CN"/>
        </w:rPr>
        <w:t>超细银粉属于</w:t>
      </w:r>
      <w:r>
        <w:rPr>
          <w:rFonts w:hint="default" w:ascii="Times New Roman" w:hAnsi="Times New Roman" w:cs="Times New Roman"/>
          <w:color w:val="auto"/>
          <w:kern w:val="0"/>
          <w:sz w:val="24"/>
          <w:szCs w:val="24"/>
          <w:highlight w:val="none"/>
        </w:rPr>
        <w:t>“</w:t>
      </w:r>
      <w:r>
        <w:rPr>
          <w:rFonts w:hint="eastAsia" w:ascii="Times New Roman" w:hAnsi="Times New Roman" w:cs="Times New Roman"/>
          <w:color w:val="auto"/>
          <w:kern w:val="0"/>
          <w:sz w:val="24"/>
          <w:szCs w:val="24"/>
          <w:highlight w:val="none"/>
          <w:lang w:val="en-US" w:eastAsia="zh-CN"/>
        </w:rPr>
        <w:t>三十六</w:t>
      </w:r>
      <w:r>
        <w:rPr>
          <w:rFonts w:hint="default" w:ascii="Times New Roman" w:hAnsi="Times New Roman" w:cs="Times New Roman"/>
          <w:color w:val="auto"/>
          <w:kern w:val="0"/>
          <w:sz w:val="24"/>
          <w:szCs w:val="24"/>
          <w:highlight w:val="none"/>
        </w:rPr>
        <w:t>、计算机、通信和其他电子设备制造业</w:t>
      </w:r>
      <w:r>
        <w:rPr>
          <w:rFonts w:hint="eastAsia" w:ascii="Times New Roman" w:hAnsi="Times New Roman" w:cs="Times New Roman"/>
          <w:color w:val="auto"/>
          <w:kern w:val="0"/>
          <w:sz w:val="24"/>
          <w:szCs w:val="24"/>
          <w:highlight w:val="none"/>
          <w:lang w:val="en-US" w:eastAsia="zh-CN"/>
        </w:rPr>
        <w:t>39中81</w:t>
      </w:r>
      <w:r>
        <w:rPr>
          <w:rFonts w:hint="default" w:ascii="Times New Roman" w:hAnsi="Times New Roman" w:cs="Times New Roman"/>
          <w:color w:val="auto"/>
          <w:kern w:val="0"/>
          <w:sz w:val="24"/>
          <w:szCs w:val="24"/>
          <w:highlight w:val="none"/>
        </w:rPr>
        <w:t xml:space="preserve"> 电子元件及电子专用材料制造</w:t>
      </w:r>
      <w:r>
        <w:rPr>
          <w:rFonts w:hint="eastAsia" w:ascii="Times New Roman" w:hAnsi="Times New Roman" w:cs="Times New Roman"/>
          <w:color w:val="auto"/>
          <w:kern w:val="0"/>
          <w:sz w:val="24"/>
          <w:szCs w:val="24"/>
          <w:highlight w:val="none"/>
          <w:lang w:val="en-US" w:eastAsia="zh-CN"/>
        </w:rPr>
        <w:t>398</w:t>
      </w:r>
      <w:r>
        <w:rPr>
          <w:rFonts w:hint="default" w:ascii="Times New Roman" w:hAnsi="Times New Roman" w:cs="Times New Roman"/>
          <w:color w:val="auto"/>
          <w:kern w:val="0"/>
          <w:sz w:val="24"/>
          <w:szCs w:val="24"/>
          <w:highlight w:val="none"/>
        </w:rPr>
        <w:t>”</w:t>
      </w:r>
      <w:r>
        <w:rPr>
          <w:rFonts w:hint="eastAsia" w:ascii="Times New Roman" w:hAnsi="Times New Roman" w:cs="Times New Roman"/>
          <w:color w:val="auto"/>
          <w:kern w:val="0"/>
          <w:szCs w:val="24"/>
          <w:highlight w:val="none"/>
          <w:lang w:eastAsia="zh-CN"/>
        </w:rPr>
        <w:t>，</w:t>
      </w:r>
      <w:r>
        <w:rPr>
          <w:rFonts w:hint="eastAsia" w:ascii="Times New Roman" w:hAnsi="Times New Roman" w:cs="Times New Roman"/>
          <w:color w:val="auto"/>
          <w:kern w:val="0"/>
          <w:szCs w:val="24"/>
          <w:highlight w:val="none"/>
          <w:lang w:val="en-US" w:eastAsia="zh-CN"/>
        </w:rPr>
        <w:t>其环境影响评价分类见表1，</w:t>
      </w:r>
      <w:r>
        <w:rPr>
          <w:rFonts w:hint="default" w:ascii="Times New Roman" w:hAnsi="Times New Roman" w:cs="Times New Roman"/>
          <w:color w:val="auto"/>
          <w:kern w:val="0"/>
          <w:szCs w:val="24"/>
          <w:highlight w:val="none"/>
        </w:rPr>
        <w:t>因此</w:t>
      </w:r>
      <w:r>
        <w:rPr>
          <w:rFonts w:hint="eastAsia" w:ascii="Times New Roman" w:hAnsi="Times New Roman" w:cs="Times New Roman"/>
          <w:color w:val="auto"/>
          <w:kern w:val="0"/>
          <w:szCs w:val="24"/>
          <w:highlight w:val="none"/>
          <w:lang w:eastAsia="zh-CN"/>
        </w:rPr>
        <w:t>，</w:t>
      </w:r>
      <w:r>
        <w:rPr>
          <w:rFonts w:hint="default" w:ascii="Times New Roman" w:hAnsi="Times New Roman" w:cs="Times New Roman"/>
          <w:color w:val="auto"/>
          <w:kern w:val="0"/>
          <w:szCs w:val="24"/>
          <w:highlight w:val="none"/>
        </w:rPr>
        <w:t>本项目需编制环境影响报告书。</w:t>
      </w:r>
    </w:p>
    <w:p>
      <w:pPr>
        <w:pStyle w:val="876"/>
        <w:rPr>
          <w:rFonts w:ascii="Times New Roman" w:hAnsi="Times New Roman" w:cs="Times New Roman"/>
          <w:color w:val="auto"/>
          <w:highlight w:val="none"/>
        </w:rPr>
      </w:pPr>
      <w:r>
        <w:rPr>
          <w:rFonts w:ascii="Times New Roman" w:hAnsi="Times New Roman" w:cs="Times New Roman"/>
          <w:color w:val="auto"/>
          <w:highlight w:val="none"/>
        </w:rPr>
        <w:t>表1  建设项目环境影响评价分类管理名录（摘录）</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3400"/>
        <w:gridCol w:w="1790"/>
        <w:gridCol w:w="2630"/>
        <w:gridCol w:w="10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865"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项目类别</w:t>
            </w:r>
          </w:p>
        </w:tc>
        <w:tc>
          <w:tcPr>
            <w:tcW w:w="5422" w:type="dxa"/>
            <w:gridSpan w:val="3"/>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环评类别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gridSpan w:val="2"/>
            <w:vMerge w:val="continue"/>
            <w:noWrap w:val="0"/>
          </w:tcPr>
          <w:p/>
        </w:tc>
        <w:tc>
          <w:tcPr>
            <w:tcW w:w="179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报告书</w:t>
            </w:r>
          </w:p>
        </w:tc>
        <w:tc>
          <w:tcPr>
            <w:tcW w:w="263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报告表</w:t>
            </w:r>
          </w:p>
        </w:tc>
        <w:tc>
          <w:tcPr>
            <w:tcW w:w="100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登记表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287" w:type="dxa"/>
            <w:gridSpan w:val="5"/>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二十四、化学原料和化学制品制造业 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5"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44</w:t>
            </w:r>
          </w:p>
        </w:tc>
        <w:tc>
          <w:tcPr>
            <w:tcW w:w="3400"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基础化学原料制造261;农药制造263</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涂料、油墨、颜料及类似产品制造264</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合成材料制造265</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专用化学产品制造266</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炸药、火工及焰火产品制造267</w:t>
            </w:r>
          </w:p>
        </w:tc>
        <w:tc>
          <w:tcPr>
            <w:tcW w:w="1790" w:type="dxa"/>
            <w:shd w:val="clear" w:color="auto" w:fill="BEBEBE"/>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全部（含研发中试</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不含单纯物理分离、物理提纯、混合、分装的)</w:t>
            </w:r>
          </w:p>
        </w:tc>
        <w:tc>
          <w:tcPr>
            <w:tcW w:w="263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单纯物理分离、物理提纯、混合、分装的(不产生废水或挥发性有机物的除外)</w:t>
            </w:r>
          </w:p>
        </w:tc>
        <w:tc>
          <w:tcPr>
            <w:tcW w:w="100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287" w:type="dxa"/>
            <w:gridSpan w:val="5"/>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三十六、计算机、通信和其他电子设备制造业</w:t>
            </w:r>
            <w:r>
              <w:rPr>
                <w:rFonts w:hint="eastAsia" w:ascii="Times New Roman" w:hAnsi="Times New Roman" w:eastAsia="宋体" w:cs="Times New Roman"/>
                <w:color w:val="auto"/>
                <w:sz w:val="21"/>
                <w:szCs w:val="21"/>
                <w:lang w:val="en-US" w:eastAsia="zh-CN"/>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5"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81</w:t>
            </w:r>
          </w:p>
        </w:tc>
        <w:tc>
          <w:tcPr>
            <w:tcW w:w="3400"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电子元件及电子专用材料制造</w:t>
            </w:r>
            <w:r>
              <w:rPr>
                <w:rFonts w:hint="eastAsia" w:ascii="Times New Roman" w:hAnsi="Times New Roman" w:eastAsia="宋体" w:cs="Times New Roman"/>
                <w:color w:val="auto"/>
                <w:sz w:val="21"/>
                <w:szCs w:val="21"/>
                <w:lang w:val="en-US" w:eastAsia="zh-CN"/>
              </w:rPr>
              <w:t>398</w:t>
            </w:r>
          </w:p>
        </w:tc>
        <w:tc>
          <w:tcPr>
            <w:tcW w:w="1790" w:type="dxa"/>
            <w:shd w:val="clear" w:color="auto" w:fill="BEBEBE"/>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半导体材料制造；电子化工材料制造</w:t>
            </w:r>
          </w:p>
        </w:tc>
        <w:tc>
          <w:tcPr>
            <w:tcW w:w="263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印刷电路板制造；电子专用材料制造（电子化工材料制造除外）；使用有机溶剂的；有酸洗的以上均不含仅分割、焊接、组装的</w:t>
            </w:r>
          </w:p>
        </w:tc>
        <w:tc>
          <w:tcPr>
            <w:tcW w:w="100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bl>
    <w:p>
      <w:pPr>
        <w:pStyle w:val="557"/>
        <w:rPr>
          <w:rFonts w:hint="default" w:ascii="Times New Roman" w:hAnsi="Times New Roman" w:cs="Times New Roman"/>
          <w:color w:val="auto"/>
          <w:sz w:val="32"/>
        </w:rPr>
      </w:pPr>
      <w:r>
        <w:rPr>
          <w:rFonts w:hint="default" w:ascii="Times New Roman" w:hAnsi="Times New Roman" w:cs="Times New Roman"/>
          <w:color w:val="auto"/>
          <w:sz w:val="32"/>
        </w:rPr>
        <w:t>0.2环境影响评价的工作过程</w:t>
      </w:r>
      <w:bookmarkEnd w:id="3"/>
      <w:bookmarkEnd w:id="4"/>
      <w:bookmarkEnd w:id="5"/>
      <w:bookmarkEnd w:id="6"/>
      <w:bookmarkEnd w:id="7"/>
      <w:bookmarkEnd w:id="8"/>
      <w:bookmarkEnd w:id="9"/>
      <w:bookmarkEnd w:id="10"/>
      <w:bookmarkEnd w:id="11"/>
      <w:bookmarkEnd w:id="12"/>
      <w:bookmarkEnd w:id="13"/>
    </w:p>
    <w:p>
      <w:pPr>
        <w:pStyle w:val="3"/>
        <w:ind w:firstLine="480"/>
        <w:rPr>
          <w:rFonts w:hint="default" w:ascii="Times New Roman" w:hAnsi="Times New Roman" w:cs="Times New Roman"/>
        </w:rPr>
      </w:pPr>
      <w:r>
        <w:rPr>
          <w:rFonts w:hint="default" w:ascii="Times New Roman" w:hAnsi="Times New Roman" w:cs="Times New Roman"/>
        </w:rPr>
        <w:t>根据《中华人民共和国环境影响评价法》和《建设项目环境保护管理条例》等的规定，202</w:t>
      </w:r>
      <w:r>
        <w:rPr>
          <w:rFonts w:hint="eastAsia" w:ascii="Times New Roman" w:hAnsi="Times New Roman" w:cs="Times New Roman"/>
          <w:lang w:val="en-US" w:eastAsia="zh-CN"/>
        </w:rPr>
        <w:t>1</w:t>
      </w:r>
      <w:r>
        <w:rPr>
          <w:rFonts w:hint="default" w:ascii="Times New Roman" w:hAnsi="Times New Roman" w:cs="Times New Roman"/>
        </w:rPr>
        <w:t>年</w:t>
      </w:r>
      <w:r>
        <w:rPr>
          <w:rFonts w:hint="eastAsia" w:ascii="Times New Roman" w:hAnsi="Times New Roman" w:cs="Times New Roman"/>
          <w:color w:val="000000"/>
          <w:lang w:val="en-US" w:eastAsia="zh-CN"/>
        </w:rPr>
        <w:t>6</w:t>
      </w:r>
      <w:r>
        <w:rPr>
          <w:rFonts w:hint="default" w:ascii="Times New Roman" w:hAnsi="Times New Roman" w:cs="Times New Roman"/>
          <w:color w:val="000000"/>
        </w:rPr>
        <w:t>月，</w:t>
      </w:r>
      <w:r>
        <w:rPr>
          <w:rFonts w:hint="default" w:ascii="Times New Roman" w:hAnsi="Times New Roman" w:cs="Times New Roman"/>
        </w:rPr>
        <w:t>福建富轩科技有限公司委托福建省石油化学工业设计院开展本项目环境影响评价工作（</w:t>
      </w:r>
      <w:r>
        <w:rPr>
          <w:rFonts w:ascii="Times New Roman" w:hAnsi="Times New Roman"/>
          <w:b w:val="0"/>
          <w:bCs w:val="0"/>
          <w:kern w:val="2"/>
          <w:sz w:val="24"/>
          <w:szCs w:val="24"/>
          <w:lang w:val="en-US" w:eastAsia="zh-CN" w:bidi="ar-SA"/>
        </w:rPr>
        <w:t>福建省石油化学工业设计院</w:t>
      </w:r>
      <w:r>
        <w:rPr>
          <w:rFonts w:hint="eastAsia" w:ascii="Times New Roman" w:hAnsi="Times New Roman"/>
          <w:b w:val="0"/>
          <w:bCs w:val="0"/>
          <w:kern w:val="2"/>
          <w:sz w:val="24"/>
          <w:szCs w:val="24"/>
          <w:lang w:val="en-US" w:eastAsia="zh-CN" w:bidi="ar-SA"/>
        </w:rPr>
        <w:t>于2021年7月7日更名为</w:t>
      </w:r>
      <w:r>
        <w:rPr>
          <w:rFonts w:ascii="Times New Roman" w:hAnsi="Times New Roman"/>
          <w:b w:val="0"/>
          <w:bCs w:val="0"/>
          <w:kern w:val="2"/>
          <w:sz w:val="24"/>
          <w:szCs w:val="24"/>
          <w:lang w:val="en-US" w:eastAsia="zh-CN" w:bidi="ar-SA"/>
        </w:rPr>
        <w:t>福建省石油化学工业设计院</w:t>
      </w:r>
      <w:r>
        <w:rPr>
          <w:rFonts w:hint="eastAsia" w:ascii="Times New Roman" w:hAnsi="Times New Roman"/>
          <w:b w:val="0"/>
          <w:bCs w:val="0"/>
          <w:kern w:val="2"/>
          <w:sz w:val="24"/>
          <w:szCs w:val="24"/>
          <w:lang w:val="en-US" w:eastAsia="zh-CN" w:bidi="ar-SA"/>
        </w:rPr>
        <w:t>有限公司，项目委托书及环评单位名称变更通知书见附件1及后说明</w:t>
      </w:r>
      <w:r>
        <w:rPr>
          <w:rFonts w:hint="eastAsia" w:ascii="Times New Roman" w:hAnsi="Times New Roman"/>
          <w:sz w:val="24"/>
          <w:szCs w:val="24"/>
          <w:lang w:eastAsia="zh-CN"/>
        </w:rPr>
        <w:t>）</w:t>
      </w:r>
      <w:r>
        <w:rPr>
          <w:rFonts w:hint="default" w:ascii="Times New Roman" w:hAnsi="Times New Roman" w:cs="Times New Roman"/>
        </w:rPr>
        <w:t>）。我司接受委托后，随即开展环境现状调查、工程现场调查及资料收集，分析判定建设项目选址、规模、性质和工艺路线等与国家和地方有关环境保护法律法规、标准、政策、规范、相关规划、规划环境影响评价结论及审查意见的符合性，并与生态保护红线、环境质量底线、资源利用上线和环境准入负面清单进行对照，作为开展环境影响评价工作的前提和基础。在此基础上，通过污染物核算分析、环境影响预测评价，编制完成了《福建富轩科技有限公司新能源纳米材料项目环境影响报告书》，供建设单位上报环保主管部门审查。</w:t>
      </w:r>
    </w:p>
    <w:p>
      <w:pPr>
        <w:pStyle w:val="557"/>
        <w:rPr>
          <w:rFonts w:hint="default" w:ascii="Times New Roman" w:hAnsi="Times New Roman" w:cs="Times New Roman"/>
          <w:color w:val="auto"/>
          <w:sz w:val="32"/>
        </w:rPr>
      </w:pPr>
      <w:bookmarkStart w:id="14" w:name="_Toc14870"/>
      <w:r>
        <w:rPr>
          <w:rFonts w:hint="default" w:ascii="Times New Roman" w:hAnsi="Times New Roman" w:cs="Times New Roman"/>
          <w:color w:val="auto"/>
          <w:sz w:val="32"/>
        </w:rPr>
        <w:t>0.3相关情况分析判定</w:t>
      </w:r>
      <w:bookmarkEnd w:id="14"/>
    </w:p>
    <w:p>
      <w:pPr>
        <w:pStyle w:val="3"/>
        <w:ind w:firstLine="480"/>
        <w:rPr>
          <w:rFonts w:hint="default" w:ascii="Times New Roman" w:hAnsi="Times New Roman" w:cs="Times New Roman"/>
        </w:rPr>
      </w:pPr>
      <w:r>
        <w:rPr>
          <w:rFonts w:hint="default" w:ascii="Times New Roman" w:hAnsi="Times New Roman" w:cs="Times New Roman"/>
        </w:rPr>
        <w:t>（1）拟建工程产品为电子级硝酸、硝酸银、超细银粉，均为新型电子元器件用材料，通过查阅《产业结构调整指导目录（2019年本）》，属于第二十八项“信息产业”第22条：半导体、光电子器件、新型电子元器件等电子产品用材料鼓励类项目。此外，本项目电子级硝酸、硝酸银属于无机化工行业，</w:t>
      </w:r>
      <w:r>
        <w:rPr>
          <w:rFonts w:hint="eastAsia" w:ascii="Times New Roman" w:hAnsi="Times New Roman" w:cs="Times New Roman"/>
          <w:lang w:val="en-US" w:eastAsia="zh-CN"/>
        </w:rPr>
        <w:t>超细银粉</w:t>
      </w:r>
      <w:r>
        <w:rPr>
          <w:rFonts w:hint="default" w:ascii="Times New Roman" w:hAnsi="Times New Roman" w:cs="Times New Roman"/>
        </w:rPr>
        <w:t>属于硝酸银下游延伸行业，属于高附加值、高成长性产品生产。不属于《产业结构调整指导目录（2019年本）》石化化工中限制类和淘汰类。因此，项目的建设符合国家当前的产业政策。</w:t>
      </w:r>
    </w:p>
    <w:p>
      <w:pPr>
        <w:pStyle w:val="3"/>
        <w:ind w:firstLine="480"/>
        <w:rPr>
          <w:rFonts w:hint="default" w:ascii="Times New Roman" w:hAnsi="Times New Roman" w:cs="Times New Roman"/>
          <w:color w:val="FF0000"/>
        </w:rPr>
      </w:pPr>
      <w:r>
        <w:rPr>
          <w:rFonts w:hint="default" w:ascii="Times New Roman" w:hAnsi="Times New Roman" w:cs="Times New Roman"/>
        </w:rPr>
        <w:t>同时，本项目已于2021年5月31日获得福清市发展和改革局备案证明（闽发改备〔2021〕A060201号，见附件2）。</w:t>
      </w:r>
    </w:p>
    <w:p>
      <w:pPr>
        <w:pStyle w:val="3"/>
        <w:ind w:firstLine="480"/>
        <w:rPr>
          <w:rFonts w:hint="default" w:ascii="Times New Roman" w:hAnsi="Times New Roman" w:cs="Times New Roman"/>
          <w:color w:val="auto"/>
        </w:rPr>
      </w:pPr>
      <w:r>
        <w:rPr>
          <w:rFonts w:hint="default" w:ascii="Times New Roman" w:hAnsi="Times New Roman" w:cs="Times New Roman"/>
        </w:rPr>
        <w:t>（2）拟建项目位于福建省福州江阴港城经济</w:t>
      </w:r>
      <w:r>
        <w:rPr>
          <w:rFonts w:hint="default" w:ascii="Times New Roman" w:hAnsi="Times New Roman" w:cs="Times New Roman"/>
          <w:color w:val="000000"/>
        </w:rPr>
        <w:t>区，公司不动产权证见附件4，</w:t>
      </w:r>
      <w:r>
        <w:rPr>
          <w:rFonts w:hint="default" w:ascii="Times New Roman" w:hAnsi="Times New Roman" w:cs="Times New Roman"/>
        </w:rPr>
        <w:t>用地为工业用地。项目所在区域属于江阴港城临港化工产业西部工业区，西部工业区产业主要为化学基础原料及化学品制造业、医药制造业、化纤制造业、肥料制</w:t>
      </w:r>
      <w:r>
        <w:rPr>
          <w:rFonts w:hint="default" w:ascii="Times New Roman" w:hAnsi="Times New Roman" w:cs="Times New Roman"/>
          <w:color w:val="auto"/>
        </w:rPr>
        <w:t>造</w:t>
      </w:r>
      <w:r>
        <w:rPr>
          <w:rFonts w:hint="eastAsia" w:ascii="Times New Roman" w:hAnsi="Times New Roman" w:cs="Times New Roman"/>
          <w:color w:val="auto"/>
          <w:lang w:eastAsia="zh-CN"/>
        </w:rPr>
        <w:t>。</w:t>
      </w:r>
      <w:r>
        <w:rPr>
          <w:rFonts w:hint="default" w:ascii="Times New Roman" w:hAnsi="Times New Roman" w:cs="Times New Roman"/>
          <w:color w:val="auto"/>
        </w:rPr>
        <w:t>本项目电子级硝酸</w:t>
      </w:r>
      <w:r>
        <w:rPr>
          <w:rFonts w:hint="eastAsia" w:ascii="Times New Roman" w:hAnsi="Times New Roman" w:cs="Times New Roman"/>
          <w:color w:val="auto"/>
          <w:lang w:eastAsia="zh-CN"/>
        </w:rPr>
        <w:t>、</w:t>
      </w:r>
      <w:r>
        <w:rPr>
          <w:rFonts w:hint="default" w:ascii="Times New Roman" w:hAnsi="Times New Roman" w:cs="Times New Roman"/>
          <w:color w:val="auto"/>
        </w:rPr>
        <w:t>硝酸银属于化学原料和化学制品制造业</w:t>
      </w:r>
      <w:r>
        <w:rPr>
          <w:rFonts w:hint="eastAsia" w:ascii="Times New Roman" w:hAnsi="Times New Roman" w:cs="Times New Roman"/>
          <w:color w:val="auto"/>
          <w:lang w:eastAsia="zh-CN"/>
        </w:rPr>
        <w:t>，超细银粉属于电子专用材料制造，</w:t>
      </w:r>
      <w:r>
        <w:rPr>
          <w:rFonts w:hint="default" w:ascii="Times New Roman" w:hAnsi="Times New Roman" w:cs="Times New Roman"/>
          <w:color w:val="auto"/>
        </w:rPr>
        <w:t>但超细银粉使用化工原料，生产过程为化工工艺，生产存在化工企业环境风险。项目生产过程含银废水经处理后回用，不外排。废气中能回收的尽量回收，不能回收的通过相应处理措施减少排放量，降低对大气环境的影响。同时建设罐区围堰及事故应急池、初期雨水池等有效可行的环境风险防范措施。同时，</w:t>
      </w:r>
      <w:r>
        <w:rPr>
          <w:rFonts w:hint="default" w:ascii="Times New Roman" w:hAnsi="Times New Roman" w:cs="Times New Roman"/>
          <w:color w:val="auto"/>
          <w:lang w:val="en-US" w:eastAsia="zh-CN"/>
        </w:rPr>
        <w:t>项目</w:t>
      </w:r>
      <w:r>
        <w:rPr>
          <w:rFonts w:hint="default" w:ascii="Times New Roman" w:hAnsi="Times New Roman" w:cs="Times New Roman"/>
          <w:color w:val="auto"/>
        </w:rPr>
        <w:t>涉及的含银废水通过处理后</w:t>
      </w:r>
      <w:r>
        <w:rPr>
          <w:rFonts w:hint="eastAsia" w:ascii="Times New Roman" w:hAnsi="Times New Roman" w:cs="Times New Roman"/>
          <w:color w:val="auto"/>
          <w:lang w:val="en-US" w:eastAsia="zh-CN"/>
        </w:rPr>
        <w:t>回用</w:t>
      </w:r>
      <w:r>
        <w:rPr>
          <w:rFonts w:hint="default" w:ascii="Times New Roman" w:hAnsi="Times New Roman" w:cs="Times New Roman"/>
          <w:color w:val="auto"/>
        </w:rPr>
        <w:t>不</w:t>
      </w:r>
      <w:r>
        <w:rPr>
          <w:rFonts w:hint="default" w:ascii="Times New Roman" w:hAnsi="Times New Roman" w:cs="Times New Roman"/>
          <w:color w:val="auto"/>
          <w:lang w:val="en-US" w:eastAsia="zh-CN"/>
        </w:rPr>
        <w:t>外排</w:t>
      </w:r>
      <w:r>
        <w:rPr>
          <w:rFonts w:hint="default" w:ascii="Times New Roman" w:hAnsi="Times New Roman" w:cs="Times New Roman"/>
          <w:color w:val="auto"/>
        </w:rPr>
        <w:t>，不属于江阴港城临港化工产业西部工业区禁止/严格控制单元、项目。项目建设符合《福州江阴港城总体规划》（2018-2035）的土地利用及产业规划要求。</w:t>
      </w:r>
    </w:p>
    <w:p>
      <w:pPr>
        <w:pStyle w:val="3"/>
        <w:ind w:firstLine="480"/>
        <w:rPr>
          <w:rFonts w:hint="default" w:ascii="Times New Roman" w:hAnsi="Times New Roman" w:cs="Times New Roman"/>
          <w:color w:val="000000"/>
        </w:rPr>
      </w:pPr>
      <w:r>
        <w:rPr>
          <w:rFonts w:hint="default" w:ascii="Times New Roman" w:hAnsi="Times New Roman" w:cs="Times New Roman"/>
          <w:color w:val="000000"/>
        </w:rPr>
        <w:t>（3）项目周边区域大气环境、声环境、土壤环境、近岸海域海水能达到相关标准要求。项目建设运营后对周边的环境现状影响较小；项目建设与周围环境相容。项目选址较为合理。</w:t>
      </w:r>
    </w:p>
    <w:p>
      <w:pPr>
        <w:rPr>
          <w:rFonts w:hint="default" w:ascii="Times New Roman" w:hAnsi="Times New Roman" w:cs="Times New Roman"/>
        </w:rPr>
      </w:pPr>
    </w:p>
    <w:p>
      <w:pPr>
        <w:snapToGrid w:val="0"/>
        <w:spacing w:line="240" w:lineRule="auto"/>
        <w:ind w:firstLine="0"/>
        <w:jc w:val="center"/>
        <w:rPr>
          <w:rFonts w:hint="default" w:ascii="Times New Roman" w:hAnsi="Times New Roman" w:eastAsia="黑体" w:cs="Times New Roman"/>
          <w:b/>
          <w:bCs/>
          <w:kern w:val="0"/>
          <w:sz w:val="24"/>
          <w:szCs w:val="30"/>
        </w:rPr>
      </w:pPr>
      <w:r>
        <mc:AlternateContent>
          <mc:Choice Requires="wps">
            <w:drawing>
              <wp:anchor distT="45720" distB="45720" distL="114300" distR="114300" simplePos="0" relativeHeight="251664384" behindDoc="0" locked="0" layoutInCell="1" allowOverlap="1">
                <wp:simplePos x="0" y="0"/>
                <wp:positionH relativeFrom="column">
                  <wp:posOffset>-22225</wp:posOffset>
                </wp:positionH>
                <wp:positionV relativeFrom="paragraph">
                  <wp:posOffset>-224155</wp:posOffset>
                </wp:positionV>
                <wp:extent cx="5529580" cy="7729220"/>
                <wp:effectExtent l="4445" t="5080" r="9525" b="19050"/>
                <wp:wrapNone/>
                <wp:docPr id="2" name="自选图形 414"/>
                <wp:cNvGraphicFramePr/>
                <a:graphic xmlns:a="http://schemas.openxmlformats.org/drawingml/2006/main">
                  <a:graphicData uri="http://schemas.microsoft.com/office/word/2010/wordprocessingShape">
                    <wps:wsp>
                      <wps:cNvSpPr/>
                      <wps:spPr>
                        <a:xfrm>
                          <a:off x="0" y="0"/>
                          <a:ext cx="5529580" cy="7729220"/>
                        </a:xfrm>
                        <a:prstGeom prst="flowChartProcess">
                          <a:avLst/>
                        </a:prstGeom>
                        <a:solidFill>
                          <a:srgbClr val="FFFFFF"/>
                        </a:solidFill>
                        <a:ln w="3175" cap="flat" cmpd="sng">
                          <a:solidFill>
                            <a:srgbClr val="000000"/>
                          </a:solidFill>
                          <a:prstDash val="lgDash"/>
                          <a:miter/>
                          <a:headEnd type="none" w="med" len="med"/>
                          <a:tailEnd type="none" w="med" len="med"/>
                        </a:ln>
                      </wps:spPr>
                      <wps:bodyPr vert="horz" wrap="square" anchor="t" anchorCtr="0" upright="1">
                        <a:spAutoFit/>
                      </wps:bodyPr>
                    </wps:wsp>
                  </a:graphicData>
                </a:graphic>
              </wp:anchor>
            </w:drawing>
          </mc:Choice>
          <mc:Fallback>
            <w:pict>
              <v:shape id="自选图形 414" o:spid="_x0000_s1026" o:spt="109" type="#_x0000_t109" style="position:absolute;left:0pt;margin-left:-1.75pt;margin-top:-17.65pt;height:608.6pt;width:435.4pt;z-index:251664384;mso-width-relative:page;mso-height-relative:page;" fillcolor="#FFFFFF" filled="t" stroked="t" coordsize="21600,21600" o:gfxdata="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s9Cs1NgAAAALAQAADwAAAAAAAAABACAAAAAiAAAAZHJz&#10;L2Rvd25yZXYueG1sUEsBAhQAFAAAAAgAh07iQBPhgIs9AgAAgQQAAA4AAAAAAAAAAQAgAAAAJwEA&#10;AGRycy9lMm9Eb2MueG1sUEsFBgAAAAAGAAYAWQEAANYFAAAAAA==&#10;">
                <v:fill on="t" focussize="0,0"/>
                <v:stroke weight="0.25pt" color="#000000" joinstyle="miter" dashstyle="longDash"/>
                <v:imagedata o:title=""/>
                <o:lock v:ext="edit" aspectratio="f"/>
                <v:textbox style="mso-fit-shape-to-text:t;"/>
              </v:shape>
            </w:pict>
          </mc:Fallback>
        </mc:AlternateContent>
      </w:r>
    </w:p>
    <w:p>
      <w:pPr>
        <w:snapToGrid w:val="0"/>
        <w:spacing w:line="240" w:lineRule="auto"/>
        <w:ind w:firstLine="0"/>
        <w:jc w:val="center"/>
        <w:rPr>
          <w:rFonts w:hint="default" w:ascii="Times New Roman" w:hAnsi="Times New Roman" w:eastAsia="黑体" w:cs="Times New Roman"/>
          <w:b/>
          <w:bCs/>
          <w:kern w:val="0"/>
          <w:sz w:val="24"/>
          <w:szCs w:val="30"/>
        </w:rPr>
      </w:pPr>
    </w:p>
    <w:p>
      <w:pPr>
        <w:snapToGrid w:val="0"/>
        <w:spacing w:line="240" w:lineRule="auto"/>
        <w:ind w:firstLine="0"/>
        <w:jc w:val="center"/>
        <w:rPr>
          <w:rFonts w:hint="default" w:ascii="Times New Roman" w:hAnsi="Times New Roman" w:eastAsia="黑体" w:cs="Times New Roman"/>
          <w:b/>
          <w:bCs/>
          <w:kern w:val="0"/>
          <w:sz w:val="24"/>
          <w:szCs w:val="30"/>
        </w:rPr>
      </w:pPr>
      <w:r>
        <mc:AlternateContent>
          <mc:Choice Requires="wps">
            <w:drawing>
              <wp:anchor distT="45720" distB="45720" distL="114300" distR="114300" simplePos="0" relativeHeight="251665408" behindDoc="0" locked="0" layoutInCell="1" allowOverlap="1">
                <wp:simplePos x="0" y="0"/>
                <wp:positionH relativeFrom="column">
                  <wp:posOffset>1621155</wp:posOffset>
                </wp:positionH>
                <wp:positionV relativeFrom="paragraph">
                  <wp:posOffset>7620</wp:posOffset>
                </wp:positionV>
                <wp:extent cx="2844165" cy="332105"/>
                <wp:effectExtent l="4445" t="4445" r="8890" b="6350"/>
                <wp:wrapSquare wrapText="bothSides"/>
                <wp:docPr id="3" name="文本框 2"/>
                <wp:cNvGraphicFramePr/>
                <a:graphic xmlns:a="http://schemas.openxmlformats.org/drawingml/2006/main">
                  <a:graphicData uri="http://schemas.microsoft.com/office/word/2010/wordprocessingShape">
                    <wps:wsp>
                      <wps:cNvSpPr txBox="1"/>
                      <wps:spPr>
                        <a:xfrm>
                          <a:off x="0" y="0"/>
                          <a:ext cx="2844165" cy="33210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0"/>
                              <w:jc w:val="center"/>
                              <w:rPr>
                                <w:rFonts w:hint="eastAsia" w:ascii="宋体" w:hAnsi="宋体" w:eastAsia="宋体"/>
                                <w:sz w:val="21"/>
                                <w:szCs w:val="21"/>
                              </w:rPr>
                            </w:pPr>
                            <w:r>
                              <w:rPr>
                                <w:rFonts w:hint="eastAsia" w:ascii="宋体" w:hAnsi="宋体" w:eastAsia="宋体"/>
                                <w:sz w:val="21"/>
                                <w:szCs w:val="21"/>
                              </w:rPr>
                              <w:t>依据</w:t>
                            </w:r>
                            <w:r>
                              <w:rPr>
                                <w:rFonts w:ascii="宋体" w:hAnsi="宋体" w:eastAsia="宋体"/>
                                <w:sz w:val="21"/>
                                <w:szCs w:val="21"/>
                              </w:rPr>
                              <w:t>相关规定确定环境影响评价文件类型</w:t>
                            </w:r>
                          </w:p>
                        </w:txbxContent>
                      </wps:txbx>
                      <wps:bodyPr wrap="square" upright="1"/>
                    </wps:wsp>
                  </a:graphicData>
                </a:graphic>
              </wp:anchor>
            </w:drawing>
          </mc:Choice>
          <mc:Fallback>
            <w:pict>
              <v:shape id="文本框 2" o:spid="_x0000_s1026" o:spt="202" type="#_x0000_t202" style="position:absolute;left:0pt;margin-left:127.65pt;margin-top:0.6pt;height:26.15pt;width:223.95pt;mso-wrap-distance-bottom:3.6pt;mso-wrap-distance-left:9pt;mso-wrap-distance-right:9pt;mso-wrap-distance-top:3.6pt;z-index:251665408;mso-width-relative:page;mso-height-relative:page;" fillcolor="#FFFFFF" filled="t" stroked="t" coordsize="21600,21600" o:gfxdata="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KAJKX1wAAAAgBAAAPAAAA&#10;AAAAAAEAIAAAACIAAABkcnMvZG93bnJldi54bWxQSwECFAAUAAAACACHTuJA9sGT5hYCAABEBAAA&#10;DgAAAAAAAAABACAAAAAmAQAAZHJzL2Uyb0RvYy54bWxQSwUGAAAAAAYABgBZAQAArgUAAAAA&#10;">
                <v:fill on="t" focussize="0,0"/>
                <v:stroke color="#000000" joinstyle="miter"/>
                <v:imagedata o:title=""/>
                <o:lock v:ext="edit" aspectratio="f"/>
                <v:textbox>
                  <w:txbxContent>
                    <w:p>
                      <w:pPr>
                        <w:ind w:firstLine="0"/>
                        <w:jc w:val="center"/>
                        <w:rPr>
                          <w:rFonts w:hint="eastAsia" w:ascii="宋体" w:hAnsi="宋体" w:eastAsia="宋体"/>
                          <w:sz w:val="21"/>
                          <w:szCs w:val="21"/>
                        </w:rPr>
                      </w:pPr>
                      <w:r>
                        <w:rPr>
                          <w:rFonts w:hint="eastAsia" w:ascii="宋体" w:hAnsi="宋体" w:eastAsia="宋体"/>
                          <w:sz w:val="21"/>
                          <w:szCs w:val="21"/>
                        </w:rPr>
                        <w:t>依据</w:t>
                      </w:r>
                      <w:r>
                        <w:rPr>
                          <w:rFonts w:ascii="宋体" w:hAnsi="宋体" w:eastAsia="宋体"/>
                          <w:sz w:val="21"/>
                          <w:szCs w:val="21"/>
                        </w:rPr>
                        <w:t>相关规定确定环境影响评价文件类型</w:t>
                      </w:r>
                    </w:p>
                  </w:txbxContent>
                </v:textbox>
                <w10:wrap type="square"/>
              </v:shape>
            </w:pict>
          </mc:Fallback>
        </mc:AlternateContent>
      </w:r>
    </w:p>
    <w:p>
      <w:pPr>
        <w:snapToGrid w:val="0"/>
        <w:spacing w:line="240" w:lineRule="auto"/>
        <w:ind w:firstLine="0"/>
        <w:jc w:val="center"/>
        <w:rPr>
          <w:rFonts w:hint="default" w:ascii="Times New Roman" w:hAnsi="Times New Roman" w:eastAsia="黑体" w:cs="Times New Roman"/>
          <w:b/>
          <w:bCs/>
          <w:kern w:val="0"/>
          <w:sz w:val="24"/>
          <w:szCs w:val="30"/>
        </w:rPr>
      </w:pPr>
      <w:r>
        <mc:AlternateContent>
          <mc:Choice Requires="wps">
            <w:drawing>
              <wp:anchor distT="45720" distB="45720" distL="114300" distR="114300" simplePos="0" relativeHeight="251666432" behindDoc="0" locked="0" layoutInCell="1" allowOverlap="1">
                <wp:simplePos x="0" y="0"/>
                <wp:positionH relativeFrom="column">
                  <wp:posOffset>2947670</wp:posOffset>
                </wp:positionH>
                <wp:positionV relativeFrom="paragraph">
                  <wp:posOffset>174625</wp:posOffset>
                </wp:positionV>
                <wp:extent cx="0" cy="304800"/>
                <wp:effectExtent l="38100" t="0" r="38100" b="0"/>
                <wp:wrapNone/>
                <wp:docPr id="4" name="自选图形 416"/>
                <wp:cNvGraphicFramePr/>
                <a:graphic xmlns:a="http://schemas.openxmlformats.org/drawingml/2006/main">
                  <a:graphicData uri="http://schemas.microsoft.com/office/word/2010/wordprocessingShape">
                    <wps:wsp>
                      <wps:cNvCnPr>
                        <a:endCxn id="55" idx="2"/>
                      </wps:cNvCnPr>
                      <wps:spPr>
                        <a:xfrm>
                          <a:off x="0" y="0"/>
                          <a:ext cx="0" cy="3048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416" o:spid="_x0000_s1026" o:spt="32" type="#_x0000_t32" style="position:absolute;left:0pt;margin-left:232.1pt;margin-top:13.75pt;height:24pt;width:0pt;z-index:251666432;mso-width-relative:page;mso-height-relative:page;" filled="f" stroked="t" coordsize="21600,21600" o:gfxdata="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OLC1ctkAAAAJAQAADwAAAAAAAAAB&#10;ACAAAAAiAAAAZHJzL2Rvd25yZXYueG1sUEsBAhQAFAAAAAgAh07iQKsoblwPAgAAEAQAAA4AAAAA&#10;AAAAAQAgAAAAKAEAAGRycy9lMm9Eb2MueG1sUEsFBgAAAAAGAAYAWQEAAKkFAAAAAA==&#10;">
                <v:fill on="f" focussize="0,0"/>
                <v:stroke color="#000000" joinstyle="round" endarrow="block"/>
                <v:imagedata o:title=""/>
                <o:lock v:ext="edit" aspectratio="f"/>
              </v:shape>
            </w:pict>
          </mc:Fallback>
        </mc:AlternateContent>
      </w:r>
    </w:p>
    <w:p>
      <w:pPr>
        <w:snapToGrid w:val="0"/>
        <w:spacing w:line="240" w:lineRule="auto"/>
        <w:ind w:firstLine="0"/>
        <w:jc w:val="center"/>
        <w:rPr>
          <w:rFonts w:hint="default" w:ascii="Times New Roman" w:hAnsi="Times New Roman" w:eastAsia="黑体" w:cs="Times New Roman"/>
          <w:b/>
          <w:bCs/>
          <w:kern w:val="0"/>
          <w:sz w:val="24"/>
          <w:szCs w:val="30"/>
        </w:rPr>
      </w:pPr>
    </w:p>
    <w:p>
      <w:pPr>
        <w:snapToGrid w:val="0"/>
        <w:spacing w:line="240" w:lineRule="auto"/>
        <w:ind w:firstLine="0"/>
        <w:jc w:val="center"/>
        <w:rPr>
          <w:rFonts w:hint="default" w:ascii="Times New Roman" w:hAnsi="Times New Roman" w:eastAsia="黑体" w:cs="Times New Roman"/>
          <w:b/>
          <w:bCs/>
          <w:kern w:val="0"/>
          <w:sz w:val="24"/>
          <w:szCs w:val="30"/>
        </w:rPr>
      </w:pPr>
      <w:r>
        <mc:AlternateContent>
          <mc:Choice Requires="wps">
            <w:drawing>
              <wp:anchor distT="45720" distB="45720" distL="114300" distR="114300" simplePos="0" relativeHeight="251667456" behindDoc="0" locked="0" layoutInCell="1" allowOverlap="1">
                <wp:simplePos x="0" y="0"/>
                <wp:positionH relativeFrom="column">
                  <wp:posOffset>1767840</wp:posOffset>
                </wp:positionH>
                <wp:positionV relativeFrom="paragraph">
                  <wp:posOffset>138430</wp:posOffset>
                </wp:positionV>
                <wp:extent cx="2548255" cy="716915"/>
                <wp:effectExtent l="4445" t="4445" r="19050" b="21590"/>
                <wp:wrapSquare wrapText="bothSides"/>
                <wp:docPr id="5" name="文本框 2"/>
                <wp:cNvGraphicFramePr/>
                <a:graphic xmlns:a="http://schemas.openxmlformats.org/drawingml/2006/main">
                  <a:graphicData uri="http://schemas.microsoft.com/office/word/2010/wordprocessingShape">
                    <wps:wsp>
                      <wps:cNvSpPr txBox="1"/>
                      <wps:spPr>
                        <a:xfrm>
                          <a:off x="0" y="0"/>
                          <a:ext cx="2548255" cy="7169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0"/>
                              <w:rPr>
                                <w:rFonts w:eastAsia="宋体"/>
                                <w:sz w:val="21"/>
                                <w:szCs w:val="21"/>
                              </w:rPr>
                            </w:pPr>
                            <w:r>
                              <w:rPr>
                                <w:rFonts w:eastAsia="宋体"/>
                                <w:sz w:val="21"/>
                                <w:szCs w:val="21"/>
                              </w:rPr>
                              <w:t>1 研究相关技术文件和其他有关文件</w:t>
                            </w:r>
                          </w:p>
                          <w:p>
                            <w:pPr>
                              <w:ind w:firstLine="0"/>
                              <w:rPr>
                                <w:rFonts w:eastAsia="宋体"/>
                                <w:sz w:val="21"/>
                                <w:szCs w:val="21"/>
                              </w:rPr>
                            </w:pPr>
                            <w:r>
                              <w:rPr>
                                <w:rFonts w:eastAsia="宋体"/>
                                <w:sz w:val="21"/>
                                <w:szCs w:val="21"/>
                              </w:rPr>
                              <w:t>2 进行初步工程分析</w:t>
                            </w:r>
                          </w:p>
                          <w:p>
                            <w:pPr>
                              <w:ind w:firstLine="0"/>
                              <w:rPr>
                                <w:rFonts w:eastAsia="宋体"/>
                                <w:sz w:val="21"/>
                                <w:szCs w:val="21"/>
                              </w:rPr>
                            </w:pPr>
                            <w:r>
                              <w:rPr>
                                <w:rFonts w:eastAsia="宋体"/>
                                <w:sz w:val="21"/>
                                <w:szCs w:val="21"/>
                              </w:rPr>
                              <w:t>3 开展初步的环境现状调查</w:t>
                            </w:r>
                          </w:p>
                        </w:txbxContent>
                      </wps:txbx>
                      <wps:bodyPr wrap="square" upright="1"/>
                    </wps:wsp>
                  </a:graphicData>
                </a:graphic>
              </wp:anchor>
            </w:drawing>
          </mc:Choice>
          <mc:Fallback>
            <w:pict>
              <v:shape id="文本框 2" o:spid="_x0000_s1026" o:spt="202" type="#_x0000_t202" style="position:absolute;left:0pt;margin-left:139.2pt;margin-top:10.9pt;height:56.45pt;width:200.65pt;mso-wrap-distance-bottom:3.6pt;mso-wrap-distance-left:9pt;mso-wrap-distance-right:9pt;mso-wrap-distance-top:3.6pt;z-index:251667456;mso-width-relative:page;mso-height-relative:page;" fillcolor="#FFFFFF" filled="t" stroked="t" coordsize="21600,21600" o:gfxdata="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kV3Qs2QAAAAoBAAAPAAAA&#10;AAAAAAEAIAAAACIAAABkcnMvZG93bnJldi54bWxQSwECFAAUAAAACACHTuJA0/FVrhQCAABEBAAA&#10;DgAAAAAAAAABACAAAAAoAQAAZHJzL2Uyb0RvYy54bWxQSwUGAAAAAAYABgBZAQAArgUAAAAA&#10;">
                <v:fill on="t" focussize="0,0"/>
                <v:stroke color="#000000" joinstyle="miter"/>
                <v:imagedata o:title=""/>
                <o:lock v:ext="edit" aspectratio="f"/>
                <v:textbox>
                  <w:txbxContent>
                    <w:p>
                      <w:pPr>
                        <w:ind w:firstLine="0"/>
                        <w:rPr>
                          <w:rFonts w:eastAsia="宋体"/>
                          <w:sz w:val="21"/>
                          <w:szCs w:val="21"/>
                        </w:rPr>
                      </w:pPr>
                      <w:r>
                        <w:rPr>
                          <w:rFonts w:eastAsia="宋体"/>
                          <w:sz w:val="21"/>
                          <w:szCs w:val="21"/>
                        </w:rPr>
                        <w:t>1 研究相关技术文件和其他有关文件</w:t>
                      </w:r>
                    </w:p>
                    <w:p>
                      <w:pPr>
                        <w:ind w:firstLine="0"/>
                        <w:rPr>
                          <w:rFonts w:eastAsia="宋体"/>
                          <w:sz w:val="21"/>
                          <w:szCs w:val="21"/>
                        </w:rPr>
                      </w:pPr>
                      <w:r>
                        <w:rPr>
                          <w:rFonts w:eastAsia="宋体"/>
                          <w:sz w:val="21"/>
                          <w:szCs w:val="21"/>
                        </w:rPr>
                        <w:t>2 进行初步工程分析</w:t>
                      </w:r>
                    </w:p>
                    <w:p>
                      <w:pPr>
                        <w:ind w:firstLine="0"/>
                        <w:rPr>
                          <w:rFonts w:eastAsia="宋体"/>
                          <w:sz w:val="21"/>
                          <w:szCs w:val="21"/>
                        </w:rPr>
                      </w:pPr>
                      <w:r>
                        <w:rPr>
                          <w:rFonts w:eastAsia="宋体"/>
                          <w:sz w:val="21"/>
                          <w:szCs w:val="21"/>
                        </w:rPr>
                        <w:t>3 开展初步的环境现状调查</w:t>
                      </w:r>
                    </w:p>
                  </w:txbxContent>
                </v:textbox>
                <w10:wrap type="square"/>
              </v:shape>
            </w:pict>
          </mc:Fallback>
        </mc:AlternateContent>
      </w:r>
    </w:p>
    <w:p>
      <w:pPr>
        <w:snapToGrid w:val="0"/>
        <w:spacing w:line="240" w:lineRule="auto"/>
        <w:ind w:firstLine="0"/>
        <w:jc w:val="center"/>
        <w:rPr>
          <w:rFonts w:hint="default" w:ascii="Times New Roman" w:hAnsi="Times New Roman" w:eastAsia="黑体" w:cs="Times New Roman"/>
          <w:b/>
          <w:bCs/>
          <w:kern w:val="0"/>
          <w:sz w:val="24"/>
          <w:szCs w:val="30"/>
        </w:rPr>
      </w:pPr>
      <w:r>
        <mc:AlternateContent>
          <mc:Choice Requires="wps">
            <w:drawing>
              <wp:anchor distT="45720" distB="45720" distL="114300" distR="114300" simplePos="0" relativeHeight="251689984" behindDoc="0" locked="0" layoutInCell="1" allowOverlap="1">
                <wp:simplePos x="0" y="0"/>
                <wp:positionH relativeFrom="column">
                  <wp:posOffset>321945</wp:posOffset>
                </wp:positionH>
                <wp:positionV relativeFrom="paragraph">
                  <wp:posOffset>128270</wp:posOffset>
                </wp:positionV>
                <wp:extent cx="336550" cy="1778000"/>
                <wp:effectExtent l="0" t="0" r="6350" b="12700"/>
                <wp:wrapSquare wrapText="bothSides"/>
                <wp:docPr id="27" name="文本框 2"/>
                <wp:cNvGraphicFramePr/>
                <a:graphic xmlns:a="http://schemas.openxmlformats.org/drawingml/2006/main">
                  <a:graphicData uri="http://schemas.microsoft.com/office/word/2010/wordprocessingShape">
                    <wps:wsp>
                      <wps:cNvSpPr txBox="1"/>
                      <wps:spPr>
                        <a:xfrm>
                          <a:off x="0" y="0"/>
                          <a:ext cx="336550" cy="1778000"/>
                        </a:xfrm>
                        <a:prstGeom prst="rect">
                          <a:avLst/>
                        </a:prstGeom>
                        <a:solidFill>
                          <a:srgbClr val="FFFFFF"/>
                        </a:solidFill>
                        <a:ln>
                          <a:noFill/>
                        </a:ln>
                      </wps:spPr>
                      <wps:txbx>
                        <w:txbxContent>
                          <w:p>
                            <w:pPr>
                              <w:ind w:firstLine="0"/>
                              <w:rPr>
                                <w:rFonts w:ascii="宋体" w:hAnsi="宋体" w:eastAsia="宋体"/>
                                <w:sz w:val="21"/>
                                <w:szCs w:val="21"/>
                              </w:rPr>
                            </w:pPr>
                            <w:r>
                              <w:rPr>
                                <w:rFonts w:hint="eastAsia" w:ascii="宋体" w:hAnsi="宋体" w:eastAsia="宋体"/>
                                <w:sz w:val="21"/>
                                <w:szCs w:val="21"/>
                              </w:rPr>
                              <w:t>第</w:t>
                            </w:r>
                          </w:p>
                          <w:p>
                            <w:pPr>
                              <w:ind w:firstLine="0"/>
                              <w:rPr>
                                <w:rFonts w:ascii="宋体" w:hAnsi="宋体" w:eastAsia="宋体"/>
                                <w:sz w:val="21"/>
                                <w:szCs w:val="21"/>
                              </w:rPr>
                            </w:pPr>
                            <w:r>
                              <w:rPr>
                                <w:rFonts w:hint="eastAsia" w:ascii="宋体" w:hAnsi="宋体" w:eastAsia="宋体"/>
                                <w:sz w:val="21"/>
                                <w:szCs w:val="21"/>
                              </w:rPr>
                              <w:t>一</w:t>
                            </w:r>
                          </w:p>
                          <w:p>
                            <w:pPr>
                              <w:ind w:firstLine="0"/>
                              <w:rPr>
                                <w:rFonts w:ascii="宋体" w:hAnsi="宋体" w:eastAsia="宋体"/>
                                <w:sz w:val="21"/>
                                <w:szCs w:val="21"/>
                              </w:rPr>
                            </w:pPr>
                            <w:r>
                              <w:rPr>
                                <w:rFonts w:ascii="宋体" w:hAnsi="宋体" w:eastAsia="宋体"/>
                                <w:sz w:val="21"/>
                                <w:szCs w:val="21"/>
                              </w:rPr>
                              <w:t>阶</w:t>
                            </w:r>
                          </w:p>
                          <w:p>
                            <w:pPr>
                              <w:ind w:firstLine="0"/>
                              <w:rPr>
                                <w:rFonts w:hint="eastAsia" w:ascii="宋体" w:hAnsi="宋体" w:eastAsia="宋体"/>
                                <w:sz w:val="21"/>
                                <w:szCs w:val="21"/>
                              </w:rPr>
                            </w:pPr>
                            <w:r>
                              <w:rPr>
                                <w:rFonts w:ascii="宋体" w:hAnsi="宋体" w:eastAsia="宋体"/>
                                <w:sz w:val="21"/>
                                <w:szCs w:val="21"/>
                              </w:rPr>
                              <w:t>段</w:t>
                            </w:r>
                          </w:p>
                        </w:txbxContent>
                      </wps:txbx>
                      <wps:bodyPr wrap="square" upright="1">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25.35pt;margin-top:10.1pt;height:140pt;width:26.5pt;mso-wrap-distance-bottom:3.6pt;mso-wrap-distance-left:9pt;mso-wrap-distance-right:9pt;mso-wrap-distance-top:3.6pt;z-index:251689984;mso-width-relative:page;mso-height-relative:margin;mso-height-percent:200;" fillcolor="#FFFFFF" filled="t" stroked="f" coordsize="21600,21600" o:gfxdata="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5cvHN1QAAAAkBAAAPAAAAAAAAAAEA&#10;IAAAACIAAABkcnMvZG93bnJldi54bWxQSwECFAAUAAAACACHTuJABTCxYNkBAACgAwAADgAAAAAA&#10;AAABACAAAAAkAQAAZHJzL2Uyb0RvYy54bWxQSwUGAAAAAAYABgBZAQAAbwUAAAAA&#10;">
                <v:fill on="t" focussize="0,0"/>
                <v:stroke on="f"/>
                <v:imagedata o:title=""/>
                <o:lock v:ext="edit" aspectratio="f"/>
                <v:textbox style="mso-fit-shape-to-text:t;">
                  <w:txbxContent>
                    <w:p>
                      <w:pPr>
                        <w:ind w:firstLine="0"/>
                        <w:rPr>
                          <w:rFonts w:ascii="宋体" w:hAnsi="宋体" w:eastAsia="宋体"/>
                          <w:sz w:val="21"/>
                          <w:szCs w:val="21"/>
                        </w:rPr>
                      </w:pPr>
                      <w:r>
                        <w:rPr>
                          <w:rFonts w:hint="eastAsia" w:ascii="宋体" w:hAnsi="宋体" w:eastAsia="宋体"/>
                          <w:sz w:val="21"/>
                          <w:szCs w:val="21"/>
                        </w:rPr>
                        <w:t>第</w:t>
                      </w:r>
                    </w:p>
                    <w:p>
                      <w:pPr>
                        <w:ind w:firstLine="0"/>
                        <w:rPr>
                          <w:rFonts w:ascii="宋体" w:hAnsi="宋体" w:eastAsia="宋体"/>
                          <w:sz w:val="21"/>
                          <w:szCs w:val="21"/>
                        </w:rPr>
                      </w:pPr>
                      <w:r>
                        <w:rPr>
                          <w:rFonts w:hint="eastAsia" w:ascii="宋体" w:hAnsi="宋体" w:eastAsia="宋体"/>
                          <w:sz w:val="21"/>
                          <w:szCs w:val="21"/>
                        </w:rPr>
                        <w:t>一</w:t>
                      </w:r>
                    </w:p>
                    <w:p>
                      <w:pPr>
                        <w:ind w:firstLine="0"/>
                        <w:rPr>
                          <w:rFonts w:ascii="宋体" w:hAnsi="宋体" w:eastAsia="宋体"/>
                          <w:sz w:val="21"/>
                          <w:szCs w:val="21"/>
                        </w:rPr>
                      </w:pPr>
                      <w:r>
                        <w:rPr>
                          <w:rFonts w:ascii="宋体" w:hAnsi="宋体" w:eastAsia="宋体"/>
                          <w:sz w:val="21"/>
                          <w:szCs w:val="21"/>
                        </w:rPr>
                        <w:t>阶</w:t>
                      </w:r>
                    </w:p>
                    <w:p>
                      <w:pPr>
                        <w:ind w:firstLine="0"/>
                        <w:rPr>
                          <w:rFonts w:hint="eastAsia" w:ascii="宋体" w:hAnsi="宋体" w:eastAsia="宋体"/>
                          <w:sz w:val="21"/>
                          <w:szCs w:val="21"/>
                        </w:rPr>
                      </w:pPr>
                      <w:r>
                        <w:rPr>
                          <w:rFonts w:ascii="宋体" w:hAnsi="宋体" w:eastAsia="宋体"/>
                          <w:sz w:val="21"/>
                          <w:szCs w:val="21"/>
                        </w:rPr>
                        <w:t>段</w:t>
                      </w:r>
                    </w:p>
                  </w:txbxContent>
                </v:textbox>
                <w10:wrap type="square"/>
              </v:shape>
            </w:pict>
          </mc:Fallback>
        </mc:AlternateContent>
      </w:r>
    </w:p>
    <w:p>
      <w:pPr>
        <w:rPr>
          <w:rFonts w:hint="default" w:ascii="Times New Roman" w:hAnsi="Times New Roman" w:cs="Times New Roman"/>
        </w:rPr>
      </w:pPr>
    </w:p>
    <w:p>
      <w:pPr>
        <w:rPr>
          <w:rFonts w:hint="default" w:ascii="Times New Roman" w:hAnsi="Times New Roman" w:cs="Times New Roman"/>
        </w:rPr>
      </w:pPr>
    </w:p>
    <w:p>
      <w:pPr>
        <w:rPr>
          <w:rFonts w:hint="default" w:ascii="Times New Roman" w:hAnsi="Times New Roman" w:cs="Times New Roman"/>
        </w:rPr>
      </w:pPr>
      <w:r>
        <mc:AlternateContent>
          <mc:Choice Requires="wps">
            <w:drawing>
              <wp:anchor distT="45720" distB="45720" distL="114300" distR="114300" simplePos="0" relativeHeight="251668480" behindDoc="0" locked="0" layoutInCell="1" allowOverlap="1">
                <wp:simplePos x="0" y="0"/>
                <wp:positionH relativeFrom="column">
                  <wp:posOffset>2164715</wp:posOffset>
                </wp:positionH>
                <wp:positionV relativeFrom="paragraph">
                  <wp:posOffset>15875</wp:posOffset>
                </wp:positionV>
                <wp:extent cx="0" cy="304800"/>
                <wp:effectExtent l="38100" t="0" r="38100" b="0"/>
                <wp:wrapNone/>
                <wp:docPr id="6" name="自选图形 418"/>
                <wp:cNvGraphicFramePr/>
                <a:graphic xmlns:a="http://schemas.openxmlformats.org/drawingml/2006/main">
                  <a:graphicData uri="http://schemas.microsoft.com/office/word/2010/wordprocessingShape">
                    <wps:wsp>
                      <wps:cNvCnPr>
                        <a:endCxn id="55" idx="2"/>
                      </wps:cNvCnPr>
                      <wps:spPr>
                        <a:xfrm>
                          <a:off x="0" y="0"/>
                          <a:ext cx="0" cy="3048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418" o:spid="_x0000_s1026" o:spt="32" type="#_x0000_t32" style="position:absolute;left:0pt;margin-left:170.45pt;margin-top:1.25pt;height:24pt;width:0pt;z-index:251668480;mso-width-relative:page;mso-height-relative:page;" filled="f" stroked="t" coordsize="21600,21600" o:gfxdata="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0suznXAAAACAEAAA8AAAAAAAAAAQAg&#10;AAAAIgAAAGRycy9kb3ducmV2LnhtbFBLAQIUABQAAAAIAIdO4kAU44XpDwIAABAEAAAOAAAAAAAA&#10;AAEAIAAAACYBAABkcnMvZTJvRG9jLnhtbFBLBQYAAAAABgAGAFkBAACnBQAAAAA=&#10;">
                <v:fill on="f" focussize="0,0"/>
                <v:stroke color="#000000" joinstyle="round" endarrow="block"/>
                <v:imagedata o:title=""/>
                <o:lock v:ext="edit" aspectratio="f"/>
              </v:shape>
            </w:pict>
          </mc:Fallback>
        </mc:AlternateContent>
      </w:r>
    </w:p>
    <w:p>
      <w:pPr>
        <w:rPr>
          <w:rFonts w:hint="default" w:ascii="Times New Roman" w:hAnsi="Times New Roman" w:cs="Times New Roman"/>
        </w:rPr>
      </w:pPr>
      <w:r>
        <mc:AlternateContent>
          <mc:Choice Requires="wps">
            <w:drawing>
              <wp:anchor distT="45720" distB="45720" distL="114300" distR="114300" simplePos="0" relativeHeight="251669504" behindDoc="0" locked="0" layoutInCell="1" allowOverlap="1">
                <wp:simplePos x="0" y="0"/>
                <wp:positionH relativeFrom="column">
                  <wp:posOffset>965835</wp:posOffset>
                </wp:positionH>
                <wp:positionV relativeFrom="paragraph">
                  <wp:posOffset>56515</wp:posOffset>
                </wp:positionV>
                <wp:extent cx="2548255" cy="716915"/>
                <wp:effectExtent l="4445" t="4445" r="19050" b="21590"/>
                <wp:wrapSquare wrapText="bothSides"/>
                <wp:docPr id="7" name="文本框 2"/>
                <wp:cNvGraphicFramePr/>
                <a:graphic xmlns:a="http://schemas.openxmlformats.org/drawingml/2006/main">
                  <a:graphicData uri="http://schemas.microsoft.com/office/word/2010/wordprocessingShape">
                    <wps:wsp>
                      <wps:cNvSpPr txBox="1"/>
                      <wps:spPr>
                        <a:xfrm>
                          <a:off x="0" y="0"/>
                          <a:ext cx="2548255" cy="7169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0"/>
                              <w:rPr>
                                <w:rFonts w:eastAsia="宋体"/>
                                <w:sz w:val="21"/>
                                <w:szCs w:val="21"/>
                              </w:rPr>
                            </w:pPr>
                            <w:r>
                              <w:rPr>
                                <w:rFonts w:eastAsia="宋体"/>
                                <w:sz w:val="21"/>
                                <w:szCs w:val="21"/>
                              </w:rPr>
                              <w:t>1 环境影响识别和评价因子筛选</w:t>
                            </w:r>
                          </w:p>
                          <w:p>
                            <w:pPr>
                              <w:ind w:firstLine="0"/>
                              <w:rPr>
                                <w:rFonts w:eastAsia="宋体"/>
                                <w:sz w:val="21"/>
                                <w:szCs w:val="21"/>
                              </w:rPr>
                            </w:pPr>
                            <w:r>
                              <w:rPr>
                                <w:rFonts w:eastAsia="宋体"/>
                                <w:sz w:val="21"/>
                                <w:szCs w:val="21"/>
                              </w:rPr>
                              <w:t>2 明确评价重点和环境保护目标</w:t>
                            </w:r>
                          </w:p>
                          <w:p>
                            <w:pPr>
                              <w:ind w:firstLine="0"/>
                              <w:rPr>
                                <w:rFonts w:eastAsia="宋体"/>
                                <w:sz w:val="21"/>
                                <w:szCs w:val="21"/>
                              </w:rPr>
                            </w:pPr>
                            <w:r>
                              <w:rPr>
                                <w:rFonts w:eastAsia="宋体"/>
                                <w:sz w:val="21"/>
                                <w:szCs w:val="21"/>
                              </w:rPr>
                              <w:t>3 确定工作等级、评价范围和评价标准</w:t>
                            </w:r>
                          </w:p>
                        </w:txbxContent>
                      </wps:txbx>
                      <wps:bodyPr wrap="square" upright="1"/>
                    </wps:wsp>
                  </a:graphicData>
                </a:graphic>
              </wp:anchor>
            </w:drawing>
          </mc:Choice>
          <mc:Fallback>
            <w:pict>
              <v:shape id="文本框 2" o:spid="_x0000_s1026" o:spt="202" type="#_x0000_t202" style="position:absolute;left:0pt;margin-left:76.05pt;margin-top:4.45pt;height:56.45pt;width:200.65pt;mso-wrap-distance-bottom:3.6pt;mso-wrap-distance-left:9pt;mso-wrap-distance-right:9pt;mso-wrap-distance-top:3.6pt;z-index:251669504;mso-width-relative:page;mso-height-relative:page;" fillcolor="#FFFFFF" filled="t" stroked="t" coordsize="21600,21600" o:gfxdata="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ts5NQ2AAAAAkBAAAPAAAA&#10;AAAAAAEAIAAAACIAAABkcnMvZG93bnJldi54bWxQSwECFAAUAAAACACHTuJA0gx9bhUCAABEBAAA&#10;DgAAAAAAAAABACAAAAAnAQAAZHJzL2Uyb0RvYy54bWxQSwUGAAAAAAYABgBZAQAArgUAAAAA&#10;">
                <v:fill on="t" focussize="0,0"/>
                <v:stroke color="#000000" joinstyle="miter"/>
                <v:imagedata o:title=""/>
                <o:lock v:ext="edit" aspectratio="f"/>
                <v:textbox>
                  <w:txbxContent>
                    <w:p>
                      <w:pPr>
                        <w:ind w:firstLine="0"/>
                        <w:rPr>
                          <w:rFonts w:eastAsia="宋体"/>
                          <w:sz w:val="21"/>
                          <w:szCs w:val="21"/>
                        </w:rPr>
                      </w:pPr>
                      <w:r>
                        <w:rPr>
                          <w:rFonts w:eastAsia="宋体"/>
                          <w:sz w:val="21"/>
                          <w:szCs w:val="21"/>
                        </w:rPr>
                        <w:t>1 环境影响识别和评价因子筛选</w:t>
                      </w:r>
                    </w:p>
                    <w:p>
                      <w:pPr>
                        <w:ind w:firstLine="0"/>
                        <w:rPr>
                          <w:rFonts w:eastAsia="宋体"/>
                          <w:sz w:val="21"/>
                          <w:szCs w:val="21"/>
                        </w:rPr>
                      </w:pPr>
                      <w:r>
                        <w:rPr>
                          <w:rFonts w:eastAsia="宋体"/>
                          <w:sz w:val="21"/>
                          <w:szCs w:val="21"/>
                        </w:rPr>
                        <w:t>2 明确评价重点和环境保护目标</w:t>
                      </w:r>
                    </w:p>
                    <w:p>
                      <w:pPr>
                        <w:ind w:firstLine="0"/>
                        <w:rPr>
                          <w:rFonts w:eastAsia="宋体"/>
                          <w:sz w:val="21"/>
                          <w:szCs w:val="21"/>
                        </w:rPr>
                      </w:pPr>
                      <w:r>
                        <w:rPr>
                          <w:rFonts w:eastAsia="宋体"/>
                          <w:sz w:val="21"/>
                          <w:szCs w:val="21"/>
                        </w:rPr>
                        <w:t>3 确定工作等级、评价范围和评价标准</w:t>
                      </w:r>
                    </w:p>
                  </w:txbxContent>
                </v:textbox>
                <w10:wrap type="square"/>
              </v:shape>
            </w:pict>
          </mc:Fallback>
        </mc:AlternateContent>
      </w:r>
    </w:p>
    <w:p>
      <w:pPr>
        <w:rPr>
          <w:rFonts w:hint="default" w:ascii="Times New Roman" w:hAnsi="Times New Roman" w:cs="Times New Roman"/>
        </w:rPr>
      </w:pPr>
    </w:p>
    <w:p>
      <w:pPr>
        <w:rPr>
          <w:rFonts w:hint="default" w:ascii="Times New Roman" w:hAnsi="Times New Roman" w:cs="Times New Roman"/>
        </w:rPr>
      </w:pPr>
    </w:p>
    <w:p>
      <w:pPr>
        <w:rPr>
          <w:rFonts w:hint="default" w:ascii="Times New Roman" w:hAnsi="Times New Roman" w:cs="Times New Roman"/>
        </w:rPr>
      </w:pPr>
      <w:r>
        <mc:AlternateContent>
          <mc:Choice Requires="wps">
            <w:drawing>
              <wp:anchor distT="45720" distB="45720" distL="114300" distR="114300" simplePos="0" relativeHeight="251670528" behindDoc="0" locked="0" layoutInCell="1" allowOverlap="1">
                <wp:simplePos x="0" y="0"/>
                <wp:positionH relativeFrom="column">
                  <wp:posOffset>2933700</wp:posOffset>
                </wp:positionH>
                <wp:positionV relativeFrom="paragraph">
                  <wp:posOffset>18415</wp:posOffset>
                </wp:positionV>
                <wp:extent cx="1905" cy="293370"/>
                <wp:effectExtent l="37465" t="0" r="36830" b="11430"/>
                <wp:wrapNone/>
                <wp:docPr id="8" name="自选图形 420"/>
                <wp:cNvGraphicFramePr/>
                <a:graphic xmlns:a="http://schemas.openxmlformats.org/drawingml/2006/main">
                  <a:graphicData uri="http://schemas.microsoft.com/office/word/2010/wordprocessingShape">
                    <wps:wsp>
                      <wps:cNvCnPr>
                        <a:endCxn id="55" idx="2"/>
                      </wps:cNvCnPr>
                      <wps:spPr>
                        <a:xfrm flipH="1">
                          <a:off x="0" y="0"/>
                          <a:ext cx="1905" cy="29337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420" o:spid="_x0000_s1026" o:spt="32" type="#_x0000_t32" style="position:absolute;left:0pt;flip:x;margin-left:231pt;margin-top:1.45pt;height:23.1pt;width:0.15pt;z-index:251670528;mso-width-relative:page;mso-height-relative:page;" filled="f" stroked="t" coordsize="21600,21600" o:gfxdata="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Zhqwi2AAAAAgBAAAP&#10;AAAAAAAAAAEAIAAAACIAAABkcnMvZG93bnJldi54bWxQSwECFAAUAAAACACHTuJA3utNKBgCAAAd&#10;BAAADgAAAAAAAAABACAAAAAnAQAAZHJzL2Uyb0RvYy54bWxQSwUGAAAAAAYABgBZAQAAsQUAAAAA&#10;">
                <v:fill on="f" focussize="0,0"/>
                <v:stroke color="#000000" joinstyle="round" endarrow="block"/>
                <v:imagedata o:title=""/>
                <o:lock v:ext="edit" aspectratio="f"/>
              </v:shape>
            </w:pict>
          </mc:Fallback>
        </mc:AlternateContent>
      </w:r>
    </w:p>
    <w:p>
      <w:pPr>
        <w:rPr>
          <w:rFonts w:hint="default" w:ascii="Times New Roman" w:hAnsi="Times New Roman" w:cs="Times New Roman"/>
        </w:rPr>
      </w:pPr>
      <w:r>
        <mc:AlternateContent>
          <mc:Choice Requires="wps">
            <w:drawing>
              <wp:anchor distT="45720" distB="45720" distL="114300" distR="114300" simplePos="0" relativeHeight="251671552" behindDoc="0" locked="0" layoutInCell="1" allowOverlap="1">
                <wp:simplePos x="0" y="0"/>
                <wp:positionH relativeFrom="column">
                  <wp:posOffset>2214245</wp:posOffset>
                </wp:positionH>
                <wp:positionV relativeFrom="paragraph">
                  <wp:posOffset>13335</wp:posOffset>
                </wp:positionV>
                <wp:extent cx="1423035" cy="283210"/>
                <wp:effectExtent l="4445" t="4445" r="20320" b="17145"/>
                <wp:wrapNone/>
                <wp:docPr id="9" name="文本框 421"/>
                <wp:cNvGraphicFramePr/>
                <a:graphic xmlns:a="http://schemas.openxmlformats.org/drawingml/2006/main">
                  <a:graphicData uri="http://schemas.microsoft.com/office/word/2010/wordprocessingShape">
                    <wps:wsp>
                      <wps:cNvSpPr txBox="1"/>
                      <wps:spPr>
                        <a:xfrm>
                          <a:off x="0" y="0"/>
                          <a:ext cx="1423035" cy="2832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315" w:firstLineChars="150"/>
                              <w:rPr>
                                <w:rFonts w:hint="eastAsia" w:ascii="宋体" w:hAnsi="宋体" w:eastAsia="宋体"/>
                                <w:sz w:val="21"/>
                                <w:szCs w:val="21"/>
                              </w:rPr>
                            </w:pPr>
                            <w:r>
                              <w:rPr>
                                <w:rFonts w:hint="eastAsia" w:ascii="宋体" w:hAnsi="宋体" w:eastAsia="宋体"/>
                                <w:sz w:val="21"/>
                                <w:szCs w:val="21"/>
                              </w:rPr>
                              <w:t>制定</w:t>
                            </w:r>
                            <w:r>
                              <w:rPr>
                                <w:rFonts w:ascii="宋体" w:hAnsi="宋体" w:eastAsia="宋体"/>
                                <w:sz w:val="21"/>
                                <w:szCs w:val="21"/>
                              </w:rPr>
                              <w:t>工作方案</w:t>
                            </w:r>
                          </w:p>
                        </w:txbxContent>
                      </wps:txbx>
                      <wps:bodyPr wrap="square" upright="1"/>
                    </wps:wsp>
                  </a:graphicData>
                </a:graphic>
              </wp:anchor>
            </w:drawing>
          </mc:Choice>
          <mc:Fallback>
            <w:pict>
              <v:shape id="文本框 421" o:spid="_x0000_s1026" o:spt="202" type="#_x0000_t202" style="position:absolute;left:0pt;margin-left:174.35pt;margin-top:1.05pt;height:22.3pt;width:112.05pt;z-index:251671552;mso-width-relative:page;mso-height-relative:page;" fillcolor="#FFFFFF" filled="t" stroked="t" coordsize="21600,21600" o:gfxdata="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1bGm7tgAAAAIAQAADwAA&#10;AAAAAAABACAAAAAiAAAAZHJzL2Rvd25yZXYueG1sUEsBAhQAFAAAAAgAh07iQG9KF1kWAgAARgQA&#10;AA4AAAAAAAAAAQAgAAAAJwEAAGRycy9lMm9Eb2MueG1sUEsFBgAAAAAGAAYAWQEAAK8FAAAAAA==&#10;">
                <v:fill on="t" focussize="0,0"/>
                <v:stroke color="#000000" joinstyle="miter"/>
                <v:imagedata o:title=""/>
                <o:lock v:ext="edit" aspectratio="f"/>
                <v:textbox>
                  <w:txbxContent>
                    <w:p>
                      <w:pPr>
                        <w:ind w:firstLine="315" w:firstLineChars="150"/>
                        <w:rPr>
                          <w:rFonts w:hint="eastAsia" w:ascii="宋体" w:hAnsi="宋体" w:eastAsia="宋体"/>
                          <w:sz w:val="21"/>
                          <w:szCs w:val="21"/>
                        </w:rPr>
                      </w:pPr>
                      <w:r>
                        <w:rPr>
                          <w:rFonts w:hint="eastAsia" w:ascii="宋体" w:hAnsi="宋体" w:eastAsia="宋体"/>
                          <w:sz w:val="21"/>
                          <w:szCs w:val="21"/>
                        </w:rPr>
                        <w:t>制定</w:t>
                      </w:r>
                      <w:r>
                        <w:rPr>
                          <w:rFonts w:ascii="宋体" w:hAnsi="宋体" w:eastAsia="宋体"/>
                          <w:sz w:val="21"/>
                          <w:szCs w:val="21"/>
                        </w:rPr>
                        <w:t>工作方案</w:t>
                      </w:r>
                    </w:p>
                  </w:txbxContent>
                </v:textbox>
              </v:shape>
            </w:pict>
          </mc:Fallback>
        </mc:AlternateContent>
      </w:r>
    </w:p>
    <w:p>
      <w:pPr>
        <w:rPr>
          <w:rFonts w:hint="default" w:ascii="Times New Roman" w:hAnsi="Times New Roman" w:cs="Times New Roman"/>
        </w:rPr>
      </w:pPr>
      <w:r>
        <mc:AlternateContent>
          <mc:Choice Requires="wps">
            <w:drawing>
              <wp:anchor distT="45720" distB="45720" distL="114300" distR="114300" simplePos="0" relativeHeight="251685888" behindDoc="0" locked="0" layoutInCell="1" allowOverlap="1">
                <wp:simplePos x="0" y="0"/>
                <wp:positionH relativeFrom="column">
                  <wp:posOffset>-29210</wp:posOffset>
                </wp:positionH>
                <wp:positionV relativeFrom="paragraph">
                  <wp:posOffset>196850</wp:posOffset>
                </wp:positionV>
                <wp:extent cx="5546090" cy="0"/>
                <wp:effectExtent l="0" t="0" r="0" b="0"/>
                <wp:wrapNone/>
                <wp:docPr id="23" name="自选图形 435"/>
                <wp:cNvGraphicFramePr/>
                <a:graphic xmlns:a="http://schemas.openxmlformats.org/drawingml/2006/main">
                  <a:graphicData uri="http://schemas.microsoft.com/office/word/2010/wordprocessingShape">
                    <wps:wsp>
                      <wps:cNvCnPr>
                        <a:endCxn id="55" idx="2"/>
                      </wps:cNvCnPr>
                      <wps:spPr>
                        <a:xfrm>
                          <a:off x="0" y="0"/>
                          <a:ext cx="5546090" cy="0"/>
                        </a:xfrm>
                        <a:prstGeom prst="straightConnector1">
                          <a:avLst/>
                        </a:prstGeom>
                        <a:ln w="3175" cap="flat" cmpd="sng">
                          <a:solidFill>
                            <a:srgbClr val="000000"/>
                          </a:solidFill>
                          <a:prstDash val="dash"/>
                          <a:headEnd type="none" w="med" len="med"/>
                          <a:tailEnd type="none" w="med" len="med"/>
                        </a:ln>
                      </wps:spPr>
                      <wps:bodyPr/>
                    </wps:wsp>
                  </a:graphicData>
                </a:graphic>
              </wp:anchor>
            </w:drawing>
          </mc:Choice>
          <mc:Fallback>
            <w:pict>
              <v:shape id="自选图形 435" o:spid="_x0000_s1026" o:spt="32" type="#_x0000_t32" style="position:absolute;left:0pt;margin-left:-2.3pt;margin-top:15.5pt;height:0pt;width:436.7pt;z-index:251685888;mso-width-relative:page;mso-height-relative:page;" filled="f" stroked="t" coordsize="21600,21600" o:gfxdata="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Y/Pp61QAAAAgBAAAPAAAAAAAAAAEAIAAAACIAAABk&#10;cnMvZG93bnJldi54bWxQSwECFAAUAAAACACHTuJAkzstXQkCAAANBAAADgAAAAAAAAABACAAAAAk&#10;AQAAZHJzL2Uyb0RvYy54bWxQSwUGAAAAAAYABgBZAQAAnwUAAAAA&#10;">
                <v:fill on="f" focussize="0,0"/>
                <v:stroke weight="0.25pt" color="#000000" joinstyle="round" dashstyle="dash"/>
                <v:imagedata o:title=""/>
                <o:lock v:ext="edit" aspectratio="f"/>
              </v:shape>
            </w:pict>
          </mc:Fallback>
        </mc:AlternateContent>
      </w:r>
      <w:r>
        <mc:AlternateContent>
          <mc:Choice Requires="wps">
            <w:drawing>
              <wp:anchor distT="45720" distB="45720" distL="114300" distR="114300" simplePos="0" relativeHeight="251672576" behindDoc="0" locked="0" layoutInCell="1" allowOverlap="1">
                <wp:simplePos x="0" y="0"/>
                <wp:positionH relativeFrom="column">
                  <wp:posOffset>2884170</wp:posOffset>
                </wp:positionH>
                <wp:positionV relativeFrom="paragraph">
                  <wp:posOffset>57785</wp:posOffset>
                </wp:positionV>
                <wp:extent cx="0" cy="342900"/>
                <wp:effectExtent l="38100" t="0" r="38100" b="0"/>
                <wp:wrapNone/>
                <wp:docPr id="10" name="自选图形 422"/>
                <wp:cNvGraphicFramePr/>
                <a:graphic xmlns:a="http://schemas.openxmlformats.org/drawingml/2006/main">
                  <a:graphicData uri="http://schemas.microsoft.com/office/word/2010/wordprocessingShape">
                    <wps:wsp>
                      <wps:cNvCnPr>
                        <a:endCxn id="55" idx="2"/>
                      </wps:cNvCnPr>
                      <wps:spPr>
                        <a:xfrm>
                          <a:off x="0" y="0"/>
                          <a:ext cx="0" cy="3429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422" o:spid="_x0000_s1026" o:spt="32" type="#_x0000_t32" style="position:absolute;left:0pt;margin-left:227.1pt;margin-top:4.55pt;height:27pt;width:0pt;z-index:251672576;mso-width-relative:page;mso-height-relative:page;" filled="f" stroked="t" coordsize="21600,21600" o:gfxdata="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TwFCjXAAAACAEAAA8AAAAAAAAAAQAg&#10;AAAAIgAAAGRycy9kb3ducmV2LnhtbFBLAQIUABQAAAAIAIdO4kA56ylZDwIAABEEAAAOAAAAAAAA&#10;AAEAIAAAACYBAABkcnMvZTJvRG9jLnhtbFBLBQYAAAAABgAGAFkBAACnBQAAAAA=&#10;">
                <v:fill on="f" focussize="0,0"/>
                <v:stroke color="#000000" joinstyle="round" endarrow="block"/>
                <v:imagedata o:title=""/>
                <o:lock v:ext="edit" aspectratio="f"/>
              </v:shape>
            </w:pict>
          </mc:Fallback>
        </mc:AlternateContent>
      </w:r>
    </w:p>
    <w:p>
      <w:pPr>
        <w:rPr>
          <w:rFonts w:hint="default" w:ascii="Times New Roman" w:hAnsi="Times New Roman" w:cs="Times New Roman"/>
        </w:rPr>
      </w:pPr>
      <w:r>
        <mc:AlternateContent>
          <mc:Choice Requires="wps">
            <w:drawing>
              <wp:anchor distT="45720" distB="45720" distL="114300" distR="114300" simplePos="0" relativeHeight="251676672" behindDoc="0" locked="0" layoutInCell="1" allowOverlap="1">
                <wp:simplePos x="0" y="0"/>
                <wp:positionH relativeFrom="column">
                  <wp:posOffset>1085215</wp:posOffset>
                </wp:positionH>
                <wp:positionV relativeFrom="paragraph">
                  <wp:posOffset>130175</wp:posOffset>
                </wp:positionV>
                <wp:extent cx="2184400" cy="8890"/>
                <wp:effectExtent l="0" t="0" r="0" b="0"/>
                <wp:wrapNone/>
                <wp:docPr id="14" name="自选图形 426"/>
                <wp:cNvGraphicFramePr/>
                <a:graphic xmlns:a="http://schemas.openxmlformats.org/drawingml/2006/main">
                  <a:graphicData uri="http://schemas.microsoft.com/office/word/2010/wordprocessingShape">
                    <wps:wsp>
                      <wps:cNvCnPr>
                        <a:endCxn id="55" idx="2"/>
                      </wps:cNvCnPr>
                      <wps:spPr>
                        <a:xfrm flipV="1">
                          <a:off x="0" y="0"/>
                          <a:ext cx="2184400" cy="889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426" o:spid="_x0000_s1026" o:spt="32" type="#_x0000_t32" style="position:absolute;left:0pt;flip:y;margin-left:85.45pt;margin-top:10.25pt;height:0.7pt;width:172pt;z-index:251676672;mso-width-relative:page;mso-height-relative:page;" filled="f" stroked="t" coordsize="21600,21600" o:gfxdata="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7LPrXWAAAACQEAAA8AAAAAAAAA&#10;AQAgAAAAIgAAAGRycy9kb3ducmV2LnhtbFBLAQIUABQAAAAIAIdO4kDEgjGBEwIAABsEAAAOAAAA&#10;AAAAAAEAIAAAACUBAABkcnMvZTJvRG9jLnhtbFBLBQYAAAAABgAGAFkBAACqBQAAAAA=&#10;">
                <v:fill on="f" focussize="0,0"/>
                <v:stroke color="#000000" joinstyle="round"/>
                <v:imagedata o:title=""/>
                <o:lock v:ext="edit" aspectratio="f"/>
              </v:shape>
            </w:pict>
          </mc:Fallback>
        </mc:AlternateContent>
      </w:r>
      <w:r>
        <mc:AlternateContent>
          <mc:Choice Requires="wps">
            <w:drawing>
              <wp:anchor distT="45720" distB="45720" distL="114300" distR="114300" simplePos="0" relativeHeight="251677696" behindDoc="0" locked="0" layoutInCell="1" allowOverlap="1">
                <wp:simplePos x="0" y="0"/>
                <wp:positionH relativeFrom="column">
                  <wp:posOffset>3271520</wp:posOffset>
                </wp:positionH>
                <wp:positionV relativeFrom="paragraph">
                  <wp:posOffset>130175</wp:posOffset>
                </wp:positionV>
                <wp:extent cx="0" cy="180975"/>
                <wp:effectExtent l="4445" t="0" r="14605" b="9525"/>
                <wp:wrapNone/>
                <wp:docPr id="15" name="自选图形 427"/>
                <wp:cNvGraphicFramePr/>
                <a:graphic xmlns:a="http://schemas.openxmlformats.org/drawingml/2006/main">
                  <a:graphicData uri="http://schemas.microsoft.com/office/word/2010/wordprocessingShape">
                    <wps:wsp>
                      <wps:cNvCnPr>
                        <a:endCxn id="55" idx="2"/>
                      </wps:cNvCnPr>
                      <wps:spPr>
                        <a:xfrm>
                          <a:off x="0" y="0"/>
                          <a:ext cx="0" cy="18097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427" o:spid="_x0000_s1026" o:spt="32" type="#_x0000_t32" style="position:absolute;left:0pt;margin-left:257.6pt;margin-top:10.25pt;height:14.25pt;width:0pt;z-index:251677696;mso-width-relative:page;mso-height-relative:page;" filled="f" stroked="t" coordsize="21600,21600" o:gfxdata="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s7B9rtYAAAAJAQAADwAAAAAAAAABACAAAAAiAAAAZHJz&#10;L2Rvd25yZXYueG1sUEsBAhQAFAAAAAgAh07iQK7Pt8IGAgAADQQAAA4AAAAAAAAAAQAgAAAAJQEA&#10;AGRycy9lMm9Eb2MueG1sUEsFBgAAAAAGAAYAWQEAAJ0FAAAAAA==&#10;">
                <v:fill on="f" focussize="0,0"/>
                <v:stroke color="#000000" joinstyle="round"/>
                <v:imagedata o:title=""/>
                <o:lock v:ext="edit" aspectratio="f"/>
              </v:shape>
            </w:pict>
          </mc:Fallback>
        </mc:AlternateContent>
      </w:r>
      <w:r>
        <mc:AlternateContent>
          <mc:Choice Requires="wps">
            <w:drawing>
              <wp:anchor distT="45720" distB="45720" distL="114300" distR="114300" simplePos="0" relativeHeight="251687936" behindDoc="0" locked="0" layoutInCell="1" allowOverlap="1">
                <wp:simplePos x="0" y="0"/>
                <wp:positionH relativeFrom="column">
                  <wp:posOffset>243205</wp:posOffset>
                </wp:positionH>
                <wp:positionV relativeFrom="paragraph">
                  <wp:posOffset>168910</wp:posOffset>
                </wp:positionV>
                <wp:extent cx="403860" cy="1778000"/>
                <wp:effectExtent l="0" t="0" r="15240" b="12700"/>
                <wp:wrapSquare wrapText="bothSides"/>
                <wp:docPr id="25" name="文本框 2"/>
                <wp:cNvGraphicFramePr/>
                <a:graphic xmlns:a="http://schemas.openxmlformats.org/drawingml/2006/main">
                  <a:graphicData uri="http://schemas.microsoft.com/office/word/2010/wordprocessingShape">
                    <wps:wsp>
                      <wps:cNvSpPr txBox="1"/>
                      <wps:spPr>
                        <a:xfrm>
                          <a:off x="0" y="0"/>
                          <a:ext cx="403860" cy="1778000"/>
                        </a:xfrm>
                        <a:prstGeom prst="rect">
                          <a:avLst/>
                        </a:prstGeom>
                        <a:solidFill>
                          <a:srgbClr val="FFFFFF"/>
                        </a:solidFill>
                        <a:ln>
                          <a:noFill/>
                        </a:ln>
                      </wps:spPr>
                      <wps:txbx>
                        <w:txbxContent>
                          <w:p>
                            <w:pPr>
                              <w:ind w:firstLine="0"/>
                              <w:rPr>
                                <w:rFonts w:ascii="宋体" w:hAnsi="宋体" w:eastAsia="宋体"/>
                                <w:sz w:val="21"/>
                                <w:szCs w:val="21"/>
                              </w:rPr>
                            </w:pPr>
                            <w:r>
                              <w:rPr>
                                <w:rFonts w:hint="eastAsia" w:ascii="宋体" w:hAnsi="宋体" w:eastAsia="宋体"/>
                                <w:sz w:val="21"/>
                                <w:szCs w:val="21"/>
                              </w:rPr>
                              <w:t>第</w:t>
                            </w:r>
                          </w:p>
                          <w:p>
                            <w:pPr>
                              <w:ind w:firstLine="0"/>
                              <w:rPr>
                                <w:rFonts w:ascii="宋体" w:hAnsi="宋体" w:eastAsia="宋体"/>
                                <w:sz w:val="21"/>
                                <w:szCs w:val="21"/>
                              </w:rPr>
                            </w:pPr>
                            <w:r>
                              <w:rPr>
                                <w:rFonts w:ascii="宋体" w:hAnsi="宋体" w:eastAsia="宋体"/>
                                <w:sz w:val="21"/>
                                <w:szCs w:val="21"/>
                              </w:rPr>
                              <w:t>二</w:t>
                            </w:r>
                          </w:p>
                          <w:p>
                            <w:pPr>
                              <w:ind w:firstLine="0"/>
                              <w:rPr>
                                <w:rFonts w:ascii="宋体" w:hAnsi="宋体" w:eastAsia="宋体"/>
                                <w:sz w:val="21"/>
                                <w:szCs w:val="21"/>
                              </w:rPr>
                            </w:pPr>
                            <w:r>
                              <w:rPr>
                                <w:rFonts w:ascii="宋体" w:hAnsi="宋体" w:eastAsia="宋体"/>
                                <w:sz w:val="21"/>
                                <w:szCs w:val="21"/>
                              </w:rPr>
                              <w:t>阶</w:t>
                            </w:r>
                          </w:p>
                          <w:p>
                            <w:pPr>
                              <w:ind w:firstLine="0"/>
                              <w:rPr>
                                <w:rFonts w:hint="eastAsia" w:ascii="宋体" w:hAnsi="宋体" w:eastAsia="宋体"/>
                                <w:sz w:val="21"/>
                                <w:szCs w:val="21"/>
                              </w:rPr>
                            </w:pPr>
                            <w:r>
                              <w:rPr>
                                <w:rFonts w:ascii="宋体" w:hAnsi="宋体" w:eastAsia="宋体"/>
                                <w:sz w:val="21"/>
                                <w:szCs w:val="21"/>
                              </w:rPr>
                              <w:t>段</w:t>
                            </w:r>
                          </w:p>
                        </w:txbxContent>
                      </wps:txbx>
                      <wps:bodyPr wrap="square" upright="1">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9.15pt;margin-top:13.3pt;height:140pt;width:31.8pt;mso-wrap-distance-bottom:3.6pt;mso-wrap-distance-left:9pt;mso-wrap-distance-right:9pt;mso-wrap-distance-top:3.6pt;z-index:251687936;mso-width-relative:page;mso-height-relative:margin;mso-height-percent:200;" fillcolor="#FFFFFF" filled="t" stroked="f" coordsize="21600,21600" o:gfxdata="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npiec1gAAAAkBAAAPAAAAAAAAAAEA&#10;IAAAACIAAABkcnMvZG93bnJldi54bWxQSwECFAAUAAAACACHTuJATyRIFtgBAACgAwAADgAAAAAA&#10;AAABACAAAAAlAQAAZHJzL2Uyb0RvYy54bWxQSwUGAAAAAAYABgBZAQAAbwUAAAAA&#10;">
                <v:fill on="t" focussize="0,0"/>
                <v:stroke on="f"/>
                <v:imagedata o:title=""/>
                <o:lock v:ext="edit" aspectratio="f"/>
                <v:textbox style="mso-fit-shape-to-text:t;">
                  <w:txbxContent>
                    <w:p>
                      <w:pPr>
                        <w:ind w:firstLine="0"/>
                        <w:rPr>
                          <w:rFonts w:ascii="宋体" w:hAnsi="宋体" w:eastAsia="宋体"/>
                          <w:sz w:val="21"/>
                          <w:szCs w:val="21"/>
                        </w:rPr>
                      </w:pPr>
                      <w:r>
                        <w:rPr>
                          <w:rFonts w:hint="eastAsia" w:ascii="宋体" w:hAnsi="宋体" w:eastAsia="宋体"/>
                          <w:sz w:val="21"/>
                          <w:szCs w:val="21"/>
                        </w:rPr>
                        <w:t>第</w:t>
                      </w:r>
                    </w:p>
                    <w:p>
                      <w:pPr>
                        <w:ind w:firstLine="0"/>
                        <w:rPr>
                          <w:rFonts w:ascii="宋体" w:hAnsi="宋体" w:eastAsia="宋体"/>
                          <w:sz w:val="21"/>
                          <w:szCs w:val="21"/>
                        </w:rPr>
                      </w:pPr>
                      <w:r>
                        <w:rPr>
                          <w:rFonts w:ascii="宋体" w:hAnsi="宋体" w:eastAsia="宋体"/>
                          <w:sz w:val="21"/>
                          <w:szCs w:val="21"/>
                        </w:rPr>
                        <w:t>二</w:t>
                      </w:r>
                    </w:p>
                    <w:p>
                      <w:pPr>
                        <w:ind w:firstLine="0"/>
                        <w:rPr>
                          <w:rFonts w:ascii="宋体" w:hAnsi="宋体" w:eastAsia="宋体"/>
                          <w:sz w:val="21"/>
                          <w:szCs w:val="21"/>
                        </w:rPr>
                      </w:pPr>
                      <w:r>
                        <w:rPr>
                          <w:rFonts w:ascii="宋体" w:hAnsi="宋体" w:eastAsia="宋体"/>
                          <w:sz w:val="21"/>
                          <w:szCs w:val="21"/>
                        </w:rPr>
                        <w:t>阶</w:t>
                      </w:r>
                    </w:p>
                    <w:p>
                      <w:pPr>
                        <w:ind w:firstLine="0"/>
                        <w:rPr>
                          <w:rFonts w:hint="eastAsia" w:ascii="宋体" w:hAnsi="宋体" w:eastAsia="宋体"/>
                          <w:sz w:val="21"/>
                          <w:szCs w:val="21"/>
                        </w:rPr>
                      </w:pPr>
                      <w:r>
                        <w:rPr>
                          <w:rFonts w:ascii="宋体" w:hAnsi="宋体" w:eastAsia="宋体"/>
                          <w:sz w:val="21"/>
                          <w:szCs w:val="21"/>
                        </w:rPr>
                        <w:t>段</w:t>
                      </w:r>
                    </w:p>
                  </w:txbxContent>
                </v:textbox>
                <w10:wrap type="square"/>
              </v:shape>
            </w:pict>
          </mc:Fallback>
        </mc:AlternateContent>
      </w:r>
      <w:r>
        <mc:AlternateContent>
          <mc:Choice Requires="wps">
            <w:drawing>
              <wp:anchor distT="45720" distB="45720" distL="114300" distR="114300" simplePos="0" relativeHeight="251675648" behindDoc="0" locked="0" layoutInCell="1" allowOverlap="1">
                <wp:simplePos x="0" y="0"/>
                <wp:positionH relativeFrom="column">
                  <wp:posOffset>1092835</wp:posOffset>
                </wp:positionH>
                <wp:positionV relativeFrom="paragraph">
                  <wp:posOffset>146050</wp:posOffset>
                </wp:positionV>
                <wp:extent cx="0" cy="165100"/>
                <wp:effectExtent l="4445" t="0" r="14605" b="6350"/>
                <wp:wrapNone/>
                <wp:docPr id="13" name="自选图形 425"/>
                <wp:cNvGraphicFramePr/>
                <a:graphic xmlns:a="http://schemas.openxmlformats.org/drawingml/2006/main">
                  <a:graphicData uri="http://schemas.microsoft.com/office/word/2010/wordprocessingShape">
                    <wps:wsp>
                      <wps:cNvCnPr>
                        <a:endCxn id="55" idx="2"/>
                      </wps:cNvCnPr>
                      <wps:spPr>
                        <a:xfrm flipV="1">
                          <a:off x="0" y="0"/>
                          <a:ext cx="0" cy="16510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425" o:spid="_x0000_s1026" o:spt="32" type="#_x0000_t32" style="position:absolute;left:0pt;flip:y;margin-left:86.05pt;margin-top:11.5pt;height:13pt;width:0pt;z-index:251675648;mso-width-relative:page;mso-height-relative:page;" filled="f" stroked="t" coordsize="21600,21600" o:gfxdata="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Aha0bWAAAACQEAAA8AAAAAAAAAAQAgAAAA&#10;IgAAAGRycy9kb3ducmV2LnhtbFBLAQIUABQAAAAIAIdO4kC9F2hmDQIAABcEAAAOAAAAAAAAAAEA&#10;IAAAACUBAABkcnMvZTJvRG9jLnhtbFBLBQYAAAAABgAGAFkBAACkBQAAAAA=&#10;">
                <v:fill on="f" focussize="0,0"/>
                <v:stroke color="#000000" joinstyle="round"/>
                <v:imagedata o:title=""/>
                <o:lock v:ext="edit" aspectratio="f"/>
              </v:shape>
            </w:pict>
          </mc:Fallback>
        </mc:AlternateContent>
      </w:r>
    </w:p>
    <w:p>
      <w:pPr>
        <w:rPr>
          <w:rFonts w:hint="default" w:ascii="Times New Roman" w:hAnsi="Times New Roman" w:cs="Times New Roman"/>
        </w:rPr>
      </w:pPr>
      <w:r>
        <mc:AlternateContent>
          <mc:Choice Requires="wps">
            <w:drawing>
              <wp:anchor distT="45720" distB="45720" distL="114300" distR="114300" simplePos="0" relativeHeight="251674624" behindDoc="0" locked="0" layoutInCell="1" allowOverlap="1">
                <wp:simplePos x="0" y="0"/>
                <wp:positionH relativeFrom="column">
                  <wp:posOffset>2653665</wp:posOffset>
                </wp:positionH>
                <wp:positionV relativeFrom="paragraph">
                  <wp:posOffset>55880</wp:posOffset>
                </wp:positionV>
                <wp:extent cx="1153160" cy="482600"/>
                <wp:effectExtent l="4445" t="4445" r="23495" b="8255"/>
                <wp:wrapNone/>
                <wp:docPr id="12" name="文本框 424"/>
                <wp:cNvGraphicFramePr/>
                <a:graphic xmlns:a="http://schemas.openxmlformats.org/drawingml/2006/main">
                  <a:graphicData uri="http://schemas.microsoft.com/office/word/2010/wordprocessingShape">
                    <wps:wsp>
                      <wps:cNvSpPr txBox="1"/>
                      <wps:spPr>
                        <a:xfrm>
                          <a:off x="0" y="0"/>
                          <a:ext cx="1153160" cy="4826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315" w:firstLineChars="150"/>
                              <w:rPr>
                                <w:rFonts w:ascii="宋体" w:hAnsi="宋体" w:eastAsia="宋体"/>
                                <w:sz w:val="21"/>
                                <w:szCs w:val="21"/>
                              </w:rPr>
                            </w:pPr>
                            <w:r>
                              <w:rPr>
                                <w:rFonts w:hint="eastAsia" w:ascii="宋体" w:hAnsi="宋体" w:eastAsia="宋体"/>
                                <w:sz w:val="21"/>
                                <w:szCs w:val="21"/>
                              </w:rPr>
                              <w:t>建设项目</w:t>
                            </w:r>
                          </w:p>
                          <w:p>
                            <w:pPr>
                              <w:ind w:firstLine="315" w:firstLineChars="150"/>
                              <w:rPr>
                                <w:rFonts w:hint="eastAsia" w:ascii="宋体" w:hAnsi="宋体" w:eastAsia="宋体"/>
                                <w:sz w:val="21"/>
                                <w:szCs w:val="21"/>
                              </w:rPr>
                            </w:pPr>
                            <w:r>
                              <w:rPr>
                                <w:rFonts w:hint="eastAsia" w:ascii="宋体" w:hAnsi="宋体" w:eastAsia="宋体"/>
                                <w:sz w:val="21"/>
                                <w:szCs w:val="21"/>
                              </w:rPr>
                              <w:t>工程</w:t>
                            </w:r>
                            <w:r>
                              <w:rPr>
                                <w:rFonts w:ascii="宋体" w:hAnsi="宋体" w:eastAsia="宋体"/>
                                <w:sz w:val="21"/>
                                <w:szCs w:val="21"/>
                              </w:rPr>
                              <w:t>分析</w:t>
                            </w:r>
                          </w:p>
                          <w:p>
                            <w:pPr>
                              <w:ind w:firstLine="315" w:firstLineChars="150"/>
                              <w:rPr>
                                <w:rFonts w:hint="eastAsia" w:ascii="宋体" w:hAnsi="宋体" w:eastAsia="宋体"/>
                                <w:sz w:val="21"/>
                                <w:szCs w:val="21"/>
                              </w:rPr>
                            </w:pPr>
                          </w:p>
                        </w:txbxContent>
                      </wps:txbx>
                      <wps:bodyPr wrap="square" upright="1"/>
                    </wps:wsp>
                  </a:graphicData>
                </a:graphic>
              </wp:anchor>
            </w:drawing>
          </mc:Choice>
          <mc:Fallback>
            <w:pict>
              <v:shape id="文本框 424" o:spid="_x0000_s1026" o:spt="202" type="#_x0000_t202" style="position:absolute;left:0pt;margin-left:208.95pt;margin-top:4.4pt;height:38pt;width:90.8pt;z-index:251674624;mso-width-relative:page;mso-height-relative:page;" fillcolor="#FFFFFF" filled="t" stroked="t" coordsize="21600,21600" o:gfxdata="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KJGNerXAAAACAEAAA8A&#10;AAAAAAAAAQAgAAAAIgAAAGRycy9kb3ducmV2LnhtbFBLAQIUABQAAAAIAIdO4kBV0SwRGAIAAEcE&#10;AAAOAAAAAAAAAAEAIAAAACYBAABkcnMvZTJvRG9jLnhtbFBLBQYAAAAABgAGAFkBAACwBQAAAAA=&#10;">
                <v:fill on="t" focussize="0,0"/>
                <v:stroke color="#000000" joinstyle="miter"/>
                <v:imagedata o:title=""/>
                <o:lock v:ext="edit" aspectratio="f"/>
                <v:textbox>
                  <w:txbxContent>
                    <w:p>
                      <w:pPr>
                        <w:ind w:firstLine="315" w:firstLineChars="150"/>
                        <w:rPr>
                          <w:rFonts w:ascii="宋体" w:hAnsi="宋体" w:eastAsia="宋体"/>
                          <w:sz w:val="21"/>
                          <w:szCs w:val="21"/>
                        </w:rPr>
                      </w:pPr>
                      <w:r>
                        <w:rPr>
                          <w:rFonts w:hint="eastAsia" w:ascii="宋体" w:hAnsi="宋体" w:eastAsia="宋体"/>
                          <w:sz w:val="21"/>
                          <w:szCs w:val="21"/>
                        </w:rPr>
                        <w:t>建设项目</w:t>
                      </w:r>
                    </w:p>
                    <w:p>
                      <w:pPr>
                        <w:ind w:firstLine="315" w:firstLineChars="150"/>
                        <w:rPr>
                          <w:rFonts w:hint="eastAsia" w:ascii="宋体" w:hAnsi="宋体" w:eastAsia="宋体"/>
                          <w:sz w:val="21"/>
                          <w:szCs w:val="21"/>
                        </w:rPr>
                      </w:pPr>
                      <w:r>
                        <w:rPr>
                          <w:rFonts w:hint="eastAsia" w:ascii="宋体" w:hAnsi="宋体" w:eastAsia="宋体"/>
                          <w:sz w:val="21"/>
                          <w:szCs w:val="21"/>
                        </w:rPr>
                        <w:t>工程</w:t>
                      </w:r>
                      <w:r>
                        <w:rPr>
                          <w:rFonts w:ascii="宋体" w:hAnsi="宋体" w:eastAsia="宋体"/>
                          <w:sz w:val="21"/>
                          <w:szCs w:val="21"/>
                        </w:rPr>
                        <w:t>分析</w:t>
                      </w:r>
                    </w:p>
                    <w:p>
                      <w:pPr>
                        <w:ind w:firstLine="315" w:firstLineChars="150"/>
                        <w:rPr>
                          <w:rFonts w:hint="eastAsia" w:ascii="宋体" w:hAnsi="宋体" w:eastAsia="宋体"/>
                          <w:sz w:val="21"/>
                          <w:szCs w:val="21"/>
                        </w:rPr>
                      </w:pPr>
                    </w:p>
                  </w:txbxContent>
                </v:textbox>
              </v:shape>
            </w:pict>
          </mc:Fallback>
        </mc:AlternateContent>
      </w:r>
      <w:r>
        <mc:AlternateContent>
          <mc:Choice Requires="wps">
            <w:drawing>
              <wp:anchor distT="45720" distB="45720" distL="114300" distR="114300" simplePos="0" relativeHeight="251673600" behindDoc="0" locked="0" layoutInCell="1" allowOverlap="1">
                <wp:simplePos x="0" y="0"/>
                <wp:positionH relativeFrom="column">
                  <wp:posOffset>648970</wp:posOffset>
                </wp:positionH>
                <wp:positionV relativeFrom="paragraph">
                  <wp:posOffset>55880</wp:posOffset>
                </wp:positionV>
                <wp:extent cx="1265555" cy="482600"/>
                <wp:effectExtent l="4445" t="4445" r="6350" b="8255"/>
                <wp:wrapNone/>
                <wp:docPr id="11" name="文本框 423"/>
                <wp:cNvGraphicFramePr/>
                <a:graphic xmlns:a="http://schemas.openxmlformats.org/drawingml/2006/main">
                  <a:graphicData uri="http://schemas.microsoft.com/office/word/2010/wordprocessingShape">
                    <wps:wsp>
                      <wps:cNvSpPr txBox="1"/>
                      <wps:spPr>
                        <a:xfrm>
                          <a:off x="0" y="0"/>
                          <a:ext cx="1265555" cy="4826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105" w:firstLineChars="50"/>
                              <w:rPr>
                                <w:rFonts w:ascii="宋体" w:hAnsi="宋体" w:eastAsia="宋体"/>
                                <w:sz w:val="21"/>
                                <w:szCs w:val="21"/>
                              </w:rPr>
                            </w:pPr>
                            <w:r>
                              <w:rPr>
                                <w:rFonts w:hint="eastAsia" w:ascii="宋体" w:hAnsi="宋体" w:eastAsia="宋体"/>
                                <w:sz w:val="21"/>
                                <w:szCs w:val="21"/>
                              </w:rPr>
                              <w:t>环境现状</w:t>
                            </w:r>
                            <w:r>
                              <w:rPr>
                                <w:rFonts w:ascii="宋体" w:hAnsi="宋体" w:eastAsia="宋体"/>
                                <w:sz w:val="21"/>
                                <w:szCs w:val="21"/>
                              </w:rPr>
                              <w:t>调查</w:t>
                            </w:r>
                          </w:p>
                          <w:p>
                            <w:pPr>
                              <w:ind w:firstLine="210" w:firstLineChars="100"/>
                              <w:rPr>
                                <w:rFonts w:hint="eastAsia" w:ascii="宋体" w:hAnsi="宋体" w:eastAsia="宋体"/>
                                <w:sz w:val="21"/>
                                <w:szCs w:val="21"/>
                              </w:rPr>
                            </w:pPr>
                            <w:r>
                              <w:rPr>
                                <w:rFonts w:hint="eastAsia" w:ascii="宋体" w:hAnsi="宋体" w:eastAsia="宋体"/>
                                <w:sz w:val="21"/>
                                <w:szCs w:val="21"/>
                              </w:rPr>
                              <w:t>监测</w:t>
                            </w:r>
                            <w:r>
                              <w:rPr>
                                <w:rFonts w:ascii="宋体" w:hAnsi="宋体" w:eastAsia="宋体"/>
                                <w:sz w:val="21"/>
                                <w:szCs w:val="21"/>
                              </w:rPr>
                              <w:t>与评价</w:t>
                            </w:r>
                          </w:p>
                          <w:p>
                            <w:pPr>
                              <w:ind w:firstLine="315" w:firstLineChars="150"/>
                              <w:rPr>
                                <w:rFonts w:hint="eastAsia" w:ascii="宋体" w:hAnsi="宋体" w:eastAsia="宋体"/>
                                <w:sz w:val="21"/>
                                <w:szCs w:val="21"/>
                              </w:rPr>
                            </w:pPr>
                          </w:p>
                        </w:txbxContent>
                      </wps:txbx>
                      <wps:bodyPr wrap="square" upright="1"/>
                    </wps:wsp>
                  </a:graphicData>
                </a:graphic>
              </wp:anchor>
            </w:drawing>
          </mc:Choice>
          <mc:Fallback>
            <w:pict>
              <v:shape id="文本框 423" o:spid="_x0000_s1026" o:spt="202" type="#_x0000_t202" style="position:absolute;left:0pt;margin-left:51.1pt;margin-top:4.4pt;height:38pt;width:99.65pt;z-index:251673600;mso-width-relative:page;mso-height-relative:page;" fillcolor="#FFFFFF" filled="t" stroked="t" coordsize="21600,21600" o:gfxdata="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0ly7RdUAAAAIAQAADwAAAAAA&#10;AAABACAAAAAiAAAAZHJzL2Rvd25yZXYueG1sUEsBAhQAFAAAAAgAh07iQNRAa58WAgAARwQAAA4A&#10;AAAAAAAAAQAgAAAAJAEAAGRycy9lMm9Eb2MueG1sUEsFBgAAAAAGAAYAWQEAAKwFAAAAAA==&#10;">
                <v:fill on="t" focussize="0,0"/>
                <v:stroke color="#000000" joinstyle="miter"/>
                <v:imagedata o:title=""/>
                <o:lock v:ext="edit" aspectratio="f"/>
                <v:textbox>
                  <w:txbxContent>
                    <w:p>
                      <w:pPr>
                        <w:ind w:firstLine="105" w:firstLineChars="50"/>
                        <w:rPr>
                          <w:rFonts w:ascii="宋体" w:hAnsi="宋体" w:eastAsia="宋体"/>
                          <w:sz w:val="21"/>
                          <w:szCs w:val="21"/>
                        </w:rPr>
                      </w:pPr>
                      <w:r>
                        <w:rPr>
                          <w:rFonts w:hint="eastAsia" w:ascii="宋体" w:hAnsi="宋体" w:eastAsia="宋体"/>
                          <w:sz w:val="21"/>
                          <w:szCs w:val="21"/>
                        </w:rPr>
                        <w:t>环境现状</w:t>
                      </w:r>
                      <w:r>
                        <w:rPr>
                          <w:rFonts w:ascii="宋体" w:hAnsi="宋体" w:eastAsia="宋体"/>
                          <w:sz w:val="21"/>
                          <w:szCs w:val="21"/>
                        </w:rPr>
                        <w:t>调查</w:t>
                      </w:r>
                    </w:p>
                    <w:p>
                      <w:pPr>
                        <w:ind w:firstLine="210" w:firstLineChars="100"/>
                        <w:rPr>
                          <w:rFonts w:hint="eastAsia" w:ascii="宋体" w:hAnsi="宋体" w:eastAsia="宋体"/>
                          <w:sz w:val="21"/>
                          <w:szCs w:val="21"/>
                        </w:rPr>
                      </w:pPr>
                      <w:r>
                        <w:rPr>
                          <w:rFonts w:hint="eastAsia" w:ascii="宋体" w:hAnsi="宋体" w:eastAsia="宋体"/>
                          <w:sz w:val="21"/>
                          <w:szCs w:val="21"/>
                        </w:rPr>
                        <w:t>监测</w:t>
                      </w:r>
                      <w:r>
                        <w:rPr>
                          <w:rFonts w:ascii="宋体" w:hAnsi="宋体" w:eastAsia="宋体"/>
                          <w:sz w:val="21"/>
                          <w:szCs w:val="21"/>
                        </w:rPr>
                        <w:t>与评价</w:t>
                      </w:r>
                    </w:p>
                    <w:p>
                      <w:pPr>
                        <w:ind w:firstLine="315" w:firstLineChars="150"/>
                        <w:rPr>
                          <w:rFonts w:hint="eastAsia" w:ascii="宋体" w:hAnsi="宋体" w:eastAsia="宋体"/>
                          <w:sz w:val="21"/>
                          <w:szCs w:val="21"/>
                        </w:rPr>
                      </w:pPr>
                    </w:p>
                  </w:txbxContent>
                </v:textbox>
              </v:shape>
            </w:pict>
          </mc:Fallback>
        </mc:AlternateContent>
      </w:r>
    </w:p>
    <w:p>
      <w:pPr>
        <w:rPr>
          <w:rFonts w:hint="default" w:ascii="Times New Roman" w:hAnsi="Times New Roman" w:cs="Times New Roman"/>
        </w:rPr>
      </w:pPr>
    </w:p>
    <w:p>
      <w:pPr>
        <w:rPr>
          <w:rFonts w:hint="default" w:ascii="Times New Roman" w:hAnsi="Times New Roman" w:cs="Times New Roman"/>
        </w:rPr>
      </w:pPr>
      <w:r>
        <mc:AlternateContent>
          <mc:Choice Requires="wps">
            <w:drawing>
              <wp:anchor distT="45720" distB="45720" distL="114300" distR="114300" simplePos="0" relativeHeight="251692032" behindDoc="0" locked="0" layoutInCell="1" allowOverlap="1">
                <wp:simplePos x="0" y="0"/>
                <wp:positionH relativeFrom="column">
                  <wp:posOffset>2122805</wp:posOffset>
                </wp:positionH>
                <wp:positionV relativeFrom="paragraph">
                  <wp:posOffset>192405</wp:posOffset>
                </wp:positionV>
                <wp:extent cx="0" cy="342900"/>
                <wp:effectExtent l="38100" t="0" r="38100" b="0"/>
                <wp:wrapNone/>
                <wp:docPr id="29" name="自选图形 441"/>
                <wp:cNvGraphicFramePr/>
                <a:graphic xmlns:a="http://schemas.openxmlformats.org/drawingml/2006/main">
                  <a:graphicData uri="http://schemas.microsoft.com/office/word/2010/wordprocessingShape">
                    <wps:wsp>
                      <wps:cNvCnPr>
                        <a:endCxn id="55" idx="2"/>
                      </wps:cNvCnPr>
                      <wps:spPr>
                        <a:xfrm>
                          <a:off x="0" y="0"/>
                          <a:ext cx="0" cy="3429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441" o:spid="_x0000_s1026" o:spt="32" type="#_x0000_t32" style="position:absolute;left:0pt;margin-left:167.15pt;margin-top:15.15pt;height:27pt;width:0pt;z-index:251692032;mso-width-relative:page;mso-height-relative:page;" filled="f" stroked="t" coordsize="21600,21600" o:gfxdata="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ImA7t1wAAAAkBAAAPAAAAAAAAAAEA&#10;IAAAACIAAABkcnMvZG93bnJldi54bWxQSwECFAAUAAAACACHTuJAXjjU2RACAAARBAAADgAAAAAA&#10;AAABACAAAAAmAQAAZHJzL2Uyb0RvYy54bWxQSwUGAAAAAAYABgBZAQAAqAUAAAAA&#10;">
                <v:fill on="f" focussize="0,0"/>
                <v:stroke color="#000000" joinstyle="round" endarrow="block"/>
                <v:imagedata o:title=""/>
                <o:lock v:ext="edit" aspectratio="f"/>
              </v:shape>
            </w:pict>
          </mc:Fallback>
        </mc:AlternateContent>
      </w:r>
      <w:r>
        <mc:AlternateContent>
          <mc:Choice Requires="wps">
            <w:drawing>
              <wp:anchor distT="45720" distB="45720" distL="114300" distR="114300" simplePos="0" relativeHeight="251679744" behindDoc="0" locked="0" layoutInCell="1" allowOverlap="1">
                <wp:simplePos x="0" y="0"/>
                <wp:positionH relativeFrom="column">
                  <wp:posOffset>1128395</wp:posOffset>
                </wp:positionH>
                <wp:positionV relativeFrom="paragraph">
                  <wp:posOffset>201295</wp:posOffset>
                </wp:positionV>
                <wp:extent cx="2118360" cy="0"/>
                <wp:effectExtent l="0" t="0" r="0" b="0"/>
                <wp:wrapNone/>
                <wp:docPr id="17" name="自选图形 429"/>
                <wp:cNvGraphicFramePr/>
                <a:graphic xmlns:a="http://schemas.openxmlformats.org/drawingml/2006/main">
                  <a:graphicData uri="http://schemas.microsoft.com/office/word/2010/wordprocessingShape">
                    <wps:wsp>
                      <wps:cNvCnPr>
                        <a:endCxn id="55" idx="2"/>
                      </wps:cNvCnPr>
                      <wps:spPr>
                        <a:xfrm>
                          <a:off x="0" y="0"/>
                          <a:ext cx="211836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429" o:spid="_x0000_s1026" o:spt="32" type="#_x0000_t32" style="position:absolute;left:0pt;margin-left:88.85pt;margin-top:15.85pt;height:0pt;width:166.8pt;z-index:251679744;mso-width-relative:page;mso-height-relative:page;" filled="f" stroked="t" coordsize="21600,21600" o:gfxdata="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fDpIP9YAAAAJAQAADwAAAAAAAAABACAAAAAiAAAA&#10;ZHJzL2Rvd25yZXYueG1sUEsBAhQAFAAAAAgAh07iQAnOigwJAgAADgQAAA4AAAAAAAAAAQAgAAAA&#10;JQEAAGRycy9lMm9Eb2MueG1sUEsFBgAAAAAGAAYAWQEAAKAFAAAAAA==&#10;">
                <v:fill on="f" focussize="0,0"/>
                <v:stroke color="#000000" joinstyle="round"/>
                <v:imagedata o:title=""/>
                <o:lock v:ext="edit" aspectratio="f"/>
              </v:shape>
            </w:pict>
          </mc:Fallback>
        </mc:AlternateContent>
      </w:r>
      <w:r>
        <mc:AlternateContent>
          <mc:Choice Requires="wps">
            <w:drawing>
              <wp:anchor distT="45720" distB="45720" distL="114300" distR="114300" simplePos="0" relativeHeight="251680768" behindDoc="0" locked="0" layoutInCell="1" allowOverlap="1">
                <wp:simplePos x="0" y="0"/>
                <wp:positionH relativeFrom="column">
                  <wp:posOffset>3254375</wp:posOffset>
                </wp:positionH>
                <wp:positionV relativeFrom="paragraph">
                  <wp:posOffset>27940</wp:posOffset>
                </wp:positionV>
                <wp:extent cx="0" cy="173355"/>
                <wp:effectExtent l="4445" t="0" r="14605" b="17145"/>
                <wp:wrapNone/>
                <wp:docPr id="18" name="自选图形 430"/>
                <wp:cNvGraphicFramePr/>
                <a:graphic xmlns:a="http://schemas.openxmlformats.org/drawingml/2006/main">
                  <a:graphicData uri="http://schemas.microsoft.com/office/word/2010/wordprocessingShape">
                    <wps:wsp>
                      <wps:cNvCnPr>
                        <a:endCxn id="55" idx="2"/>
                      </wps:cNvCnPr>
                      <wps:spPr>
                        <a:xfrm flipV="1">
                          <a:off x="0" y="0"/>
                          <a:ext cx="0" cy="17335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430" o:spid="_x0000_s1026" o:spt="32" type="#_x0000_t32" style="position:absolute;left:0pt;flip:y;margin-left:256.25pt;margin-top:2.2pt;height:13.65pt;width:0pt;z-index:251680768;mso-width-relative:page;mso-height-relative:page;" filled="f" stroked="t" coordsize="21600,21600" o:gfxdata="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FJwdt1gAAAAgBAAAPAAAAAAAAAAEAIAAAACIA&#10;AABkcnMvZG93bnJldi54bWxQSwECFAAUAAAACACHTuJAZL+CZgsCAAAXBAAADgAAAAAAAAABACAA&#10;AAAlAQAAZHJzL2Uyb0RvYy54bWxQSwUGAAAAAAYABgBZAQAAogUAAAAA&#10;">
                <v:fill on="f" focussize="0,0"/>
                <v:stroke color="#000000" joinstyle="round"/>
                <v:imagedata o:title=""/>
                <o:lock v:ext="edit" aspectratio="f"/>
              </v:shape>
            </w:pict>
          </mc:Fallback>
        </mc:AlternateContent>
      </w:r>
      <w:r>
        <mc:AlternateContent>
          <mc:Choice Requires="wps">
            <w:drawing>
              <wp:anchor distT="45720" distB="45720" distL="114300" distR="114300" simplePos="0" relativeHeight="251678720" behindDoc="0" locked="0" layoutInCell="1" allowOverlap="1">
                <wp:simplePos x="0" y="0"/>
                <wp:positionH relativeFrom="column">
                  <wp:posOffset>1128395</wp:posOffset>
                </wp:positionH>
                <wp:positionV relativeFrom="paragraph">
                  <wp:posOffset>27940</wp:posOffset>
                </wp:positionV>
                <wp:extent cx="0" cy="164465"/>
                <wp:effectExtent l="4445" t="0" r="14605" b="6985"/>
                <wp:wrapNone/>
                <wp:docPr id="16" name="自选图形 428"/>
                <wp:cNvGraphicFramePr/>
                <a:graphic xmlns:a="http://schemas.openxmlformats.org/drawingml/2006/main">
                  <a:graphicData uri="http://schemas.microsoft.com/office/word/2010/wordprocessingShape">
                    <wps:wsp>
                      <wps:cNvCnPr>
                        <a:endCxn id="55" idx="2"/>
                      </wps:cNvCnPr>
                      <wps:spPr>
                        <a:xfrm>
                          <a:off x="0" y="0"/>
                          <a:ext cx="0" cy="16446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428" o:spid="_x0000_s1026" o:spt="32" type="#_x0000_t32" style="position:absolute;left:0pt;margin-left:88.85pt;margin-top:2.2pt;height:12.95pt;width:0pt;z-index:251678720;mso-width-relative:page;mso-height-relative:page;" filled="f" stroked="t" coordsize="21600,21600" o:gfxdata="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Piwit9UAAAAIAQAADwAAAAAAAAABACAAAAAiAAAAZHJz&#10;L2Rvd25yZXYueG1sUEsBAhQAFAAAAAgAh07iQMoQYHAHAgAADQQAAA4AAAAAAAAAAQAgAAAAJAEA&#10;AGRycy9lMm9Eb2MueG1sUEsFBgAAAAAGAAYAWQEAAJ0FAAAAAA==&#10;">
                <v:fill on="f" focussize="0,0"/>
                <v:stroke color="#000000" joinstyle="round"/>
                <v:imagedata o:title=""/>
                <o:lock v:ext="edit" aspectratio="f"/>
              </v:shape>
            </w:pict>
          </mc:Fallback>
        </mc:AlternateContent>
      </w:r>
    </w:p>
    <w:p>
      <w:pPr>
        <w:rPr>
          <w:rFonts w:hint="default" w:ascii="Times New Roman" w:hAnsi="Times New Roman" w:cs="Times New Roman"/>
        </w:rPr>
      </w:pPr>
    </w:p>
    <w:p>
      <w:pPr>
        <w:rPr>
          <w:rFonts w:hint="default" w:ascii="Times New Roman" w:hAnsi="Times New Roman" w:cs="Times New Roman"/>
        </w:rPr>
      </w:pPr>
      <w:r>
        <mc:AlternateContent>
          <mc:Choice Requires="wps">
            <w:drawing>
              <wp:anchor distT="45720" distB="45720" distL="114300" distR="114300" simplePos="0" relativeHeight="251691008" behindDoc="0" locked="0" layoutInCell="1" allowOverlap="1">
                <wp:simplePos x="0" y="0"/>
                <wp:positionH relativeFrom="column">
                  <wp:posOffset>1854200</wp:posOffset>
                </wp:positionH>
                <wp:positionV relativeFrom="paragraph">
                  <wp:posOffset>1905</wp:posOffset>
                </wp:positionV>
                <wp:extent cx="2145665" cy="518160"/>
                <wp:effectExtent l="4445" t="5080" r="21590" b="10160"/>
                <wp:wrapNone/>
                <wp:docPr id="28" name="文本框 440"/>
                <wp:cNvGraphicFramePr/>
                <a:graphic xmlns:a="http://schemas.openxmlformats.org/drawingml/2006/main">
                  <a:graphicData uri="http://schemas.microsoft.com/office/word/2010/wordprocessingShape">
                    <wps:wsp>
                      <wps:cNvSpPr txBox="1"/>
                      <wps:spPr>
                        <a:xfrm>
                          <a:off x="0" y="0"/>
                          <a:ext cx="2145665" cy="5181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0"/>
                              <w:jc w:val="center"/>
                              <w:rPr>
                                <w:rFonts w:ascii="宋体" w:hAnsi="宋体" w:eastAsia="宋体"/>
                                <w:sz w:val="21"/>
                                <w:szCs w:val="21"/>
                              </w:rPr>
                            </w:pPr>
                            <w:r>
                              <w:rPr>
                                <w:rFonts w:hint="eastAsia" w:ascii="宋体" w:hAnsi="宋体" w:eastAsia="宋体"/>
                                <w:sz w:val="21"/>
                                <w:szCs w:val="21"/>
                              </w:rPr>
                              <w:t>1各</w:t>
                            </w:r>
                            <w:r>
                              <w:rPr>
                                <w:rFonts w:ascii="宋体" w:hAnsi="宋体" w:eastAsia="宋体"/>
                                <w:sz w:val="21"/>
                                <w:szCs w:val="21"/>
                              </w:rPr>
                              <w:t>环境要素环境影响预测与评价</w:t>
                            </w:r>
                          </w:p>
                          <w:p>
                            <w:pPr>
                              <w:ind w:firstLine="0"/>
                              <w:rPr>
                                <w:rFonts w:hint="eastAsia" w:ascii="宋体" w:hAnsi="宋体" w:eastAsia="宋体"/>
                                <w:sz w:val="21"/>
                                <w:szCs w:val="21"/>
                              </w:rPr>
                            </w:pPr>
                            <w:r>
                              <w:rPr>
                                <w:rFonts w:ascii="宋体" w:hAnsi="宋体" w:eastAsia="宋体"/>
                                <w:sz w:val="21"/>
                                <w:szCs w:val="21"/>
                              </w:rPr>
                              <w:t>2</w:t>
                            </w:r>
                            <w:r>
                              <w:rPr>
                                <w:rFonts w:hint="eastAsia" w:ascii="宋体" w:hAnsi="宋体" w:eastAsia="宋体"/>
                                <w:sz w:val="21"/>
                                <w:szCs w:val="21"/>
                              </w:rPr>
                              <w:t>各</w:t>
                            </w:r>
                            <w:r>
                              <w:rPr>
                                <w:rFonts w:ascii="宋体" w:hAnsi="宋体" w:eastAsia="宋体"/>
                                <w:sz w:val="21"/>
                                <w:szCs w:val="21"/>
                              </w:rPr>
                              <w:t>专题环境影响分析与评价</w:t>
                            </w:r>
                          </w:p>
                        </w:txbxContent>
                      </wps:txbx>
                      <wps:bodyPr wrap="square" upright="1"/>
                    </wps:wsp>
                  </a:graphicData>
                </a:graphic>
              </wp:anchor>
            </w:drawing>
          </mc:Choice>
          <mc:Fallback>
            <w:pict>
              <v:shape id="文本框 440" o:spid="_x0000_s1026" o:spt="202" type="#_x0000_t202" style="position:absolute;left:0pt;margin-left:146pt;margin-top:0.15pt;height:40.8pt;width:168.95pt;z-index:251691008;mso-width-relative:page;mso-height-relative:page;" fillcolor="#FFFFFF" filled="t" stroked="t" coordsize="21600,21600" o:gfxdata="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I9MBiNYAAAAHAQAADwAA&#10;AAAAAAABACAAAAAiAAAAZHJzL2Rvd25yZXYueG1sUEsBAhQAFAAAAAgAh07iQCe+aZgYAgAARwQA&#10;AA4AAAAAAAAAAQAgAAAAJQEAAGRycy9lMm9Eb2MueG1sUEsFBgAAAAAGAAYAWQEAAK8FAAAAAA==&#10;">
                <v:fill on="t" focussize="0,0"/>
                <v:stroke color="#000000" joinstyle="miter"/>
                <v:imagedata o:title=""/>
                <o:lock v:ext="edit" aspectratio="f"/>
                <v:textbox>
                  <w:txbxContent>
                    <w:p>
                      <w:pPr>
                        <w:ind w:firstLine="0"/>
                        <w:jc w:val="center"/>
                        <w:rPr>
                          <w:rFonts w:ascii="宋体" w:hAnsi="宋体" w:eastAsia="宋体"/>
                          <w:sz w:val="21"/>
                          <w:szCs w:val="21"/>
                        </w:rPr>
                      </w:pPr>
                      <w:r>
                        <w:rPr>
                          <w:rFonts w:hint="eastAsia" w:ascii="宋体" w:hAnsi="宋体" w:eastAsia="宋体"/>
                          <w:sz w:val="21"/>
                          <w:szCs w:val="21"/>
                        </w:rPr>
                        <w:t>1各</w:t>
                      </w:r>
                      <w:r>
                        <w:rPr>
                          <w:rFonts w:ascii="宋体" w:hAnsi="宋体" w:eastAsia="宋体"/>
                          <w:sz w:val="21"/>
                          <w:szCs w:val="21"/>
                        </w:rPr>
                        <w:t>环境要素环境影响预测与评价</w:t>
                      </w:r>
                    </w:p>
                    <w:p>
                      <w:pPr>
                        <w:ind w:firstLine="0"/>
                        <w:rPr>
                          <w:rFonts w:hint="eastAsia" w:ascii="宋体" w:hAnsi="宋体" w:eastAsia="宋体"/>
                          <w:sz w:val="21"/>
                          <w:szCs w:val="21"/>
                        </w:rPr>
                      </w:pPr>
                      <w:r>
                        <w:rPr>
                          <w:rFonts w:ascii="宋体" w:hAnsi="宋体" w:eastAsia="宋体"/>
                          <w:sz w:val="21"/>
                          <w:szCs w:val="21"/>
                        </w:rPr>
                        <w:t>2</w:t>
                      </w:r>
                      <w:r>
                        <w:rPr>
                          <w:rFonts w:hint="eastAsia" w:ascii="宋体" w:hAnsi="宋体" w:eastAsia="宋体"/>
                          <w:sz w:val="21"/>
                          <w:szCs w:val="21"/>
                        </w:rPr>
                        <w:t>各</w:t>
                      </w:r>
                      <w:r>
                        <w:rPr>
                          <w:rFonts w:ascii="宋体" w:hAnsi="宋体" w:eastAsia="宋体"/>
                          <w:sz w:val="21"/>
                          <w:szCs w:val="21"/>
                        </w:rPr>
                        <w:t>专题环境影响分析与评价</w:t>
                      </w:r>
                    </w:p>
                  </w:txbxContent>
                </v:textbox>
              </v:shape>
            </w:pict>
          </mc:Fallback>
        </mc:AlternateContent>
      </w:r>
    </w:p>
    <w:p>
      <w:pPr>
        <w:rPr>
          <w:rFonts w:hint="default" w:ascii="Times New Roman" w:hAnsi="Times New Roman" w:cs="Times New Roman"/>
        </w:rPr>
      </w:pPr>
    </w:p>
    <w:p>
      <w:pPr>
        <w:rPr>
          <w:rFonts w:hint="default" w:ascii="Times New Roman" w:hAnsi="Times New Roman" w:cs="Times New Roman"/>
        </w:rPr>
      </w:pPr>
      <w:r>
        <mc:AlternateContent>
          <mc:Choice Requires="wps">
            <w:drawing>
              <wp:anchor distT="45720" distB="45720" distL="114300" distR="114300" simplePos="0" relativeHeight="251681792" behindDoc="0" locked="0" layoutInCell="1" allowOverlap="1">
                <wp:simplePos x="0" y="0"/>
                <wp:positionH relativeFrom="column">
                  <wp:posOffset>2896235</wp:posOffset>
                </wp:positionH>
                <wp:positionV relativeFrom="paragraph">
                  <wp:posOffset>38100</wp:posOffset>
                </wp:positionV>
                <wp:extent cx="0" cy="476885"/>
                <wp:effectExtent l="38100" t="0" r="38100" b="18415"/>
                <wp:wrapNone/>
                <wp:docPr id="19" name="自选图形 431"/>
                <wp:cNvGraphicFramePr/>
                <a:graphic xmlns:a="http://schemas.openxmlformats.org/drawingml/2006/main">
                  <a:graphicData uri="http://schemas.microsoft.com/office/word/2010/wordprocessingShape">
                    <wps:wsp>
                      <wps:cNvCnPr>
                        <a:endCxn id="55" idx="2"/>
                      </wps:cNvCnPr>
                      <wps:spPr>
                        <a:xfrm>
                          <a:off x="0" y="0"/>
                          <a:ext cx="0" cy="47688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431" o:spid="_x0000_s1026" o:spt="32" type="#_x0000_t32" style="position:absolute;left:0pt;margin-left:228.05pt;margin-top:3pt;height:37.55pt;width:0pt;z-index:251681792;mso-width-relative:page;mso-height-relative:page;" filled="f" stroked="t" coordsize="21600,21600" o:gfxdata="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nCZqYdYAAAAIAQAADwAAAAAAAAABACAA&#10;AAAiAAAAZHJzL2Rvd25yZXYueG1sUEsBAhQAFAAAAAgAh07iQA0XUPUPAgAAEQQAAA4AAAAAAAAA&#10;AQAgAAAAJQEAAGRycy9lMm9Eb2MueG1sUEsFBgAAAAAGAAYAWQEAAKYFAAAAAA==&#10;">
                <v:fill on="f" focussize="0,0"/>
                <v:stroke color="#000000" joinstyle="round" endarrow="block"/>
                <v:imagedata o:title=""/>
                <o:lock v:ext="edit" aspectratio="f"/>
              </v:shape>
            </w:pict>
          </mc:Fallback>
        </mc:AlternateContent>
      </w:r>
      <w:r>
        <mc:AlternateContent>
          <mc:Choice Requires="wps">
            <w:drawing>
              <wp:anchor distT="45720" distB="45720" distL="114300" distR="114300" simplePos="0" relativeHeight="251686912" behindDoc="0" locked="0" layoutInCell="1" allowOverlap="1">
                <wp:simplePos x="0" y="0"/>
                <wp:positionH relativeFrom="column">
                  <wp:posOffset>-22225</wp:posOffset>
                </wp:positionH>
                <wp:positionV relativeFrom="paragraph">
                  <wp:posOffset>241300</wp:posOffset>
                </wp:positionV>
                <wp:extent cx="5573395" cy="17145"/>
                <wp:effectExtent l="0" t="4445" r="8255" b="6985"/>
                <wp:wrapNone/>
                <wp:docPr id="24" name="自选图形 436"/>
                <wp:cNvGraphicFramePr/>
                <a:graphic xmlns:a="http://schemas.openxmlformats.org/drawingml/2006/main">
                  <a:graphicData uri="http://schemas.microsoft.com/office/word/2010/wordprocessingShape">
                    <wps:wsp>
                      <wps:cNvCnPr>
                        <a:endCxn id="55" idx="2"/>
                      </wps:cNvCnPr>
                      <wps:spPr>
                        <a:xfrm flipV="1">
                          <a:off x="0" y="0"/>
                          <a:ext cx="5573395" cy="17145"/>
                        </a:xfrm>
                        <a:prstGeom prst="straightConnector1">
                          <a:avLst/>
                        </a:prstGeom>
                        <a:ln w="3175" cap="flat" cmpd="sng">
                          <a:solidFill>
                            <a:srgbClr val="000000"/>
                          </a:solidFill>
                          <a:prstDash val="dash"/>
                          <a:headEnd type="none" w="med" len="med"/>
                          <a:tailEnd type="none" w="med" len="med"/>
                        </a:ln>
                      </wps:spPr>
                      <wps:bodyPr/>
                    </wps:wsp>
                  </a:graphicData>
                </a:graphic>
              </wp:anchor>
            </w:drawing>
          </mc:Choice>
          <mc:Fallback>
            <w:pict>
              <v:shape id="自选图形 436" o:spid="_x0000_s1026" o:spt="32" type="#_x0000_t32" style="position:absolute;left:0pt;flip:y;margin-left:-1.75pt;margin-top:19pt;height:1.35pt;width:438.85pt;z-index:251686912;mso-width-relative:page;mso-height-relative:page;" filled="f" stroked="t" coordsize="21600,21600" o:gfxdata="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FGdMN9UAAAAIAQAADwAAAAAAAAAB&#10;ACAAAAAiAAAAZHJzL2Rvd25yZXYueG1sUEsBAhQAFAAAAAgAh07iQNxzSvYTAgAAGwQAAA4AAAAA&#10;AAAAAQAgAAAAJAEAAGRycy9lMm9Eb2MueG1sUEsFBgAAAAAGAAYAWQEAAKkFAAAAAA==&#10;">
                <v:fill on="f" focussize="0,0"/>
                <v:stroke weight="0.25pt" color="#000000" joinstyle="round" dashstyle="dash"/>
                <v:imagedata o:title=""/>
                <o:lock v:ext="edit" aspectratio="f"/>
              </v:shape>
            </w:pict>
          </mc:Fallback>
        </mc:AlternateContent>
      </w:r>
    </w:p>
    <w:p>
      <w:pPr>
        <w:rPr>
          <w:rFonts w:hint="default" w:ascii="Times New Roman" w:hAnsi="Times New Roman" w:cs="Times New Roman"/>
        </w:rPr>
      </w:pPr>
    </w:p>
    <w:p>
      <w:pPr>
        <w:rPr>
          <w:rFonts w:hint="default" w:ascii="Times New Roman" w:hAnsi="Times New Roman" w:cs="Times New Roman"/>
        </w:rPr>
      </w:pPr>
      <w:r>
        <mc:AlternateContent>
          <mc:Choice Requires="wps">
            <w:drawing>
              <wp:anchor distT="45720" distB="45720" distL="114300" distR="114300" simplePos="0" relativeHeight="251682816" behindDoc="0" locked="0" layoutInCell="1" allowOverlap="1">
                <wp:simplePos x="0" y="0"/>
                <wp:positionH relativeFrom="column">
                  <wp:posOffset>1638935</wp:posOffset>
                </wp:positionH>
                <wp:positionV relativeFrom="paragraph">
                  <wp:posOffset>8890</wp:posOffset>
                </wp:positionV>
                <wp:extent cx="2686685" cy="716915"/>
                <wp:effectExtent l="4445" t="4445" r="13970" b="21590"/>
                <wp:wrapSquare wrapText="bothSides"/>
                <wp:docPr id="20" name="文本框 2"/>
                <wp:cNvGraphicFramePr/>
                <a:graphic xmlns:a="http://schemas.openxmlformats.org/drawingml/2006/main">
                  <a:graphicData uri="http://schemas.microsoft.com/office/word/2010/wordprocessingShape">
                    <wps:wsp>
                      <wps:cNvSpPr txBox="1"/>
                      <wps:spPr>
                        <a:xfrm>
                          <a:off x="0" y="0"/>
                          <a:ext cx="2686685" cy="7169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0"/>
                              <w:rPr>
                                <w:rFonts w:eastAsia="宋体"/>
                                <w:sz w:val="21"/>
                                <w:szCs w:val="21"/>
                              </w:rPr>
                            </w:pPr>
                            <w:r>
                              <w:rPr>
                                <w:rFonts w:eastAsia="宋体"/>
                                <w:sz w:val="21"/>
                                <w:szCs w:val="21"/>
                              </w:rPr>
                              <w:t>1 提出环境保护措施，进行技术经济论证</w:t>
                            </w:r>
                          </w:p>
                          <w:p>
                            <w:pPr>
                              <w:ind w:firstLine="0"/>
                              <w:rPr>
                                <w:rFonts w:eastAsia="宋体"/>
                                <w:sz w:val="21"/>
                                <w:szCs w:val="21"/>
                              </w:rPr>
                            </w:pPr>
                            <w:r>
                              <w:rPr>
                                <w:rFonts w:eastAsia="宋体"/>
                                <w:sz w:val="21"/>
                                <w:szCs w:val="21"/>
                              </w:rPr>
                              <w:t>2 给出污染物排放清单</w:t>
                            </w:r>
                          </w:p>
                          <w:p>
                            <w:pPr>
                              <w:ind w:firstLine="0"/>
                              <w:rPr>
                                <w:rFonts w:eastAsia="宋体"/>
                                <w:sz w:val="21"/>
                                <w:szCs w:val="21"/>
                              </w:rPr>
                            </w:pPr>
                            <w:r>
                              <w:rPr>
                                <w:rFonts w:eastAsia="宋体"/>
                                <w:sz w:val="21"/>
                                <w:szCs w:val="21"/>
                              </w:rPr>
                              <w:t>3 给出建设项目环境影响评价结论</w:t>
                            </w:r>
                          </w:p>
                        </w:txbxContent>
                      </wps:txbx>
                      <wps:bodyPr wrap="square" upright="1"/>
                    </wps:wsp>
                  </a:graphicData>
                </a:graphic>
              </wp:anchor>
            </w:drawing>
          </mc:Choice>
          <mc:Fallback>
            <w:pict>
              <v:shape id="文本框 2" o:spid="_x0000_s1026" o:spt="202" type="#_x0000_t202" style="position:absolute;left:0pt;margin-left:129.05pt;margin-top:0.7pt;height:56.45pt;width:211.55pt;mso-wrap-distance-bottom:3.6pt;mso-wrap-distance-left:9pt;mso-wrap-distance-right:9pt;mso-wrap-distance-top:3.6pt;z-index:251682816;mso-width-relative:page;mso-height-relative:page;" fillcolor="#FFFFFF" filled="t" stroked="t" coordsize="21600,21600" o:gfxdata="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Bp/IrzXAAAACQEAAA8AAAAA&#10;AAAAAQAgAAAAIgAAAGRycy9kb3ducmV2LnhtbFBLAQIUABQAAAAIAIdO4kAMiF6jFQIAAEUEAAAO&#10;AAAAAAAAAAEAIAAAACYBAABkcnMvZTJvRG9jLnhtbFBLBQYAAAAABgAGAFkBAACtBQAAAAA=&#10;">
                <v:fill on="t" focussize="0,0"/>
                <v:stroke color="#000000" joinstyle="miter"/>
                <v:imagedata o:title=""/>
                <o:lock v:ext="edit" aspectratio="f"/>
                <v:textbox>
                  <w:txbxContent>
                    <w:p>
                      <w:pPr>
                        <w:ind w:firstLine="0"/>
                        <w:rPr>
                          <w:rFonts w:eastAsia="宋体"/>
                          <w:sz w:val="21"/>
                          <w:szCs w:val="21"/>
                        </w:rPr>
                      </w:pPr>
                      <w:r>
                        <w:rPr>
                          <w:rFonts w:eastAsia="宋体"/>
                          <w:sz w:val="21"/>
                          <w:szCs w:val="21"/>
                        </w:rPr>
                        <w:t>1 提出环境保护措施，进行技术经济论证</w:t>
                      </w:r>
                    </w:p>
                    <w:p>
                      <w:pPr>
                        <w:ind w:firstLine="0"/>
                        <w:rPr>
                          <w:rFonts w:eastAsia="宋体"/>
                          <w:sz w:val="21"/>
                          <w:szCs w:val="21"/>
                        </w:rPr>
                      </w:pPr>
                      <w:r>
                        <w:rPr>
                          <w:rFonts w:eastAsia="宋体"/>
                          <w:sz w:val="21"/>
                          <w:szCs w:val="21"/>
                        </w:rPr>
                        <w:t>2 给出污染物排放清单</w:t>
                      </w:r>
                    </w:p>
                    <w:p>
                      <w:pPr>
                        <w:ind w:firstLine="0"/>
                        <w:rPr>
                          <w:rFonts w:eastAsia="宋体"/>
                          <w:sz w:val="21"/>
                          <w:szCs w:val="21"/>
                        </w:rPr>
                      </w:pPr>
                      <w:r>
                        <w:rPr>
                          <w:rFonts w:eastAsia="宋体"/>
                          <w:sz w:val="21"/>
                          <w:szCs w:val="21"/>
                        </w:rPr>
                        <w:t>3 给出建设项目环境影响评价结论</w:t>
                      </w:r>
                    </w:p>
                  </w:txbxContent>
                </v:textbox>
                <w10:wrap type="square"/>
              </v:shape>
            </w:pict>
          </mc:Fallback>
        </mc:AlternateContent>
      </w:r>
    </w:p>
    <w:p>
      <w:pPr>
        <w:snapToGrid w:val="0"/>
        <w:spacing w:line="240" w:lineRule="auto"/>
        <w:ind w:firstLine="0"/>
        <w:jc w:val="center"/>
        <w:rPr>
          <w:rFonts w:hint="default" w:ascii="Times New Roman" w:hAnsi="Times New Roman" w:eastAsia="黑体" w:cs="Times New Roman"/>
          <w:b/>
          <w:bCs/>
          <w:kern w:val="0"/>
          <w:sz w:val="24"/>
          <w:szCs w:val="30"/>
        </w:rPr>
      </w:pPr>
      <w:r>
        <w:rPr>
          <w:rFonts w:hint="default" w:ascii="Times New Roman" w:hAnsi="Times New Roman" w:eastAsia="黑体" w:cs="Times New Roman"/>
          <w:b/>
          <w:bCs/>
          <w:kern w:val="0"/>
          <w:sz w:val="24"/>
          <w:szCs w:val="30"/>
        </w:rPr>
        <w:t xml:space="preserve">  </w:t>
      </w:r>
    </w:p>
    <w:p>
      <w:pPr>
        <w:snapToGrid w:val="0"/>
        <w:spacing w:line="240" w:lineRule="auto"/>
        <w:ind w:firstLine="0"/>
        <w:jc w:val="center"/>
        <w:rPr>
          <w:rFonts w:hint="default" w:ascii="Times New Roman" w:hAnsi="Times New Roman" w:eastAsia="黑体" w:cs="Times New Roman"/>
          <w:b/>
          <w:bCs/>
          <w:kern w:val="0"/>
          <w:sz w:val="24"/>
          <w:szCs w:val="30"/>
        </w:rPr>
      </w:pPr>
      <w:r>
        <mc:AlternateContent>
          <mc:Choice Requires="wps">
            <w:drawing>
              <wp:anchor distT="45720" distB="45720" distL="114300" distR="114300" simplePos="0" relativeHeight="251688960" behindDoc="0" locked="0" layoutInCell="1" allowOverlap="1">
                <wp:simplePos x="0" y="0"/>
                <wp:positionH relativeFrom="column">
                  <wp:posOffset>310515</wp:posOffset>
                </wp:positionH>
                <wp:positionV relativeFrom="paragraph">
                  <wp:posOffset>8255</wp:posOffset>
                </wp:positionV>
                <wp:extent cx="336550" cy="1778000"/>
                <wp:effectExtent l="0" t="0" r="6350" b="12700"/>
                <wp:wrapSquare wrapText="bothSides"/>
                <wp:docPr id="26" name="文本框 2"/>
                <wp:cNvGraphicFramePr/>
                <a:graphic xmlns:a="http://schemas.openxmlformats.org/drawingml/2006/main">
                  <a:graphicData uri="http://schemas.microsoft.com/office/word/2010/wordprocessingShape">
                    <wps:wsp>
                      <wps:cNvSpPr txBox="1"/>
                      <wps:spPr>
                        <a:xfrm>
                          <a:off x="0" y="0"/>
                          <a:ext cx="336550" cy="1778000"/>
                        </a:xfrm>
                        <a:prstGeom prst="rect">
                          <a:avLst/>
                        </a:prstGeom>
                        <a:solidFill>
                          <a:srgbClr val="FFFFFF"/>
                        </a:solidFill>
                        <a:ln>
                          <a:noFill/>
                        </a:ln>
                      </wps:spPr>
                      <wps:txbx>
                        <w:txbxContent>
                          <w:p>
                            <w:pPr>
                              <w:ind w:firstLine="0"/>
                              <w:rPr>
                                <w:rFonts w:ascii="宋体" w:hAnsi="宋体" w:eastAsia="宋体"/>
                                <w:sz w:val="21"/>
                                <w:szCs w:val="21"/>
                              </w:rPr>
                            </w:pPr>
                            <w:r>
                              <w:rPr>
                                <w:rFonts w:hint="eastAsia" w:ascii="宋体" w:hAnsi="宋体" w:eastAsia="宋体"/>
                                <w:sz w:val="21"/>
                                <w:szCs w:val="21"/>
                              </w:rPr>
                              <w:t>第</w:t>
                            </w:r>
                          </w:p>
                          <w:p>
                            <w:pPr>
                              <w:ind w:firstLine="0"/>
                              <w:rPr>
                                <w:rFonts w:ascii="宋体" w:hAnsi="宋体" w:eastAsia="宋体"/>
                                <w:sz w:val="21"/>
                                <w:szCs w:val="21"/>
                              </w:rPr>
                            </w:pPr>
                            <w:r>
                              <w:rPr>
                                <w:rFonts w:hint="eastAsia" w:ascii="宋体" w:hAnsi="宋体" w:eastAsia="宋体"/>
                                <w:sz w:val="21"/>
                                <w:szCs w:val="21"/>
                              </w:rPr>
                              <w:t>三</w:t>
                            </w:r>
                          </w:p>
                          <w:p>
                            <w:pPr>
                              <w:ind w:firstLine="0"/>
                              <w:rPr>
                                <w:rFonts w:ascii="宋体" w:hAnsi="宋体" w:eastAsia="宋体"/>
                                <w:sz w:val="21"/>
                                <w:szCs w:val="21"/>
                              </w:rPr>
                            </w:pPr>
                            <w:r>
                              <w:rPr>
                                <w:rFonts w:ascii="宋体" w:hAnsi="宋体" w:eastAsia="宋体"/>
                                <w:sz w:val="21"/>
                                <w:szCs w:val="21"/>
                              </w:rPr>
                              <w:t>阶</w:t>
                            </w:r>
                          </w:p>
                          <w:p>
                            <w:pPr>
                              <w:ind w:firstLine="0"/>
                              <w:rPr>
                                <w:rFonts w:hint="eastAsia" w:ascii="宋体" w:hAnsi="宋体" w:eastAsia="宋体"/>
                                <w:sz w:val="21"/>
                                <w:szCs w:val="21"/>
                              </w:rPr>
                            </w:pPr>
                            <w:r>
                              <w:rPr>
                                <w:rFonts w:ascii="宋体" w:hAnsi="宋体" w:eastAsia="宋体"/>
                                <w:sz w:val="21"/>
                                <w:szCs w:val="21"/>
                              </w:rPr>
                              <w:t>段</w:t>
                            </w:r>
                          </w:p>
                        </w:txbxContent>
                      </wps:txbx>
                      <wps:bodyPr wrap="square" upright="1">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24.45pt;margin-top:0.65pt;height:140pt;width:26.5pt;mso-wrap-distance-bottom:3.6pt;mso-wrap-distance-left:9pt;mso-wrap-distance-right:9pt;mso-wrap-distance-top:3.6pt;z-index:251688960;mso-width-relative:page;mso-height-relative:margin;mso-height-percent:200;" fillcolor="#FFFFFF" filled="t" stroked="f" coordsize="21600,21600" o:gfxdata="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JokjNLUAAAACAEAAA8AAAAAAAAAAQAg&#10;AAAAIgAAAGRycy9kb3ducmV2LnhtbFBLAQIUABQAAAAIAIdO4kCGxlRQ2QEAAKADAAAOAAAAAAAA&#10;AAEAIAAAACMBAABkcnMvZTJvRG9jLnhtbFBLBQYAAAAABgAGAFkBAABuBQAAAAA=&#10;">
                <v:fill on="t" focussize="0,0"/>
                <v:stroke on="f"/>
                <v:imagedata o:title=""/>
                <o:lock v:ext="edit" aspectratio="f"/>
                <v:textbox style="mso-fit-shape-to-text:t;">
                  <w:txbxContent>
                    <w:p>
                      <w:pPr>
                        <w:ind w:firstLine="0"/>
                        <w:rPr>
                          <w:rFonts w:ascii="宋体" w:hAnsi="宋体" w:eastAsia="宋体"/>
                          <w:sz w:val="21"/>
                          <w:szCs w:val="21"/>
                        </w:rPr>
                      </w:pPr>
                      <w:r>
                        <w:rPr>
                          <w:rFonts w:hint="eastAsia" w:ascii="宋体" w:hAnsi="宋体" w:eastAsia="宋体"/>
                          <w:sz w:val="21"/>
                          <w:szCs w:val="21"/>
                        </w:rPr>
                        <w:t>第</w:t>
                      </w:r>
                    </w:p>
                    <w:p>
                      <w:pPr>
                        <w:ind w:firstLine="0"/>
                        <w:rPr>
                          <w:rFonts w:ascii="宋体" w:hAnsi="宋体" w:eastAsia="宋体"/>
                          <w:sz w:val="21"/>
                          <w:szCs w:val="21"/>
                        </w:rPr>
                      </w:pPr>
                      <w:r>
                        <w:rPr>
                          <w:rFonts w:hint="eastAsia" w:ascii="宋体" w:hAnsi="宋体" w:eastAsia="宋体"/>
                          <w:sz w:val="21"/>
                          <w:szCs w:val="21"/>
                        </w:rPr>
                        <w:t>三</w:t>
                      </w:r>
                    </w:p>
                    <w:p>
                      <w:pPr>
                        <w:ind w:firstLine="0"/>
                        <w:rPr>
                          <w:rFonts w:ascii="宋体" w:hAnsi="宋体" w:eastAsia="宋体"/>
                          <w:sz w:val="21"/>
                          <w:szCs w:val="21"/>
                        </w:rPr>
                      </w:pPr>
                      <w:r>
                        <w:rPr>
                          <w:rFonts w:ascii="宋体" w:hAnsi="宋体" w:eastAsia="宋体"/>
                          <w:sz w:val="21"/>
                          <w:szCs w:val="21"/>
                        </w:rPr>
                        <w:t>阶</w:t>
                      </w:r>
                    </w:p>
                    <w:p>
                      <w:pPr>
                        <w:ind w:firstLine="0"/>
                        <w:rPr>
                          <w:rFonts w:hint="eastAsia" w:ascii="宋体" w:hAnsi="宋体" w:eastAsia="宋体"/>
                          <w:sz w:val="21"/>
                          <w:szCs w:val="21"/>
                        </w:rPr>
                      </w:pPr>
                      <w:r>
                        <w:rPr>
                          <w:rFonts w:ascii="宋体" w:hAnsi="宋体" w:eastAsia="宋体"/>
                          <w:sz w:val="21"/>
                          <w:szCs w:val="21"/>
                        </w:rPr>
                        <w:t>段</w:t>
                      </w:r>
                    </w:p>
                  </w:txbxContent>
                </v:textbox>
                <w10:wrap type="square"/>
              </v:shape>
            </w:pict>
          </mc:Fallback>
        </mc:AlternateContent>
      </w:r>
      <w:r>
        <w:rPr>
          <w:rFonts w:hint="default" w:ascii="Times New Roman" w:hAnsi="Times New Roman" w:eastAsia="黑体" w:cs="Times New Roman"/>
          <w:b/>
          <w:bCs/>
          <w:kern w:val="0"/>
          <w:sz w:val="24"/>
          <w:szCs w:val="30"/>
        </w:rPr>
        <w:t xml:space="preserve">    </w:t>
      </w:r>
    </w:p>
    <w:p>
      <w:pPr>
        <w:snapToGrid w:val="0"/>
        <w:spacing w:line="240" w:lineRule="auto"/>
        <w:ind w:firstLine="0"/>
        <w:jc w:val="center"/>
        <w:rPr>
          <w:rFonts w:hint="default" w:ascii="Times New Roman" w:hAnsi="Times New Roman" w:eastAsia="黑体" w:cs="Times New Roman"/>
          <w:b/>
          <w:bCs/>
          <w:kern w:val="0"/>
          <w:sz w:val="24"/>
          <w:szCs w:val="30"/>
        </w:rPr>
      </w:pPr>
      <w:r>
        <mc:AlternateContent>
          <mc:Choice Requires="wps">
            <w:drawing>
              <wp:anchor distT="45720" distB="45720" distL="114300" distR="114300" simplePos="0" relativeHeight="251683840" behindDoc="0" locked="0" layoutInCell="1" allowOverlap="1">
                <wp:simplePos x="0" y="0"/>
                <wp:positionH relativeFrom="column">
                  <wp:posOffset>2087880</wp:posOffset>
                </wp:positionH>
                <wp:positionV relativeFrom="paragraph">
                  <wp:posOffset>137795</wp:posOffset>
                </wp:positionV>
                <wp:extent cx="635" cy="408305"/>
                <wp:effectExtent l="37465" t="0" r="38100" b="10795"/>
                <wp:wrapNone/>
                <wp:docPr id="21" name="自选图形 433"/>
                <wp:cNvGraphicFramePr/>
                <a:graphic xmlns:a="http://schemas.openxmlformats.org/drawingml/2006/main">
                  <a:graphicData uri="http://schemas.microsoft.com/office/word/2010/wordprocessingShape">
                    <wps:wsp>
                      <wps:cNvCnPr>
                        <a:endCxn id="55" idx="2"/>
                      </wps:cNvCnPr>
                      <wps:spPr>
                        <a:xfrm>
                          <a:off x="0" y="0"/>
                          <a:ext cx="635" cy="40830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433" o:spid="_x0000_s1026" o:spt="32" type="#_x0000_t32" style="position:absolute;left:0pt;margin-left:164.4pt;margin-top:10.85pt;height:32.15pt;width:0.05pt;z-index:251683840;mso-width-relative:page;mso-height-relative:page;" filled="f" stroked="t" coordsize="21600,21600" o:gfxdata="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HE/ey2QAAAAkBAAAPAAAAAAAA&#10;AAEAIAAAACIAAABkcnMvZG93bnJldi54bWxQSwECFAAUAAAACACHTuJAL/4GxBECAAATBAAADgAA&#10;AAAAAAABACAAAAAoAQAAZHJzL2Uyb0RvYy54bWxQSwUGAAAAAAYABgBZAQAAqwUAAAAA&#10;">
                <v:fill on="f" focussize="0,0"/>
                <v:stroke color="#000000" joinstyle="round" endarrow="block"/>
                <v:imagedata o:title=""/>
                <o:lock v:ext="edit" aspectratio="f"/>
              </v:shape>
            </w:pict>
          </mc:Fallback>
        </mc:AlternateContent>
      </w:r>
    </w:p>
    <w:p>
      <w:pPr>
        <w:snapToGrid w:val="0"/>
        <w:spacing w:line="240" w:lineRule="auto"/>
        <w:ind w:firstLine="0"/>
        <w:jc w:val="center"/>
        <w:rPr>
          <w:rFonts w:hint="default" w:ascii="Times New Roman" w:hAnsi="Times New Roman" w:eastAsia="黑体" w:cs="Times New Roman"/>
          <w:b/>
          <w:bCs/>
          <w:kern w:val="0"/>
          <w:sz w:val="24"/>
          <w:szCs w:val="30"/>
        </w:rPr>
      </w:pPr>
    </w:p>
    <w:p>
      <w:pPr>
        <w:snapToGrid w:val="0"/>
        <w:spacing w:line="240" w:lineRule="auto"/>
        <w:ind w:firstLine="0"/>
        <w:jc w:val="center"/>
        <w:rPr>
          <w:rFonts w:hint="default" w:ascii="Times New Roman" w:hAnsi="Times New Roman" w:eastAsia="黑体" w:cs="Times New Roman"/>
          <w:b/>
          <w:bCs/>
          <w:kern w:val="0"/>
          <w:sz w:val="24"/>
          <w:szCs w:val="30"/>
        </w:rPr>
      </w:pPr>
    </w:p>
    <w:p>
      <w:pPr>
        <w:snapToGrid w:val="0"/>
        <w:spacing w:line="240" w:lineRule="auto"/>
        <w:ind w:firstLine="0"/>
        <w:jc w:val="center"/>
        <w:rPr>
          <w:rFonts w:hint="default" w:ascii="Times New Roman" w:hAnsi="Times New Roman" w:eastAsia="黑体" w:cs="Times New Roman"/>
          <w:b/>
          <w:bCs/>
          <w:kern w:val="0"/>
          <w:sz w:val="24"/>
          <w:szCs w:val="30"/>
        </w:rPr>
      </w:pPr>
      <w:r>
        <mc:AlternateContent>
          <mc:Choice Requires="wps">
            <w:drawing>
              <wp:anchor distT="45720" distB="45720" distL="114300" distR="114300" simplePos="0" relativeHeight="251684864" behindDoc="0" locked="0" layoutInCell="1" allowOverlap="1">
                <wp:simplePos x="0" y="0"/>
                <wp:positionH relativeFrom="column">
                  <wp:posOffset>1104265</wp:posOffset>
                </wp:positionH>
                <wp:positionV relativeFrom="paragraph">
                  <wp:posOffset>20955</wp:posOffset>
                </wp:positionV>
                <wp:extent cx="2145665" cy="283210"/>
                <wp:effectExtent l="4445" t="5080" r="21590" b="16510"/>
                <wp:wrapNone/>
                <wp:docPr id="22" name="文本框 434"/>
                <wp:cNvGraphicFramePr/>
                <a:graphic xmlns:a="http://schemas.openxmlformats.org/drawingml/2006/main">
                  <a:graphicData uri="http://schemas.microsoft.com/office/word/2010/wordprocessingShape">
                    <wps:wsp>
                      <wps:cNvSpPr txBox="1"/>
                      <wps:spPr>
                        <a:xfrm>
                          <a:off x="0" y="0"/>
                          <a:ext cx="2145665" cy="2832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0"/>
                              <w:jc w:val="center"/>
                              <w:rPr>
                                <w:rFonts w:hint="eastAsia" w:ascii="宋体" w:hAnsi="宋体" w:eastAsia="宋体"/>
                                <w:sz w:val="21"/>
                                <w:szCs w:val="21"/>
                              </w:rPr>
                            </w:pPr>
                            <w:r>
                              <w:rPr>
                                <w:rFonts w:hint="eastAsia" w:ascii="宋体" w:hAnsi="宋体" w:eastAsia="宋体"/>
                                <w:sz w:val="21"/>
                                <w:szCs w:val="21"/>
                              </w:rPr>
                              <w:t>编制</w:t>
                            </w:r>
                            <w:r>
                              <w:rPr>
                                <w:rFonts w:ascii="宋体" w:hAnsi="宋体" w:eastAsia="宋体"/>
                                <w:sz w:val="21"/>
                                <w:szCs w:val="21"/>
                              </w:rPr>
                              <w:t>环境影响报告书（</w:t>
                            </w:r>
                            <w:r>
                              <w:rPr>
                                <w:rFonts w:hint="eastAsia" w:ascii="宋体" w:hAnsi="宋体" w:eastAsia="宋体"/>
                                <w:sz w:val="21"/>
                                <w:szCs w:val="21"/>
                              </w:rPr>
                              <w:t>表</w:t>
                            </w:r>
                            <w:r>
                              <w:rPr>
                                <w:rFonts w:ascii="宋体" w:hAnsi="宋体" w:eastAsia="宋体"/>
                                <w:sz w:val="21"/>
                                <w:szCs w:val="21"/>
                              </w:rPr>
                              <w:t>）</w:t>
                            </w:r>
                          </w:p>
                        </w:txbxContent>
                      </wps:txbx>
                      <wps:bodyPr wrap="square" upright="1"/>
                    </wps:wsp>
                  </a:graphicData>
                </a:graphic>
              </wp:anchor>
            </w:drawing>
          </mc:Choice>
          <mc:Fallback>
            <w:pict>
              <v:shape id="文本框 434" o:spid="_x0000_s1026" o:spt="202" type="#_x0000_t202" style="position:absolute;left:0pt;margin-left:86.95pt;margin-top:1.65pt;height:22.3pt;width:168.95pt;z-index:251684864;mso-width-relative:page;mso-height-relative:page;" fillcolor="#FFFFFF" filled="t" stroked="t" coordsize="21600,21600" o:gfxdata="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y7pm1dcAAAAIAQAA&#10;DwAAAAAAAAABACAAAAAiAAAAZHJzL2Rvd25yZXYueG1sUEsBAhQAFAAAAAgAh07iQOzfF4IaAgAA&#10;RwQAAA4AAAAAAAAAAQAgAAAAJgEAAGRycy9lMm9Eb2MueG1sUEsFBgAAAAAGAAYAWQEAALIFAAAA&#10;AA==&#10;">
                <v:fill on="t" focussize="0,0"/>
                <v:stroke color="#000000" joinstyle="miter"/>
                <v:imagedata o:title=""/>
                <o:lock v:ext="edit" aspectratio="f"/>
                <v:textbox>
                  <w:txbxContent>
                    <w:p>
                      <w:pPr>
                        <w:ind w:firstLine="0"/>
                        <w:jc w:val="center"/>
                        <w:rPr>
                          <w:rFonts w:hint="eastAsia" w:ascii="宋体" w:hAnsi="宋体" w:eastAsia="宋体"/>
                          <w:sz w:val="21"/>
                          <w:szCs w:val="21"/>
                        </w:rPr>
                      </w:pPr>
                      <w:r>
                        <w:rPr>
                          <w:rFonts w:hint="eastAsia" w:ascii="宋体" w:hAnsi="宋体" w:eastAsia="宋体"/>
                          <w:sz w:val="21"/>
                          <w:szCs w:val="21"/>
                        </w:rPr>
                        <w:t>编制</w:t>
                      </w:r>
                      <w:r>
                        <w:rPr>
                          <w:rFonts w:ascii="宋体" w:hAnsi="宋体" w:eastAsia="宋体"/>
                          <w:sz w:val="21"/>
                          <w:szCs w:val="21"/>
                        </w:rPr>
                        <w:t>环境影响报告书（</w:t>
                      </w:r>
                      <w:r>
                        <w:rPr>
                          <w:rFonts w:hint="eastAsia" w:ascii="宋体" w:hAnsi="宋体" w:eastAsia="宋体"/>
                          <w:sz w:val="21"/>
                          <w:szCs w:val="21"/>
                        </w:rPr>
                        <w:t>表</w:t>
                      </w:r>
                      <w:r>
                        <w:rPr>
                          <w:rFonts w:ascii="宋体" w:hAnsi="宋体" w:eastAsia="宋体"/>
                          <w:sz w:val="21"/>
                          <w:szCs w:val="21"/>
                        </w:rPr>
                        <w:t>）</w:t>
                      </w:r>
                    </w:p>
                  </w:txbxContent>
                </v:textbox>
              </v:shape>
            </w:pict>
          </mc:Fallback>
        </mc:AlternateContent>
      </w:r>
    </w:p>
    <w:p>
      <w:pPr>
        <w:snapToGrid w:val="0"/>
        <w:spacing w:line="240" w:lineRule="auto"/>
        <w:ind w:firstLine="0"/>
        <w:jc w:val="center"/>
        <w:rPr>
          <w:rFonts w:hint="default" w:ascii="Times New Roman" w:hAnsi="Times New Roman" w:eastAsia="黑体" w:cs="Times New Roman"/>
          <w:b/>
          <w:bCs/>
          <w:kern w:val="0"/>
          <w:sz w:val="24"/>
          <w:szCs w:val="30"/>
        </w:rPr>
      </w:pPr>
    </w:p>
    <w:p>
      <w:pPr>
        <w:snapToGrid w:val="0"/>
        <w:spacing w:line="240" w:lineRule="auto"/>
        <w:ind w:firstLine="0"/>
        <w:jc w:val="center"/>
        <w:rPr>
          <w:rFonts w:hint="default" w:ascii="Times New Roman" w:hAnsi="Times New Roman" w:eastAsia="黑体" w:cs="Times New Roman"/>
          <w:b/>
          <w:bCs/>
          <w:kern w:val="0"/>
          <w:sz w:val="24"/>
          <w:szCs w:val="30"/>
        </w:rPr>
      </w:pPr>
    </w:p>
    <w:p>
      <w:pPr>
        <w:snapToGrid w:val="0"/>
        <w:spacing w:line="240" w:lineRule="auto"/>
        <w:ind w:firstLine="0"/>
        <w:jc w:val="center"/>
        <w:rPr>
          <w:rFonts w:hint="default" w:ascii="Times New Roman" w:hAnsi="Times New Roman" w:eastAsia="黑体" w:cs="Times New Roman"/>
          <w:b/>
          <w:bCs/>
          <w:kern w:val="0"/>
          <w:sz w:val="24"/>
          <w:szCs w:val="30"/>
        </w:rPr>
      </w:pPr>
    </w:p>
    <w:p>
      <w:pPr>
        <w:pStyle w:val="3"/>
        <w:ind w:firstLine="480"/>
        <w:jc w:val="center"/>
        <w:rPr>
          <w:rFonts w:hint="default" w:ascii="Times New Roman" w:hAnsi="Times New Roman" w:cs="Times New Roman"/>
          <w:color w:val="000000"/>
        </w:rPr>
      </w:pPr>
      <w:r>
        <w:rPr>
          <w:rFonts w:hint="default" w:ascii="Times New Roman" w:hAnsi="Times New Roman" w:cs="Times New Roman"/>
          <w:b/>
          <w:color w:val="000000"/>
          <w:szCs w:val="24"/>
        </w:rPr>
        <w:t>图1  项目环境影响评价工作程序流程图</w:t>
      </w:r>
    </w:p>
    <w:p>
      <w:pPr>
        <w:pStyle w:val="557"/>
        <w:rPr>
          <w:rFonts w:hint="default" w:ascii="Times New Roman" w:hAnsi="Times New Roman" w:cs="Times New Roman"/>
          <w:color w:val="auto"/>
          <w:sz w:val="32"/>
        </w:rPr>
      </w:pPr>
      <w:bookmarkStart w:id="15" w:name="_Toc459642379"/>
      <w:bookmarkStart w:id="16" w:name="_Toc459642473"/>
      <w:bookmarkStart w:id="17" w:name="_Toc23770"/>
      <w:r>
        <w:rPr>
          <w:rFonts w:hint="default" w:ascii="Times New Roman" w:hAnsi="Times New Roman" w:cs="Times New Roman"/>
          <w:color w:val="auto"/>
          <w:sz w:val="32"/>
        </w:rPr>
        <w:t>0.</w:t>
      </w:r>
      <w:r>
        <w:rPr>
          <w:rFonts w:hint="eastAsia" w:ascii="Times New Roman" w:hAnsi="Times New Roman" w:cs="Times New Roman"/>
          <w:color w:val="auto"/>
          <w:sz w:val="32"/>
          <w:lang w:val="en-US" w:eastAsia="zh-CN"/>
        </w:rPr>
        <w:t>4</w:t>
      </w:r>
      <w:r>
        <w:rPr>
          <w:rFonts w:hint="default" w:ascii="Times New Roman" w:hAnsi="Times New Roman" w:cs="Times New Roman"/>
          <w:color w:val="auto"/>
          <w:sz w:val="32"/>
        </w:rPr>
        <w:t>主要环境问题</w:t>
      </w:r>
      <w:bookmarkEnd w:id="15"/>
      <w:bookmarkEnd w:id="16"/>
      <w:bookmarkEnd w:id="17"/>
    </w:p>
    <w:p>
      <w:pPr>
        <w:pStyle w:val="3"/>
        <w:ind w:firstLine="480"/>
        <w:rPr>
          <w:rFonts w:hint="default" w:ascii="Times New Roman" w:hAnsi="Times New Roman" w:cs="Times New Roman"/>
        </w:rPr>
      </w:pPr>
      <w:r>
        <w:rPr>
          <w:rFonts w:hint="default" w:ascii="Times New Roman" w:hAnsi="Times New Roman" w:cs="Times New Roman"/>
        </w:rPr>
        <w:t>本项目以工程分析为基础，把工程分析、环境影响预测与分析、环境风险评价、污染防治措施作为评价重点。项目环评过程中关注的主要环境问题有：</w:t>
      </w:r>
    </w:p>
    <w:p>
      <w:pPr>
        <w:pStyle w:val="3"/>
        <w:ind w:firstLine="480"/>
        <w:rPr>
          <w:rFonts w:hint="default" w:ascii="Times New Roman" w:hAnsi="Times New Roman" w:cs="Times New Roman"/>
          <w:color w:val="auto"/>
          <w:u w:val="words"/>
        </w:rPr>
      </w:pPr>
      <w:r>
        <w:rPr>
          <w:rFonts w:hint="default" w:ascii="Times New Roman" w:hAnsi="Times New Roman" w:cs="Times New Roman"/>
        </w:rPr>
        <w:t>（1）项目含银废水</w:t>
      </w:r>
      <w:r>
        <w:rPr>
          <w:rFonts w:hint="eastAsia" w:ascii="Times New Roman" w:hAnsi="Times New Roman" w:cs="Times New Roman"/>
          <w:lang w:val="en-US" w:eastAsia="zh-CN"/>
        </w:rPr>
        <w:t>等经场内污水处理设施处理</w:t>
      </w:r>
      <w:r>
        <w:rPr>
          <w:rFonts w:hint="default" w:ascii="Times New Roman" w:hAnsi="Times New Roman" w:cs="Times New Roman"/>
        </w:rPr>
        <w:t>达标后回用，关注含银废水零排放的可行性</w:t>
      </w:r>
      <w:r>
        <w:rPr>
          <w:rFonts w:hint="default" w:ascii="Times New Roman" w:hAnsi="Times New Roman" w:cs="Times New Roman"/>
          <w:lang w:val="en-US" w:eastAsia="zh-CN"/>
        </w:rPr>
        <w:t>及废水回用可行</w:t>
      </w:r>
      <w:r>
        <w:rPr>
          <w:rFonts w:hint="default" w:ascii="Times New Roman" w:hAnsi="Times New Roman" w:cs="Times New Roman"/>
          <w:color w:val="auto"/>
          <w:lang w:val="en-US" w:eastAsia="zh-CN"/>
        </w:rPr>
        <w:t>性</w:t>
      </w:r>
      <w:r>
        <w:rPr>
          <w:rFonts w:hint="default" w:ascii="Times New Roman" w:hAnsi="Times New Roman" w:cs="Times New Roman"/>
          <w:color w:val="auto"/>
        </w:rPr>
        <w:t>。循环水站排水、</w:t>
      </w:r>
      <w:r>
        <w:rPr>
          <w:rFonts w:hint="eastAsia" w:ascii="Times New Roman" w:hAnsi="Times New Roman" w:cs="Times New Roman"/>
          <w:color w:val="auto"/>
          <w:lang w:val="en-US" w:eastAsia="zh-CN"/>
        </w:rPr>
        <w:t>生活污水、脱盐水站</w:t>
      </w:r>
      <w:r>
        <w:rPr>
          <w:rFonts w:hint="default" w:ascii="Times New Roman" w:hAnsi="Times New Roman" w:cs="Times New Roman"/>
          <w:color w:val="auto"/>
        </w:rPr>
        <w:t>排水排入江阴港城污水处理厂进一步集中处理；评价主要关注废水接入江阴港城污水处理厂的可行性。</w:t>
      </w:r>
    </w:p>
    <w:p>
      <w:pPr>
        <w:pStyle w:val="3"/>
        <w:ind w:firstLine="480"/>
        <w:rPr>
          <w:rFonts w:hint="default" w:ascii="Times New Roman" w:hAnsi="Times New Roman" w:cs="Times New Roman"/>
          <w:color w:val="000000"/>
        </w:rPr>
      </w:pPr>
      <w:r>
        <w:rPr>
          <w:rFonts w:hint="default" w:ascii="Times New Roman" w:hAnsi="Times New Roman" w:cs="Times New Roman"/>
          <w:color w:val="auto"/>
        </w:rPr>
        <w:t>（2）</w:t>
      </w:r>
      <w:r>
        <w:rPr>
          <w:rFonts w:hint="eastAsia" w:ascii="宋体" w:hAnsi="宋体" w:eastAsia="宋体" w:cs="宋体"/>
          <w:color w:val="auto"/>
          <w:sz w:val="24"/>
          <w:szCs w:val="24"/>
        </w:rPr>
        <w:t>本项目产生的废气主要为含尘尾气、</w:t>
      </w:r>
      <w:r>
        <w:rPr>
          <w:rFonts w:hint="eastAsia" w:ascii="宋体" w:hAnsi="宋体" w:eastAsia="宋体" w:cs="宋体"/>
          <w:color w:val="auto"/>
          <w:sz w:val="24"/>
          <w:szCs w:val="24"/>
          <w:lang w:val="en-US" w:eastAsia="zh-CN"/>
        </w:rPr>
        <w:t>氮氧化物</w:t>
      </w:r>
      <w:r>
        <w:rPr>
          <w:rFonts w:hint="eastAsia" w:ascii="宋体" w:hAnsi="宋体" w:eastAsia="宋体" w:cs="宋体"/>
          <w:color w:val="auto"/>
          <w:sz w:val="24"/>
          <w:szCs w:val="24"/>
        </w:rPr>
        <w:t>废气</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氨气、有机废气</w:t>
      </w:r>
      <w:r>
        <w:rPr>
          <w:rFonts w:hint="eastAsia" w:ascii="宋体" w:hAnsi="宋体" w:eastAsia="宋体" w:cs="宋体"/>
          <w:color w:val="auto"/>
          <w:sz w:val="24"/>
          <w:szCs w:val="24"/>
        </w:rPr>
        <w:t>等，</w:t>
      </w:r>
      <w:r>
        <w:rPr>
          <w:rFonts w:hint="eastAsia" w:ascii="宋体" w:hAnsi="宋体" w:cs="宋体"/>
          <w:color w:val="auto"/>
          <w:sz w:val="24"/>
          <w:szCs w:val="24"/>
          <w:lang w:val="en-US" w:eastAsia="zh-CN"/>
        </w:rPr>
        <w:t>氮氧化物尾气采用二级水吸收+强氧化吸收+二级碱吸收处理；</w:t>
      </w:r>
      <w:r>
        <w:rPr>
          <w:rFonts w:hint="eastAsia" w:ascii="宋体" w:hAnsi="宋体" w:eastAsia="宋体" w:cs="宋体"/>
          <w:color w:val="auto"/>
          <w:sz w:val="24"/>
          <w:szCs w:val="24"/>
        </w:rPr>
        <w:t>含尘尾气主要采取布袋除尘处理</w:t>
      </w:r>
      <w:r>
        <w:rPr>
          <w:rFonts w:hint="eastAsia" w:ascii="宋体" w:hAnsi="宋体" w:cs="宋体"/>
          <w:color w:val="auto"/>
          <w:sz w:val="24"/>
          <w:szCs w:val="24"/>
          <w:lang w:eastAsia="zh-CN"/>
        </w:rPr>
        <w:t>；</w:t>
      </w:r>
      <w:r>
        <w:rPr>
          <w:rFonts w:hint="eastAsia" w:ascii="宋体" w:hAnsi="宋体" w:cs="宋体"/>
          <w:color w:val="auto"/>
          <w:sz w:val="24"/>
          <w:szCs w:val="24"/>
          <w:lang w:val="en-US" w:eastAsia="zh-CN"/>
        </w:rPr>
        <w:t>含</w:t>
      </w:r>
      <w:r>
        <w:rPr>
          <w:rFonts w:hint="eastAsia" w:ascii="宋体" w:hAnsi="宋体" w:eastAsia="宋体" w:cs="宋体"/>
          <w:color w:val="auto"/>
          <w:sz w:val="24"/>
          <w:szCs w:val="24"/>
          <w:lang w:val="en-US" w:eastAsia="zh-CN"/>
        </w:rPr>
        <w:t>氨</w:t>
      </w:r>
      <w:r>
        <w:rPr>
          <w:rFonts w:hint="eastAsia" w:ascii="宋体" w:hAnsi="宋体" w:cs="宋体"/>
          <w:color w:val="auto"/>
          <w:sz w:val="24"/>
          <w:szCs w:val="24"/>
          <w:lang w:val="en-US" w:eastAsia="zh-CN"/>
        </w:rPr>
        <w:t>及有机废气采用二级水吸收+二级水洗+高效除雾装置+活性炭吸附；污水站及罐区废气采用氧化吸收+碱吸收+生物除臭处理，</w:t>
      </w:r>
      <w:r>
        <w:rPr>
          <w:rFonts w:hint="eastAsia" w:ascii="宋体" w:hAnsi="宋体" w:eastAsia="宋体" w:cs="宋体"/>
          <w:color w:val="auto"/>
          <w:sz w:val="24"/>
          <w:szCs w:val="24"/>
          <w:lang w:val="en-US" w:eastAsia="zh-CN"/>
        </w:rPr>
        <w:t>废气中能回收的尽量回收，不能回收的通过相应处理措施减少排放量，</w:t>
      </w:r>
      <w:r>
        <w:rPr>
          <w:rFonts w:hint="default" w:ascii="Times New Roman" w:hAnsi="Times New Roman" w:cs="Times New Roman"/>
          <w:color w:val="auto"/>
        </w:rPr>
        <w:t>评价主要</w:t>
      </w:r>
      <w:r>
        <w:rPr>
          <w:rFonts w:hint="default" w:ascii="Times New Roman" w:hAnsi="Times New Roman" w:cs="Times New Roman"/>
          <w:color w:val="000000"/>
        </w:rPr>
        <w:t>关注废气的收集及排放达标可行性。</w:t>
      </w:r>
    </w:p>
    <w:p>
      <w:pPr>
        <w:pStyle w:val="3"/>
        <w:ind w:firstLine="480"/>
        <w:rPr>
          <w:rFonts w:hint="default" w:ascii="Times New Roman" w:hAnsi="Times New Roman" w:cs="Times New Roman"/>
          <w:color w:val="000000"/>
        </w:rPr>
      </w:pPr>
      <w:r>
        <w:rPr>
          <w:rFonts w:hint="default" w:ascii="Times New Roman" w:hAnsi="Times New Roman" w:cs="Times New Roman"/>
          <w:color w:val="000000"/>
        </w:rPr>
        <w:t>（4）项目使用硝酸、氨、乙醇等化学品，应关注项目环境风险控制措施的可行性和可靠性。</w:t>
      </w:r>
    </w:p>
    <w:p>
      <w:pPr>
        <w:pStyle w:val="3"/>
        <w:ind w:firstLine="480"/>
        <w:rPr>
          <w:rFonts w:hint="default" w:ascii="Times New Roman" w:hAnsi="Times New Roman" w:cs="Times New Roman"/>
          <w:color w:val="000000"/>
        </w:rPr>
      </w:pPr>
      <w:r>
        <w:rPr>
          <w:rFonts w:hint="default" w:ascii="Times New Roman" w:hAnsi="Times New Roman" w:cs="Times New Roman"/>
          <w:color w:val="000000"/>
        </w:rPr>
        <w:t>（5）项目产生的固体废物主要包括精馏残夜、除杂渣、</w:t>
      </w:r>
      <w:r>
        <w:rPr>
          <w:rFonts w:hint="eastAsia" w:ascii="Times New Roman" w:hAnsi="Times New Roman" w:cs="Times New Roman"/>
          <w:color w:val="000000"/>
          <w:lang w:val="en-US" w:eastAsia="zh-CN"/>
        </w:rPr>
        <w:t>含银废液三效</w:t>
      </w:r>
      <w:r>
        <w:rPr>
          <w:rFonts w:hint="default" w:ascii="Times New Roman" w:hAnsi="Times New Roman" w:cs="Times New Roman"/>
          <w:color w:val="000000"/>
        </w:rPr>
        <w:t>蒸发残渣、污水处理污泥、生活垃圾等。按规范要求厂内设置相应规模的固体废物分类暂存设施，防止二次污染。本项目遵循固体废物减量化、资源化和无害化的要求，分别通过采用回收综合利用、委托处置等方法可得到妥善处理。</w:t>
      </w:r>
    </w:p>
    <w:p>
      <w:pPr>
        <w:pStyle w:val="3"/>
        <w:ind w:firstLine="480"/>
        <w:rPr>
          <w:rFonts w:hint="default" w:ascii="Times New Roman" w:hAnsi="Times New Roman" w:cs="Times New Roman"/>
          <w:color w:val="000000"/>
        </w:rPr>
      </w:pPr>
      <w:r>
        <w:rPr>
          <w:rFonts w:hint="default" w:ascii="Times New Roman" w:hAnsi="Times New Roman" w:cs="Times New Roman"/>
          <w:color w:val="000000"/>
        </w:rPr>
        <w:t>（6）项目建成后废气、废水等对区域土壤和地下水环境的影响。</w:t>
      </w:r>
    </w:p>
    <w:p>
      <w:pPr>
        <w:pStyle w:val="557"/>
        <w:rPr>
          <w:rFonts w:hint="default" w:ascii="Times New Roman" w:hAnsi="Times New Roman" w:cs="Times New Roman"/>
          <w:color w:val="auto"/>
          <w:sz w:val="32"/>
        </w:rPr>
      </w:pPr>
      <w:bookmarkStart w:id="18" w:name="_Toc3508"/>
      <w:r>
        <w:rPr>
          <w:rFonts w:hint="default" w:ascii="Times New Roman" w:hAnsi="Times New Roman" w:cs="Times New Roman"/>
          <w:color w:val="auto"/>
          <w:sz w:val="32"/>
        </w:rPr>
        <w:t>0.</w:t>
      </w:r>
      <w:r>
        <w:rPr>
          <w:rFonts w:hint="eastAsia" w:ascii="Times New Roman" w:hAnsi="Times New Roman" w:cs="Times New Roman"/>
          <w:color w:val="auto"/>
          <w:sz w:val="32"/>
          <w:lang w:val="en-US" w:eastAsia="zh-CN"/>
        </w:rPr>
        <w:t>5</w:t>
      </w:r>
      <w:r>
        <w:rPr>
          <w:rFonts w:hint="default" w:ascii="Times New Roman" w:hAnsi="Times New Roman" w:cs="Times New Roman"/>
          <w:color w:val="auto"/>
          <w:sz w:val="32"/>
        </w:rPr>
        <w:t>评价结论</w:t>
      </w:r>
      <w:bookmarkEnd w:id="18"/>
    </w:p>
    <w:p>
      <w:pPr>
        <w:pStyle w:val="3"/>
        <w:ind w:firstLine="480"/>
        <w:rPr>
          <w:rFonts w:hint="default" w:ascii="Times New Roman" w:hAnsi="Times New Roman" w:cs="Times New Roman"/>
        </w:rPr>
        <w:sectPr>
          <w:footerReference r:id="rId4" w:type="default"/>
          <w:pgSz w:w="11907" w:h="16840"/>
          <w:pgMar w:top="1418" w:right="1418" w:bottom="1418" w:left="1418" w:header="851" w:footer="992" w:gutter="0"/>
          <w:pgNumType w:fmt="decimal" w:start="1"/>
          <w:cols w:space="720" w:num="1"/>
          <w:docGrid w:linePitch="389" w:charSpace="0"/>
        </w:sectPr>
      </w:pPr>
      <w:r>
        <w:rPr>
          <w:rFonts w:hint="default" w:ascii="Times New Roman" w:hAnsi="Times New Roman" w:cs="Times New Roman"/>
        </w:rPr>
        <w:t>福建富轩科技有限公司新能源纳米材料项目位于福州江阴港城经济区，项目符合国家和地方产业政策；选址符合福州江阴港城总体规划、规划环评及审查意见的要求；在落实各项污染治理措施后，可实现污染物达标排放；污染物排放总量符合总量控制要求，污水水质、水量可以满足江阴港城污水处理厂接管要求；项目环境风险能够有效控制。项目建设具有一定的环境经济效益，从环境保护角度考虑，该项目建设可行。</w:t>
      </w:r>
    </w:p>
    <w:p>
      <w:pPr>
        <w:keepNext/>
        <w:keepLines/>
        <w:pageBreakBefore w:val="0"/>
        <w:widowControl w:val="0"/>
        <w:kinsoku/>
        <w:wordWrap/>
        <w:overflowPunct/>
        <w:topLinePunct w:val="0"/>
        <w:autoSpaceDE/>
        <w:autoSpaceDN/>
        <w:bidi w:val="0"/>
        <w:adjustRightInd/>
        <w:snapToGrid/>
        <w:spacing w:line="360" w:lineRule="auto"/>
        <w:ind w:firstLine="0"/>
        <w:textAlignment w:val="auto"/>
        <w:outlineLvl w:val="0"/>
        <w:rPr>
          <w:rFonts w:hint="default" w:ascii="Times New Roman" w:hAnsi="Times New Roman" w:eastAsia="黑体" w:cs="Times New Roman"/>
          <w:b w:val="0"/>
          <w:bCs w:val="0"/>
          <w:color w:val="auto"/>
          <w:kern w:val="44"/>
          <w:sz w:val="36"/>
          <w:szCs w:val="36"/>
        </w:rPr>
      </w:pPr>
      <w:bookmarkStart w:id="19" w:name="_Toc16300"/>
      <w:bookmarkStart w:id="20" w:name="_Toc31318"/>
      <w:r>
        <w:rPr>
          <w:rFonts w:hint="default" w:ascii="Times New Roman" w:hAnsi="Times New Roman" w:eastAsia="黑体" w:cs="Times New Roman"/>
          <w:b w:val="0"/>
          <w:bCs w:val="0"/>
          <w:color w:val="auto"/>
          <w:kern w:val="44"/>
          <w:sz w:val="36"/>
          <w:szCs w:val="36"/>
        </w:rPr>
        <w:t>1 总则</w:t>
      </w:r>
      <w:bookmarkEnd w:id="19"/>
      <w:bookmarkEnd w:id="20"/>
    </w:p>
    <w:p>
      <w:pPr>
        <w:spacing w:line="360" w:lineRule="auto"/>
        <w:ind w:firstLine="0"/>
        <w:outlineLvl w:val="1"/>
        <w:rPr>
          <w:rFonts w:hint="default" w:ascii="Times New Roman" w:hAnsi="Times New Roman" w:eastAsia="黑体" w:cs="Times New Roman"/>
          <w:b w:val="0"/>
          <w:bCs/>
          <w:color w:val="auto"/>
          <w:sz w:val="32"/>
          <w:szCs w:val="32"/>
        </w:rPr>
      </w:pPr>
      <w:bookmarkStart w:id="21" w:name="_Toc497662831"/>
      <w:bookmarkStart w:id="22" w:name="_Toc517779944"/>
      <w:bookmarkStart w:id="23" w:name="_Toc514988575"/>
      <w:bookmarkStart w:id="24" w:name="_Toc517779730"/>
      <w:bookmarkStart w:id="25" w:name="_Toc517779976"/>
      <w:bookmarkStart w:id="26" w:name="_Toc27744"/>
      <w:bookmarkStart w:id="27" w:name="_Toc516283862"/>
      <w:bookmarkStart w:id="28" w:name="_Toc136708903"/>
      <w:bookmarkStart w:id="29" w:name="_Toc148199793"/>
      <w:bookmarkStart w:id="30" w:name="_Toc322356181"/>
      <w:bookmarkStart w:id="31" w:name="_Toc30572"/>
      <w:r>
        <w:rPr>
          <w:rFonts w:hint="default" w:ascii="Times New Roman" w:hAnsi="Times New Roman" w:eastAsia="黑体" w:cs="Times New Roman"/>
          <w:b w:val="0"/>
          <w:bCs/>
          <w:color w:val="auto"/>
          <w:sz w:val="32"/>
          <w:szCs w:val="32"/>
        </w:rPr>
        <w:t>1.1 编制依据</w:t>
      </w:r>
      <w:bookmarkEnd w:id="21"/>
      <w:bookmarkEnd w:id="22"/>
      <w:bookmarkEnd w:id="23"/>
      <w:bookmarkEnd w:id="24"/>
      <w:bookmarkEnd w:id="25"/>
      <w:bookmarkEnd w:id="26"/>
      <w:bookmarkEnd w:id="27"/>
      <w:bookmarkEnd w:id="28"/>
      <w:bookmarkEnd w:id="29"/>
      <w:bookmarkEnd w:id="30"/>
      <w:bookmarkEnd w:id="31"/>
    </w:p>
    <w:p>
      <w:pPr>
        <w:spacing w:line="360" w:lineRule="auto"/>
        <w:ind w:firstLine="0"/>
        <w:outlineLvl w:val="2"/>
        <w:rPr>
          <w:rFonts w:hint="default" w:ascii="Times New Roman" w:hAnsi="Times New Roman" w:eastAsia="黑体" w:cs="Times New Roman"/>
          <w:b w:val="0"/>
          <w:bCs/>
          <w:color w:val="auto"/>
          <w:sz w:val="30"/>
          <w:szCs w:val="30"/>
        </w:rPr>
      </w:pPr>
      <w:r>
        <w:rPr>
          <w:rFonts w:hint="default" w:ascii="Times New Roman" w:hAnsi="Times New Roman" w:eastAsia="黑体" w:cs="Times New Roman"/>
          <w:b w:val="0"/>
          <w:bCs/>
          <w:color w:val="auto"/>
          <w:sz w:val="30"/>
          <w:szCs w:val="30"/>
        </w:rPr>
        <w:t>1.1.1国家法律、法规</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（1）《中华人民共和国环境保护法》，2015年1月1日起施行；</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（2）《中华人民共和国环境影响评价法》，2018年12月29日修正；</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（3）《中华人民共和国水污染防治法》，2017年6月27日修正；</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（4）《中华人民共和国大气污染防治法》，2018年10月26日修正；</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（5）《中华人民共和国环境噪声污染防治法》，2018年12月29日修正；</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（6）《中华人民共和国固体废物污染环境防治法》，2020年9月1日实施；</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（7）《中华人民共和国土壤污染防治法》，2019年1月1日起施行；</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（8）《中华人民共和国清洁生产促进法》，2012年7月1日起施行；</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（9）《中华人民共和国循环经济促进法》，2018年10月26日修正；</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（10）《中华人民共和国节约能源法》，2018年10月26日修正；</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（11）《中华人民共和国水法》，2016年9月1日实施；</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（12）《建设项目环境保护管理条例》（国务院令第682号，2017年10月1日）；</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（13）《中华人民共和国环境保护税法》，2018年10月26日修正；</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（14）《中华人民共和国海洋环境保护法》，2017年11月4日修正；</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（15）《危险化学品安全管理条例》（2013年12月7日修订）。</w:t>
      </w:r>
    </w:p>
    <w:p>
      <w:pPr>
        <w:spacing w:line="360" w:lineRule="auto"/>
        <w:ind w:firstLine="0"/>
        <w:outlineLvl w:val="2"/>
        <w:rPr>
          <w:rFonts w:hint="default" w:ascii="Times New Roman" w:hAnsi="Times New Roman" w:eastAsia="黑体" w:cs="Times New Roman"/>
          <w:b w:val="0"/>
          <w:bCs/>
          <w:color w:val="auto"/>
          <w:sz w:val="30"/>
          <w:szCs w:val="30"/>
        </w:rPr>
      </w:pPr>
      <w:r>
        <w:rPr>
          <w:rFonts w:hint="default" w:ascii="Times New Roman" w:hAnsi="Times New Roman" w:eastAsia="黑体" w:cs="Times New Roman"/>
          <w:b w:val="0"/>
          <w:bCs/>
          <w:color w:val="auto"/>
          <w:sz w:val="30"/>
          <w:szCs w:val="30"/>
        </w:rPr>
        <w:t>1.1.2部门规章和规范性文件</w:t>
      </w:r>
    </w:p>
    <w:p>
      <w:pPr>
        <w:keepNext w:val="0"/>
        <w:keepLines w:val="0"/>
        <w:pageBreakBefore w:val="0"/>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（1）《建设项目环境影响评价分类管理名录》（2021年版）（生态</w:t>
      </w:r>
      <w:r>
        <w:rPr>
          <w:rFonts w:hint="eastAsia" w:ascii="Times New Roman" w:hAnsi="Times New Roman" w:eastAsia="宋体" w:cs="Times New Roman"/>
          <w:color w:val="auto"/>
          <w:kern w:val="2"/>
          <w:sz w:val="24"/>
          <w:szCs w:val="22"/>
          <w:lang w:val="en-US" w:eastAsia="zh-CN" w:bidi="ar-SA"/>
        </w:rPr>
        <w:t>环境</w:t>
      </w:r>
      <w:r>
        <w:rPr>
          <w:rFonts w:hint="default" w:ascii="Times New Roman" w:hAnsi="Times New Roman" w:eastAsia="宋体" w:cs="Times New Roman"/>
          <w:color w:val="auto"/>
          <w:kern w:val="2"/>
          <w:sz w:val="24"/>
          <w:szCs w:val="22"/>
          <w:lang w:val="en-US" w:eastAsia="zh-CN" w:bidi="ar-SA"/>
        </w:rPr>
        <w:t>部令第1号修正，2020年11月30日）；</w:t>
      </w:r>
    </w:p>
    <w:p>
      <w:pPr>
        <w:keepNext w:val="0"/>
        <w:keepLines w:val="0"/>
        <w:pageBreakBefore w:val="0"/>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（2）《产业结构调整指导目录（2019）》；</w:t>
      </w:r>
    </w:p>
    <w:p>
      <w:pPr>
        <w:keepNext w:val="0"/>
        <w:keepLines w:val="0"/>
        <w:pageBreakBefore w:val="0"/>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（3）《国家危险废物名录》（2021年版）（2021年1月1日施行）；</w:t>
      </w:r>
    </w:p>
    <w:p>
      <w:pPr>
        <w:keepNext w:val="0"/>
        <w:keepLines w:val="0"/>
        <w:pageBreakBefore w:val="0"/>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（4）《关于印发&lt;危险废物规范化管理指标体系&gt;的通知（环办〔2015〕99号）；</w:t>
      </w:r>
    </w:p>
    <w:p>
      <w:pPr>
        <w:keepNext w:val="0"/>
        <w:keepLines w:val="0"/>
        <w:pageBreakBefore w:val="0"/>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000000"/>
          <w:kern w:val="2"/>
          <w:sz w:val="24"/>
          <w:szCs w:val="22"/>
          <w:lang w:val="en-US" w:eastAsia="zh-CN" w:bidi="ar-SA"/>
        </w:rPr>
      </w:pPr>
      <w:r>
        <w:rPr>
          <w:rFonts w:hint="default" w:ascii="Times New Roman" w:hAnsi="Times New Roman" w:eastAsia="宋体" w:cs="Times New Roman"/>
          <w:color w:val="000000"/>
          <w:kern w:val="2"/>
          <w:sz w:val="24"/>
          <w:szCs w:val="22"/>
          <w:lang w:val="en-US" w:eastAsia="zh-CN" w:bidi="ar-SA"/>
        </w:rPr>
        <w:t>（5）《建设项目危险废物环境影响评价指南》（环保部公告2017年第43号）；</w:t>
      </w:r>
    </w:p>
    <w:p>
      <w:pPr>
        <w:keepNext w:val="0"/>
        <w:keepLines w:val="0"/>
        <w:pageBreakBefore w:val="0"/>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（6）《关于印发&lt;国家重点监控企业自行监测及信息公开办法（试行）&gt;和&lt;国家重点监控企业污染源监督性监测及信息公开办法（试行）&gt;的通知》（环发〔2013〕81号）；</w:t>
      </w:r>
    </w:p>
    <w:p>
      <w:pPr>
        <w:keepNext w:val="0"/>
        <w:keepLines w:val="0"/>
        <w:pageBreakBefore w:val="0"/>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（7）《排污许可管理办法（试行）》（环境保护部令第48号）；</w:t>
      </w:r>
    </w:p>
    <w:p>
      <w:pPr>
        <w:keepNext w:val="0"/>
        <w:keepLines w:val="0"/>
        <w:pageBreakBefore w:val="0"/>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（8）《环境影响评价公众参与办法》（生态环境部令第4号）；</w:t>
      </w:r>
    </w:p>
    <w:p>
      <w:pPr>
        <w:keepNext w:val="0"/>
        <w:keepLines w:val="0"/>
        <w:pageBreakBefore w:val="0"/>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（9）《重点行业挥发性有机物综合治理方案》（环大气[2019]53号）；</w:t>
      </w:r>
    </w:p>
    <w:p>
      <w:pPr>
        <w:keepNext w:val="0"/>
        <w:keepLines w:val="0"/>
        <w:pageBreakBefore w:val="0"/>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（10）《挥发性有机物（VOCs）污染防治技术政策》；</w:t>
      </w:r>
    </w:p>
    <w:p>
      <w:pPr>
        <w:keepNext w:val="0"/>
        <w:keepLines w:val="0"/>
        <w:pageBreakBefore w:val="0"/>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w:t>
      </w:r>
      <w:r>
        <w:rPr>
          <w:rFonts w:hint="eastAsia" w:ascii="Times New Roman" w:hAnsi="Times New Roman" w:eastAsia="宋体" w:cs="Times New Roman"/>
          <w:color w:val="auto"/>
          <w:kern w:val="2"/>
          <w:sz w:val="24"/>
          <w:szCs w:val="22"/>
          <w:lang w:val="en-US" w:eastAsia="zh-CN" w:bidi="ar-SA"/>
        </w:rPr>
        <w:t>1</w:t>
      </w:r>
      <w:r>
        <w:rPr>
          <w:rFonts w:hint="default" w:ascii="Times New Roman" w:hAnsi="Times New Roman" w:eastAsia="宋体" w:cs="Times New Roman"/>
          <w:color w:val="auto"/>
          <w:kern w:val="2"/>
          <w:sz w:val="24"/>
          <w:szCs w:val="22"/>
          <w:lang w:val="en-US" w:eastAsia="zh-CN" w:bidi="ar-SA"/>
        </w:rPr>
        <w:t>）《危险化学品名录（2015版）》；</w:t>
      </w:r>
    </w:p>
    <w:p>
      <w:pPr>
        <w:keepNext w:val="0"/>
        <w:keepLines w:val="0"/>
        <w:pageBreakBefore w:val="0"/>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w:t>
      </w:r>
      <w:r>
        <w:rPr>
          <w:rFonts w:hint="eastAsia" w:ascii="Times New Roman" w:hAnsi="Times New Roman" w:eastAsia="宋体" w:cs="Times New Roman"/>
          <w:color w:val="auto"/>
          <w:kern w:val="2"/>
          <w:sz w:val="24"/>
          <w:szCs w:val="22"/>
          <w:lang w:val="en-US" w:eastAsia="zh-CN" w:bidi="ar-SA"/>
        </w:rPr>
        <w:t>12</w:t>
      </w:r>
      <w:r>
        <w:rPr>
          <w:rFonts w:hint="default" w:ascii="Times New Roman" w:hAnsi="Times New Roman" w:eastAsia="宋体" w:cs="Times New Roman"/>
          <w:color w:val="auto"/>
          <w:kern w:val="2"/>
          <w:sz w:val="24"/>
          <w:szCs w:val="22"/>
          <w:lang w:val="en-US" w:eastAsia="zh-CN" w:bidi="ar-SA"/>
        </w:rPr>
        <w:t>）《环境保护综合名录》（2021年版）；</w:t>
      </w:r>
    </w:p>
    <w:p>
      <w:pPr>
        <w:keepNext w:val="0"/>
        <w:keepLines w:val="0"/>
        <w:pageBreakBefore w:val="0"/>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w:t>
      </w:r>
      <w:r>
        <w:rPr>
          <w:rFonts w:hint="eastAsia" w:ascii="Times New Roman" w:hAnsi="Times New Roman" w:eastAsia="宋体" w:cs="Times New Roman"/>
          <w:color w:val="auto"/>
          <w:kern w:val="2"/>
          <w:sz w:val="24"/>
          <w:szCs w:val="22"/>
          <w:lang w:val="en-US" w:eastAsia="zh-CN" w:bidi="ar-SA"/>
        </w:rPr>
        <w:t>3</w:t>
      </w:r>
      <w:r>
        <w:rPr>
          <w:rFonts w:hint="default" w:ascii="Times New Roman" w:hAnsi="Times New Roman" w:eastAsia="宋体" w:cs="Times New Roman"/>
          <w:color w:val="auto"/>
          <w:kern w:val="2"/>
          <w:sz w:val="24"/>
          <w:szCs w:val="22"/>
          <w:lang w:val="en-US" w:eastAsia="zh-CN" w:bidi="ar-SA"/>
        </w:rPr>
        <w:t>）《突发环境事件应急管理办法》2015年；</w:t>
      </w:r>
    </w:p>
    <w:p>
      <w:pPr>
        <w:keepNext w:val="0"/>
        <w:keepLines w:val="0"/>
        <w:pageBreakBefore w:val="0"/>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w:t>
      </w:r>
      <w:r>
        <w:rPr>
          <w:rFonts w:hint="eastAsia" w:ascii="Times New Roman" w:hAnsi="Times New Roman" w:eastAsia="宋体" w:cs="Times New Roman"/>
          <w:color w:val="auto"/>
          <w:kern w:val="2"/>
          <w:sz w:val="24"/>
          <w:szCs w:val="22"/>
          <w:lang w:val="en-US" w:eastAsia="zh-CN" w:bidi="ar-SA"/>
        </w:rPr>
        <w:t>4</w:t>
      </w:r>
      <w:r>
        <w:rPr>
          <w:rFonts w:hint="default" w:ascii="Times New Roman" w:hAnsi="Times New Roman" w:eastAsia="宋体" w:cs="Times New Roman"/>
          <w:color w:val="auto"/>
          <w:kern w:val="2"/>
          <w:sz w:val="24"/>
          <w:szCs w:val="22"/>
          <w:lang w:val="en-US" w:eastAsia="zh-CN" w:bidi="ar-SA"/>
        </w:rPr>
        <w:t>）《2020年挥发性有机物治理攻坚方案》（环大气〔2020〕33号）；</w:t>
      </w:r>
    </w:p>
    <w:p>
      <w:pPr>
        <w:keepNext w:val="0"/>
        <w:keepLines w:val="0"/>
        <w:pageBreakBefore w:val="0"/>
        <w:tabs>
          <w:tab w:val="left" w:pos="1590"/>
        </w:tabs>
        <w:kinsoku/>
        <w:wordWrap/>
        <w:overflowPunct/>
        <w:topLinePunct w:val="0"/>
        <w:autoSpaceDE/>
        <w:autoSpaceDN/>
        <w:bidi w:val="0"/>
        <w:spacing w:line="360" w:lineRule="auto"/>
        <w:ind w:firstLine="480"/>
        <w:textAlignment w:val="auto"/>
        <w:outlineLvl w:val="9"/>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w:t>
      </w:r>
      <w:r>
        <w:rPr>
          <w:rFonts w:hint="default" w:ascii="Times New Roman" w:hAnsi="Times New Roman" w:eastAsia="宋体" w:cs="Times New Roman"/>
          <w:color w:val="auto"/>
          <w:sz w:val="24"/>
          <w:szCs w:val="22"/>
          <w:lang w:val="en-US" w:eastAsia="zh-CN"/>
        </w:rPr>
        <w:t>1</w:t>
      </w:r>
      <w:r>
        <w:rPr>
          <w:rFonts w:hint="eastAsia" w:ascii="Times New Roman" w:hAnsi="Times New Roman" w:eastAsia="宋体" w:cs="Times New Roman"/>
          <w:color w:val="auto"/>
          <w:sz w:val="24"/>
          <w:szCs w:val="22"/>
          <w:lang w:val="en-US" w:eastAsia="zh-CN"/>
        </w:rPr>
        <w:t>5</w:t>
      </w:r>
      <w:r>
        <w:rPr>
          <w:rFonts w:hint="default" w:ascii="Times New Roman" w:hAnsi="Times New Roman" w:eastAsia="宋体" w:cs="Times New Roman"/>
          <w:color w:val="auto"/>
          <w:sz w:val="24"/>
          <w:szCs w:val="22"/>
        </w:rPr>
        <w:t>）“关于进一步加强环境影响评价管理防范环境风险的通知”，环发[2012]77号；</w:t>
      </w:r>
    </w:p>
    <w:p>
      <w:pPr>
        <w:keepNext w:val="0"/>
        <w:keepLines w:val="0"/>
        <w:pageBreakBefore w:val="0"/>
        <w:tabs>
          <w:tab w:val="left" w:pos="1590"/>
        </w:tabs>
        <w:kinsoku/>
        <w:wordWrap/>
        <w:overflowPunct/>
        <w:topLinePunct w:val="0"/>
        <w:autoSpaceDE/>
        <w:autoSpaceDN/>
        <w:bidi w:val="0"/>
        <w:spacing w:line="360" w:lineRule="auto"/>
        <w:ind w:firstLine="480"/>
        <w:textAlignment w:val="auto"/>
        <w:outlineLvl w:val="9"/>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w:t>
      </w:r>
      <w:r>
        <w:rPr>
          <w:rFonts w:hint="default" w:ascii="Times New Roman" w:hAnsi="Times New Roman" w:eastAsia="宋体" w:cs="Times New Roman"/>
          <w:color w:val="auto"/>
          <w:sz w:val="24"/>
          <w:szCs w:val="22"/>
          <w:lang w:val="en-US" w:eastAsia="zh-CN"/>
        </w:rPr>
        <w:t>1</w:t>
      </w:r>
      <w:r>
        <w:rPr>
          <w:rFonts w:hint="eastAsia" w:ascii="Times New Roman" w:hAnsi="Times New Roman" w:eastAsia="宋体" w:cs="Times New Roman"/>
          <w:color w:val="auto"/>
          <w:sz w:val="24"/>
          <w:szCs w:val="22"/>
          <w:lang w:val="en-US" w:eastAsia="zh-CN"/>
        </w:rPr>
        <w:t>6</w:t>
      </w:r>
      <w:r>
        <w:rPr>
          <w:rFonts w:hint="default" w:ascii="Times New Roman" w:hAnsi="Times New Roman" w:eastAsia="宋体" w:cs="Times New Roman"/>
          <w:color w:val="auto"/>
          <w:sz w:val="24"/>
          <w:szCs w:val="22"/>
        </w:rPr>
        <w:t>）“关于切实加强风险防范严格环境影响评价管理的通知”，环发[2012]98号；</w:t>
      </w:r>
    </w:p>
    <w:p>
      <w:pPr>
        <w:tabs>
          <w:tab w:val="left" w:pos="1590"/>
        </w:tabs>
        <w:spacing w:line="360" w:lineRule="auto"/>
        <w:ind w:firstLine="480"/>
        <w:outlineLvl w:val="9"/>
        <w:rPr>
          <w:rFonts w:hint="default" w:ascii="Times New Roman" w:hAnsi="Times New Roman" w:eastAsia="宋体" w:cs="Times New Roman"/>
          <w:b w:val="0"/>
          <w:i w:val="0"/>
          <w:caps w:val="0"/>
          <w:color w:val="auto"/>
          <w:spacing w:val="0"/>
          <w:sz w:val="24"/>
          <w:szCs w:val="22"/>
          <w:lang w:eastAsia="zh-CN"/>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1</w:t>
      </w:r>
      <w:r>
        <w:rPr>
          <w:rFonts w:hint="eastAsia" w:ascii="Times New Roman" w:hAnsi="Times New Roman" w:eastAsia="宋体" w:cs="Times New Roman"/>
          <w:color w:val="auto"/>
          <w:sz w:val="24"/>
          <w:szCs w:val="22"/>
          <w:lang w:val="en-US" w:eastAsia="zh-CN"/>
        </w:rPr>
        <w:t>7</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b w:val="0"/>
          <w:i w:val="0"/>
          <w:caps w:val="0"/>
          <w:color w:val="auto"/>
          <w:spacing w:val="0"/>
          <w:sz w:val="24"/>
          <w:szCs w:val="22"/>
        </w:rPr>
        <w:t>福州市生态环境局关于福州市重点行业建设项目碳排放环境影响评价的指导意见（试行）</w:t>
      </w:r>
      <w:r>
        <w:rPr>
          <w:rFonts w:hint="default" w:ascii="Times New Roman" w:hAnsi="Times New Roman" w:eastAsia="宋体" w:cs="Times New Roman"/>
          <w:b w:val="0"/>
          <w:i w:val="0"/>
          <w:caps w:val="0"/>
          <w:color w:val="auto"/>
          <w:spacing w:val="0"/>
          <w:sz w:val="24"/>
          <w:szCs w:val="22"/>
          <w:lang w:eastAsia="zh-CN"/>
        </w:rPr>
        <w:t>；</w:t>
      </w:r>
    </w:p>
    <w:p>
      <w:pPr>
        <w:tabs>
          <w:tab w:val="left" w:pos="1590"/>
        </w:tabs>
        <w:spacing w:line="360" w:lineRule="auto"/>
        <w:ind w:firstLine="480"/>
        <w:outlineLvl w:val="9"/>
        <w:rPr>
          <w:rFonts w:hint="default" w:ascii="Times New Roman" w:hAnsi="Times New Roman" w:eastAsia="宋体" w:cs="Times New Roman"/>
          <w:b w:val="0"/>
          <w:i w:val="0"/>
          <w:caps w:val="0"/>
          <w:color w:val="auto"/>
          <w:spacing w:val="0"/>
          <w:sz w:val="24"/>
          <w:szCs w:val="22"/>
          <w:lang w:eastAsia="zh-CN"/>
        </w:rPr>
      </w:pPr>
      <w:r>
        <w:rPr>
          <w:rFonts w:hint="default" w:ascii="Times New Roman" w:hAnsi="Times New Roman" w:eastAsia="宋体" w:cs="Times New Roman"/>
          <w:b w:val="0"/>
          <w:i w:val="0"/>
          <w:caps w:val="0"/>
          <w:color w:val="auto"/>
          <w:spacing w:val="0"/>
          <w:sz w:val="24"/>
          <w:szCs w:val="22"/>
          <w:lang w:eastAsia="zh-CN"/>
        </w:rPr>
        <w:t>（</w:t>
      </w:r>
      <w:r>
        <w:rPr>
          <w:rFonts w:hint="eastAsia" w:ascii="Times New Roman" w:hAnsi="Times New Roman" w:eastAsia="宋体" w:cs="Times New Roman"/>
          <w:b w:val="0"/>
          <w:i w:val="0"/>
          <w:caps w:val="0"/>
          <w:color w:val="auto"/>
          <w:spacing w:val="0"/>
          <w:sz w:val="24"/>
          <w:szCs w:val="22"/>
          <w:lang w:val="en-US" w:eastAsia="zh-CN"/>
        </w:rPr>
        <w:t>18</w:t>
      </w:r>
      <w:r>
        <w:rPr>
          <w:rFonts w:hint="default" w:ascii="Times New Roman" w:hAnsi="Times New Roman" w:eastAsia="宋体" w:cs="Times New Roman"/>
          <w:b w:val="0"/>
          <w:i w:val="0"/>
          <w:caps w:val="0"/>
          <w:color w:val="auto"/>
          <w:spacing w:val="0"/>
          <w:sz w:val="24"/>
          <w:szCs w:val="22"/>
          <w:lang w:eastAsia="zh-CN"/>
        </w:rPr>
        <w:t>）</w:t>
      </w:r>
      <w:r>
        <w:rPr>
          <w:rFonts w:hint="default" w:ascii="Times New Roman" w:hAnsi="Times New Roman" w:eastAsia="宋体" w:cs="Times New Roman"/>
          <w:b w:val="0"/>
          <w:i w:val="0"/>
          <w:caps w:val="0"/>
          <w:color w:val="auto"/>
          <w:spacing w:val="0"/>
          <w:sz w:val="24"/>
          <w:szCs w:val="22"/>
        </w:rPr>
        <w:t>碳排放权交易管理办法（试行）</w:t>
      </w:r>
      <w:r>
        <w:rPr>
          <w:rFonts w:hint="default" w:ascii="Times New Roman" w:hAnsi="Times New Roman" w:eastAsia="宋体" w:cs="Times New Roman"/>
          <w:b w:val="0"/>
          <w:i w:val="0"/>
          <w:caps w:val="0"/>
          <w:color w:val="auto"/>
          <w:spacing w:val="0"/>
          <w:sz w:val="24"/>
          <w:szCs w:val="22"/>
          <w:lang w:eastAsia="zh-CN"/>
        </w:rPr>
        <w:t>；</w:t>
      </w:r>
    </w:p>
    <w:p>
      <w:pPr>
        <w:tabs>
          <w:tab w:val="left" w:pos="1590"/>
        </w:tabs>
        <w:spacing w:line="360" w:lineRule="auto"/>
        <w:ind w:firstLine="480"/>
        <w:outlineLvl w:val="9"/>
        <w:rPr>
          <w:rFonts w:hint="default" w:ascii="Times New Roman" w:hAnsi="Times New Roman" w:eastAsia="宋体" w:cs="Times New Roman"/>
          <w:i w:val="0"/>
          <w:caps w:val="0"/>
          <w:color w:val="auto"/>
          <w:spacing w:val="0"/>
          <w:sz w:val="24"/>
          <w:szCs w:val="22"/>
          <w:lang w:eastAsia="zh-CN"/>
        </w:rPr>
      </w:pPr>
      <w:r>
        <w:rPr>
          <w:rFonts w:hint="default" w:ascii="Times New Roman" w:hAnsi="Times New Roman" w:eastAsia="宋体" w:cs="Times New Roman"/>
          <w:i w:val="0"/>
          <w:caps w:val="0"/>
          <w:color w:val="auto"/>
          <w:spacing w:val="0"/>
          <w:sz w:val="24"/>
          <w:szCs w:val="22"/>
          <w:lang w:eastAsia="zh-CN"/>
        </w:rPr>
        <w:t>（</w:t>
      </w:r>
      <w:r>
        <w:rPr>
          <w:rFonts w:hint="eastAsia" w:ascii="Times New Roman" w:hAnsi="Times New Roman" w:eastAsia="宋体" w:cs="Times New Roman"/>
          <w:i w:val="0"/>
          <w:caps w:val="0"/>
          <w:color w:val="auto"/>
          <w:spacing w:val="0"/>
          <w:sz w:val="24"/>
          <w:szCs w:val="22"/>
          <w:lang w:val="en-US" w:eastAsia="zh-CN"/>
        </w:rPr>
        <w:t>19</w:t>
      </w:r>
      <w:r>
        <w:rPr>
          <w:rFonts w:hint="default" w:ascii="Times New Roman" w:hAnsi="Times New Roman" w:eastAsia="宋体" w:cs="Times New Roman"/>
          <w:i w:val="0"/>
          <w:caps w:val="0"/>
          <w:color w:val="auto"/>
          <w:spacing w:val="0"/>
          <w:sz w:val="24"/>
          <w:szCs w:val="22"/>
          <w:lang w:eastAsia="zh-CN"/>
        </w:rPr>
        <w:t>）</w:t>
      </w:r>
      <w:r>
        <w:rPr>
          <w:rFonts w:hint="default" w:ascii="Times New Roman" w:hAnsi="Times New Roman" w:eastAsia="宋体" w:cs="Times New Roman"/>
          <w:i w:val="0"/>
          <w:caps w:val="0"/>
          <w:color w:val="auto"/>
          <w:spacing w:val="0"/>
          <w:sz w:val="24"/>
          <w:szCs w:val="22"/>
        </w:rPr>
        <w:t>《碳排放权登记管理规则（试行）》</w:t>
      </w:r>
      <w:r>
        <w:rPr>
          <w:rFonts w:hint="default" w:ascii="Times New Roman" w:hAnsi="Times New Roman" w:eastAsia="宋体" w:cs="Times New Roman"/>
          <w:i w:val="0"/>
          <w:caps w:val="0"/>
          <w:color w:val="auto"/>
          <w:spacing w:val="0"/>
          <w:sz w:val="24"/>
          <w:szCs w:val="22"/>
          <w:lang w:eastAsia="zh-CN"/>
        </w:rPr>
        <w:t>；</w:t>
      </w:r>
    </w:p>
    <w:p>
      <w:pPr>
        <w:tabs>
          <w:tab w:val="left" w:pos="1590"/>
        </w:tabs>
        <w:spacing w:line="360" w:lineRule="auto"/>
        <w:ind w:firstLine="480"/>
        <w:outlineLvl w:val="9"/>
        <w:rPr>
          <w:rFonts w:hint="default" w:ascii="Times New Roman" w:hAnsi="Times New Roman" w:eastAsia="宋体" w:cs="Times New Roman"/>
          <w:i w:val="0"/>
          <w:caps w:val="0"/>
          <w:color w:val="auto"/>
          <w:spacing w:val="0"/>
          <w:sz w:val="24"/>
          <w:szCs w:val="22"/>
          <w:lang w:eastAsia="zh-CN"/>
        </w:rPr>
      </w:pPr>
      <w:r>
        <w:rPr>
          <w:rFonts w:hint="default" w:ascii="Times New Roman" w:hAnsi="Times New Roman" w:eastAsia="宋体" w:cs="Times New Roman"/>
          <w:i w:val="0"/>
          <w:caps w:val="0"/>
          <w:color w:val="auto"/>
          <w:spacing w:val="0"/>
          <w:sz w:val="24"/>
          <w:szCs w:val="22"/>
          <w:lang w:eastAsia="zh-CN"/>
        </w:rPr>
        <w:t>（</w:t>
      </w:r>
      <w:r>
        <w:rPr>
          <w:rFonts w:hint="default" w:ascii="Times New Roman" w:hAnsi="Times New Roman" w:eastAsia="宋体" w:cs="Times New Roman"/>
          <w:i w:val="0"/>
          <w:caps w:val="0"/>
          <w:color w:val="auto"/>
          <w:spacing w:val="0"/>
          <w:sz w:val="24"/>
          <w:szCs w:val="22"/>
          <w:lang w:val="en-US" w:eastAsia="zh-CN"/>
        </w:rPr>
        <w:t>2</w:t>
      </w:r>
      <w:r>
        <w:rPr>
          <w:rFonts w:hint="eastAsia" w:ascii="Times New Roman" w:hAnsi="Times New Roman" w:eastAsia="宋体" w:cs="Times New Roman"/>
          <w:i w:val="0"/>
          <w:caps w:val="0"/>
          <w:color w:val="auto"/>
          <w:spacing w:val="0"/>
          <w:sz w:val="24"/>
          <w:szCs w:val="22"/>
          <w:lang w:val="en-US" w:eastAsia="zh-CN"/>
        </w:rPr>
        <w:t>0</w:t>
      </w:r>
      <w:r>
        <w:rPr>
          <w:rFonts w:hint="default" w:ascii="Times New Roman" w:hAnsi="Times New Roman" w:eastAsia="宋体" w:cs="Times New Roman"/>
          <w:i w:val="0"/>
          <w:caps w:val="0"/>
          <w:color w:val="auto"/>
          <w:spacing w:val="0"/>
          <w:sz w:val="24"/>
          <w:szCs w:val="22"/>
          <w:lang w:eastAsia="zh-CN"/>
        </w:rPr>
        <w:t>）</w:t>
      </w:r>
      <w:r>
        <w:rPr>
          <w:rFonts w:hint="default" w:ascii="Times New Roman" w:hAnsi="Times New Roman" w:eastAsia="宋体" w:cs="Times New Roman"/>
          <w:i w:val="0"/>
          <w:caps w:val="0"/>
          <w:color w:val="auto"/>
          <w:spacing w:val="0"/>
          <w:sz w:val="24"/>
          <w:szCs w:val="22"/>
        </w:rPr>
        <w:t>《碳排放权交易管理规则（试行）》</w:t>
      </w:r>
      <w:r>
        <w:rPr>
          <w:rFonts w:hint="default" w:ascii="Times New Roman" w:hAnsi="Times New Roman" w:eastAsia="宋体" w:cs="Times New Roman"/>
          <w:i w:val="0"/>
          <w:caps w:val="0"/>
          <w:color w:val="auto"/>
          <w:spacing w:val="0"/>
          <w:sz w:val="24"/>
          <w:szCs w:val="22"/>
          <w:lang w:eastAsia="zh-CN"/>
        </w:rPr>
        <w:t>；</w:t>
      </w:r>
    </w:p>
    <w:p>
      <w:pPr>
        <w:tabs>
          <w:tab w:val="left" w:pos="1590"/>
        </w:tabs>
        <w:spacing w:line="360" w:lineRule="auto"/>
        <w:ind w:firstLine="480"/>
        <w:outlineLvl w:val="9"/>
        <w:rPr>
          <w:rFonts w:hint="default" w:ascii="Times New Roman" w:hAnsi="Times New Roman" w:eastAsia="宋体" w:cs="Times New Roman"/>
          <w:b w:val="0"/>
          <w:i w:val="0"/>
          <w:caps w:val="0"/>
          <w:color w:val="auto"/>
          <w:spacing w:val="0"/>
          <w:sz w:val="24"/>
          <w:szCs w:val="22"/>
        </w:rPr>
      </w:pPr>
      <w:r>
        <w:rPr>
          <w:rFonts w:hint="default" w:ascii="Times New Roman" w:hAnsi="Times New Roman" w:eastAsia="宋体" w:cs="Times New Roman"/>
          <w:i w:val="0"/>
          <w:caps w:val="0"/>
          <w:color w:val="auto"/>
          <w:spacing w:val="0"/>
          <w:sz w:val="24"/>
          <w:szCs w:val="22"/>
          <w:lang w:eastAsia="zh-CN"/>
        </w:rPr>
        <w:t>（</w:t>
      </w:r>
      <w:r>
        <w:rPr>
          <w:rFonts w:hint="default" w:ascii="Times New Roman" w:hAnsi="Times New Roman" w:eastAsia="宋体" w:cs="Times New Roman"/>
          <w:i w:val="0"/>
          <w:caps w:val="0"/>
          <w:color w:val="auto"/>
          <w:spacing w:val="0"/>
          <w:sz w:val="24"/>
          <w:szCs w:val="22"/>
          <w:lang w:val="en-US" w:eastAsia="zh-CN"/>
        </w:rPr>
        <w:t>2</w:t>
      </w:r>
      <w:r>
        <w:rPr>
          <w:rFonts w:hint="eastAsia" w:ascii="Times New Roman" w:hAnsi="Times New Roman" w:eastAsia="宋体" w:cs="Times New Roman"/>
          <w:i w:val="0"/>
          <w:caps w:val="0"/>
          <w:color w:val="auto"/>
          <w:spacing w:val="0"/>
          <w:sz w:val="24"/>
          <w:szCs w:val="22"/>
          <w:lang w:val="en-US" w:eastAsia="zh-CN"/>
        </w:rPr>
        <w:t>1</w:t>
      </w:r>
      <w:r>
        <w:rPr>
          <w:rFonts w:hint="default" w:ascii="Times New Roman" w:hAnsi="Times New Roman" w:eastAsia="宋体" w:cs="Times New Roman"/>
          <w:i w:val="0"/>
          <w:caps w:val="0"/>
          <w:color w:val="auto"/>
          <w:spacing w:val="0"/>
          <w:sz w:val="24"/>
          <w:szCs w:val="22"/>
          <w:lang w:eastAsia="zh-CN"/>
        </w:rPr>
        <w:t>）</w:t>
      </w:r>
      <w:r>
        <w:rPr>
          <w:rFonts w:hint="default" w:ascii="Times New Roman" w:hAnsi="Times New Roman" w:eastAsia="宋体" w:cs="Times New Roman"/>
          <w:i w:val="0"/>
          <w:caps w:val="0"/>
          <w:color w:val="auto"/>
          <w:spacing w:val="0"/>
          <w:sz w:val="24"/>
          <w:szCs w:val="22"/>
        </w:rPr>
        <w:t>《碳排放权结算管理规则（试行）》</w:t>
      </w:r>
      <w:r>
        <w:rPr>
          <w:rFonts w:hint="default" w:ascii="Times New Roman" w:hAnsi="Times New Roman" w:eastAsia="宋体" w:cs="Times New Roman"/>
          <w:i w:val="0"/>
          <w:caps w:val="0"/>
          <w:color w:val="auto"/>
          <w:spacing w:val="0"/>
          <w:sz w:val="24"/>
          <w:szCs w:val="22"/>
          <w:lang w:eastAsia="zh-CN"/>
        </w:rPr>
        <w:t>。</w:t>
      </w:r>
    </w:p>
    <w:p>
      <w:pPr>
        <w:spacing w:line="360" w:lineRule="auto"/>
        <w:ind w:firstLine="0"/>
        <w:outlineLvl w:val="2"/>
        <w:rPr>
          <w:rFonts w:hint="default" w:ascii="Times New Roman" w:hAnsi="Times New Roman" w:eastAsia="黑体" w:cs="Times New Roman"/>
          <w:b w:val="0"/>
          <w:bCs/>
          <w:color w:val="auto"/>
          <w:sz w:val="30"/>
          <w:szCs w:val="30"/>
        </w:rPr>
      </w:pPr>
      <w:r>
        <w:rPr>
          <w:rFonts w:hint="default" w:ascii="Times New Roman" w:hAnsi="Times New Roman" w:eastAsia="黑体" w:cs="Times New Roman"/>
          <w:b w:val="0"/>
          <w:bCs/>
          <w:color w:val="auto"/>
          <w:sz w:val="30"/>
          <w:szCs w:val="30"/>
        </w:rPr>
        <w:t>1.1.3 地方法规、规章</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（1）《福建省环境保护条例》（2012年3月29日修订）；</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（2）《福建省水污染防治条例》（2021年11月1日实施）；</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（3）《福建省大气污染防治条例》（2019年1月1日起施行）；</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（4）《福建省水环境功能区划》（福建省人民政府，2004年）；</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（5）《福建省海洋环境保护条例》(2016年4月1日修正)；</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（6）《福建省建设海峡西岸经济区纲要》（2007年）；</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（7）《福建省环保厅关于印发福建省重点行业挥发性有机物污染防治工作方案的通知》（闽环保大气〔2017〕6号）；</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（8）《福建省环保厅关于印发福建省重点行业挥发性有机物排放控制要求（试行）的通知》（闽环保大气〔2017〕9号）；</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（9）《福州市环境保护条例》（2002年）。</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（10）《福建省环保厅关于进一步加强涉及重金属、危险废物、化学品的建设项目环境管理工作的通知》（闽环发[2011]20号）</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（11）《福建省水污染防治行动计划工作方案》闽政〔2015〕26号；</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（12）《福州市大气污染防治办法》2002年5月1日起施行；</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（13）《福建省土壤污染防治行动计划实施方案》闽政〔2016〕45号；</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（14）《关于应用全省固体废物环境监管平台的通知》闽环保固化[2017]4号；</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（15）《福建省生态环境厅关于国家和地方相关大气污染物排放标准执行有关事项的通知》闽环保大气[2019]6号；</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（16）《</w:t>
      </w:r>
      <w:r>
        <w:rPr>
          <w:rFonts w:hint="eastAsia" w:ascii="Times New Roman" w:hAnsi="Times New Roman" w:eastAsia="宋体" w:cs="Times New Roman"/>
          <w:color w:val="auto"/>
          <w:kern w:val="2"/>
          <w:sz w:val="24"/>
          <w:szCs w:val="22"/>
          <w:lang w:val="en-US" w:eastAsia="zh-CN" w:bidi="ar-SA"/>
        </w:rPr>
        <w:t>福建省“十四五”生态环境保护专项规划的通知</w:t>
      </w:r>
      <w:r>
        <w:rPr>
          <w:rFonts w:hint="default" w:ascii="Times New Roman" w:hAnsi="Times New Roman" w:eastAsia="宋体" w:cs="Times New Roman"/>
          <w:color w:val="auto"/>
          <w:kern w:val="2"/>
          <w:sz w:val="24"/>
          <w:szCs w:val="22"/>
          <w:lang w:val="en-US" w:eastAsia="zh-CN" w:bidi="ar-SA"/>
        </w:rPr>
        <w:t>》（20</w:t>
      </w:r>
      <w:r>
        <w:rPr>
          <w:rFonts w:hint="eastAsia" w:ascii="Times New Roman" w:hAnsi="Times New Roman" w:eastAsia="宋体" w:cs="Times New Roman"/>
          <w:color w:val="auto"/>
          <w:kern w:val="2"/>
          <w:sz w:val="24"/>
          <w:szCs w:val="22"/>
          <w:lang w:val="en-US" w:eastAsia="zh-CN" w:bidi="ar-SA"/>
        </w:rPr>
        <w:t>21</w:t>
      </w:r>
      <w:r>
        <w:rPr>
          <w:rFonts w:hint="default" w:ascii="Times New Roman" w:hAnsi="Times New Roman" w:eastAsia="宋体" w:cs="Times New Roman"/>
          <w:color w:val="auto"/>
          <w:kern w:val="2"/>
          <w:sz w:val="24"/>
          <w:szCs w:val="22"/>
          <w:lang w:val="en-US" w:eastAsia="zh-CN" w:bidi="ar-SA"/>
        </w:rPr>
        <w:t>年）；</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（17）《福建省国民经济和社会发展第十三个五年规划纲要》（2016年）；</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w:t>
      </w:r>
      <w:r>
        <w:rPr>
          <w:rFonts w:hint="eastAsia" w:ascii="Times New Roman" w:hAnsi="Times New Roman" w:eastAsia="宋体" w:cs="Times New Roman"/>
          <w:color w:val="auto"/>
          <w:kern w:val="2"/>
          <w:sz w:val="24"/>
          <w:szCs w:val="22"/>
          <w:lang w:val="en-US" w:eastAsia="zh-CN" w:bidi="ar-SA"/>
        </w:rPr>
        <w:t>8</w:t>
      </w:r>
      <w:r>
        <w:rPr>
          <w:rFonts w:hint="default" w:ascii="Times New Roman" w:hAnsi="Times New Roman" w:eastAsia="宋体" w:cs="Times New Roman"/>
          <w:color w:val="auto"/>
          <w:kern w:val="2"/>
          <w:sz w:val="24"/>
          <w:szCs w:val="22"/>
          <w:lang w:val="en-US" w:eastAsia="zh-CN" w:bidi="ar-SA"/>
        </w:rPr>
        <w:t>）《福建省“十</w:t>
      </w:r>
      <w:r>
        <w:rPr>
          <w:rFonts w:hint="eastAsia" w:ascii="Times New Roman" w:hAnsi="Times New Roman" w:eastAsia="宋体" w:cs="Times New Roman"/>
          <w:color w:val="auto"/>
          <w:kern w:val="2"/>
          <w:sz w:val="24"/>
          <w:szCs w:val="22"/>
          <w:lang w:val="en-US" w:eastAsia="zh-CN" w:bidi="ar-SA"/>
        </w:rPr>
        <w:t>四</w:t>
      </w:r>
      <w:r>
        <w:rPr>
          <w:rFonts w:hint="default" w:ascii="Times New Roman" w:hAnsi="Times New Roman" w:eastAsia="宋体" w:cs="Times New Roman"/>
          <w:color w:val="auto"/>
          <w:kern w:val="2"/>
          <w:sz w:val="24"/>
          <w:szCs w:val="22"/>
          <w:lang w:val="en-US" w:eastAsia="zh-CN" w:bidi="ar-SA"/>
        </w:rPr>
        <w:t>五”危险废物污染防治规划》（2</w:t>
      </w:r>
      <w:r>
        <w:rPr>
          <w:rFonts w:hint="eastAsia" w:ascii="Times New Roman" w:hAnsi="Times New Roman" w:eastAsia="宋体" w:cs="Times New Roman"/>
          <w:color w:val="auto"/>
          <w:kern w:val="2"/>
          <w:sz w:val="24"/>
          <w:szCs w:val="22"/>
          <w:lang w:val="en-US" w:eastAsia="zh-CN" w:bidi="ar-SA"/>
        </w:rPr>
        <w:t>021</w:t>
      </w:r>
      <w:r>
        <w:rPr>
          <w:rFonts w:hint="default" w:ascii="Times New Roman" w:hAnsi="Times New Roman" w:eastAsia="宋体" w:cs="Times New Roman"/>
          <w:color w:val="auto"/>
          <w:kern w:val="2"/>
          <w:sz w:val="24"/>
          <w:szCs w:val="22"/>
          <w:lang w:val="en-US" w:eastAsia="zh-CN" w:bidi="ar-SA"/>
        </w:rPr>
        <w:t>年）；</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（2</w:t>
      </w:r>
      <w:r>
        <w:rPr>
          <w:rFonts w:hint="eastAsia" w:ascii="Times New Roman" w:hAnsi="Times New Roman" w:eastAsia="宋体" w:cs="Times New Roman"/>
          <w:color w:val="auto"/>
          <w:kern w:val="2"/>
          <w:sz w:val="24"/>
          <w:szCs w:val="22"/>
          <w:lang w:val="en-US" w:eastAsia="zh-CN" w:bidi="ar-SA"/>
        </w:rPr>
        <w:t>1</w:t>
      </w:r>
      <w:r>
        <w:rPr>
          <w:rFonts w:hint="default" w:ascii="Times New Roman" w:hAnsi="Times New Roman" w:eastAsia="宋体" w:cs="Times New Roman"/>
          <w:color w:val="auto"/>
          <w:kern w:val="2"/>
          <w:sz w:val="24"/>
          <w:szCs w:val="22"/>
          <w:lang w:val="en-US" w:eastAsia="zh-CN" w:bidi="ar-SA"/>
        </w:rPr>
        <w:t>）《福建省2020年挥发性有机物治理攻坚实施方案》。</w:t>
      </w:r>
    </w:p>
    <w:p>
      <w:pPr>
        <w:spacing w:line="360" w:lineRule="auto"/>
        <w:ind w:firstLine="0"/>
        <w:outlineLvl w:val="2"/>
        <w:rPr>
          <w:rFonts w:hint="default" w:ascii="Times New Roman" w:hAnsi="Times New Roman" w:eastAsia="黑体" w:cs="Times New Roman"/>
          <w:b w:val="0"/>
          <w:bCs/>
          <w:color w:val="auto"/>
          <w:sz w:val="30"/>
          <w:szCs w:val="30"/>
        </w:rPr>
      </w:pPr>
      <w:r>
        <w:rPr>
          <w:rFonts w:hint="default" w:ascii="Times New Roman" w:hAnsi="Times New Roman" w:eastAsia="黑体" w:cs="Times New Roman"/>
          <w:b w:val="0"/>
          <w:bCs/>
          <w:color w:val="auto"/>
          <w:sz w:val="30"/>
          <w:szCs w:val="30"/>
        </w:rPr>
        <w:t>1.1.4评价技术规范</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（1）《建设项目环境影响评价技术导则  总纲》（HJ2.1-2016）；</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（2）《环境影响评价技术导则  大气环境》（HJ2.2-2018）；</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（3）《环境影响评价技术导则  地表水环境》（HJ 2.3-2018）；</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（4）《环境影响评价技术导则  地下水环境》（HJ610-2016）；</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（5）《环境影响评价技术导则  声环境》（HJ2.4-2009）；</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（6）《环境影响评价技术导则  生态影响》（HJ19-2011）；</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（7）《建设项目环境风险评价技术导则》（HJ 169-2018）；</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（8）</w:t>
      </w:r>
      <w:r>
        <w:rPr>
          <w:rFonts w:hint="default" w:ascii="Times New Roman" w:hAnsi="Times New Roman" w:eastAsia="宋体" w:cs="Times New Roman"/>
          <w:color w:val="auto"/>
          <w:kern w:val="2"/>
          <w:sz w:val="24"/>
          <w:szCs w:val="22"/>
          <w:lang w:val="en-US" w:eastAsia="zh-CN" w:bidi="ar-SA"/>
        </w:rPr>
        <w:fldChar w:fldCharType="begin"/>
      </w:r>
      <w:r>
        <w:rPr>
          <w:rFonts w:hint="default" w:ascii="Times New Roman" w:hAnsi="Times New Roman" w:eastAsia="宋体" w:cs="Times New Roman"/>
          <w:color w:val="auto"/>
          <w:kern w:val="2"/>
          <w:sz w:val="24"/>
          <w:szCs w:val="22"/>
          <w:lang w:val="en-US" w:eastAsia="zh-CN" w:bidi="ar-SA"/>
        </w:rPr>
        <w:instrText xml:space="preserve"> HYPERLINK "https://max.book118.com/html/2017/0807/126467951.shtm" \t "https://www.so.com/_blank" </w:instrText>
      </w:r>
      <w:r>
        <w:rPr>
          <w:rFonts w:hint="default" w:ascii="Times New Roman" w:hAnsi="Times New Roman" w:eastAsia="宋体" w:cs="Times New Roman"/>
          <w:color w:val="auto"/>
          <w:kern w:val="2"/>
          <w:sz w:val="24"/>
          <w:szCs w:val="22"/>
          <w:lang w:val="en-US" w:eastAsia="zh-CN" w:bidi="ar-SA"/>
        </w:rPr>
        <w:fldChar w:fldCharType="separate"/>
      </w:r>
      <w:r>
        <w:rPr>
          <w:rFonts w:hint="default" w:ascii="Times New Roman" w:hAnsi="Times New Roman" w:eastAsia="宋体" w:cs="Times New Roman"/>
          <w:color w:val="auto"/>
          <w:kern w:val="2"/>
          <w:sz w:val="24"/>
          <w:szCs w:val="22"/>
          <w:lang w:val="en-US" w:eastAsia="zh-CN" w:bidi="ar-SA"/>
        </w:rPr>
        <w:t>《环境影响评价技术导则石油化工建设项目》（HJ/T 89-2003）；</w:t>
      </w:r>
      <w:r>
        <w:rPr>
          <w:rFonts w:hint="default" w:ascii="Times New Roman" w:hAnsi="Times New Roman" w:eastAsia="宋体" w:cs="Times New Roman"/>
          <w:color w:val="auto"/>
          <w:kern w:val="2"/>
          <w:sz w:val="24"/>
          <w:szCs w:val="22"/>
          <w:lang w:val="en-US" w:eastAsia="zh-CN" w:bidi="ar-SA"/>
        </w:rPr>
        <w:fldChar w:fldCharType="end"/>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（9）《固定污染源排污许可分类管理名录（2019年版）》；</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000000"/>
          <w:kern w:val="2"/>
          <w:sz w:val="24"/>
          <w:szCs w:val="22"/>
          <w:lang w:val="en-US" w:eastAsia="zh-CN" w:bidi="ar-SA"/>
        </w:rPr>
      </w:pPr>
      <w:r>
        <w:rPr>
          <w:rFonts w:hint="default" w:ascii="Times New Roman" w:hAnsi="Times New Roman" w:eastAsia="宋体" w:cs="Times New Roman"/>
          <w:color w:val="000000"/>
          <w:kern w:val="2"/>
          <w:sz w:val="24"/>
          <w:szCs w:val="22"/>
          <w:lang w:val="en-US" w:eastAsia="zh-CN" w:bidi="ar-SA"/>
        </w:rPr>
        <w:t>（10）《排污许可证申请与核发技术规范  无机化学工业》（HJ 1035-2019）</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highlight w:val="none"/>
          <w:lang w:val="en-US" w:eastAsia="zh-CN" w:bidi="ar-SA"/>
        </w:rPr>
      </w:pPr>
      <w:r>
        <w:rPr>
          <w:rFonts w:hint="default" w:ascii="Times New Roman" w:hAnsi="Times New Roman" w:eastAsia="宋体" w:cs="Times New Roman"/>
          <w:color w:val="auto"/>
          <w:kern w:val="2"/>
          <w:sz w:val="24"/>
          <w:szCs w:val="22"/>
          <w:highlight w:val="none"/>
          <w:lang w:val="en-US" w:eastAsia="zh-CN" w:bidi="ar-SA"/>
        </w:rPr>
        <w:t>（1</w:t>
      </w:r>
      <w:r>
        <w:rPr>
          <w:rFonts w:hint="eastAsia" w:ascii="Times New Roman" w:hAnsi="Times New Roman" w:eastAsia="宋体" w:cs="Times New Roman"/>
          <w:color w:val="auto"/>
          <w:kern w:val="2"/>
          <w:sz w:val="24"/>
          <w:szCs w:val="22"/>
          <w:highlight w:val="none"/>
          <w:lang w:val="en-US" w:eastAsia="zh-CN" w:bidi="ar-SA"/>
        </w:rPr>
        <w:t>1</w:t>
      </w:r>
      <w:r>
        <w:rPr>
          <w:rFonts w:hint="default" w:ascii="Times New Roman" w:hAnsi="Times New Roman" w:eastAsia="宋体" w:cs="Times New Roman"/>
          <w:color w:val="auto"/>
          <w:kern w:val="2"/>
          <w:sz w:val="24"/>
          <w:szCs w:val="22"/>
          <w:highlight w:val="none"/>
          <w:lang w:val="en-US" w:eastAsia="zh-CN" w:bidi="ar-SA"/>
        </w:rPr>
        <w:t>）</w:t>
      </w:r>
      <w:r>
        <w:rPr>
          <w:rFonts w:hint="default" w:ascii="Times New Roman" w:hAnsi="Times New Roman" w:eastAsia="宋体" w:cs="Times New Roman"/>
          <w:color w:val="auto"/>
          <w:sz w:val="24"/>
          <w:szCs w:val="24"/>
          <w:highlight w:val="none"/>
        </w:rPr>
        <w:t>《排污许可证申请与核发技术规范-</w:t>
      </w:r>
      <w:r>
        <w:rPr>
          <w:rFonts w:hint="eastAsia" w:ascii="Times New Roman" w:hAnsi="Times New Roman" w:eastAsia="宋体" w:cs="Times New Roman"/>
          <w:color w:val="auto"/>
          <w:sz w:val="24"/>
          <w:szCs w:val="24"/>
          <w:highlight w:val="none"/>
          <w:lang w:val="en-US" w:eastAsia="zh-CN"/>
        </w:rPr>
        <w:t>电子</w:t>
      </w:r>
      <w:r>
        <w:rPr>
          <w:rFonts w:hint="default" w:ascii="Times New Roman" w:hAnsi="Times New Roman" w:eastAsia="宋体" w:cs="Times New Roman"/>
          <w:color w:val="auto"/>
          <w:sz w:val="24"/>
          <w:szCs w:val="24"/>
          <w:highlight w:val="none"/>
        </w:rPr>
        <w:t>工业》（HJ 103</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-2019）</w:t>
      </w:r>
      <w:r>
        <w:rPr>
          <w:rFonts w:hint="default" w:ascii="Times New Roman" w:hAnsi="Times New Roman" w:eastAsia="宋体" w:cs="Times New Roman"/>
          <w:color w:val="auto"/>
          <w:kern w:val="2"/>
          <w:sz w:val="24"/>
          <w:szCs w:val="22"/>
          <w:highlight w:val="none"/>
          <w:lang w:val="en-US" w:eastAsia="zh-CN" w:bidi="ar-SA"/>
        </w:rPr>
        <w:t>；</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w:t>
      </w:r>
      <w:r>
        <w:rPr>
          <w:rFonts w:hint="eastAsia" w:ascii="Times New Roman" w:hAnsi="Times New Roman" w:eastAsia="宋体" w:cs="Times New Roman"/>
          <w:color w:val="auto"/>
          <w:kern w:val="2"/>
          <w:sz w:val="24"/>
          <w:szCs w:val="22"/>
          <w:lang w:val="en-US" w:eastAsia="zh-CN" w:bidi="ar-SA"/>
        </w:rPr>
        <w:t>2</w:t>
      </w:r>
      <w:r>
        <w:rPr>
          <w:rFonts w:hint="default" w:ascii="Times New Roman" w:hAnsi="Times New Roman" w:eastAsia="宋体" w:cs="Times New Roman"/>
          <w:color w:val="auto"/>
          <w:kern w:val="2"/>
          <w:sz w:val="24"/>
          <w:szCs w:val="22"/>
          <w:lang w:val="en-US" w:eastAsia="zh-CN" w:bidi="ar-SA"/>
        </w:rPr>
        <w:t>）《排污许可证申请与核发技术规范 总则》 (HJ942-2018)；</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w:t>
      </w:r>
      <w:r>
        <w:rPr>
          <w:rFonts w:hint="eastAsia" w:ascii="Times New Roman" w:hAnsi="Times New Roman" w:eastAsia="宋体" w:cs="Times New Roman"/>
          <w:color w:val="auto"/>
          <w:kern w:val="2"/>
          <w:sz w:val="24"/>
          <w:szCs w:val="22"/>
          <w:lang w:val="en-US" w:eastAsia="zh-CN" w:bidi="ar-SA"/>
        </w:rPr>
        <w:t>3</w:t>
      </w:r>
      <w:r>
        <w:rPr>
          <w:rFonts w:hint="default" w:ascii="Times New Roman" w:hAnsi="Times New Roman" w:eastAsia="宋体" w:cs="Times New Roman"/>
          <w:color w:val="auto"/>
          <w:kern w:val="2"/>
          <w:sz w:val="24"/>
          <w:szCs w:val="22"/>
          <w:lang w:val="en-US" w:eastAsia="zh-CN" w:bidi="ar-SA"/>
        </w:rPr>
        <w:t>）《排污单位自行监测技术指南总则》(HJ 819-2017)；</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w:t>
      </w:r>
      <w:r>
        <w:rPr>
          <w:rFonts w:hint="eastAsia" w:ascii="Times New Roman" w:hAnsi="Times New Roman" w:eastAsia="宋体" w:cs="Times New Roman"/>
          <w:color w:val="auto"/>
          <w:kern w:val="2"/>
          <w:sz w:val="24"/>
          <w:szCs w:val="22"/>
          <w:lang w:val="en-US" w:eastAsia="zh-CN" w:bidi="ar-SA"/>
        </w:rPr>
        <w:t>4</w:t>
      </w:r>
      <w:r>
        <w:rPr>
          <w:rFonts w:hint="default" w:ascii="Times New Roman" w:hAnsi="Times New Roman" w:eastAsia="宋体" w:cs="Times New Roman"/>
          <w:color w:val="auto"/>
          <w:kern w:val="2"/>
          <w:sz w:val="24"/>
          <w:szCs w:val="22"/>
          <w:lang w:val="en-US" w:eastAsia="zh-CN" w:bidi="ar-SA"/>
        </w:rPr>
        <w:t>）《排污单位自行监测技术指南  无机化学工业》（HJ1138-2020）；</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w:t>
      </w:r>
      <w:r>
        <w:rPr>
          <w:rFonts w:hint="eastAsia" w:ascii="Times New Roman" w:hAnsi="Times New Roman" w:eastAsia="宋体" w:cs="Times New Roman"/>
          <w:color w:val="auto"/>
          <w:kern w:val="2"/>
          <w:sz w:val="24"/>
          <w:szCs w:val="22"/>
          <w:lang w:val="en-US" w:eastAsia="zh-CN" w:bidi="ar-SA"/>
        </w:rPr>
        <w:t>5</w:t>
      </w:r>
      <w:r>
        <w:rPr>
          <w:rFonts w:hint="default" w:ascii="Times New Roman" w:hAnsi="Times New Roman" w:eastAsia="宋体" w:cs="Times New Roman"/>
          <w:color w:val="auto"/>
          <w:kern w:val="2"/>
          <w:sz w:val="24"/>
          <w:szCs w:val="22"/>
          <w:lang w:val="en-US" w:eastAsia="zh-CN" w:bidi="ar-SA"/>
        </w:rPr>
        <w:t>）《化工建设项目环境保护工程设计标准》(GB 50483-2019)；</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w:t>
      </w:r>
      <w:r>
        <w:rPr>
          <w:rFonts w:hint="eastAsia" w:ascii="Times New Roman" w:hAnsi="Times New Roman" w:eastAsia="宋体" w:cs="Times New Roman"/>
          <w:color w:val="auto"/>
          <w:kern w:val="2"/>
          <w:sz w:val="24"/>
          <w:szCs w:val="22"/>
          <w:lang w:val="en-US" w:eastAsia="zh-CN" w:bidi="ar-SA"/>
        </w:rPr>
        <w:t>6</w:t>
      </w:r>
      <w:r>
        <w:rPr>
          <w:rFonts w:hint="default" w:ascii="Times New Roman" w:hAnsi="Times New Roman" w:eastAsia="宋体" w:cs="Times New Roman"/>
          <w:color w:val="auto"/>
          <w:kern w:val="2"/>
          <w:sz w:val="24"/>
          <w:szCs w:val="22"/>
          <w:lang w:val="en-US" w:eastAsia="zh-CN" w:bidi="ar-SA"/>
        </w:rPr>
        <w:t>）《建设项目竣工环境保护验收暂行办法》（2017年11月22日印发）；</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w:t>
      </w:r>
      <w:r>
        <w:rPr>
          <w:rFonts w:hint="eastAsia" w:ascii="Times New Roman" w:hAnsi="Times New Roman" w:eastAsia="宋体" w:cs="Times New Roman"/>
          <w:color w:val="auto"/>
          <w:kern w:val="2"/>
          <w:sz w:val="24"/>
          <w:szCs w:val="22"/>
          <w:lang w:val="en-US" w:eastAsia="zh-CN" w:bidi="ar-SA"/>
        </w:rPr>
        <w:t>7</w:t>
      </w:r>
      <w:r>
        <w:rPr>
          <w:rFonts w:hint="default" w:ascii="Times New Roman" w:hAnsi="Times New Roman" w:eastAsia="宋体" w:cs="Times New Roman"/>
          <w:color w:val="auto"/>
          <w:kern w:val="2"/>
          <w:sz w:val="24"/>
          <w:szCs w:val="22"/>
          <w:lang w:val="en-US" w:eastAsia="zh-CN" w:bidi="ar-SA"/>
        </w:rPr>
        <w:t>）《污染源源强核算技术指南 准则》；</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w:t>
      </w:r>
      <w:r>
        <w:rPr>
          <w:rFonts w:hint="eastAsia" w:ascii="Times New Roman" w:hAnsi="Times New Roman" w:eastAsia="宋体" w:cs="Times New Roman"/>
          <w:color w:val="auto"/>
          <w:kern w:val="2"/>
          <w:sz w:val="24"/>
          <w:szCs w:val="22"/>
          <w:lang w:val="en-US" w:eastAsia="zh-CN" w:bidi="ar-SA"/>
        </w:rPr>
        <w:t>8</w:t>
      </w:r>
      <w:r>
        <w:rPr>
          <w:rFonts w:hint="default" w:ascii="Times New Roman" w:hAnsi="Times New Roman" w:eastAsia="宋体" w:cs="Times New Roman"/>
          <w:color w:val="auto"/>
          <w:kern w:val="2"/>
          <w:sz w:val="24"/>
          <w:szCs w:val="22"/>
          <w:lang w:val="en-US" w:eastAsia="zh-CN" w:bidi="ar-SA"/>
        </w:rPr>
        <w:t>）《危险化学品重大危险源辨识》（GB 18218-2018）；</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w:t>
      </w:r>
      <w:r>
        <w:rPr>
          <w:rFonts w:hint="eastAsia" w:ascii="Times New Roman" w:hAnsi="Times New Roman" w:eastAsia="宋体" w:cs="Times New Roman"/>
          <w:color w:val="auto"/>
          <w:kern w:val="2"/>
          <w:sz w:val="24"/>
          <w:szCs w:val="22"/>
          <w:lang w:val="en-US" w:eastAsia="zh-CN" w:bidi="ar-SA"/>
        </w:rPr>
        <w:t>9</w:t>
      </w:r>
      <w:r>
        <w:rPr>
          <w:rFonts w:hint="default" w:ascii="Times New Roman" w:hAnsi="Times New Roman" w:eastAsia="宋体" w:cs="Times New Roman"/>
          <w:color w:val="auto"/>
          <w:kern w:val="2"/>
          <w:sz w:val="24"/>
          <w:szCs w:val="22"/>
          <w:lang w:val="en-US" w:eastAsia="zh-CN" w:bidi="ar-SA"/>
        </w:rPr>
        <w:t>）《固体废物鉴别标准 通则》(GB 34330-2017)；</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w:t>
      </w:r>
      <w:r>
        <w:rPr>
          <w:rFonts w:hint="eastAsia" w:ascii="Times New Roman" w:hAnsi="Times New Roman" w:eastAsia="宋体" w:cs="Times New Roman"/>
          <w:color w:val="auto"/>
          <w:kern w:val="2"/>
          <w:sz w:val="24"/>
          <w:szCs w:val="22"/>
          <w:lang w:val="en-US" w:eastAsia="zh-CN" w:bidi="ar-SA"/>
        </w:rPr>
        <w:t>20</w:t>
      </w:r>
      <w:r>
        <w:rPr>
          <w:rFonts w:hint="default" w:ascii="Times New Roman" w:hAnsi="Times New Roman" w:eastAsia="宋体" w:cs="Times New Roman"/>
          <w:color w:val="auto"/>
          <w:kern w:val="2"/>
          <w:sz w:val="24"/>
          <w:szCs w:val="22"/>
          <w:lang w:val="en-US" w:eastAsia="zh-CN" w:bidi="ar-SA"/>
        </w:rPr>
        <w:t>）《危险废物贮存污染控制标准》（GB18597-2001）及修改清单，环境保护部公告2013年第36号；</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（2</w:t>
      </w:r>
      <w:r>
        <w:rPr>
          <w:rFonts w:hint="eastAsia" w:ascii="Times New Roman" w:hAnsi="Times New Roman" w:eastAsia="宋体" w:cs="Times New Roman"/>
          <w:color w:val="auto"/>
          <w:kern w:val="2"/>
          <w:sz w:val="24"/>
          <w:szCs w:val="22"/>
          <w:lang w:val="en-US" w:eastAsia="zh-CN" w:bidi="ar-SA"/>
        </w:rPr>
        <w:t>1</w:t>
      </w:r>
      <w:r>
        <w:rPr>
          <w:rFonts w:hint="default" w:ascii="Times New Roman" w:hAnsi="Times New Roman" w:eastAsia="宋体" w:cs="Times New Roman"/>
          <w:color w:val="auto"/>
          <w:kern w:val="2"/>
          <w:sz w:val="24"/>
          <w:szCs w:val="22"/>
          <w:lang w:val="en-US" w:eastAsia="zh-CN" w:bidi="ar-SA"/>
        </w:rPr>
        <w:t>）《一般工业固体废物贮存和填埋污染控制标准》（GB18599-2020），生态环境部公告2020年第65号；</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（2</w:t>
      </w:r>
      <w:r>
        <w:rPr>
          <w:rFonts w:hint="eastAsia" w:ascii="Times New Roman" w:hAnsi="Times New Roman" w:eastAsia="宋体" w:cs="Times New Roman"/>
          <w:color w:val="auto"/>
          <w:kern w:val="2"/>
          <w:sz w:val="24"/>
          <w:szCs w:val="22"/>
          <w:lang w:val="en-US" w:eastAsia="zh-CN" w:bidi="ar-SA"/>
        </w:rPr>
        <w:t>2</w:t>
      </w:r>
      <w:r>
        <w:rPr>
          <w:rFonts w:hint="default" w:ascii="Times New Roman" w:hAnsi="Times New Roman" w:eastAsia="宋体" w:cs="Times New Roman"/>
          <w:color w:val="auto"/>
          <w:kern w:val="2"/>
          <w:sz w:val="24"/>
          <w:szCs w:val="22"/>
          <w:lang w:val="en-US" w:eastAsia="zh-CN" w:bidi="ar-SA"/>
        </w:rPr>
        <w:t>）《一般固体废物分类与代码》（GB/T39198-2020）；</w:t>
      </w:r>
    </w:p>
    <w:p>
      <w:pPr>
        <w:keepNext w:val="0"/>
        <w:keepLines w:val="0"/>
        <w:pageBreakBefore w:val="0"/>
        <w:widowControl/>
        <w:kinsoku/>
        <w:wordWrap/>
        <w:overflowPunct/>
        <w:topLinePunct w:val="0"/>
        <w:autoSpaceDE/>
        <w:autoSpaceDN/>
        <w:bidi w:val="0"/>
        <w:adjustRightInd w:val="0"/>
        <w:snapToGrid w:val="0"/>
        <w:spacing w:line="360" w:lineRule="auto"/>
        <w:ind w:firstLine="480"/>
        <w:jc w:val="both"/>
        <w:textAlignment w:val="auto"/>
        <w:outlineLvl w:val="9"/>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w:t>
      </w:r>
      <w:r>
        <w:rPr>
          <w:rFonts w:hint="eastAsia" w:ascii="Times New Roman" w:hAnsi="Times New Roman" w:eastAsia="宋体" w:cs="Times New Roman"/>
          <w:color w:val="auto"/>
          <w:kern w:val="2"/>
          <w:sz w:val="24"/>
          <w:szCs w:val="22"/>
          <w:lang w:val="en-US" w:eastAsia="zh-CN" w:bidi="ar-SA"/>
        </w:rPr>
        <w:t>23</w:t>
      </w:r>
      <w:r>
        <w:rPr>
          <w:rFonts w:hint="default" w:ascii="Times New Roman" w:hAnsi="Times New Roman" w:eastAsia="宋体" w:cs="Times New Roman"/>
          <w:color w:val="auto"/>
          <w:kern w:val="2"/>
          <w:sz w:val="24"/>
          <w:szCs w:val="22"/>
          <w:lang w:val="en-US" w:eastAsia="zh-CN" w:bidi="ar-SA"/>
        </w:rPr>
        <w:t>）《建筑设计防火规范》（GB50016-2018）。</w:t>
      </w:r>
    </w:p>
    <w:p>
      <w:pPr>
        <w:spacing w:line="360" w:lineRule="auto"/>
        <w:ind w:firstLine="0"/>
        <w:outlineLvl w:val="2"/>
        <w:rPr>
          <w:rFonts w:hint="default" w:ascii="Times New Roman" w:hAnsi="Times New Roman" w:eastAsia="黑体" w:cs="Times New Roman"/>
          <w:b w:val="0"/>
          <w:bCs/>
          <w:color w:val="auto"/>
          <w:sz w:val="30"/>
          <w:szCs w:val="30"/>
        </w:rPr>
      </w:pPr>
      <w:r>
        <w:rPr>
          <w:rFonts w:hint="default" w:ascii="Times New Roman" w:hAnsi="Times New Roman" w:eastAsia="黑体" w:cs="Times New Roman"/>
          <w:b w:val="0"/>
          <w:bCs/>
          <w:color w:val="auto"/>
          <w:sz w:val="30"/>
          <w:szCs w:val="30"/>
        </w:rPr>
        <w:t>1.1.5与项目相关的规划、文件及资料</w:t>
      </w:r>
    </w:p>
    <w:p>
      <w:pPr>
        <w:spacing w:line="360" w:lineRule="auto"/>
        <w:ind w:firstLine="480"/>
        <w:rPr>
          <w:rFonts w:hint="default" w:ascii="Times New Roman" w:hAnsi="Times New Roman" w:eastAsia="宋体" w:cs="Times New Roman"/>
          <w:color w:val="auto"/>
          <w:sz w:val="24"/>
          <w:szCs w:val="24"/>
          <w:lang w:val="en-US" w:eastAsia="zh-CN"/>
        </w:rPr>
      </w:pPr>
      <w:bookmarkStart w:id="32" w:name="_Toc5858"/>
      <w:bookmarkStart w:id="33" w:name="_Toc2791"/>
      <w:r>
        <w:rPr>
          <w:rFonts w:hint="default" w:ascii="Times New Roman" w:hAnsi="Times New Roman" w:eastAsia="宋体" w:cs="Times New Roman"/>
          <w:color w:val="auto"/>
          <w:sz w:val="24"/>
          <w:szCs w:val="24"/>
          <w:lang w:val="en-GB"/>
        </w:rPr>
        <w:t>（</w:t>
      </w:r>
      <w:r>
        <w:rPr>
          <w:rFonts w:hint="default"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lang w:val="en-GB"/>
        </w:rPr>
        <w:t>）</w:t>
      </w:r>
      <w:r>
        <w:rPr>
          <w:rFonts w:hint="default" w:ascii="Times New Roman" w:hAnsi="Times New Roman" w:eastAsia="宋体" w:cs="Times New Roman"/>
          <w:color w:val="auto"/>
          <w:sz w:val="24"/>
          <w:szCs w:val="24"/>
          <w:lang w:val="en-GB" w:eastAsia="zh-CN"/>
        </w:rPr>
        <w:t>项目备案表，编号闽发改备</w:t>
      </w:r>
      <w:r>
        <w:rPr>
          <w:rFonts w:hint="default" w:ascii="Times New Roman" w:hAnsi="Times New Roman" w:eastAsia="宋体" w:cs="Times New Roman"/>
          <w:color w:val="auto"/>
          <w:sz w:val="24"/>
          <w:szCs w:val="24"/>
          <w:lang w:val="en-US" w:eastAsia="zh-CN"/>
        </w:rPr>
        <w:t>[2021]A060201号</w:t>
      </w:r>
    </w:p>
    <w:p>
      <w:pPr>
        <w:spacing w:line="360" w:lineRule="auto"/>
        <w:ind w:firstLine="480"/>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lang w:val="en-GB"/>
        </w:rPr>
        <w:t>（2）福州江阴港城总体规划（2018-2035）环境影响报告书及审查意见；</w:t>
      </w:r>
    </w:p>
    <w:p>
      <w:pPr>
        <w:spacing w:line="360" w:lineRule="auto"/>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GB"/>
        </w:rPr>
        <w:t>（</w:t>
      </w:r>
      <w:r>
        <w:rPr>
          <w:rFonts w:hint="default" w:ascii="Times New Roman" w:hAnsi="Times New Roman" w:eastAsia="宋体" w:cs="Times New Roman"/>
          <w:color w:val="auto"/>
          <w:sz w:val="24"/>
          <w:szCs w:val="24"/>
        </w:rPr>
        <w:t>3</w:t>
      </w:r>
      <w:r>
        <w:rPr>
          <w:rFonts w:hint="default" w:ascii="Times New Roman" w:hAnsi="Times New Roman" w:eastAsia="宋体" w:cs="Times New Roman"/>
          <w:color w:val="auto"/>
          <w:sz w:val="24"/>
          <w:szCs w:val="24"/>
          <w:lang w:val="en-GB"/>
        </w:rPr>
        <w:t>）</w:t>
      </w:r>
      <w:r>
        <w:rPr>
          <w:rFonts w:hint="default" w:ascii="Times New Roman" w:hAnsi="Times New Roman" w:eastAsia="宋体" w:cs="Times New Roman"/>
          <w:color w:val="auto"/>
          <w:sz w:val="24"/>
          <w:szCs w:val="24"/>
          <w:lang w:val="en-GB" w:eastAsia="zh-CN"/>
        </w:rPr>
        <w:t>《福建富轩科技有限公司</w:t>
      </w:r>
      <w:r>
        <w:rPr>
          <w:rFonts w:hint="default" w:ascii="Times New Roman" w:hAnsi="Times New Roman" w:eastAsia="宋体" w:cs="Times New Roman"/>
          <w:color w:val="auto"/>
          <w:sz w:val="24"/>
          <w:szCs w:val="24"/>
          <w:lang w:val="en-US" w:eastAsia="zh-CN"/>
        </w:rPr>
        <w:t>新能源纳米材料项目可行性研究报告》（2021年5月）；</w:t>
      </w:r>
    </w:p>
    <w:p>
      <w:pPr>
        <w:spacing w:line="360" w:lineRule="auto"/>
        <w:ind w:firstLine="480"/>
        <w:rPr>
          <w:rFonts w:hint="default" w:ascii="Times New Roman" w:hAnsi="Times New Roman" w:eastAsia="宋体" w:cs="Times New Roman"/>
          <w:color w:val="auto"/>
          <w:sz w:val="24"/>
          <w:szCs w:val="24"/>
          <w:lang w:val="en-GB" w:eastAsia="zh-CN"/>
        </w:rPr>
      </w:pPr>
      <w:r>
        <w:rPr>
          <w:rFonts w:hint="default" w:ascii="Times New Roman" w:hAnsi="Times New Roman" w:eastAsia="宋体" w:cs="Times New Roman"/>
          <w:color w:val="auto"/>
          <w:sz w:val="24"/>
          <w:szCs w:val="24"/>
          <w:lang w:val="en-GB"/>
        </w:rPr>
        <w:t>（</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val="en-GB"/>
        </w:rPr>
        <w:t>）</w:t>
      </w:r>
      <w:r>
        <w:rPr>
          <w:rFonts w:hint="default" w:ascii="Times New Roman" w:hAnsi="Times New Roman" w:eastAsia="宋体" w:cs="Times New Roman"/>
          <w:color w:val="auto"/>
          <w:sz w:val="24"/>
          <w:szCs w:val="24"/>
        </w:rPr>
        <w:t>项目</w:t>
      </w:r>
      <w:r>
        <w:rPr>
          <w:rFonts w:hint="default" w:ascii="Times New Roman" w:hAnsi="Times New Roman" w:eastAsia="宋体" w:cs="Times New Roman"/>
          <w:color w:val="auto"/>
          <w:sz w:val="24"/>
          <w:szCs w:val="24"/>
          <w:lang w:val="en-GB"/>
        </w:rPr>
        <w:t>环境影响评价委托书（20</w:t>
      </w:r>
      <w:r>
        <w:rPr>
          <w:rFonts w:hint="default"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0</w:t>
      </w:r>
      <w:r>
        <w:rPr>
          <w:rFonts w:hint="default" w:ascii="Times New Roman" w:hAnsi="Times New Roman" w:eastAsia="宋体" w:cs="Times New Roman"/>
          <w:color w:val="auto"/>
          <w:sz w:val="24"/>
          <w:szCs w:val="24"/>
          <w:lang w:val="en-GB"/>
        </w:rPr>
        <w:t>年</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val="en-GB"/>
        </w:rPr>
        <w:t>月）</w:t>
      </w:r>
      <w:r>
        <w:rPr>
          <w:rFonts w:hint="default" w:ascii="Times New Roman" w:hAnsi="Times New Roman" w:eastAsia="宋体" w:cs="Times New Roman"/>
          <w:color w:val="auto"/>
          <w:sz w:val="24"/>
          <w:szCs w:val="24"/>
          <w:lang w:val="en-GB" w:eastAsia="zh-CN"/>
        </w:rPr>
        <w:t>；</w:t>
      </w:r>
    </w:p>
    <w:p>
      <w:pPr>
        <w:spacing w:line="360" w:lineRule="auto"/>
        <w:ind w:firstLine="480"/>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lang w:val="en-GB"/>
        </w:rPr>
        <w:t>（</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val="en-GB"/>
        </w:rPr>
        <w:t>）《环境</w:t>
      </w:r>
      <w:r>
        <w:rPr>
          <w:rFonts w:hint="default" w:ascii="Times New Roman" w:hAnsi="Times New Roman" w:eastAsia="宋体" w:cs="Times New Roman"/>
          <w:color w:val="auto"/>
          <w:sz w:val="24"/>
          <w:szCs w:val="24"/>
          <w:lang w:val="en-GB" w:eastAsia="zh-CN"/>
        </w:rPr>
        <w:t>质量</w:t>
      </w:r>
      <w:r>
        <w:rPr>
          <w:rFonts w:hint="default" w:ascii="Times New Roman" w:hAnsi="Times New Roman" w:eastAsia="宋体" w:cs="Times New Roman"/>
          <w:color w:val="auto"/>
          <w:sz w:val="24"/>
          <w:szCs w:val="24"/>
          <w:lang w:val="en-GB"/>
        </w:rPr>
        <w:t>现状</w:t>
      </w:r>
      <w:r>
        <w:rPr>
          <w:rFonts w:hint="default" w:ascii="Times New Roman" w:hAnsi="Times New Roman" w:eastAsia="宋体" w:cs="Times New Roman"/>
          <w:color w:val="auto"/>
          <w:sz w:val="24"/>
          <w:szCs w:val="24"/>
          <w:lang w:val="en-GB" w:eastAsia="zh-CN"/>
        </w:rPr>
        <w:t>监测</w:t>
      </w:r>
      <w:r>
        <w:rPr>
          <w:rFonts w:hint="default" w:ascii="Times New Roman" w:hAnsi="Times New Roman" w:eastAsia="宋体" w:cs="Times New Roman"/>
          <w:color w:val="auto"/>
          <w:sz w:val="24"/>
          <w:szCs w:val="24"/>
          <w:lang w:val="en-GB"/>
        </w:rPr>
        <w:t>报告》，</w:t>
      </w:r>
      <w:r>
        <w:rPr>
          <w:rFonts w:hint="default" w:ascii="Times New Roman" w:hAnsi="Times New Roman" w:eastAsia="宋体" w:cs="Times New Roman"/>
          <w:color w:val="auto"/>
          <w:sz w:val="24"/>
          <w:szCs w:val="24"/>
          <w:lang w:val="en-US" w:eastAsia="zh-CN"/>
        </w:rPr>
        <w:t>2020</w:t>
      </w:r>
      <w:r>
        <w:rPr>
          <w:rFonts w:hint="default" w:ascii="Times New Roman" w:hAnsi="Times New Roman" w:eastAsia="宋体" w:cs="Times New Roman"/>
          <w:color w:val="auto"/>
          <w:sz w:val="24"/>
          <w:szCs w:val="24"/>
          <w:lang w:val="en-GB"/>
        </w:rPr>
        <w:t>年</w:t>
      </w:r>
      <w:r>
        <w:rPr>
          <w:rFonts w:hint="default"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lang w:val="en-GB"/>
        </w:rPr>
        <w:t>月；</w:t>
      </w:r>
    </w:p>
    <w:p>
      <w:pPr>
        <w:spacing w:line="360" w:lineRule="auto"/>
        <w:ind w:firstLine="480"/>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lang w:val="en-GB"/>
        </w:rPr>
        <w:t>（</w:t>
      </w:r>
      <w:r>
        <w:rPr>
          <w:rFonts w:hint="default"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lang w:val="en-GB"/>
        </w:rPr>
        <w:t>）建设单位提供的其他技术资料。</w:t>
      </w:r>
    </w:p>
    <w:bookmarkEnd w:id="32"/>
    <w:bookmarkEnd w:id="33"/>
    <w:p>
      <w:pPr>
        <w:spacing w:line="360" w:lineRule="auto"/>
        <w:ind w:firstLine="0"/>
        <w:outlineLvl w:val="1"/>
        <w:rPr>
          <w:rFonts w:hint="default" w:ascii="Times New Roman" w:hAnsi="Times New Roman" w:eastAsia="黑体" w:cs="Times New Roman"/>
          <w:b w:val="0"/>
          <w:bCs/>
          <w:color w:val="auto"/>
          <w:sz w:val="32"/>
          <w:szCs w:val="32"/>
        </w:rPr>
      </w:pPr>
      <w:bookmarkStart w:id="34" w:name="_Toc514988576"/>
      <w:bookmarkStart w:id="35" w:name="_Toc497662832"/>
      <w:bookmarkStart w:id="36" w:name="_Toc322356182"/>
      <w:bookmarkStart w:id="37" w:name="_Toc517779731"/>
      <w:bookmarkStart w:id="38" w:name="_Toc148199794"/>
      <w:bookmarkStart w:id="39" w:name="_Toc517779945"/>
      <w:bookmarkStart w:id="40" w:name="_Toc517779977"/>
      <w:bookmarkStart w:id="41" w:name="_Toc136708904"/>
      <w:bookmarkStart w:id="42" w:name="_Toc516283863"/>
      <w:bookmarkStart w:id="43" w:name="_Toc11741"/>
      <w:bookmarkStart w:id="44" w:name="_Toc12954"/>
      <w:r>
        <w:rPr>
          <w:rFonts w:hint="default" w:ascii="Times New Roman" w:hAnsi="Times New Roman" w:eastAsia="黑体" w:cs="Times New Roman"/>
          <w:b w:val="0"/>
          <w:bCs/>
          <w:color w:val="auto"/>
          <w:sz w:val="32"/>
          <w:szCs w:val="32"/>
        </w:rPr>
        <w:t xml:space="preserve">1.2 </w:t>
      </w:r>
      <w:bookmarkEnd w:id="34"/>
      <w:bookmarkEnd w:id="35"/>
      <w:bookmarkEnd w:id="36"/>
      <w:bookmarkEnd w:id="37"/>
      <w:bookmarkEnd w:id="38"/>
      <w:bookmarkEnd w:id="39"/>
      <w:bookmarkEnd w:id="40"/>
      <w:bookmarkEnd w:id="41"/>
      <w:bookmarkEnd w:id="42"/>
      <w:r>
        <w:rPr>
          <w:rFonts w:hint="default" w:ascii="Times New Roman" w:hAnsi="Times New Roman" w:eastAsia="黑体" w:cs="Times New Roman"/>
          <w:b w:val="0"/>
          <w:bCs/>
          <w:color w:val="auto"/>
          <w:sz w:val="32"/>
          <w:szCs w:val="32"/>
        </w:rPr>
        <w:t>环境影响评价因子</w:t>
      </w:r>
      <w:bookmarkEnd w:id="43"/>
      <w:bookmarkEnd w:id="44"/>
    </w:p>
    <w:p>
      <w:pPr>
        <w:spacing w:line="360" w:lineRule="auto"/>
        <w:ind w:firstLine="480"/>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lang w:val="en-GB"/>
        </w:rPr>
        <w:t>根据对项目的初步工程分析和环境影响识别，以及评价区域的环境特征，对项目的污染因子进行了筛选。施工期污染因子和影响分析因子主要为施工扬尘、施工噪声、施工废水。</w:t>
      </w:r>
    </w:p>
    <w:p>
      <w:pPr>
        <w:spacing w:line="360" w:lineRule="auto"/>
        <w:ind w:firstLine="480"/>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lang w:val="en-GB"/>
        </w:rPr>
        <w:t>项目主要环境影响在运营期，主要为废气、废水对环境的影响。特征污染物的筛选原则如下：</w:t>
      </w:r>
    </w:p>
    <w:p>
      <w:pPr>
        <w:spacing w:line="360" w:lineRule="auto"/>
        <w:ind w:firstLine="480"/>
        <w:rPr>
          <w:rFonts w:hint="default" w:ascii="Times New Roman" w:hAnsi="Times New Roman" w:eastAsia="宋体" w:cs="Times New Roman"/>
          <w:color w:val="auto"/>
          <w:sz w:val="24"/>
          <w:szCs w:val="24"/>
          <w:lang w:val="en-GB" w:eastAsia="zh-CN"/>
        </w:rPr>
      </w:pPr>
      <w:r>
        <w:rPr>
          <w:rFonts w:hint="default" w:ascii="Times New Roman" w:hAnsi="Times New Roman" w:eastAsia="宋体" w:cs="Times New Roman"/>
          <w:color w:val="auto"/>
          <w:sz w:val="24"/>
          <w:szCs w:val="24"/>
          <w:lang w:val="en-GB"/>
        </w:rPr>
        <w:t>（1）污染物的毒性及对环境的危害程度</w:t>
      </w:r>
      <w:r>
        <w:rPr>
          <w:rFonts w:hint="default" w:ascii="Times New Roman" w:hAnsi="Times New Roman" w:eastAsia="宋体" w:cs="Times New Roman"/>
          <w:color w:val="auto"/>
          <w:sz w:val="24"/>
          <w:szCs w:val="24"/>
          <w:lang w:val="en-GB" w:eastAsia="zh-CN"/>
        </w:rPr>
        <w:t>；</w:t>
      </w:r>
    </w:p>
    <w:p>
      <w:pPr>
        <w:spacing w:line="360" w:lineRule="auto"/>
        <w:ind w:firstLine="480"/>
        <w:rPr>
          <w:rFonts w:hint="default" w:ascii="Times New Roman" w:hAnsi="Times New Roman" w:eastAsia="宋体" w:cs="Times New Roman"/>
          <w:color w:val="auto"/>
          <w:sz w:val="24"/>
          <w:szCs w:val="24"/>
          <w:lang w:val="en-GB" w:eastAsia="zh-CN"/>
        </w:rPr>
      </w:pPr>
      <w:r>
        <w:rPr>
          <w:rFonts w:hint="default" w:ascii="Times New Roman" w:hAnsi="Times New Roman" w:eastAsia="宋体" w:cs="Times New Roman"/>
          <w:color w:val="auto"/>
          <w:sz w:val="24"/>
          <w:szCs w:val="24"/>
          <w:lang w:val="en-GB"/>
        </w:rPr>
        <w:t>（2）拟建工程的特征污染物排放量</w:t>
      </w:r>
      <w:r>
        <w:rPr>
          <w:rFonts w:hint="default" w:ascii="Times New Roman" w:hAnsi="Times New Roman" w:eastAsia="宋体" w:cs="Times New Roman"/>
          <w:color w:val="auto"/>
          <w:sz w:val="24"/>
          <w:szCs w:val="24"/>
          <w:lang w:val="en-GB" w:eastAsia="zh-CN"/>
        </w:rPr>
        <w:t>；</w:t>
      </w:r>
    </w:p>
    <w:p>
      <w:pPr>
        <w:spacing w:line="360" w:lineRule="auto"/>
        <w:ind w:firstLine="480"/>
        <w:rPr>
          <w:rFonts w:hint="default" w:ascii="Times New Roman" w:hAnsi="Times New Roman" w:eastAsia="宋体" w:cs="Times New Roman"/>
          <w:color w:val="auto"/>
          <w:sz w:val="24"/>
          <w:szCs w:val="24"/>
          <w:lang w:val="en-GB" w:eastAsia="zh-CN"/>
        </w:rPr>
      </w:pPr>
      <w:r>
        <w:rPr>
          <w:rFonts w:hint="default" w:ascii="Times New Roman" w:hAnsi="Times New Roman" w:eastAsia="宋体" w:cs="Times New Roman"/>
          <w:color w:val="auto"/>
          <w:sz w:val="24"/>
          <w:szCs w:val="24"/>
          <w:lang w:val="en-GB"/>
        </w:rPr>
        <w:t>（3）现有的国内外环境标准中列入的污染物（优先考虑）</w:t>
      </w:r>
      <w:r>
        <w:rPr>
          <w:rFonts w:hint="default" w:ascii="Times New Roman" w:hAnsi="Times New Roman" w:eastAsia="宋体" w:cs="Times New Roman"/>
          <w:color w:val="auto"/>
          <w:sz w:val="24"/>
          <w:szCs w:val="24"/>
          <w:lang w:val="en-GB" w:eastAsia="zh-CN"/>
        </w:rPr>
        <w:t>。</w:t>
      </w:r>
    </w:p>
    <w:p>
      <w:pPr>
        <w:spacing w:line="360" w:lineRule="auto"/>
        <w:ind w:firstLine="480"/>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lang w:val="en-GB"/>
        </w:rPr>
        <w:t>经过综合筛选分析，确定项目评价因子，具体见表</w:t>
      </w:r>
      <w:r>
        <w:rPr>
          <w:rFonts w:hint="default" w:ascii="Times New Roman" w:hAnsi="Times New Roman" w:eastAsia="宋体" w:cs="Times New Roman"/>
          <w:color w:val="auto"/>
          <w:sz w:val="24"/>
          <w:szCs w:val="24"/>
        </w:rPr>
        <w:t>1.2-1</w:t>
      </w:r>
      <w:r>
        <w:rPr>
          <w:rFonts w:hint="default" w:ascii="Times New Roman" w:hAnsi="Times New Roman" w:eastAsia="宋体" w:cs="Times New Roman"/>
          <w:color w:val="auto"/>
          <w:sz w:val="24"/>
          <w:szCs w:val="24"/>
          <w:lang w:val="en-GB"/>
        </w:rPr>
        <w:t>。</w:t>
      </w:r>
    </w:p>
    <w:p>
      <w:pPr>
        <w:pStyle w:val="27"/>
        <w:rPr>
          <w:rFonts w:hint="default" w:ascii="Times New Roman" w:hAnsi="Times New Roman" w:eastAsia="宋体" w:cs="Times New Roman"/>
          <w:color w:val="auto"/>
          <w:sz w:val="24"/>
          <w:szCs w:val="24"/>
          <w:lang w:val="en-GB"/>
        </w:rPr>
      </w:pPr>
    </w:p>
    <w:p>
      <w:pPr>
        <w:pStyle w:val="18"/>
        <w:rPr>
          <w:rFonts w:hint="default" w:ascii="Times New Roman" w:hAnsi="Times New Roman" w:eastAsia="宋体" w:cs="Times New Roman"/>
          <w:color w:val="auto"/>
          <w:sz w:val="24"/>
          <w:szCs w:val="24"/>
          <w:lang w:val="en-GB"/>
        </w:rPr>
      </w:pPr>
    </w:p>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default" w:ascii="Times New Roman" w:hAnsi="Times New Roman" w:eastAsia="黑体" w:cs="Times New Roman"/>
          <w:b w:val="0"/>
          <w:bCs/>
          <w:color w:val="auto"/>
          <w:sz w:val="24"/>
          <w:szCs w:val="22"/>
        </w:rPr>
      </w:pPr>
      <w:r>
        <w:rPr>
          <w:rFonts w:hint="default" w:ascii="Times New Roman" w:hAnsi="Times New Roman" w:eastAsia="黑体" w:cs="Times New Roman"/>
          <w:b w:val="0"/>
          <w:bCs/>
          <w:color w:val="auto"/>
          <w:sz w:val="24"/>
          <w:szCs w:val="22"/>
        </w:rPr>
        <w:t>表1.2-1 建设项目评价因子情况</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6"/>
        <w:gridCol w:w="3881"/>
        <w:gridCol w:w="2178"/>
        <w:gridCol w:w="18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评价内容</w:t>
            </w:r>
          </w:p>
        </w:tc>
        <w:tc>
          <w:tcPr>
            <w:tcW w:w="388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现状评价因子</w:t>
            </w:r>
          </w:p>
        </w:tc>
        <w:tc>
          <w:tcPr>
            <w:tcW w:w="21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预测评价因子</w:t>
            </w:r>
          </w:p>
        </w:tc>
        <w:tc>
          <w:tcPr>
            <w:tcW w:w="181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总量控制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环境空气</w:t>
            </w:r>
          </w:p>
        </w:tc>
        <w:tc>
          <w:tcPr>
            <w:tcW w:w="388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10</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PM</w:t>
            </w:r>
            <w:r>
              <w:rPr>
                <w:rFonts w:hint="default" w:ascii="Times New Roman" w:hAnsi="Times New Roman" w:eastAsia="宋体" w:cs="Times New Roman"/>
                <w:color w:val="auto"/>
                <w:sz w:val="21"/>
                <w:szCs w:val="21"/>
                <w:vertAlign w:val="subscript"/>
                <w:lang w:val="en-US" w:eastAsia="zh-CN"/>
              </w:rPr>
              <w:t>2.5</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CO、O</w:t>
            </w:r>
            <w:r>
              <w:rPr>
                <w:rFonts w:hint="default" w:ascii="Times New Roman" w:hAnsi="Times New Roman" w:eastAsia="宋体" w:cs="Times New Roman"/>
                <w:color w:val="auto"/>
                <w:sz w:val="21"/>
                <w:szCs w:val="21"/>
                <w:vertAlign w:val="subscript"/>
                <w:lang w:val="en-US" w:eastAsia="zh-CN"/>
              </w:rPr>
              <w:t>3</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氮氧化物</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bidi="ar"/>
              </w:rPr>
              <w:t>氨</w:t>
            </w:r>
            <w:r>
              <w:rPr>
                <w:rFonts w:hint="default" w:ascii="Times New Roman" w:hAnsi="Times New Roman" w:eastAsia="宋体" w:cs="Times New Roman"/>
                <w:color w:val="auto"/>
                <w:sz w:val="21"/>
                <w:szCs w:val="21"/>
                <w:lang w:eastAsia="zh-CN" w:bidi="ar"/>
              </w:rPr>
              <w:t>、</w:t>
            </w:r>
            <w:r>
              <w:rPr>
                <w:rFonts w:hint="default" w:ascii="Times New Roman" w:hAnsi="Times New Roman" w:eastAsia="宋体" w:cs="Times New Roman"/>
                <w:color w:val="auto"/>
                <w:sz w:val="21"/>
                <w:szCs w:val="21"/>
                <w:lang w:bidi="ar"/>
              </w:rPr>
              <w:t>甲醛</w:t>
            </w:r>
            <w:r>
              <w:rPr>
                <w:rFonts w:hint="default" w:ascii="Times New Roman" w:hAnsi="Times New Roman" w:eastAsia="宋体" w:cs="Times New Roman"/>
                <w:color w:val="auto"/>
                <w:sz w:val="21"/>
                <w:szCs w:val="21"/>
                <w:lang w:eastAsia="zh-CN" w:bidi="ar"/>
              </w:rPr>
              <w:t>、</w:t>
            </w:r>
            <w:r>
              <w:rPr>
                <w:rFonts w:hint="default" w:ascii="Times New Roman" w:hAnsi="Times New Roman" w:eastAsia="宋体" w:cs="Times New Roman"/>
                <w:color w:val="auto"/>
                <w:sz w:val="21"/>
                <w:szCs w:val="21"/>
                <w:lang w:bidi="ar"/>
              </w:rPr>
              <w:t>非甲烷总烃</w:t>
            </w:r>
            <w:r>
              <w:rPr>
                <w:rFonts w:hint="default" w:ascii="Times New Roman" w:hAnsi="Times New Roman" w:eastAsia="宋体" w:cs="Times New Roman"/>
                <w:color w:val="auto"/>
                <w:sz w:val="21"/>
                <w:szCs w:val="21"/>
                <w:lang w:eastAsia="zh-CN" w:bidi="ar"/>
              </w:rPr>
              <w:t>、</w:t>
            </w:r>
            <w:r>
              <w:rPr>
                <w:rFonts w:hint="default" w:ascii="Times New Roman" w:hAnsi="Times New Roman" w:eastAsia="宋体" w:cs="Times New Roman"/>
                <w:color w:val="auto"/>
                <w:sz w:val="21"/>
                <w:szCs w:val="21"/>
                <w:lang w:bidi="ar"/>
              </w:rPr>
              <w:t>颗粒物</w:t>
            </w:r>
            <w:r>
              <w:rPr>
                <w:rFonts w:hint="default" w:ascii="Times New Roman" w:hAnsi="Times New Roman" w:eastAsia="宋体" w:cs="Times New Roman"/>
                <w:color w:val="auto"/>
                <w:sz w:val="21"/>
                <w:szCs w:val="21"/>
                <w:lang w:val="en-US" w:eastAsia="zh-CN"/>
              </w:rPr>
              <w:t>及厂界臭气浓度</w:t>
            </w:r>
          </w:p>
        </w:tc>
        <w:tc>
          <w:tcPr>
            <w:tcW w:w="21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氮氧化物</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bidi="ar"/>
              </w:rPr>
              <w:t>氨</w:t>
            </w:r>
            <w:r>
              <w:rPr>
                <w:rFonts w:hint="default" w:ascii="Times New Roman" w:hAnsi="Times New Roman" w:eastAsia="宋体" w:cs="Times New Roman"/>
                <w:color w:val="auto"/>
                <w:sz w:val="21"/>
                <w:szCs w:val="21"/>
                <w:lang w:eastAsia="zh-CN" w:bidi="ar"/>
              </w:rPr>
              <w:t>、</w:t>
            </w:r>
            <w:r>
              <w:rPr>
                <w:rFonts w:hint="default" w:ascii="Times New Roman" w:hAnsi="Times New Roman" w:eastAsia="宋体" w:cs="Times New Roman"/>
                <w:color w:val="auto"/>
                <w:sz w:val="21"/>
                <w:szCs w:val="21"/>
                <w:lang w:bidi="ar"/>
              </w:rPr>
              <w:t>甲醛</w:t>
            </w:r>
            <w:r>
              <w:rPr>
                <w:rFonts w:hint="default" w:ascii="Times New Roman" w:hAnsi="Times New Roman" w:eastAsia="宋体" w:cs="Times New Roman"/>
                <w:color w:val="auto"/>
                <w:sz w:val="21"/>
                <w:szCs w:val="21"/>
                <w:lang w:eastAsia="zh-CN" w:bidi="ar"/>
              </w:rPr>
              <w:t>、</w:t>
            </w:r>
            <w:r>
              <w:rPr>
                <w:rFonts w:hint="default" w:ascii="Times New Roman" w:hAnsi="Times New Roman" w:eastAsia="宋体" w:cs="Times New Roman"/>
                <w:color w:val="auto"/>
                <w:sz w:val="21"/>
                <w:szCs w:val="21"/>
                <w:lang w:bidi="ar"/>
              </w:rPr>
              <w:t>非甲烷总烃</w:t>
            </w:r>
            <w:r>
              <w:rPr>
                <w:rFonts w:hint="default" w:ascii="Times New Roman" w:hAnsi="Times New Roman" w:eastAsia="宋体" w:cs="Times New Roman"/>
                <w:color w:val="auto"/>
                <w:sz w:val="21"/>
                <w:szCs w:val="21"/>
                <w:lang w:eastAsia="zh-CN" w:bidi="ar"/>
              </w:rPr>
              <w:t>、</w:t>
            </w:r>
            <w:r>
              <w:rPr>
                <w:rFonts w:hint="default" w:ascii="Times New Roman" w:hAnsi="Times New Roman" w:eastAsia="宋体" w:cs="Times New Roman"/>
                <w:color w:val="auto"/>
                <w:sz w:val="21"/>
                <w:szCs w:val="21"/>
                <w:lang w:bidi="ar"/>
              </w:rPr>
              <w:t>颗粒物</w:t>
            </w:r>
          </w:p>
        </w:tc>
        <w:tc>
          <w:tcPr>
            <w:tcW w:w="181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氮氧化物</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bidi="ar"/>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海域水环境</w:t>
            </w:r>
          </w:p>
        </w:tc>
        <w:tc>
          <w:tcPr>
            <w:tcW w:w="388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2"/>
              </w:rPr>
              <w:t>pH、COD、溶解氧、石油类、无机氮、铜、总铬、锌、镉、铅、汞、砷</w:t>
            </w:r>
          </w:p>
        </w:tc>
        <w:tc>
          <w:tcPr>
            <w:tcW w:w="21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81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w:t>
            </w:r>
          </w:p>
        </w:tc>
        <w:tc>
          <w:tcPr>
            <w:tcW w:w="388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pH、K</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、Na</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、Ca</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、Mg</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、CO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、HCO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、总硬度、</w:t>
            </w:r>
            <w:r>
              <w:rPr>
                <w:rFonts w:hint="default" w:ascii="Times New Roman" w:hAnsi="Times New Roman" w:eastAsia="宋体" w:cs="Times New Roman"/>
                <w:color w:val="auto"/>
                <w:sz w:val="21"/>
                <w:szCs w:val="21"/>
                <w:lang w:eastAsia="zh-CN"/>
              </w:rPr>
              <w:t>耗氧量</w:t>
            </w:r>
            <w:r>
              <w:rPr>
                <w:rFonts w:hint="default" w:ascii="Times New Roman" w:hAnsi="Times New Roman" w:eastAsia="宋体" w:cs="Times New Roman"/>
                <w:color w:val="auto"/>
                <w:sz w:val="21"/>
                <w:szCs w:val="21"/>
              </w:rPr>
              <w:t>、溶解性总固体、氨氮、氰化物、</w:t>
            </w:r>
            <w:r>
              <w:rPr>
                <w:rFonts w:hint="default" w:ascii="Times New Roman" w:hAnsi="Times New Roman" w:eastAsia="宋体" w:cs="Times New Roman"/>
                <w:color w:val="auto"/>
                <w:sz w:val="21"/>
                <w:szCs w:val="21"/>
                <w:lang w:val="en-US" w:eastAsia="zh-CN"/>
              </w:rPr>
              <w:t>氯化物、</w:t>
            </w:r>
            <w:r>
              <w:rPr>
                <w:rFonts w:hint="default" w:ascii="Times New Roman" w:hAnsi="Times New Roman" w:eastAsia="宋体" w:cs="Times New Roman"/>
                <w:color w:val="auto"/>
                <w:sz w:val="21"/>
                <w:szCs w:val="21"/>
              </w:rPr>
              <w:t>硝酸盐、亚硝酸盐、</w:t>
            </w:r>
            <w:r>
              <w:rPr>
                <w:rFonts w:hint="default" w:ascii="Times New Roman" w:hAnsi="Times New Roman" w:eastAsia="宋体" w:cs="Times New Roman"/>
                <w:color w:val="auto"/>
                <w:kern w:val="2"/>
                <w:sz w:val="21"/>
                <w:szCs w:val="21"/>
              </w:rPr>
              <w:t>硫酸盐</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sz w:val="21"/>
                <w:szCs w:val="21"/>
              </w:rPr>
              <w:t>挥发性酚类、砷、汞、镉、六价铬</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铅</w:t>
            </w:r>
            <w:r>
              <w:rPr>
                <w:rFonts w:hint="default" w:ascii="Times New Roman" w:hAnsi="Times New Roman" w:eastAsia="宋体" w:cs="Times New Roman"/>
                <w:color w:val="auto"/>
                <w:sz w:val="21"/>
                <w:szCs w:val="21"/>
                <w:lang w:eastAsia="zh-CN"/>
              </w:rPr>
              <w:t>、银、</w:t>
            </w:r>
            <w:r>
              <w:rPr>
                <w:rFonts w:hint="default" w:ascii="Times New Roman" w:hAnsi="Times New Roman" w:eastAsia="宋体" w:cs="Times New Roman"/>
                <w:color w:val="auto"/>
                <w:sz w:val="21"/>
                <w:szCs w:val="21"/>
              </w:rPr>
              <w:t>甲醛</w:t>
            </w:r>
          </w:p>
        </w:tc>
        <w:tc>
          <w:tcPr>
            <w:tcW w:w="21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COD、</w:t>
            </w:r>
            <w:r>
              <w:rPr>
                <w:rFonts w:hint="default" w:ascii="Times New Roman" w:hAnsi="Times New Roman" w:eastAsia="宋体" w:cs="Times New Roman"/>
                <w:color w:val="auto"/>
                <w:sz w:val="21"/>
                <w:szCs w:val="21"/>
                <w:lang w:eastAsia="zh-CN"/>
              </w:rPr>
              <w:t>氨氮、银</w:t>
            </w:r>
          </w:p>
        </w:tc>
        <w:tc>
          <w:tcPr>
            <w:tcW w:w="181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土壤</w:t>
            </w:r>
          </w:p>
        </w:tc>
        <w:tc>
          <w:tcPr>
            <w:tcW w:w="388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pH（无量纲）</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氨</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砷</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镉</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铬（六价）</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铜</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铅</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汞</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镍</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氯甲烷</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四氯化碳</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氯仿</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1,1 二氯乙烷</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1,2-二氯乙烷</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1,1-二氯乙烯</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顺-1,2-二氯乙烯</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反-1,2-二氯乙烯</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二氯甲烷</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1,2-二氯丙烷</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1,1,1,2-四氯乙烷</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1,1,2,2-四氯乙烷</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四氯乙烯</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1,1,1-三氯乙烷</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1,1,2-三氯乙烷</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三氯乙烯</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1,2,3-三氯丙烷</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氯乙烯</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苯</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氯苯</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1,2-二氯苯</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1,4-二氯苯</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乙苯</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苯乙烯</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甲苯</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间二甲苯+对二甲苯</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邻二甲苯</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硝基苯</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苯胺</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2-氯酚</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苯并[a]蒽</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苯并[a]芘</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苯并[b]荧蒽</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苯并[k]荧蒽</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䓛</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二苯并[a,h]蒽</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茚并[1,2,3-cd]芘</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萘</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甲醛</w:t>
            </w:r>
          </w:p>
        </w:tc>
        <w:tc>
          <w:tcPr>
            <w:tcW w:w="21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银、</w:t>
            </w:r>
            <w:r>
              <w:rPr>
                <w:rFonts w:hint="default" w:ascii="Times New Roman" w:hAnsi="Times New Roman" w:eastAsia="宋体" w:cs="Times New Roman"/>
                <w:color w:val="auto"/>
                <w:sz w:val="21"/>
                <w:szCs w:val="21"/>
              </w:rPr>
              <w:t>甲醛</w:t>
            </w:r>
          </w:p>
        </w:tc>
        <w:tc>
          <w:tcPr>
            <w:tcW w:w="181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风险</w:t>
            </w:r>
          </w:p>
        </w:tc>
        <w:tc>
          <w:tcPr>
            <w:tcW w:w="388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硝酸、双氧水、氨水、甲醛</w:t>
            </w:r>
            <w:r>
              <w:rPr>
                <w:rFonts w:hint="eastAsia" w:ascii="Times New Roman" w:hAnsi="Times New Roman" w:eastAsia="宋体" w:cs="Times New Roman"/>
                <w:i w:val="0"/>
                <w:color w:val="auto"/>
                <w:kern w:val="0"/>
                <w:sz w:val="21"/>
                <w:szCs w:val="21"/>
                <w:u w:val="none"/>
                <w:lang w:val="en-US" w:eastAsia="zh-CN" w:bidi="ar"/>
              </w:rPr>
              <w:t>等</w:t>
            </w:r>
          </w:p>
        </w:tc>
        <w:tc>
          <w:tcPr>
            <w:tcW w:w="181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7877"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等效连续A声级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w:t>
            </w:r>
          </w:p>
        </w:tc>
        <w:tc>
          <w:tcPr>
            <w:tcW w:w="7877"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固体废物的产生量、利用量和处置量</w:t>
            </w:r>
          </w:p>
        </w:tc>
      </w:tr>
    </w:tbl>
    <w:p>
      <w:pPr>
        <w:spacing w:line="360" w:lineRule="auto"/>
        <w:ind w:firstLine="0"/>
        <w:outlineLvl w:val="1"/>
        <w:rPr>
          <w:rFonts w:hint="default" w:ascii="Times New Roman" w:hAnsi="Times New Roman" w:eastAsia="黑体" w:cs="Times New Roman"/>
          <w:b w:val="0"/>
          <w:bCs/>
          <w:color w:val="auto"/>
          <w:sz w:val="32"/>
          <w:szCs w:val="32"/>
        </w:rPr>
      </w:pPr>
      <w:bookmarkStart w:id="45" w:name="_Toc275269620"/>
      <w:bookmarkStart w:id="46" w:name="_Toc322356183"/>
      <w:bookmarkStart w:id="47" w:name="_Toc8044"/>
      <w:bookmarkStart w:id="48" w:name="_Toc9291"/>
      <w:r>
        <w:rPr>
          <w:rFonts w:hint="default" w:ascii="Times New Roman" w:hAnsi="Times New Roman" w:eastAsia="黑体" w:cs="Times New Roman"/>
          <w:b w:val="0"/>
          <w:bCs/>
          <w:color w:val="auto"/>
          <w:sz w:val="32"/>
          <w:szCs w:val="32"/>
        </w:rPr>
        <w:t xml:space="preserve">1.3 </w:t>
      </w:r>
      <w:bookmarkEnd w:id="45"/>
      <w:bookmarkEnd w:id="46"/>
      <w:r>
        <w:rPr>
          <w:rFonts w:hint="default" w:ascii="Times New Roman" w:hAnsi="Times New Roman" w:eastAsia="黑体" w:cs="Times New Roman"/>
          <w:b w:val="0"/>
          <w:bCs/>
          <w:color w:val="auto"/>
          <w:sz w:val="32"/>
          <w:szCs w:val="32"/>
        </w:rPr>
        <w:t>环境功能区划及环境质量标准</w:t>
      </w:r>
      <w:bookmarkEnd w:id="47"/>
      <w:bookmarkEnd w:id="48"/>
    </w:p>
    <w:p>
      <w:pPr>
        <w:spacing w:line="360" w:lineRule="auto"/>
        <w:ind w:firstLine="0"/>
        <w:outlineLvl w:val="2"/>
        <w:rPr>
          <w:rFonts w:hint="default" w:ascii="Times New Roman" w:hAnsi="Times New Roman" w:eastAsia="黑体" w:cs="Times New Roman"/>
          <w:b w:val="0"/>
          <w:bCs/>
          <w:color w:val="auto"/>
          <w:sz w:val="30"/>
          <w:szCs w:val="30"/>
        </w:rPr>
      </w:pPr>
      <w:r>
        <w:rPr>
          <w:rFonts w:hint="default" w:ascii="Times New Roman" w:hAnsi="Times New Roman" w:eastAsia="黑体" w:cs="Times New Roman"/>
          <w:b w:val="0"/>
          <w:bCs/>
          <w:color w:val="auto"/>
          <w:sz w:val="30"/>
          <w:szCs w:val="30"/>
        </w:rPr>
        <w:t>1.3.1</w:t>
      </w:r>
      <w:r>
        <w:rPr>
          <w:rFonts w:hint="default" w:ascii="Times New Roman" w:hAnsi="Times New Roman" w:eastAsia="黑体" w:cs="Times New Roman"/>
          <w:b w:val="0"/>
          <w:bCs/>
          <w:color w:val="auto"/>
          <w:sz w:val="30"/>
          <w:szCs w:val="30"/>
          <w:lang w:eastAsia="zh-CN"/>
        </w:rPr>
        <w:t>海域</w:t>
      </w:r>
      <w:r>
        <w:rPr>
          <w:rFonts w:hint="default" w:ascii="Times New Roman" w:hAnsi="Times New Roman" w:eastAsia="黑体" w:cs="Times New Roman"/>
          <w:b w:val="0"/>
          <w:bCs/>
          <w:color w:val="auto"/>
          <w:sz w:val="30"/>
          <w:szCs w:val="30"/>
        </w:rPr>
        <w:t>环境功能区划及质量标准</w:t>
      </w:r>
    </w:p>
    <w:p>
      <w:pPr>
        <w:spacing w:line="360" w:lineRule="auto"/>
        <w:ind w:firstLine="480"/>
        <w:jc w:val="both"/>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根据《</w:t>
      </w:r>
      <w:r>
        <w:rPr>
          <w:rFonts w:hint="default" w:ascii="Times New Roman" w:hAnsi="Times New Roman" w:eastAsia="宋体" w:cs="Times New Roman"/>
          <w:color w:val="auto"/>
          <w:kern w:val="2"/>
          <w:sz w:val="24"/>
          <w:szCs w:val="22"/>
          <w:lang w:val="en-GB" w:eastAsia="zh-CN" w:bidi="ar-SA"/>
        </w:rPr>
        <w:t>福建省人民政府关于印发福建省近岸海域环境功能区划（修编）的通知》闽政[2011]45号</w:t>
      </w:r>
      <w:r>
        <w:rPr>
          <w:rFonts w:hint="default" w:ascii="Times New Roman" w:hAnsi="Times New Roman" w:eastAsia="宋体" w:cs="Times New Roman"/>
          <w:color w:val="auto"/>
          <w:kern w:val="2"/>
          <w:sz w:val="24"/>
          <w:szCs w:val="22"/>
          <w:lang w:val="en-US" w:eastAsia="zh-CN" w:bidi="ar-SA"/>
        </w:rPr>
        <w:t>，兴化湾主体海域为二类区，江阴港区近岸海域环境功能为四类区。兴化湾主体海域为二类功能区，海水水质执行《海水水质标准》（GB3097-1997）中的第二类标准；江阴港区附近海域为四类区，四类区外侧划定一定范围三类区，考虑到近岸海域环境保护的需要，江阴港区附近海域海水水质近期仍执行第三类海水水质标准。标准限值见表1.3-1，海域功能区划情况详见图1.3-1。</w:t>
      </w:r>
    </w:p>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default" w:ascii="Times New Roman" w:hAnsi="Times New Roman" w:eastAsia="黑体" w:cs="Times New Roman"/>
          <w:b w:val="0"/>
          <w:bCs/>
          <w:color w:val="auto"/>
          <w:sz w:val="24"/>
          <w:szCs w:val="22"/>
        </w:rPr>
      </w:pPr>
      <w:r>
        <w:rPr>
          <w:rFonts w:hint="default" w:ascii="Times New Roman" w:hAnsi="Times New Roman" w:eastAsia="黑体" w:cs="Times New Roman"/>
          <w:b w:val="0"/>
          <w:bCs/>
          <w:color w:val="auto"/>
          <w:sz w:val="24"/>
          <w:szCs w:val="22"/>
        </w:rPr>
        <w:t>表1.3-</w:t>
      </w:r>
      <w:r>
        <w:rPr>
          <w:rFonts w:hint="default" w:ascii="Times New Roman" w:hAnsi="Times New Roman" w:eastAsia="黑体" w:cs="Times New Roman"/>
          <w:b w:val="0"/>
          <w:bCs/>
          <w:color w:val="auto"/>
          <w:sz w:val="24"/>
          <w:szCs w:val="22"/>
          <w:lang w:val="en-US" w:eastAsia="zh-CN"/>
        </w:rPr>
        <w:t>1</w:t>
      </w:r>
      <w:r>
        <w:rPr>
          <w:rFonts w:hint="default" w:ascii="Times New Roman" w:hAnsi="Times New Roman" w:eastAsia="黑体" w:cs="Times New Roman"/>
          <w:b w:val="0"/>
          <w:bCs/>
          <w:color w:val="auto"/>
          <w:sz w:val="24"/>
          <w:szCs w:val="22"/>
        </w:rPr>
        <w:t xml:space="preserve">  海域水质执行标准    单位：mg/L（pH除外）</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1"/>
        <w:gridCol w:w="2545"/>
        <w:gridCol w:w="2546"/>
        <w:gridCol w:w="20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9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项目</w:t>
            </w:r>
          </w:p>
        </w:tc>
        <w:tc>
          <w:tcPr>
            <w:tcW w:w="25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第二类</w:t>
            </w:r>
          </w:p>
        </w:tc>
        <w:tc>
          <w:tcPr>
            <w:tcW w:w="254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第三类</w:t>
            </w:r>
          </w:p>
        </w:tc>
        <w:tc>
          <w:tcPr>
            <w:tcW w:w="200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9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pH</w:t>
            </w:r>
          </w:p>
        </w:tc>
        <w:tc>
          <w:tcPr>
            <w:tcW w:w="25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7.5-8.5</w:t>
            </w:r>
          </w:p>
        </w:tc>
        <w:tc>
          <w:tcPr>
            <w:tcW w:w="254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6.8-8.8</w:t>
            </w:r>
          </w:p>
        </w:tc>
        <w:tc>
          <w:tcPr>
            <w:tcW w:w="2001"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《海水水质标准》（GB3097-1997）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9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DO＞</w:t>
            </w:r>
          </w:p>
        </w:tc>
        <w:tc>
          <w:tcPr>
            <w:tcW w:w="25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5</w:t>
            </w:r>
          </w:p>
        </w:tc>
        <w:tc>
          <w:tcPr>
            <w:tcW w:w="254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4</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9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COD≤</w:t>
            </w:r>
          </w:p>
        </w:tc>
        <w:tc>
          <w:tcPr>
            <w:tcW w:w="25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3</w:t>
            </w:r>
          </w:p>
        </w:tc>
        <w:tc>
          <w:tcPr>
            <w:tcW w:w="254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4</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9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BOD</w:t>
            </w:r>
            <w:r>
              <w:rPr>
                <w:rFonts w:hint="default" w:ascii="Times New Roman" w:hAnsi="Times New Roman" w:eastAsia="宋体" w:cs="Times New Roman"/>
                <w:color w:val="auto"/>
                <w:kern w:val="2"/>
                <w:sz w:val="21"/>
                <w:szCs w:val="22"/>
                <w:vertAlign w:val="subscript"/>
                <w:lang w:val="en-US" w:eastAsia="zh-CN" w:bidi="ar-SA"/>
              </w:rPr>
              <w:t>5</w:t>
            </w:r>
            <w:r>
              <w:rPr>
                <w:rFonts w:hint="default" w:ascii="Times New Roman" w:hAnsi="Times New Roman" w:eastAsia="宋体" w:cs="Times New Roman"/>
                <w:color w:val="auto"/>
                <w:kern w:val="2"/>
                <w:sz w:val="21"/>
                <w:szCs w:val="22"/>
                <w:lang w:val="en-US" w:eastAsia="zh-CN" w:bidi="ar-SA"/>
              </w:rPr>
              <w:t>≤</w:t>
            </w:r>
          </w:p>
        </w:tc>
        <w:tc>
          <w:tcPr>
            <w:tcW w:w="25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3</w:t>
            </w:r>
          </w:p>
        </w:tc>
        <w:tc>
          <w:tcPr>
            <w:tcW w:w="254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4</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9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无机氮≤</w:t>
            </w:r>
          </w:p>
        </w:tc>
        <w:tc>
          <w:tcPr>
            <w:tcW w:w="25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0.30</w:t>
            </w:r>
          </w:p>
        </w:tc>
        <w:tc>
          <w:tcPr>
            <w:tcW w:w="254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0.40</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9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活性磷酸盐≤</w:t>
            </w:r>
          </w:p>
        </w:tc>
        <w:tc>
          <w:tcPr>
            <w:tcW w:w="25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0.030</w:t>
            </w:r>
          </w:p>
        </w:tc>
        <w:tc>
          <w:tcPr>
            <w:tcW w:w="254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0.030</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9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石油类≤</w:t>
            </w:r>
          </w:p>
        </w:tc>
        <w:tc>
          <w:tcPr>
            <w:tcW w:w="25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0.05</w:t>
            </w:r>
          </w:p>
        </w:tc>
        <w:tc>
          <w:tcPr>
            <w:tcW w:w="254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0.30</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9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铜≤</w:t>
            </w:r>
          </w:p>
        </w:tc>
        <w:tc>
          <w:tcPr>
            <w:tcW w:w="25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0.010</w:t>
            </w:r>
          </w:p>
        </w:tc>
        <w:tc>
          <w:tcPr>
            <w:tcW w:w="254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0.050</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9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总铬≤</w:t>
            </w:r>
          </w:p>
        </w:tc>
        <w:tc>
          <w:tcPr>
            <w:tcW w:w="25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0.10</w:t>
            </w:r>
          </w:p>
        </w:tc>
        <w:tc>
          <w:tcPr>
            <w:tcW w:w="254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0.20</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9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锌≤</w:t>
            </w:r>
          </w:p>
        </w:tc>
        <w:tc>
          <w:tcPr>
            <w:tcW w:w="25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0.05</w:t>
            </w:r>
          </w:p>
        </w:tc>
        <w:tc>
          <w:tcPr>
            <w:tcW w:w="254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0.10</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9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镍≤</w:t>
            </w:r>
          </w:p>
        </w:tc>
        <w:tc>
          <w:tcPr>
            <w:tcW w:w="25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0.01</w:t>
            </w:r>
          </w:p>
        </w:tc>
        <w:tc>
          <w:tcPr>
            <w:tcW w:w="254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0.02</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9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镉≤</w:t>
            </w:r>
          </w:p>
        </w:tc>
        <w:tc>
          <w:tcPr>
            <w:tcW w:w="25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0.005</w:t>
            </w:r>
          </w:p>
        </w:tc>
        <w:tc>
          <w:tcPr>
            <w:tcW w:w="254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0.010</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9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铅≤</w:t>
            </w:r>
          </w:p>
        </w:tc>
        <w:tc>
          <w:tcPr>
            <w:tcW w:w="25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0.005</w:t>
            </w:r>
          </w:p>
        </w:tc>
        <w:tc>
          <w:tcPr>
            <w:tcW w:w="254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0.010</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9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砷≤</w:t>
            </w:r>
          </w:p>
        </w:tc>
        <w:tc>
          <w:tcPr>
            <w:tcW w:w="25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0.030</w:t>
            </w:r>
          </w:p>
        </w:tc>
        <w:tc>
          <w:tcPr>
            <w:tcW w:w="254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0.050</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9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汞≤</w:t>
            </w:r>
          </w:p>
        </w:tc>
        <w:tc>
          <w:tcPr>
            <w:tcW w:w="25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0.0002</w:t>
            </w:r>
          </w:p>
        </w:tc>
        <w:tc>
          <w:tcPr>
            <w:tcW w:w="254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0.0002</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9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挥发酚≤</w:t>
            </w:r>
          </w:p>
        </w:tc>
        <w:tc>
          <w:tcPr>
            <w:tcW w:w="25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0.005</w:t>
            </w:r>
          </w:p>
        </w:tc>
        <w:tc>
          <w:tcPr>
            <w:tcW w:w="254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0.010</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9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硫化物≤</w:t>
            </w:r>
          </w:p>
        </w:tc>
        <w:tc>
          <w:tcPr>
            <w:tcW w:w="25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0.05</w:t>
            </w:r>
          </w:p>
        </w:tc>
        <w:tc>
          <w:tcPr>
            <w:tcW w:w="254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0.10</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9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氰化物≤</w:t>
            </w:r>
          </w:p>
        </w:tc>
        <w:tc>
          <w:tcPr>
            <w:tcW w:w="25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0.005</w:t>
            </w:r>
          </w:p>
        </w:tc>
        <w:tc>
          <w:tcPr>
            <w:tcW w:w="254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0.010</w:t>
            </w:r>
          </w:p>
        </w:tc>
        <w:tc>
          <w:tcPr>
            <w:vMerge w:val="continue"/>
            <w:tcBorders>
              <w:tl2br w:val="nil"/>
              <w:tr2bl w:val="nil"/>
            </w:tcBorders>
            <w:noWrap w:val="0"/>
          </w:tcPr>
          <w:p/>
        </w:tc>
      </w:tr>
    </w:tbl>
    <w:p>
      <w:pPr>
        <w:ind w:firstLine="480"/>
        <w:rPr>
          <w:rFonts w:hint="default" w:ascii="Times New Roman" w:hAnsi="Times New Roman" w:eastAsia="宋体" w:cs="Times New Roman"/>
          <w:color w:val="auto"/>
          <w:szCs w:val="24"/>
        </w:rPr>
        <w:sectPr>
          <w:headerReference r:id="rId5" w:type="default"/>
          <w:footerReference r:id="rId6" w:type="default"/>
          <w:pgSz w:w="11906" w:h="16838"/>
          <w:pgMar w:top="1588" w:right="1418" w:bottom="1418" w:left="1701" w:header="851" w:footer="851" w:gutter="0"/>
          <w:pgBorders>
            <w:top w:val="none" w:sz="0" w:space="0"/>
            <w:left w:val="none" w:sz="0" w:space="0"/>
            <w:bottom w:val="none" w:sz="0" w:space="0"/>
            <w:right w:val="none" w:sz="0" w:space="0"/>
          </w:pgBorders>
          <w:pgNumType w:fmt="decimal"/>
          <w:cols w:space="720" w:num="1"/>
          <w:docGrid w:linePitch="326" w:charSpace="0"/>
        </w:sectPr>
      </w:pPr>
    </w:p>
    <w:p>
      <w:pPr>
        <w:spacing w:line="240" w:lineRule="auto"/>
        <w:ind w:firstLine="0"/>
        <w:rPr>
          <w:rFonts w:hint="default" w:ascii="Times New Roman" w:hAnsi="Times New Roman" w:eastAsia="宋体" w:cs="Times New Roman"/>
          <w:color w:val="auto"/>
          <w:sz w:val="21"/>
          <w:szCs w:val="22"/>
        </w:rPr>
      </w:pPr>
      <w:r>
        <mc:AlternateContent>
          <mc:Choice Requires="wps">
            <w:drawing>
              <wp:anchor distT="0" distB="0" distL="114300" distR="114300" simplePos="0" relativeHeight="251738112" behindDoc="0" locked="0" layoutInCell="1" allowOverlap="1">
                <wp:simplePos x="0" y="0"/>
                <wp:positionH relativeFrom="column">
                  <wp:posOffset>4156075</wp:posOffset>
                </wp:positionH>
                <wp:positionV relativeFrom="paragraph">
                  <wp:posOffset>1486535</wp:posOffset>
                </wp:positionV>
                <wp:extent cx="1047750" cy="323850"/>
                <wp:effectExtent l="148590" t="4445" r="22860" b="357505"/>
                <wp:wrapNone/>
                <wp:docPr id="284" name="自选图形 31"/>
                <wp:cNvGraphicFramePr/>
                <a:graphic xmlns:a="http://schemas.openxmlformats.org/drawingml/2006/main">
                  <a:graphicData uri="http://schemas.microsoft.com/office/word/2010/wordprocessingShape">
                    <wps:wsp>
                      <wps:cNvSpPr/>
                      <wps:spPr>
                        <a:xfrm>
                          <a:off x="0" y="0"/>
                          <a:ext cx="1047750" cy="323850"/>
                        </a:xfrm>
                        <a:prstGeom prst="wedgeRoundRectCallout">
                          <a:avLst>
                            <a:gd name="adj1" fmla="val -61880"/>
                            <a:gd name="adj2" fmla="val 152940"/>
                            <a:gd name="adj3" fmla="val 16667"/>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auto"/>
                              <w:ind w:firstLine="0"/>
                              <w:rPr>
                                <w:rFonts w:ascii="Times New Roman" w:hAnsi="Times New Roman" w:eastAsia="宋体" w:cs="Times New Roman"/>
                                <w:sz w:val="24"/>
                                <w:szCs w:val="24"/>
                              </w:rPr>
                            </w:pPr>
                            <w:r>
                              <w:rPr>
                                <w:rFonts w:hint="eastAsia" w:ascii="Times New Roman" w:hAnsi="Times New Roman" w:eastAsia="宋体" w:cs="Times New Roman"/>
                                <w:sz w:val="24"/>
                                <w:szCs w:val="24"/>
                              </w:rPr>
                              <w:t>项目所在地</w:t>
                            </w:r>
                          </w:p>
                        </w:txbxContent>
                      </wps:txbx>
                      <wps:bodyPr wrap="square" upright="1"/>
                    </wps:wsp>
                  </a:graphicData>
                </a:graphic>
              </wp:anchor>
            </w:drawing>
          </mc:Choice>
          <mc:Fallback>
            <w:pict>
              <v:shape id="自选图形 31" o:spid="_x0000_s1026" o:spt="62" type="#_x0000_t62" style="position:absolute;left:0pt;margin-left:327.25pt;margin-top:117.05pt;height:25.5pt;width:82.5pt;z-index:251738112;mso-width-relative:page;mso-height-relative:page;" fillcolor="#FFFFFF" filled="t" stroked="t" coordsize="21600,21600" o:gfxdata="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PU0&#10;PK7ZAAAACwEAAA8AAAAAAAAAAQAgAAAAIgAAAGRycy9kb3ducmV2LnhtbFBLAQIUABQAAAAIAIdO&#10;4kD1swBzWwIAANYEAAAOAAAAAAAAAAEAIAAAACgBAABkcnMvZTJvRG9jLnhtbFBLBQYAAAAABgAG&#10;AFkBAAD1BQAAAAA=&#10;" adj="-2566,43835,14400">
                <v:fill on="t" focussize="0,0"/>
                <v:stroke color="#000000" joinstyle="miter"/>
                <v:imagedata o:title=""/>
                <o:lock v:ext="edit" aspectratio="f"/>
                <v:textbox>
                  <w:txbxContent>
                    <w:p>
                      <w:pPr>
                        <w:spacing w:line="240" w:lineRule="auto"/>
                        <w:ind w:firstLine="0"/>
                        <w:rPr>
                          <w:rFonts w:ascii="Times New Roman" w:hAnsi="Times New Roman" w:eastAsia="宋体" w:cs="Times New Roman"/>
                          <w:sz w:val="24"/>
                          <w:szCs w:val="24"/>
                        </w:rPr>
                      </w:pPr>
                      <w:r>
                        <w:rPr>
                          <w:rFonts w:hint="eastAsia" w:ascii="Times New Roman" w:hAnsi="Times New Roman" w:eastAsia="宋体" w:cs="Times New Roman"/>
                          <w:sz w:val="24"/>
                          <w:szCs w:val="24"/>
                        </w:rPr>
                        <w:t>项目所在地</w:t>
                      </w:r>
                    </w:p>
                  </w:txbxContent>
                </v:textbox>
              </v:shape>
            </w:pict>
          </mc:Fallback>
        </mc:AlternateContent>
      </w:r>
      <w:r>
        <w:drawing>
          <wp:inline distT="0" distB="0" distL="114300" distR="114300">
            <wp:extent cx="8449945" cy="5276215"/>
            <wp:effectExtent l="0" t="0" r="8255" b="635"/>
            <wp:docPr id="86" name="图片 9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90" descr="图片1"/>
                    <pic:cNvPicPr>
                      <a:picLocks noChangeAspect="1"/>
                    </pic:cNvPicPr>
                  </pic:nvPicPr>
                  <pic:blipFill>
                    <a:blip r:embed="rId35"/>
                    <a:stretch>
                      <a:fillRect/>
                    </a:stretch>
                  </pic:blipFill>
                  <pic:spPr>
                    <a:xfrm>
                      <a:off x="0" y="0"/>
                      <a:ext cx="8449945" cy="52762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outlineLvl w:val="9"/>
        <w:rPr>
          <w:rFonts w:hint="default" w:ascii="Times New Roman" w:hAnsi="Times New Roman" w:eastAsia="黑体" w:cs="Times New Roman"/>
          <w:b w:val="0"/>
          <w:bCs/>
          <w:color w:val="auto"/>
          <w:sz w:val="24"/>
          <w:lang w:val="en-GB"/>
        </w:rPr>
        <w:sectPr>
          <w:pgSz w:w="16838" w:h="11906" w:orient="landscape"/>
          <w:pgMar w:top="1304" w:right="1304" w:bottom="1304" w:left="1474" w:header="119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黑体" w:cs="Times New Roman"/>
          <w:b w:val="0"/>
          <w:bCs/>
          <w:color w:val="auto"/>
          <w:sz w:val="24"/>
          <w:szCs w:val="22"/>
          <w:lang w:val="en-GB"/>
        </w:rPr>
        <w:t>图1.3-1  福建省近海海域功能区划</w:t>
      </w:r>
    </w:p>
    <w:p>
      <w:pPr>
        <w:spacing w:line="360" w:lineRule="auto"/>
        <w:ind w:firstLine="0"/>
        <w:outlineLvl w:val="2"/>
        <w:rPr>
          <w:rFonts w:hint="default" w:ascii="Times New Roman" w:hAnsi="Times New Roman" w:eastAsia="黑体" w:cs="Times New Roman"/>
          <w:b w:val="0"/>
          <w:bCs/>
          <w:color w:val="auto"/>
          <w:sz w:val="30"/>
          <w:szCs w:val="30"/>
        </w:rPr>
      </w:pPr>
      <w:r>
        <w:rPr>
          <w:rFonts w:hint="default" w:ascii="Times New Roman" w:hAnsi="Times New Roman" w:eastAsia="黑体" w:cs="Times New Roman"/>
          <w:b w:val="0"/>
          <w:bCs/>
          <w:color w:val="auto"/>
          <w:sz w:val="30"/>
          <w:szCs w:val="30"/>
        </w:rPr>
        <w:t xml:space="preserve">1.3.2环境空气功能及质量标准 </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本项目所在区域环境空气质量划为二类功能区，大气</w:t>
      </w:r>
      <w:r>
        <w:rPr>
          <w:rFonts w:hint="default" w:ascii="Times New Roman" w:hAnsi="Times New Roman" w:eastAsia="宋体" w:cs="Times New Roman"/>
          <w:color w:val="auto"/>
          <w:sz w:val="24"/>
          <w:szCs w:val="24"/>
          <w:lang w:val="en-US" w:eastAsia="zh-CN"/>
        </w:rPr>
        <w:t>常规</w:t>
      </w:r>
      <w:r>
        <w:rPr>
          <w:rFonts w:hint="default" w:ascii="Times New Roman" w:hAnsi="Times New Roman" w:eastAsia="宋体" w:cs="Times New Roman"/>
          <w:color w:val="auto"/>
          <w:sz w:val="24"/>
          <w:szCs w:val="24"/>
        </w:rPr>
        <w:t>环境执行《环境空气质量标</w:t>
      </w:r>
      <w:r>
        <w:rPr>
          <w:rFonts w:hint="default" w:ascii="Times New Roman" w:hAnsi="Times New Roman" w:eastAsia="宋体" w:cs="Times New Roman"/>
          <w:color w:val="000000"/>
          <w:sz w:val="24"/>
          <w:szCs w:val="24"/>
        </w:rPr>
        <w:t>准》(GB 3095-</w:t>
      </w:r>
      <w:r>
        <w:rPr>
          <w:rFonts w:hint="eastAsia" w:ascii="Times New Roman" w:hAnsi="Times New Roman" w:eastAsia="宋体" w:cs="Times New Roman"/>
          <w:color w:val="000000"/>
          <w:sz w:val="24"/>
          <w:szCs w:val="24"/>
          <w:lang w:val="en-US" w:eastAsia="zh-CN"/>
        </w:rPr>
        <w:t>2012</w:t>
      </w:r>
      <w:r>
        <w:rPr>
          <w:rFonts w:hint="default" w:ascii="Times New Roman" w:hAnsi="Times New Roman" w:eastAsia="宋体" w:cs="Times New Roman"/>
          <w:color w:val="000000"/>
          <w:sz w:val="24"/>
          <w:szCs w:val="24"/>
        </w:rPr>
        <w:t>)中的二级标准及修改单</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auto"/>
          <w:sz w:val="24"/>
          <w:szCs w:val="24"/>
        </w:rPr>
        <w:t>特征污染物</w:t>
      </w:r>
      <w:r>
        <w:rPr>
          <w:rFonts w:hint="default" w:ascii="Times New Roman" w:hAnsi="Times New Roman" w:eastAsia="宋体" w:cs="Times New Roman"/>
          <w:color w:val="auto"/>
          <w:sz w:val="24"/>
          <w:szCs w:val="24"/>
          <w:lang w:val="en-GB" w:eastAsia="zh-CN"/>
        </w:rPr>
        <w:t>氨</w:t>
      </w:r>
      <w:r>
        <w:rPr>
          <w:rFonts w:hint="default" w:ascii="Times New Roman" w:hAnsi="Times New Roman" w:eastAsia="宋体" w:cs="Times New Roman"/>
          <w:color w:val="auto"/>
          <w:sz w:val="24"/>
          <w:szCs w:val="24"/>
        </w:rPr>
        <w:t>、甲醛执行《环境影响评价技术导则  大气环境》（HJ2.2-2018）附录D浓度限值，NMHC参照《大气污染物综合排放标准详解》中C</w:t>
      </w:r>
      <w:r>
        <w:rPr>
          <w:rFonts w:hint="default" w:ascii="Times New Roman" w:hAnsi="Times New Roman" w:eastAsia="宋体" w:cs="Times New Roman"/>
          <w:color w:val="auto"/>
          <w:sz w:val="24"/>
          <w:szCs w:val="24"/>
          <w:vertAlign w:val="subscript"/>
        </w:rPr>
        <w:t>m</w:t>
      </w:r>
      <w:r>
        <w:rPr>
          <w:rFonts w:hint="default" w:ascii="Times New Roman" w:hAnsi="Times New Roman" w:eastAsia="宋体" w:cs="Times New Roman"/>
          <w:color w:val="auto"/>
          <w:sz w:val="24"/>
          <w:szCs w:val="24"/>
        </w:rPr>
        <w:t>取值规定作为质量标准参考值。标准值详见表1.3-</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default" w:ascii="Times New Roman" w:hAnsi="Times New Roman" w:eastAsia="黑体" w:cs="Times New Roman"/>
          <w:b w:val="0"/>
          <w:bCs/>
          <w:color w:val="auto"/>
          <w:sz w:val="24"/>
          <w:szCs w:val="22"/>
        </w:rPr>
      </w:pPr>
      <w:r>
        <w:rPr>
          <w:rFonts w:hint="default" w:ascii="Times New Roman" w:hAnsi="Times New Roman" w:eastAsia="黑体" w:cs="Times New Roman"/>
          <w:b w:val="0"/>
          <w:bCs/>
          <w:color w:val="auto"/>
          <w:sz w:val="24"/>
          <w:szCs w:val="22"/>
        </w:rPr>
        <w:t>表1.3-</w:t>
      </w:r>
      <w:r>
        <w:rPr>
          <w:rFonts w:hint="default" w:ascii="Times New Roman" w:hAnsi="Times New Roman" w:eastAsia="黑体" w:cs="Times New Roman"/>
          <w:b w:val="0"/>
          <w:bCs/>
          <w:color w:val="auto"/>
          <w:sz w:val="24"/>
          <w:szCs w:val="22"/>
          <w:lang w:val="en-US" w:eastAsia="zh-CN"/>
        </w:rPr>
        <w:t>2</w:t>
      </w:r>
      <w:r>
        <w:rPr>
          <w:rFonts w:hint="default" w:ascii="Times New Roman" w:hAnsi="Times New Roman" w:eastAsia="黑体" w:cs="Times New Roman"/>
          <w:b w:val="0"/>
          <w:bCs/>
          <w:color w:val="auto"/>
          <w:sz w:val="24"/>
          <w:szCs w:val="22"/>
        </w:rPr>
        <w:t xml:space="preserve">  </w:t>
      </w:r>
      <w:r>
        <w:rPr>
          <w:rFonts w:hint="default" w:ascii="Times New Roman" w:hAnsi="Times New Roman" w:eastAsia="黑体" w:cs="Times New Roman"/>
          <w:b w:val="0"/>
          <w:bCs/>
          <w:color w:val="auto"/>
          <w:sz w:val="24"/>
          <w:szCs w:val="22"/>
          <w:lang w:val="en-US" w:eastAsia="zh-CN"/>
        </w:rPr>
        <w:t xml:space="preserve"> </w:t>
      </w:r>
      <w:r>
        <w:rPr>
          <w:rFonts w:hint="default" w:ascii="Times New Roman" w:hAnsi="Times New Roman" w:eastAsia="黑体" w:cs="Times New Roman"/>
          <w:b w:val="0"/>
          <w:bCs/>
          <w:color w:val="auto"/>
          <w:sz w:val="24"/>
          <w:szCs w:val="22"/>
        </w:rPr>
        <w:t>环境空气质量</w:t>
      </w:r>
      <w:r>
        <w:rPr>
          <w:rFonts w:hint="default" w:ascii="Times New Roman" w:hAnsi="Times New Roman" w:eastAsia="黑体" w:cs="Times New Roman"/>
          <w:b w:val="0"/>
          <w:bCs/>
          <w:color w:val="auto"/>
          <w:sz w:val="24"/>
          <w:szCs w:val="22"/>
          <w:lang w:val="en-US" w:eastAsia="zh-CN"/>
        </w:rPr>
        <w:t>执行</w:t>
      </w:r>
      <w:r>
        <w:rPr>
          <w:rFonts w:hint="default" w:ascii="Times New Roman" w:hAnsi="Times New Roman" w:eastAsia="黑体" w:cs="Times New Roman"/>
          <w:b w:val="0"/>
          <w:bCs/>
          <w:color w:val="auto"/>
          <w:sz w:val="24"/>
          <w:szCs w:val="22"/>
        </w:rPr>
        <w:t>标准 （mg/m</w:t>
      </w:r>
      <w:r>
        <w:rPr>
          <w:rFonts w:hint="default" w:ascii="Times New Roman" w:hAnsi="Times New Roman" w:eastAsia="黑体" w:cs="Times New Roman"/>
          <w:b w:val="0"/>
          <w:bCs/>
          <w:color w:val="auto"/>
          <w:sz w:val="24"/>
          <w:szCs w:val="22"/>
          <w:vertAlign w:val="superscript"/>
        </w:rPr>
        <w:t>3</w:t>
      </w:r>
      <w:r>
        <w:rPr>
          <w:rFonts w:hint="default" w:ascii="Times New Roman" w:hAnsi="Times New Roman" w:eastAsia="黑体" w:cs="Times New Roman"/>
          <w:b w:val="0"/>
          <w:bCs/>
          <w:color w:val="auto"/>
          <w:sz w:val="24"/>
          <w:szCs w:val="22"/>
        </w:rPr>
        <w:t>）</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1298"/>
        <w:gridCol w:w="1942"/>
        <w:gridCol w:w="1314"/>
        <w:gridCol w:w="3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9" w:hRule="atLeast"/>
        </w:trPr>
        <w:tc>
          <w:tcPr>
            <w:tcW w:w="73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129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污染物名称</w:t>
            </w:r>
          </w:p>
        </w:tc>
        <w:tc>
          <w:tcPr>
            <w:tcW w:w="1942"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取值时间</w:t>
            </w:r>
          </w:p>
        </w:tc>
        <w:tc>
          <w:tcPr>
            <w:tcW w:w="131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浓度限值</w:t>
            </w:r>
          </w:p>
        </w:tc>
        <w:tc>
          <w:tcPr>
            <w:tcW w:w="3233"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7" w:hRule="atLeast"/>
        </w:trPr>
        <w:tc>
          <w:tcPr>
            <w:tcW w:w="73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29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2</w:t>
            </w:r>
          </w:p>
        </w:tc>
        <w:tc>
          <w:tcPr>
            <w:tcW w:w="1942"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24小时平均</w:t>
            </w:r>
          </w:p>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1小时平均</w:t>
            </w:r>
          </w:p>
        </w:tc>
        <w:tc>
          <w:tcPr>
            <w:tcW w:w="131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0.15</w:t>
            </w:r>
          </w:p>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0.50</w:t>
            </w:r>
          </w:p>
        </w:tc>
        <w:tc>
          <w:tcPr>
            <w:tcW w:w="3233" w:type="dxa"/>
            <w:vMerge w:val="restar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《环境空气质量标准》（GB3095-2012）中的二级标准及修改单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7" w:hRule="atLeast"/>
        </w:trPr>
        <w:tc>
          <w:tcPr>
            <w:tcW w:w="73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29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2</w:t>
            </w:r>
          </w:p>
        </w:tc>
        <w:tc>
          <w:tcPr>
            <w:tcW w:w="1942"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24小时平均</w:t>
            </w:r>
          </w:p>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1小时平均</w:t>
            </w:r>
          </w:p>
        </w:tc>
        <w:tc>
          <w:tcPr>
            <w:tcW w:w="131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0.08</w:t>
            </w:r>
          </w:p>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7" w:hRule="atLeast"/>
        </w:trPr>
        <w:tc>
          <w:tcPr>
            <w:tcW w:w="73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29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10</w:t>
            </w:r>
          </w:p>
        </w:tc>
        <w:tc>
          <w:tcPr>
            <w:tcW w:w="1942"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24小时平均</w:t>
            </w:r>
          </w:p>
        </w:tc>
        <w:tc>
          <w:tcPr>
            <w:tcW w:w="131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0.15</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7" w:hRule="atLeast"/>
        </w:trPr>
        <w:tc>
          <w:tcPr>
            <w:tcW w:w="73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29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2.5</w:t>
            </w:r>
          </w:p>
        </w:tc>
        <w:tc>
          <w:tcPr>
            <w:tcW w:w="1942"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w:t>
            </w:r>
          </w:p>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24小时平均</w:t>
            </w:r>
          </w:p>
        </w:tc>
        <w:tc>
          <w:tcPr>
            <w:tcW w:w="131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0.035</w:t>
            </w:r>
          </w:p>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0.075</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7" w:hRule="atLeast"/>
        </w:trPr>
        <w:tc>
          <w:tcPr>
            <w:tcW w:w="73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29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w:t>
            </w:r>
          </w:p>
        </w:tc>
        <w:tc>
          <w:tcPr>
            <w:tcW w:w="1942"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24小时平均</w:t>
            </w:r>
          </w:p>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1小时平均</w:t>
            </w:r>
          </w:p>
        </w:tc>
        <w:tc>
          <w:tcPr>
            <w:tcW w:w="131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0.004</w:t>
            </w:r>
          </w:p>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7" w:hRule="atLeast"/>
        </w:trPr>
        <w:tc>
          <w:tcPr>
            <w:tcW w:w="73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29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O</w:t>
            </w:r>
            <w:r>
              <w:rPr>
                <w:rFonts w:hint="default" w:ascii="Times New Roman" w:hAnsi="Times New Roman" w:eastAsia="宋体" w:cs="Times New Roman"/>
                <w:color w:val="auto"/>
                <w:sz w:val="21"/>
                <w:szCs w:val="21"/>
                <w:vertAlign w:val="subscript"/>
              </w:rPr>
              <w:t>3</w:t>
            </w:r>
          </w:p>
        </w:tc>
        <w:tc>
          <w:tcPr>
            <w:tcW w:w="1942"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日最大8小时平均</w:t>
            </w:r>
          </w:p>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小时平均</w:t>
            </w:r>
          </w:p>
        </w:tc>
        <w:tc>
          <w:tcPr>
            <w:tcW w:w="131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0.16</w:t>
            </w:r>
          </w:p>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7" w:hRule="atLeast"/>
        </w:trPr>
        <w:tc>
          <w:tcPr>
            <w:tcW w:w="73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129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TSP</w:t>
            </w:r>
          </w:p>
        </w:tc>
        <w:tc>
          <w:tcPr>
            <w:tcW w:w="1942"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w:t>
            </w:r>
          </w:p>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24小时平均</w:t>
            </w:r>
          </w:p>
        </w:tc>
        <w:tc>
          <w:tcPr>
            <w:tcW w:w="131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w:t>
            </w:r>
          </w:p>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0.30</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7" w:hRule="atLeast"/>
        </w:trPr>
        <w:tc>
          <w:tcPr>
            <w:tcW w:w="73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p>
        </w:tc>
        <w:tc>
          <w:tcPr>
            <w:tcW w:w="129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氮氧化物</w:t>
            </w:r>
          </w:p>
        </w:tc>
        <w:tc>
          <w:tcPr>
            <w:tcW w:w="1942"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24小时平均</w:t>
            </w:r>
          </w:p>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1小时平均</w:t>
            </w:r>
          </w:p>
        </w:tc>
        <w:tc>
          <w:tcPr>
            <w:tcW w:w="131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w:t>
            </w:r>
          </w:p>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0.25</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7" w:hRule="atLeast"/>
        </w:trPr>
        <w:tc>
          <w:tcPr>
            <w:tcW w:w="73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w:t>
            </w:r>
          </w:p>
        </w:tc>
        <w:tc>
          <w:tcPr>
            <w:tcW w:w="129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氨</w:t>
            </w:r>
          </w:p>
        </w:tc>
        <w:tc>
          <w:tcPr>
            <w:tcW w:w="1942"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1小时平均</w:t>
            </w:r>
          </w:p>
        </w:tc>
        <w:tc>
          <w:tcPr>
            <w:tcW w:w="131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w:t>
            </w:r>
          </w:p>
        </w:tc>
        <w:tc>
          <w:tcPr>
            <w:tcW w:w="3233" w:type="dxa"/>
            <w:vMerge w:val="restar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GB"/>
              </w:rPr>
              <w:t>《环境影响评价技术导则大气环境》(HJ 2.2-2018)相关规定及附录D 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7" w:hRule="atLeast"/>
        </w:trPr>
        <w:tc>
          <w:tcPr>
            <w:tcW w:w="73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129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甲醛</w:t>
            </w:r>
          </w:p>
        </w:tc>
        <w:tc>
          <w:tcPr>
            <w:tcW w:w="1942"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1小时平均</w:t>
            </w:r>
          </w:p>
        </w:tc>
        <w:tc>
          <w:tcPr>
            <w:tcW w:w="131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0.05</w:t>
            </w:r>
          </w:p>
        </w:tc>
        <w:tc>
          <w:tcPr>
            <w:vMerge w:val="continue"/>
            <w:tcBorders>
              <w:tl2br w:val="nil"/>
              <w:tr2bl w:val="nil"/>
            </w:tcBorders>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7" w:hRule="atLeast"/>
        </w:trPr>
        <w:tc>
          <w:tcPr>
            <w:tcW w:w="73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w:t>
            </w:r>
          </w:p>
        </w:tc>
        <w:tc>
          <w:tcPr>
            <w:tcW w:w="129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非甲烷总烃</w:t>
            </w:r>
          </w:p>
        </w:tc>
        <w:tc>
          <w:tcPr>
            <w:tcW w:w="1942"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一次最高允许浓度</w:t>
            </w:r>
          </w:p>
        </w:tc>
        <w:tc>
          <w:tcPr>
            <w:tcW w:w="131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3233"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参照《大气污染物综合排放标准详解》</w:t>
            </w:r>
          </w:p>
        </w:tc>
      </w:tr>
    </w:tbl>
    <w:p>
      <w:pPr>
        <w:spacing w:line="360" w:lineRule="auto"/>
        <w:ind w:firstLine="0"/>
        <w:outlineLvl w:val="2"/>
        <w:rPr>
          <w:rFonts w:hint="default" w:ascii="Times New Roman" w:hAnsi="Times New Roman" w:eastAsia="黑体" w:cs="Times New Roman"/>
          <w:b w:val="0"/>
          <w:bCs/>
          <w:color w:val="auto"/>
          <w:sz w:val="30"/>
          <w:szCs w:val="30"/>
        </w:rPr>
      </w:pPr>
      <w:r>
        <w:rPr>
          <w:rFonts w:hint="default" w:ascii="Times New Roman" w:hAnsi="Times New Roman" w:eastAsia="黑体" w:cs="Times New Roman"/>
          <w:b w:val="0"/>
          <w:bCs/>
          <w:color w:val="auto"/>
          <w:sz w:val="30"/>
          <w:szCs w:val="30"/>
        </w:rPr>
        <w:t xml:space="preserve">1.3.3 声环境功能区划及质量标准 </w:t>
      </w:r>
    </w:p>
    <w:p>
      <w:pPr>
        <w:spacing w:line="360" w:lineRule="auto"/>
        <w:ind w:firstLine="480"/>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lang w:val="en-GB"/>
        </w:rPr>
        <w:t>本项目所在区域为3类声环境功能区，执行《声环境质量标准》</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GB"/>
        </w:rPr>
        <w:t>GB3096</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GB"/>
        </w:rPr>
        <w:t>2008</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GB"/>
        </w:rPr>
        <w:t>中3类标准；具体见表</w:t>
      </w:r>
      <w:r>
        <w:rPr>
          <w:rFonts w:hint="default" w:ascii="Times New Roman" w:hAnsi="Times New Roman" w:eastAsia="宋体" w:cs="Times New Roman"/>
          <w:color w:val="auto"/>
          <w:sz w:val="24"/>
          <w:szCs w:val="24"/>
        </w:rPr>
        <w:t>1.3-</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val="en-GB"/>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default" w:ascii="Times New Roman" w:hAnsi="Times New Roman" w:eastAsia="黑体" w:cs="Times New Roman"/>
          <w:b w:val="0"/>
          <w:bCs/>
          <w:color w:val="000000"/>
          <w:sz w:val="24"/>
          <w:szCs w:val="22"/>
        </w:rPr>
      </w:pPr>
      <w:r>
        <w:rPr>
          <w:rFonts w:hint="default" w:ascii="Times New Roman" w:hAnsi="Times New Roman" w:eastAsia="黑体" w:cs="Times New Roman"/>
          <w:b w:val="0"/>
          <w:bCs/>
          <w:color w:val="000000"/>
          <w:sz w:val="24"/>
          <w:szCs w:val="22"/>
        </w:rPr>
        <w:t>表1.3-</w:t>
      </w:r>
      <w:r>
        <w:rPr>
          <w:rFonts w:hint="default" w:ascii="Times New Roman" w:hAnsi="Times New Roman" w:eastAsia="黑体" w:cs="Times New Roman"/>
          <w:b w:val="0"/>
          <w:bCs/>
          <w:color w:val="000000"/>
          <w:sz w:val="24"/>
          <w:szCs w:val="22"/>
          <w:lang w:val="en-US" w:eastAsia="zh-CN"/>
        </w:rPr>
        <w:t>3</w:t>
      </w:r>
      <w:r>
        <w:rPr>
          <w:rFonts w:hint="default" w:ascii="Times New Roman" w:hAnsi="Times New Roman" w:eastAsia="黑体" w:cs="Times New Roman"/>
          <w:b w:val="0"/>
          <w:bCs/>
          <w:color w:val="000000"/>
          <w:sz w:val="24"/>
          <w:szCs w:val="22"/>
        </w:rPr>
        <w:t xml:space="preserve"> </w:t>
      </w:r>
      <w:r>
        <w:rPr>
          <w:rFonts w:hint="default" w:ascii="Times New Roman" w:hAnsi="Times New Roman" w:eastAsia="黑体" w:cs="Times New Roman"/>
          <w:b w:val="0"/>
          <w:bCs/>
          <w:color w:val="000000"/>
          <w:sz w:val="24"/>
          <w:szCs w:val="22"/>
          <w:lang w:val="en-US" w:eastAsia="zh-CN"/>
        </w:rPr>
        <w:t xml:space="preserve">  </w:t>
      </w:r>
      <w:r>
        <w:rPr>
          <w:rFonts w:hint="default" w:ascii="Times New Roman" w:hAnsi="Times New Roman" w:eastAsia="黑体" w:cs="Times New Roman"/>
          <w:b w:val="0"/>
          <w:bCs/>
          <w:color w:val="000000"/>
          <w:sz w:val="24"/>
          <w:szCs w:val="22"/>
        </w:rPr>
        <w:t>声环境标准(等效声级LAeq: dB(A))</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3"/>
        <w:gridCol w:w="3345"/>
        <w:gridCol w:w="1283"/>
        <w:gridCol w:w="1593"/>
        <w:gridCol w:w="10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类别</w:t>
            </w:r>
          </w:p>
        </w:tc>
        <w:tc>
          <w:tcPr>
            <w:tcW w:w="334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采用标准</w:t>
            </w:r>
          </w:p>
        </w:tc>
        <w:tc>
          <w:tcPr>
            <w:tcW w:w="12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适用区</w:t>
            </w:r>
          </w:p>
        </w:tc>
        <w:tc>
          <w:tcPr>
            <w:tcW w:w="2611"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8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eastAsia" w:ascii="Times New Roman" w:hAnsi="Times New Roman" w:eastAsia="仿宋_GB2312" w:cs="Times New Roman"/>
                <w:color w:val="000000"/>
                <w:sz w:val="21"/>
                <w:szCs w:val="21"/>
                <w:lang w:val="en-US" w:eastAsia="zh-CN"/>
              </w:rPr>
            </w:pPr>
            <w:r>
              <w:rPr>
                <w:rFonts w:hint="default" w:ascii="Times New Roman" w:hAnsi="Times New Roman" w:eastAsia="宋体" w:cs="Times New Roman"/>
                <w:color w:val="000000"/>
                <w:sz w:val="21"/>
                <w:szCs w:val="21"/>
              </w:rPr>
              <w:t>3类</w:t>
            </w:r>
          </w:p>
        </w:tc>
        <w:tc>
          <w:tcPr>
            <w:tcW w:w="334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《声环境质量标准》（GB3096-2008）</w:t>
            </w:r>
          </w:p>
        </w:tc>
        <w:tc>
          <w:tcPr>
            <w:tcW w:w="128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工业区</w:t>
            </w:r>
          </w:p>
        </w:tc>
        <w:tc>
          <w:tcPr>
            <w:tcW w:w="15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昼间</w:t>
            </w:r>
          </w:p>
        </w:tc>
        <w:tc>
          <w:tcPr>
            <w:tcW w:w="101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65dB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vMerge w:val="continue"/>
            <w:tcBorders>
              <w:tl2br w:val="nil"/>
              <w:tr2bl w:val="nil"/>
            </w:tcBorders>
            <w:noWrap w:val="0"/>
          </w:tcPr>
          <w:p/>
        </w:tc>
        <w:tc>
          <w:tcPr>
            <w:vMerge w:val="continue"/>
            <w:tcBorders>
              <w:tl2br w:val="nil"/>
              <w:tr2bl w:val="nil"/>
            </w:tcBorders>
            <w:noWrap w:val="0"/>
          </w:tcPr>
          <w:p/>
        </w:tc>
        <w:tc>
          <w:tcPr>
            <w:vMerge w:val="continue"/>
            <w:tcBorders>
              <w:tl2br w:val="nil"/>
              <w:tr2bl w:val="nil"/>
            </w:tcBorders>
            <w:noWrap w:val="0"/>
          </w:tcPr>
          <w:p/>
        </w:tc>
        <w:tc>
          <w:tcPr>
            <w:tcW w:w="15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夜间</w:t>
            </w:r>
          </w:p>
        </w:tc>
        <w:tc>
          <w:tcPr>
            <w:tcW w:w="101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55dB</w:t>
            </w:r>
          </w:p>
        </w:tc>
      </w:tr>
    </w:tbl>
    <w:p>
      <w:pPr>
        <w:spacing w:line="360" w:lineRule="auto"/>
        <w:ind w:firstLine="0"/>
        <w:outlineLvl w:val="2"/>
        <w:rPr>
          <w:rFonts w:hint="default" w:ascii="Times New Roman" w:hAnsi="Times New Roman" w:eastAsia="黑体" w:cs="Times New Roman"/>
          <w:b w:val="0"/>
          <w:bCs/>
          <w:color w:val="auto"/>
          <w:sz w:val="30"/>
          <w:szCs w:val="30"/>
        </w:rPr>
      </w:pPr>
      <w:r>
        <w:rPr>
          <w:rFonts w:hint="default" w:ascii="Times New Roman" w:hAnsi="Times New Roman" w:eastAsia="黑体" w:cs="Times New Roman"/>
          <w:b w:val="0"/>
          <w:bCs/>
          <w:color w:val="auto"/>
          <w:sz w:val="30"/>
          <w:szCs w:val="30"/>
        </w:rPr>
        <w:t>1.3.4地下水环境</w:t>
      </w:r>
    </w:p>
    <w:p>
      <w:pPr>
        <w:spacing w:line="360" w:lineRule="auto"/>
        <w:ind w:firstLine="480"/>
        <w:jc w:val="both"/>
        <w:rPr>
          <w:rFonts w:hint="default" w:ascii="Times New Roman" w:hAnsi="Times New Roman" w:eastAsia="宋体" w:cs="Times New Roman"/>
          <w:color w:val="auto"/>
          <w:kern w:val="2"/>
          <w:sz w:val="24"/>
          <w:szCs w:val="20"/>
          <w:lang w:val="en-US" w:eastAsia="zh-CN" w:bidi="ar"/>
        </w:rPr>
      </w:pPr>
      <w:r>
        <w:rPr>
          <w:rFonts w:hint="default" w:ascii="Times New Roman" w:hAnsi="Times New Roman" w:eastAsia="宋体" w:cs="Times New Roman"/>
          <w:color w:val="auto"/>
          <w:kern w:val="2"/>
          <w:sz w:val="24"/>
          <w:szCs w:val="20"/>
          <w:lang w:val="en-US" w:eastAsia="zh-CN" w:bidi="ar"/>
        </w:rPr>
        <w:t>该区域没有地下水环境功能区划，且项目周边无居民地下饮用水井。地下水评价标准执</w:t>
      </w:r>
      <w:r>
        <w:rPr>
          <w:rFonts w:hint="default" w:ascii="Times New Roman" w:hAnsi="Times New Roman" w:eastAsia="宋体" w:cs="Times New Roman"/>
          <w:color w:val="000000"/>
          <w:kern w:val="2"/>
          <w:sz w:val="24"/>
          <w:szCs w:val="20"/>
          <w:lang w:val="en-US" w:eastAsia="zh-CN" w:bidi="ar"/>
        </w:rPr>
        <w:t>行《地下水质量标准》</w:t>
      </w:r>
      <w:r>
        <w:rPr>
          <w:rFonts w:hint="eastAsia" w:ascii="Times New Roman" w:hAnsi="Times New Roman" w:eastAsia="宋体" w:cs="Times New Roman"/>
          <w:color w:val="000000"/>
          <w:kern w:val="2"/>
          <w:sz w:val="24"/>
          <w:szCs w:val="20"/>
          <w:lang w:val="en-US" w:eastAsia="zh-CN" w:bidi="ar"/>
        </w:rPr>
        <w:t>（</w:t>
      </w:r>
      <w:r>
        <w:rPr>
          <w:rFonts w:hint="default" w:ascii="Times New Roman" w:hAnsi="Times New Roman" w:eastAsia="宋体" w:cs="Times New Roman"/>
          <w:color w:val="000000"/>
          <w:kern w:val="2"/>
          <w:sz w:val="24"/>
          <w:szCs w:val="20"/>
          <w:lang w:val="en-US" w:eastAsia="zh-CN" w:bidi="ar"/>
        </w:rPr>
        <w:t>GB/T14848-</w:t>
      </w:r>
      <w:r>
        <w:rPr>
          <w:rFonts w:hint="eastAsia" w:ascii="Times New Roman" w:hAnsi="Times New Roman" w:eastAsia="宋体" w:cs="Times New Roman"/>
          <w:color w:val="000000"/>
          <w:kern w:val="2"/>
          <w:sz w:val="24"/>
          <w:szCs w:val="20"/>
          <w:lang w:val="en-US" w:eastAsia="zh-CN" w:bidi="ar"/>
        </w:rPr>
        <w:t>2017）</w:t>
      </w:r>
      <w:r>
        <w:rPr>
          <w:rFonts w:hint="default" w:ascii="Times New Roman" w:hAnsi="Times New Roman" w:eastAsia="宋体" w:cs="Times New Roman"/>
          <w:color w:val="000000"/>
          <w:kern w:val="2"/>
          <w:sz w:val="24"/>
          <w:szCs w:val="20"/>
          <w:lang w:val="en-US" w:eastAsia="zh-CN" w:bidi="ar"/>
        </w:rPr>
        <w:t>中相关标准要</w:t>
      </w:r>
      <w:r>
        <w:rPr>
          <w:rFonts w:hint="default" w:ascii="Times New Roman" w:hAnsi="Times New Roman" w:eastAsia="宋体" w:cs="Times New Roman"/>
          <w:color w:val="auto"/>
          <w:kern w:val="2"/>
          <w:sz w:val="24"/>
          <w:szCs w:val="20"/>
          <w:lang w:val="en-US" w:eastAsia="zh-CN" w:bidi="ar"/>
        </w:rPr>
        <w:t>求，</w:t>
      </w:r>
      <w:r>
        <w:rPr>
          <w:rFonts w:hint="default" w:ascii="Times New Roman" w:hAnsi="Times New Roman" w:eastAsia="宋体" w:cs="Times New Roman"/>
          <w:color w:val="auto"/>
          <w:kern w:val="2"/>
          <w:sz w:val="24"/>
          <w:szCs w:val="22"/>
          <w:lang w:val="en-US" w:eastAsia="zh-CN" w:bidi="ar-SA"/>
        </w:rPr>
        <w:t>甲醛参考执行《工业企业设计卫生标准》（TJ36-79）表3中地面水中有害物质的最高容许浓度，即甲醛≤0.5mg/L。</w:t>
      </w:r>
      <w:r>
        <w:rPr>
          <w:rFonts w:hint="default" w:ascii="Times New Roman" w:hAnsi="Times New Roman" w:eastAsia="宋体" w:cs="Times New Roman"/>
          <w:color w:val="auto"/>
          <w:kern w:val="2"/>
          <w:sz w:val="24"/>
          <w:szCs w:val="20"/>
          <w:lang w:val="en-US" w:eastAsia="zh-CN" w:bidi="ar"/>
        </w:rPr>
        <w:t>具体见表1.3-4。</w:t>
      </w:r>
    </w:p>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default" w:ascii="Times New Roman" w:hAnsi="Times New Roman" w:eastAsia="黑体" w:cs="Times New Roman"/>
          <w:b w:val="0"/>
          <w:bCs/>
          <w:color w:val="auto"/>
          <w:sz w:val="24"/>
          <w:szCs w:val="22"/>
          <w:lang w:val="en-US"/>
        </w:rPr>
      </w:pPr>
      <w:r>
        <w:rPr>
          <w:rFonts w:hint="default" w:ascii="Times New Roman" w:hAnsi="Times New Roman" w:eastAsia="黑体" w:cs="Times New Roman"/>
          <w:b w:val="0"/>
          <w:bCs/>
          <w:color w:val="auto"/>
          <w:sz w:val="24"/>
          <w:szCs w:val="22"/>
          <w:lang w:val="en-US" w:eastAsia="zh-CN"/>
        </w:rPr>
        <w:t>表1.3-4  地下水环境质量标准基本项目标准限值   单位：mg/L</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35"/>
        <w:gridCol w:w="1187"/>
        <w:gridCol w:w="996"/>
        <w:gridCol w:w="904"/>
        <w:gridCol w:w="1745"/>
        <w:gridCol w:w="13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24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项目</w:t>
            </w:r>
          </w:p>
        </w:tc>
        <w:tc>
          <w:tcPr>
            <w:tcW w:w="118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Ⅰ类</w:t>
            </w:r>
          </w:p>
        </w:tc>
        <w:tc>
          <w:tcPr>
            <w:tcW w:w="9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Ⅱ类</w:t>
            </w:r>
          </w:p>
        </w:tc>
        <w:tc>
          <w:tcPr>
            <w:tcW w:w="9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Ⅲ类</w:t>
            </w:r>
          </w:p>
        </w:tc>
        <w:tc>
          <w:tcPr>
            <w:tcW w:w="17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Ⅳ类</w:t>
            </w:r>
          </w:p>
        </w:tc>
        <w:tc>
          <w:tcPr>
            <w:tcW w:w="13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Ⅴ类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pH</w:t>
            </w:r>
          </w:p>
        </w:tc>
        <w:tc>
          <w:tcPr>
            <w:tcW w:w="3087" w:type="dxa"/>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6.5~8.5</w:t>
            </w:r>
          </w:p>
        </w:tc>
        <w:tc>
          <w:tcPr>
            <w:tcW w:w="17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5.5~6.5，8.5~9</w:t>
            </w:r>
          </w:p>
        </w:tc>
        <w:tc>
          <w:tcPr>
            <w:tcW w:w="13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色度</w:t>
            </w:r>
          </w:p>
        </w:tc>
        <w:tc>
          <w:tcPr>
            <w:tcW w:w="118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w:t>
            </w:r>
          </w:p>
        </w:tc>
        <w:tc>
          <w:tcPr>
            <w:tcW w:w="9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w:t>
            </w:r>
          </w:p>
        </w:tc>
        <w:tc>
          <w:tcPr>
            <w:tcW w:w="9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≤15</w:t>
            </w:r>
          </w:p>
        </w:tc>
        <w:tc>
          <w:tcPr>
            <w:tcW w:w="17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≤25</w:t>
            </w:r>
          </w:p>
        </w:tc>
        <w:tc>
          <w:tcPr>
            <w:tcW w:w="13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总硬度</w:t>
            </w:r>
          </w:p>
        </w:tc>
        <w:tc>
          <w:tcPr>
            <w:tcW w:w="118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≤150</w:t>
            </w:r>
          </w:p>
        </w:tc>
        <w:tc>
          <w:tcPr>
            <w:tcW w:w="9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≤300</w:t>
            </w:r>
          </w:p>
        </w:tc>
        <w:tc>
          <w:tcPr>
            <w:tcW w:w="9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≤450</w:t>
            </w:r>
          </w:p>
        </w:tc>
        <w:tc>
          <w:tcPr>
            <w:tcW w:w="17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≤650</w:t>
            </w:r>
          </w:p>
        </w:tc>
        <w:tc>
          <w:tcPr>
            <w:tcW w:w="13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&gt;650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溶解性总固体</w:t>
            </w:r>
          </w:p>
        </w:tc>
        <w:tc>
          <w:tcPr>
            <w:tcW w:w="118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≤300</w:t>
            </w:r>
          </w:p>
        </w:tc>
        <w:tc>
          <w:tcPr>
            <w:tcW w:w="9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≤500</w:t>
            </w:r>
          </w:p>
        </w:tc>
        <w:tc>
          <w:tcPr>
            <w:tcW w:w="9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≤1000</w:t>
            </w:r>
          </w:p>
        </w:tc>
        <w:tc>
          <w:tcPr>
            <w:tcW w:w="17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≤2000</w:t>
            </w:r>
          </w:p>
        </w:tc>
        <w:tc>
          <w:tcPr>
            <w:tcW w:w="13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&gt;2000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耗氧量</w:t>
            </w:r>
          </w:p>
        </w:tc>
        <w:tc>
          <w:tcPr>
            <w:tcW w:w="118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w:t>
            </w:r>
          </w:p>
        </w:tc>
        <w:tc>
          <w:tcPr>
            <w:tcW w:w="9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w:t>
            </w:r>
          </w:p>
        </w:tc>
        <w:tc>
          <w:tcPr>
            <w:tcW w:w="9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≤3.0</w:t>
            </w:r>
          </w:p>
        </w:tc>
        <w:tc>
          <w:tcPr>
            <w:tcW w:w="17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≤10</w:t>
            </w:r>
          </w:p>
        </w:tc>
        <w:tc>
          <w:tcPr>
            <w:tcW w:w="13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&gt;10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氨氮（NH</w:t>
            </w:r>
            <w:r>
              <w:rPr>
                <w:rFonts w:hint="default" w:ascii="Times New Roman" w:hAnsi="Times New Roman" w:eastAsia="宋体" w:cs="Times New Roman"/>
                <w:color w:val="auto"/>
                <w:kern w:val="2"/>
                <w:sz w:val="21"/>
                <w:szCs w:val="21"/>
                <w:highlight w:val="none"/>
                <w:vertAlign w:val="subscript"/>
                <w:lang w:val="en-US" w:eastAsia="zh-CN" w:bidi="ar-SA"/>
              </w:rPr>
              <w:t>4</w:t>
            </w:r>
            <w:r>
              <w:rPr>
                <w:rFonts w:hint="default" w:ascii="Times New Roman" w:hAnsi="Times New Roman" w:eastAsia="宋体" w:cs="Times New Roman"/>
                <w:color w:val="auto"/>
                <w:kern w:val="2"/>
                <w:sz w:val="21"/>
                <w:szCs w:val="21"/>
                <w:highlight w:val="none"/>
                <w:lang w:val="en-US" w:eastAsia="zh-CN" w:bidi="ar-SA"/>
              </w:rPr>
              <w:t>）</w:t>
            </w:r>
          </w:p>
        </w:tc>
        <w:tc>
          <w:tcPr>
            <w:tcW w:w="118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≤0.02</w:t>
            </w:r>
          </w:p>
        </w:tc>
        <w:tc>
          <w:tcPr>
            <w:tcW w:w="9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≤0.01</w:t>
            </w:r>
          </w:p>
        </w:tc>
        <w:tc>
          <w:tcPr>
            <w:tcW w:w="9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≤0.5</w:t>
            </w:r>
          </w:p>
        </w:tc>
        <w:tc>
          <w:tcPr>
            <w:tcW w:w="17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≤1.5</w:t>
            </w:r>
          </w:p>
        </w:tc>
        <w:tc>
          <w:tcPr>
            <w:tcW w:w="13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&gt;1.5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硝酸盐（以N计）</w:t>
            </w:r>
          </w:p>
        </w:tc>
        <w:tc>
          <w:tcPr>
            <w:tcW w:w="118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w:t>
            </w:r>
          </w:p>
        </w:tc>
        <w:tc>
          <w:tcPr>
            <w:tcW w:w="9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≤5.0</w:t>
            </w:r>
          </w:p>
        </w:tc>
        <w:tc>
          <w:tcPr>
            <w:tcW w:w="9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w:t>
            </w:r>
          </w:p>
        </w:tc>
        <w:tc>
          <w:tcPr>
            <w:tcW w:w="17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≤30</w:t>
            </w:r>
          </w:p>
        </w:tc>
        <w:tc>
          <w:tcPr>
            <w:tcW w:w="13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&gt;30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亚硝酸盐（以N计）</w:t>
            </w:r>
          </w:p>
        </w:tc>
        <w:tc>
          <w:tcPr>
            <w:tcW w:w="118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≤0.01</w:t>
            </w:r>
          </w:p>
        </w:tc>
        <w:tc>
          <w:tcPr>
            <w:tcW w:w="9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≤0.10</w:t>
            </w:r>
          </w:p>
        </w:tc>
        <w:tc>
          <w:tcPr>
            <w:tcW w:w="9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w:t>
            </w:r>
          </w:p>
        </w:tc>
        <w:tc>
          <w:tcPr>
            <w:tcW w:w="17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≤4.8</w:t>
            </w:r>
          </w:p>
        </w:tc>
        <w:tc>
          <w:tcPr>
            <w:tcW w:w="13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&gt;4.8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挥发性酚类</w:t>
            </w:r>
          </w:p>
        </w:tc>
        <w:tc>
          <w:tcPr>
            <w:tcW w:w="118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≤0.001</w:t>
            </w:r>
          </w:p>
        </w:tc>
        <w:tc>
          <w:tcPr>
            <w:tcW w:w="9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≤0.001</w:t>
            </w:r>
          </w:p>
        </w:tc>
        <w:tc>
          <w:tcPr>
            <w:tcW w:w="9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≤0.002</w:t>
            </w:r>
          </w:p>
        </w:tc>
        <w:tc>
          <w:tcPr>
            <w:tcW w:w="17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≤0.01</w:t>
            </w:r>
          </w:p>
        </w:tc>
        <w:tc>
          <w:tcPr>
            <w:tcW w:w="13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&gt;0.01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氰化物</w:t>
            </w:r>
          </w:p>
        </w:tc>
        <w:tc>
          <w:tcPr>
            <w:tcW w:w="118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≤0.001</w:t>
            </w:r>
          </w:p>
        </w:tc>
        <w:tc>
          <w:tcPr>
            <w:tcW w:w="9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≤0.01</w:t>
            </w:r>
          </w:p>
        </w:tc>
        <w:tc>
          <w:tcPr>
            <w:tcW w:w="9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≤0.05</w:t>
            </w:r>
          </w:p>
        </w:tc>
        <w:tc>
          <w:tcPr>
            <w:tcW w:w="17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≤0.1</w:t>
            </w:r>
          </w:p>
        </w:tc>
        <w:tc>
          <w:tcPr>
            <w:tcW w:w="13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&gt;0.1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硫酸盐</w:t>
            </w:r>
          </w:p>
        </w:tc>
        <w:tc>
          <w:tcPr>
            <w:tcW w:w="118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≤50</w:t>
            </w:r>
          </w:p>
        </w:tc>
        <w:tc>
          <w:tcPr>
            <w:tcW w:w="9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≤150</w:t>
            </w:r>
          </w:p>
        </w:tc>
        <w:tc>
          <w:tcPr>
            <w:tcW w:w="9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≤250</w:t>
            </w:r>
          </w:p>
        </w:tc>
        <w:tc>
          <w:tcPr>
            <w:tcW w:w="17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≤350</w:t>
            </w:r>
          </w:p>
        </w:tc>
        <w:tc>
          <w:tcPr>
            <w:tcW w:w="13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&gt;350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氯化物</w:t>
            </w:r>
          </w:p>
        </w:tc>
        <w:tc>
          <w:tcPr>
            <w:tcW w:w="118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≤50</w:t>
            </w:r>
          </w:p>
        </w:tc>
        <w:tc>
          <w:tcPr>
            <w:tcW w:w="9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≤150</w:t>
            </w:r>
          </w:p>
        </w:tc>
        <w:tc>
          <w:tcPr>
            <w:tcW w:w="9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≤250</w:t>
            </w:r>
          </w:p>
        </w:tc>
        <w:tc>
          <w:tcPr>
            <w:tcW w:w="17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≤350</w:t>
            </w:r>
          </w:p>
        </w:tc>
        <w:tc>
          <w:tcPr>
            <w:tcW w:w="13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&gt;350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汞</w:t>
            </w:r>
          </w:p>
        </w:tc>
        <w:tc>
          <w:tcPr>
            <w:tcW w:w="118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≤0.0001</w:t>
            </w:r>
          </w:p>
        </w:tc>
        <w:tc>
          <w:tcPr>
            <w:tcW w:w="9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≤0.0001</w:t>
            </w:r>
          </w:p>
        </w:tc>
        <w:tc>
          <w:tcPr>
            <w:tcW w:w="9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≤0.001</w:t>
            </w:r>
          </w:p>
        </w:tc>
        <w:tc>
          <w:tcPr>
            <w:tcW w:w="17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≤0.002</w:t>
            </w:r>
          </w:p>
        </w:tc>
        <w:tc>
          <w:tcPr>
            <w:tcW w:w="13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&gt;0.002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砷</w:t>
            </w:r>
          </w:p>
        </w:tc>
        <w:tc>
          <w:tcPr>
            <w:tcW w:w="118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≤0.001</w:t>
            </w:r>
          </w:p>
        </w:tc>
        <w:tc>
          <w:tcPr>
            <w:tcW w:w="9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≤0.001</w:t>
            </w:r>
          </w:p>
        </w:tc>
        <w:tc>
          <w:tcPr>
            <w:tcW w:w="9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≤0.01</w:t>
            </w:r>
          </w:p>
        </w:tc>
        <w:tc>
          <w:tcPr>
            <w:tcW w:w="17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≤0.05</w:t>
            </w:r>
          </w:p>
        </w:tc>
        <w:tc>
          <w:tcPr>
            <w:tcW w:w="13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&gt;0.05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镉</w:t>
            </w:r>
          </w:p>
        </w:tc>
        <w:tc>
          <w:tcPr>
            <w:tcW w:w="118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≤0.0001</w:t>
            </w:r>
          </w:p>
        </w:tc>
        <w:tc>
          <w:tcPr>
            <w:tcW w:w="9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≤0.001</w:t>
            </w:r>
          </w:p>
        </w:tc>
        <w:tc>
          <w:tcPr>
            <w:tcW w:w="9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≤0.005</w:t>
            </w:r>
          </w:p>
        </w:tc>
        <w:tc>
          <w:tcPr>
            <w:tcW w:w="17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≤0.01</w:t>
            </w:r>
          </w:p>
        </w:tc>
        <w:tc>
          <w:tcPr>
            <w:tcW w:w="13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&gt;0.01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六价铬</w:t>
            </w:r>
          </w:p>
        </w:tc>
        <w:tc>
          <w:tcPr>
            <w:tcW w:w="118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≤0.005</w:t>
            </w:r>
          </w:p>
        </w:tc>
        <w:tc>
          <w:tcPr>
            <w:tcW w:w="9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≤0.01</w:t>
            </w:r>
          </w:p>
        </w:tc>
        <w:tc>
          <w:tcPr>
            <w:tcW w:w="9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≤0.05</w:t>
            </w:r>
          </w:p>
        </w:tc>
        <w:tc>
          <w:tcPr>
            <w:tcW w:w="17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≤0.1</w:t>
            </w:r>
          </w:p>
        </w:tc>
        <w:tc>
          <w:tcPr>
            <w:tcW w:w="13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&gt;0.1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铅</w:t>
            </w:r>
          </w:p>
        </w:tc>
        <w:tc>
          <w:tcPr>
            <w:tcW w:w="118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≤0.005</w:t>
            </w:r>
          </w:p>
        </w:tc>
        <w:tc>
          <w:tcPr>
            <w:tcW w:w="9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≤0.005</w:t>
            </w:r>
          </w:p>
        </w:tc>
        <w:tc>
          <w:tcPr>
            <w:tcW w:w="9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≤0.01</w:t>
            </w:r>
          </w:p>
        </w:tc>
        <w:tc>
          <w:tcPr>
            <w:tcW w:w="17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≤0.1</w:t>
            </w:r>
          </w:p>
        </w:tc>
        <w:tc>
          <w:tcPr>
            <w:tcW w:w="13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&gt;0.1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银</w:t>
            </w:r>
          </w:p>
        </w:tc>
        <w:tc>
          <w:tcPr>
            <w:tcW w:w="118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≤0.001</w:t>
            </w:r>
          </w:p>
        </w:tc>
        <w:tc>
          <w:tcPr>
            <w:tcW w:w="9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≤0.01</w:t>
            </w:r>
          </w:p>
        </w:tc>
        <w:tc>
          <w:tcPr>
            <w:tcW w:w="9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≤0.05</w:t>
            </w:r>
          </w:p>
        </w:tc>
        <w:tc>
          <w:tcPr>
            <w:tcW w:w="174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≤0.1</w:t>
            </w:r>
          </w:p>
        </w:tc>
        <w:tc>
          <w:tcPr>
            <w:tcW w:w="13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&gt;0.1</w:t>
            </w:r>
          </w:p>
        </w:tc>
      </w:tr>
    </w:tbl>
    <w:p>
      <w:pPr>
        <w:spacing w:line="360" w:lineRule="auto"/>
        <w:ind w:firstLine="0"/>
        <w:outlineLvl w:val="2"/>
        <w:rPr>
          <w:rFonts w:hint="default" w:ascii="Times New Roman" w:hAnsi="Times New Roman" w:eastAsia="黑体" w:cs="Times New Roman"/>
          <w:b w:val="0"/>
          <w:bCs/>
          <w:color w:val="auto"/>
          <w:sz w:val="30"/>
          <w:szCs w:val="30"/>
        </w:rPr>
      </w:pPr>
      <w:r>
        <w:rPr>
          <w:rFonts w:hint="default" w:ascii="Times New Roman" w:hAnsi="Times New Roman" w:eastAsia="黑体" w:cs="Times New Roman"/>
          <w:b w:val="0"/>
          <w:bCs/>
          <w:color w:val="auto"/>
          <w:sz w:val="30"/>
          <w:szCs w:val="30"/>
        </w:rPr>
        <w:t>1.3.5 土壤</w:t>
      </w:r>
    </w:p>
    <w:p>
      <w:pPr>
        <w:spacing w:line="360" w:lineRule="auto"/>
        <w:ind w:firstLine="480"/>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lang w:val="en-GB"/>
        </w:rPr>
        <w:t>项目土壤环境执行《土壤环境质量 建设用地土壤污染风险管控标准》（GB36600-2018）表1 第二类用地 筛选值，见</w:t>
      </w:r>
      <w:r>
        <w:rPr>
          <w:rFonts w:hint="default" w:ascii="Times New Roman" w:hAnsi="Times New Roman" w:eastAsia="宋体" w:cs="Times New Roman"/>
          <w:color w:val="auto"/>
          <w:sz w:val="24"/>
          <w:szCs w:val="24"/>
        </w:rPr>
        <w:t>1.3-</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val="en-GB"/>
        </w:rPr>
        <w:t>。</w:t>
      </w:r>
    </w:p>
    <w:p>
      <w:pPr>
        <w:pStyle w:val="24"/>
        <w:rPr>
          <w:rFonts w:hint="default" w:ascii="Times New Roman" w:hAnsi="Times New Roman" w:eastAsia="宋体" w:cs="Times New Roman"/>
          <w:color w:val="auto"/>
          <w:sz w:val="24"/>
          <w:szCs w:val="24"/>
          <w:lang w:val="en-GB"/>
        </w:rPr>
      </w:pPr>
    </w:p>
    <w:p>
      <w:pPr>
        <w:pStyle w:val="24"/>
        <w:rPr>
          <w:rFonts w:hint="default" w:ascii="Times New Roman" w:hAnsi="Times New Roman" w:eastAsia="宋体" w:cs="Times New Roman"/>
          <w:color w:val="auto"/>
          <w:sz w:val="24"/>
          <w:szCs w:val="24"/>
          <w:lang w:val="en-GB"/>
        </w:rPr>
      </w:pPr>
    </w:p>
    <w:p>
      <w:pPr>
        <w:pStyle w:val="24"/>
        <w:rPr>
          <w:rFonts w:hint="default" w:ascii="Times New Roman" w:hAnsi="Times New Roman" w:eastAsia="宋体" w:cs="Times New Roman"/>
          <w:color w:val="auto"/>
          <w:sz w:val="24"/>
          <w:szCs w:val="24"/>
          <w:lang w:val="en-GB"/>
        </w:rPr>
      </w:pPr>
    </w:p>
    <w:p>
      <w:pPr>
        <w:pStyle w:val="24"/>
        <w:rPr>
          <w:rFonts w:hint="default" w:ascii="Times New Roman" w:hAnsi="Times New Roman" w:eastAsia="宋体" w:cs="Times New Roman"/>
          <w:color w:val="auto"/>
          <w:sz w:val="24"/>
          <w:szCs w:val="24"/>
          <w:lang w:val="en-GB"/>
        </w:rPr>
      </w:pPr>
    </w:p>
    <w:p>
      <w:pPr>
        <w:pStyle w:val="24"/>
        <w:rPr>
          <w:rFonts w:hint="default" w:ascii="Times New Roman" w:hAnsi="Times New Roman" w:eastAsia="宋体" w:cs="Times New Roman"/>
          <w:color w:val="auto"/>
          <w:sz w:val="24"/>
          <w:szCs w:val="24"/>
          <w:lang w:val="en-GB"/>
        </w:rPr>
      </w:pPr>
    </w:p>
    <w:p>
      <w:pPr>
        <w:pStyle w:val="24"/>
        <w:rPr>
          <w:rFonts w:hint="default" w:ascii="Times New Roman" w:hAnsi="Times New Roman" w:eastAsia="宋体" w:cs="Times New Roman"/>
          <w:color w:val="auto"/>
          <w:sz w:val="24"/>
          <w:szCs w:val="24"/>
          <w:lang w:val="en-GB"/>
        </w:rPr>
      </w:pPr>
    </w:p>
    <w:p>
      <w:pPr>
        <w:pStyle w:val="24"/>
        <w:rPr>
          <w:rFonts w:hint="default" w:ascii="Times New Roman" w:hAnsi="Times New Roman" w:eastAsia="宋体" w:cs="Times New Roman"/>
          <w:color w:val="auto"/>
          <w:sz w:val="24"/>
          <w:szCs w:val="24"/>
          <w:lang w:val="en-GB"/>
        </w:rPr>
      </w:pPr>
    </w:p>
    <w:p>
      <w:pPr>
        <w:pStyle w:val="24"/>
        <w:rPr>
          <w:rFonts w:hint="default" w:ascii="Times New Roman" w:hAnsi="Times New Roman" w:eastAsia="宋体" w:cs="Times New Roman"/>
          <w:color w:val="auto"/>
          <w:sz w:val="24"/>
          <w:szCs w:val="24"/>
          <w:lang w:val="en-GB"/>
        </w:rPr>
      </w:pPr>
    </w:p>
    <w:p>
      <w:pPr>
        <w:pStyle w:val="24"/>
        <w:rPr>
          <w:rFonts w:hint="default" w:ascii="Times New Roman" w:hAnsi="Times New Roman" w:eastAsia="宋体" w:cs="Times New Roman"/>
          <w:color w:val="auto"/>
          <w:sz w:val="24"/>
          <w:szCs w:val="24"/>
          <w:lang w:val="en-GB"/>
        </w:rPr>
      </w:pPr>
    </w:p>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default" w:ascii="Times New Roman" w:hAnsi="Times New Roman" w:eastAsia="黑体" w:cs="Times New Roman"/>
          <w:b w:val="0"/>
          <w:bCs/>
          <w:color w:val="auto"/>
          <w:sz w:val="24"/>
          <w:szCs w:val="22"/>
          <w:lang w:val="en-GB"/>
        </w:rPr>
      </w:pPr>
      <w:bookmarkStart w:id="49" w:name="_Ref504464521"/>
      <w:r>
        <w:rPr>
          <w:rFonts w:hint="default" w:ascii="Times New Roman" w:hAnsi="Times New Roman" w:eastAsia="黑体" w:cs="Times New Roman"/>
          <w:b w:val="0"/>
          <w:bCs/>
          <w:color w:val="auto"/>
          <w:sz w:val="24"/>
          <w:szCs w:val="22"/>
          <w:lang w:val="en-GB"/>
        </w:rPr>
        <w:t>表</w:t>
      </w:r>
      <w:r>
        <w:rPr>
          <w:rFonts w:hint="default" w:ascii="Times New Roman" w:hAnsi="Times New Roman" w:eastAsia="黑体" w:cs="Times New Roman"/>
          <w:b w:val="0"/>
          <w:bCs/>
          <w:color w:val="auto"/>
          <w:sz w:val="24"/>
          <w:szCs w:val="22"/>
        </w:rPr>
        <w:t>1.3-</w:t>
      </w:r>
      <w:r>
        <w:rPr>
          <w:rFonts w:hint="default" w:ascii="Times New Roman" w:hAnsi="Times New Roman" w:eastAsia="黑体" w:cs="Times New Roman"/>
          <w:b w:val="0"/>
          <w:bCs/>
          <w:color w:val="auto"/>
          <w:sz w:val="24"/>
          <w:szCs w:val="22"/>
          <w:lang w:val="en-US" w:eastAsia="zh-CN"/>
        </w:rPr>
        <w:t>5</w:t>
      </w:r>
      <w:r>
        <w:rPr>
          <w:rFonts w:hint="default" w:ascii="Times New Roman" w:hAnsi="Times New Roman" w:eastAsia="黑体" w:cs="Times New Roman"/>
          <w:b w:val="0"/>
          <w:bCs/>
          <w:color w:val="auto"/>
          <w:sz w:val="24"/>
          <w:szCs w:val="22"/>
        </w:rPr>
        <w:t xml:space="preserve"> </w:t>
      </w:r>
      <w:r>
        <w:rPr>
          <w:rFonts w:hint="default" w:ascii="Times New Roman" w:hAnsi="Times New Roman" w:eastAsia="黑体" w:cs="Times New Roman"/>
          <w:b w:val="0"/>
          <w:bCs/>
          <w:color w:val="auto"/>
          <w:sz w:val="24"/>
          <w:szCs w:val="22"/>
          <w:lang w:val="en-GB"/>
        </w:rPr>
        <w:t>土壤环境质量标准限值</w:t>
      </w:r>
      <w:bookmarkEnd w:id="49"/>
    </w:p>
    <w:tbl>
      <w:tblPr>
        <w:tblStyle w:val="90"/>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97"/>
        <w:gridCol w:w="26"/>
        <w:gridCol w:w="2011"/>
        <w:gridCol w:w="27"/>
        <w:gridCol w:w="1337"/>
        <w:gridCol w:w="1021"/>
        <w:gridCol w:w="26"/>
        <w:gridCol w:w="1011"/>
        <w:gridCol w:w="26"/>
        <w:gridCol w:w="966"/>
        <w:gridCol w:w="26"/>
        <w:gridCol w:w="108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6" w:hRule="exact"/>
          <w:jc w:val="center"/>
        </w:trPr>
        <w:tc>
          <w:tcPr>
            <w:tcW w:w="823" w:type="dxa"/>
            <w:gridSpan w:val="2"/>
            <w:vMerge w:val="restart"/>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2038" w:type="dxa"/>
            <w:gridSpan w:val="2"/>
            <w:vMerge w:val="restart"/>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污染物项目</w:t>
            </w:r>
          </w:p>
        </w:tc>
        <w:tc>
          <w:tcPr>
            <w:tcW w:w="1337" w:type="dxa"/>
            <w:vMerge w:val="restart"/>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CAS 编号</w:t>
            </w:r>
          </w:p>
        </w:tc>
        <w:tc>
          <w:tcPr>
            <w:tcW w:w="2084" w:type="dxa"/>
            <w:gridSpan w:val="4"/>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筛选值</w:t>
            </w:r>
          </w:p>
        </w:tc>
        <w:tc>
          <w:tcPr>
            <w:tcW w:w="2080" w:type="dxa"/>
            <w:gridSpan w:val="3"/>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管制值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4" w:hRule="exact"/>
          <w:jc w:val="center"/>
        </w:trPr>
        <w:tc>
          <w:tcPr>
            <w:gridSpan w:val="2"/>
            <w:vMerge w:val="continue"/>
            <w:tcBorders>
              <w:tl2br w:val="nil"/>
              <w:tr2bl w:val="nil"/>
            </w:tcBorders>
            <w:noWrap w:val="0"/>
            <w:tcMar>
              <w:left w:w="28" w:type="dxa"/>
              <w:right w:w="28" w:type="dxa"/>
            </w:tcMar>
          </w:tcPr>
          <w:p/>
        </w:tc>
        <w:tc>
          <w:tcPr>
            <w:gridSpan w:val="2"/>
            <w:vMerge w:val="continue"/>
            <w:tcBorders>
              <w:tl2br w:val="nil"/>
              <w:tr2bl w:val="nil"/>
            </w:tcBorders>
            <w:noWrap w:val="0"/>
            <w:tcMar>
              <w:left w:w="28" w:type="dxa"/>
              <w:right w:w="28" w:type="dxa"/>
            </w:tcMar>
          </w:tcPr>
          <w:p/>
        </w:tc>
        <w:tc>
          <w:tcPr>
            <w:vMerge w:val="continue"/>
            <w:tcBorders>
              <w:tl2br w:val="nil"/>
              <w:tr2bl w:val="nil"/>
            </w:tcBorders>
            <w:noWrap w:val="0"/>
            <w:tcMar>
              <w:left w:w="28" w:type="dxa"/>
              <w:right w:w="28" w:type="dxa"/>
            </w:tcMar>
          </w:tcPr>
          <w:p/>
        </w:tc>
        <w:tc>
          <w:tcPr>
            <w:tcW w:w="1047"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第一类 用地</w:t>
            </w:r>
          </w:p>
        </w:tc>
        <w:tc>
          <w:tcPr>
            <w:tcW w:w="1037"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第二类 用地</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第一类用地</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第二类 用地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362" w:type="dxa"/>
            <w:gridSpan w:val="1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重金属和无机物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23"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038"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砷</w:t>
            </w:r>
          </w:p>
        </w:tc>
        <w:tc>
          <w:tcPr>
            <w:tcW w:w="1337" w:type="dxa"/>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7440-38-2</w:t>
            </w:r>
          </w:p>
        </w:tc>
        <w:tc>
          <w:tcPr>
            <w:tcW w:w="1047"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20①</w:t>
            </w:r>
          </w:p>
        </w:tc>
        <w:tc>
          <w:tcPr>
            <w:tcW w:w="1037" w:type="dxa"/>
            <w:gridSpan w:val="2"/>
            <w:tcBorders>
              <w:tl2br w:val="nil"/>
              <w:tr2bl w:val="nil"/>
            </w:tcBorders>
            <w:shd w:val="clear" w:color="auto" w:fill="E7E6E6"/>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60①</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120</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23"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038"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镉</w:t>
            </w:r>
          </w:p>
        </w:tc>
        <w:tc>
          <w:tcPr>
            <w:tcW w:w="1337" w:type="dxa"/>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7440-43-9</w:t>
            </w:r>
          </w:p>
        </w:tc>
        <w:tc>
          <w:tcPr>
            <w:tcW w:w="1047"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1037" w:type="dxa"/>
            <w:gridSpan w:val="2"/>
            <w:tcBorders>
              <w:tl2br w:val="nil"/>
              <w:tr2bl w:val="nil"/>
            </w:tcBorders>
            <w:shd w:val="clear" w:color="auto" w:fill="E7E6E6"/>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47</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23"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038"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铬（六价）</w:t>
            </w:r>
          </w:p>
        </w:tc>
        <w:tc>
          <w:tcPr>
            <w:tcW w:w="1337" w:type="dxa"/>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18540-29-9</w:t>
            </w:r>
          </w:p>
        </w:tc>
        <w:tc>
          <w:tcPr>
            <w:tcW w:w="1047"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1037" w:type="dxa"/>
            <w:gridSpan w:val="2"/>
            <w:tcBorders>
              <w:tl2br w:val="nil"/>
              <w:tr2bl w:val="nil"/>
            </w:tcBorders>
            <w:shd w:val="clear" w:color="auto" w:fill="E7E6E6"/>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5.7</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23"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2038"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铜</w:t>
            </w:r>
          </w:p>
        </w:tc>
        <w:tc>
          <w:tcPr>
            <w:tcW w:w="1337" w:type="dxa"/>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7440-50-8</w:t>
            </w:r>
          </w:p>
        </w:tc>
        <w:tc>
          <w:tcPr>
            <w:tcW w:w="1047"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037" w:type="dxa"/>
            <w:gridSpan w:val="2"/>
            <w:tcBorders>
              <w:tl2br w:val="nil"/>
              <w:tr2bl w:val="nil"/>
            </w:tcBorders>
            <w:shd w:val="clear" w:color="auto" w:fill="E7E6E6"/>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18000</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8000</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23"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2038"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铅</w:t>
            </w:r>
          </w:p>
        </w:tc>
        <w:tc>
          <w:tcPr>
            <w:tcW w:w="1337" w:type="dxa"/>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7439-92-1</w:t>
            </w:r>
          </w:p>
        </w:tc>
        <w:tc>
          <w:tcPr>
            <w:tcW w:w="1047"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w:t>
            </w:r>
          </w:p>
        </w:tc>
        <w:tc>
          <w:tcPr>
            <w:tcW w:w="1037" w:type="dxa"/>
            <w:gridSpan w:val="2"/>
            <w:tcBorders>
              <w:tl2br w:val="nil"/>
              <w:tr2bl w:val="nil"/>
            </w:tcBorders>
            <w:shd w:val="clear" w:color="auto" w:fill="E7E6E6"/>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800</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800</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23"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2038"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汞</w:t>
            </w:r>
          </w:p>
        </w:tc>
        <w:tc>
          <w:tcPr>
            <w:tcW w:w="1337" w:type="dxa"/>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7439-97-6</w:t>
            </w:r>
          </w:p>
        </w:tc>
        <w:tc>
          <w:tcPr>
            <w:tcW w:w="1047"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1037" w:type="dxa"/>
            <w:gridSpan w:val="2"/>
            <w:tcBorders>
              <w:tl2br w:val="nil"/>
              <w:tr2bl w:val="nil"/>
            </w:tcBorders>
            <w:shd w:val="clear" w:color="auto" w:fill="E7E6E6"/>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23"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2038"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镍</w:t>
            </w:r>
          </w:p>
        </w:tc>
        <w:tc>
          <w:tcPr>
            <w:tcW w:w="1337" w:type="dxa"/>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7440-02-0</w:t>
            </w:r>
          </w:p>
        </w:tc>
        <w:tc>
          <w:tcPr>
            <w:tcW w:w="1047"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w:t>
            </w:r>
          </w:p>
        </w:tc>
        <w:tc>
          <w:tcPr>
            <w:tcW w:w="1037" w:type="dxa"/>
            <w:gridSpan w:val="2"/>
            <w:tcBorders>
              <w:tl2br w:val="nil"/>
              <w:tr2bl w:val="nil"/>
            </w:tcBorders>
            <w:shd w:val="clear" w:color="auto" w:fill="E7E6E6"/>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900</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600</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362" w:type="dxa"/>
            <w:gridSpan w:val="1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挥发性有机物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23"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2038"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四氯化碳</w:t>
            </w:r>
          </w:p>
        </w:tc>
        <w:tc>
          <w:tcPr>
            <w:tcW w:w="1337" w:type="dxa"/>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56-23-5</w:t>
            </w:r>
          </w:p>
        </w:tc>
        <w:tc>
          <w:tcPr>
            <w:tcW w:w="1047"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0.9</w:t>
            </w:r>
          </w:p>
        </w:tc>
        <w:tc>
          <w:tcPr>
            <w:tcW w:w="1037" w:type="dxa"/>
            <w:gridSpan w:val="2"/>
            <w:tcBorders>
              <w:tl2br w:val="nil"/>
              <w:tr2bl w:val="nil"/>
            </w:tcBorders>
            <w:shd w:val="clear" w:color="auto" w:fill="E7E6E6"/>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23"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2038"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氯仿</w:t>
            </w:r>
          </w:p>
        </w:tc>
        <w:tc>
          <w:tcPr>
            <w:tcW w:w="1337" w:type="dxa"/>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67-66-3</w:t>
            </w:r>
          </w:p>
        </w:tc>
        <w:tc>
          <w:tcPr>
            <w:tcW w:w="1047"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w:t>
            </w:r>
          </w:p>
        </w:tc>
        <w:tc>
          <w:tcPr>
            <w:tcW w:w="1037" w:type="dxa"/>
            <w:gridSpan w:val="2"/>
            <w:tcBorders>
              <w:tl2br w:val="nil"/>
              <w:tr2bl w:val="nil"/>
            </w:tcBorders>
            <w:shd w:val="clear" w:color="auto" w:fill="E7E6E6"/>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0.9</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23"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2038"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氯甲烷</w:t>
            </w:r>
          </w:p>
        </w:tc>
        <w:tc>
          <w:tcPr>
            <w:tcW w:w="1337" w:type="dxa"/>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74-87-3</w:t>
            </w:r>
          </w:p>
        </w:tc>
        <w:tc>
          <w:tcPr>
            <w:tcW w:w="1047"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037" w:type="dxa"/>
            <w:gridSpan w:val="2"/>
            <w:tcBorders>
              <w:tl2br w:val="nil"/>
              <w:tr2bl w:val="nil"/>
            </w:tcBorders>
            <w:shd w:val="clear" w:color="auto" w:fill="E7E6E6"/>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37</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23"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2038"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1,1-二氯乙烷</w:t>
            </w:r>
          </w:p>
        </w:tc>
        <w:tc>
          <w:tcPr>
            <w:tcW w:w="1337" w:type="dxa"/>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75-34-3</w:t>
            </w:r>
          </w:p>
        </w:tc>
        <w:tc>
          <w:tcPr>
            <w:tcW w:w="1047"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037" w:type="dxa"/>
            <w:gridSpan w:val="2"/>
            <w:tcBorders>
              <w:tl2br w:val="nil"/>
              <w:tr2bl w:val="nil"/>
            </w:tcBorders>
            <w:shd w:val="clear" w:color="auto" w:fill="E7E6E6"/>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23"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2038"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1,2-二氯乙烷</w:t>
            </w:r>
          </w:p>
        </w:tc>
        <w:tc>
          <w:tcPr>
            <w:tcW w:w="1337" w:type="dxa"/>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107-06-2</w:t>
            </w:r>
          </w:p>
        </w:tc>
        <w:tc>
          <w:tcPr>
            <w:tcW w:w="1047"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0.52</w:t>
            </w:r>
          </w:p>
        </w:tc>
        <w:tc>
          <w:tcPr>
            <w:tcW w:w="1037" w:type="dxa"/>
            <w:gridSpan w:val="2"/>
            <w:tcBorders>
              <w:tl2br w:val="nil"/>
              <w:tr2bl w:val="nil"/>
            </w:tcBorders>
            <w:shd w:val="clear" w:color="auto" w:fill="E7E6E6"/>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23"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2038"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1,1-二氯乙烯</w:t>
            </w:r>
          </w:p>
        </w:tc>
        <w:tc>
          <w:tcPr>
            <w:tcW w:w="1337" w:type="dxa"/>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75-35-4</w:t>
            </w:r>
          </w:p>
        </w:tc>
        <w:tc>
          <w:tcPr>
            <w:tcW w:w="1047"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037" w:type="dxa"/>
            <w:gridSpan w:val="2"/>
            <w:tcBorders>
              <w:tl2br w:val="nil"/>
              <w:tr2bl w:val="nil"/>
            </w:tcBorders>
            <w:shd w:val="clear" w:color="auto" w:fill="E7E6E6"/>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66</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23"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2038"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顺-1,2-二氯乙烯</w:t>
            </w:r>
          </w:p>
        </w:tc>
        <w:tc>
          <w:tcPr>
            <w:tcW w:w="1337" w:type="dxa"/>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156-59-2</w:t>
            </w:r>
          </w:p>
        </w:tc>
        <w:tc>
          <w:tcPr>
            <w:tcW w:w="1047"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66</w:t>
            </w:r>
          </w:p>
        </w:tc>
        <w:tc>
          <w:tcPr>
            <w:tcW w:w="1037" w:type="dxa"/>
            <w:gridSpan w:val="2"/>
            <w:tcBorders>
              <w:tl2br w:val="nil"/>
              <w:tr2bl w:val="nil"/>
            </w:tcBorders>
            <w:shd w:val="clear" w:color="auto" w:fill="E7E6E6"/>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596</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23"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2038"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反-1,2-二氯乙烯</w:t>
            </w:r>
          </w:p>
        </w:tc>
        <w:tc>
          <w:tcPr>
            <w:tcW w:w="1337" w:type="dxa"/>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156-60-5</w:t>
            </w:r>
          </w:p>
        </w:tc>
        <w:tc>
          <w:tcPr>
            <w:tcW w:w="1047"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037" w:type="dxa"/>
            <w:gridSpan w:val="2"/>
            <w:tcBorders>
              <w:tl2br w:val="nil"/>
              <w:tr2bl w:val="nil"/>
            </w:tcBorders>
            <w:shd w:val="clear" w:color="auto" w:fill="E7E6E6"/>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54</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31</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23"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2038"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二氯甲烷</w:t>
            </w:r>
          </w:p>
        </w:tc>
        <w:tc>
          <w:tcPr>
            <w:tcW w:w="1337" w:type="dxa"/>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75-09-2</w:t>
            </w:r>
          </w:p>
        </w:tc>
        <w:tc>
          <w:tcPr>
            <w:tcW w:w="1047"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94</w:t>
            </w:r>
          </w:p>
        </w:tc>
        <w:tc>
          <w:tcPr>
            <w:tcW w:w="1037" w:type="dxa"/>
            <w:gridSpan w:val="2"/>
            <w:tcBorders>
              <w:tl2br w:val="nil"/>
              <w:tr2bl w:val="nil"/>
            </w:tcBorders>
            <w:shd w:val="clear" w:color="auto" w:fill="E7E6E6"/>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616</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23"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w:t>
            </w:r>
          </w:p>
        </w:tc>
        <w:tc>
          <w:tcPr>
            <w:tcW w:w="2038"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1,2-二氯丙烷</w:t>
            </w:r>
          </w:p>
        </w:tc>
        <w:tc>
          <w:tcPr>
            <w:tcW w:w="1337" w:type="dxa"/>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78-87-5</w:t>
            </w:r>
          </w:p>
        </w:tc>
        <w:tc>
          <w:tcPr>
            <w:tcW w:w="1047"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037" w:type="dxa"/>
            <w:gridSpan w:val="2"/>
            <w:tcBorders>
              <w:tl2br w:val="nil"/>
              <w:tr2bl w:val="nil"/>
            </w:tcBorders>
            <w:shd w:val="clear" w:color="auto" w:fill="E7E6E6"/>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23"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2038"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1,1,1,2-四氯乙烷</w:t>
            </w:r>
          </w:p>
        </w:tc>
        <w:tc>
          <w:tcPr>
            <w:tcW w:w="1337" w:type="dxa"/>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630-20-6</w:t>
            </w:r>
          </w:p>
        </w:tc>
        <w:tc>
          <w:tcPr>
            <w:tcW w:w="1047"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w:t>
            </w:r>
          </w:p>
        </w:tc>
        <w:tc>
          <w:tcPr>
            <w:tcW w:w="1037" w:type="dxa"/>
            <w:gridSpan w:val="2"/>
            <w:tcBorders>
              <w:tl2br w:val="nil"/>
              <w:tr2bl w:val="nil"/>
            </w:tcBorders>
            <w:shd w:val="clear" w:color="auto" w:fill="E7E6E6"/>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23"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w:t>
            </w:r>
          </w:p>
        </w:tc>
        <w:tc>
          <w:tcPr>
            <w:tcW w:w="2038"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1,1,2,2-四氯乙烷</w:t>
            </w:r>
          </w:p>
        </w:tc>
        <w:tc>
          <w:tcPr>
            <w:tcW w:w="1337" w:type="dxa"/>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79-34-5</w:t>
            </w:r>
          </w:p>
        </w:tc>
        <w:tc>
          <w:tcPr>
            <w:tcW w:w="1047"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1037" w:type="dxa"/>
            <w:gridSpan w:val="2"/>
            <w:tcBorders>
              <w:tl2br w:val="nil"/>
              <w:tr2bl w:val="nil"/>
            </w:tcBorders>
            <w:shd w:val="clear" w:color="auto" w:fill="E7E6E6"/>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6.8</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0" w:hRule="exact"/>
          <w:jc w:val="center"/>
        </w:trPr>
        <w:tc>
          <w:tcPr>
            <w:tcW w:w="823"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2038"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四氯乙烯</w:t>
            </w:r>
          </w:p>
        </w:tc>
        <w:tc>
          <w:tcPr>
            <w:tcW w:w="1337" w:type="dxa"/>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127-18-4</w:t>
            </w:r>
          </w:p>
        </w:tc>
        <w:tc>
          <w:tcPr>
            <w:tcW w:w="1047" w:type="dxa"/>
            <w:gridSpan w:val="2"/>
            <w:tcBorders>
              <w:tl2br w:val="nil"/>
              <w:tr2bl w:val="nil"/>
            </w:tcBorders>
            <w:shd w:val="clear" w:color="auto" w:fill="auto"/>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1037" w:type="dxa"/>
            <w:gridSpan w:val="2"/>
            <w:tcBorders>
              <w:tl2br w:val="nil"/>
              <w:tr2bl w:val="nil"/>
            </w:tcBorders>
            <w:shd w:val="clear" w:color="auto" w:fill="E7E6E6"/>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53</w:t>
            </w:r>
          </w:p>
        </w:tc>
        <w:tc>
          <w:tcPr>
            <w:tcW w:w="992" w:type="dxa"/>
            <w:gridSpan w:val="2"/>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w:t>
            </w:r>
          </w:p>
        </w:tc>
        <w:tc>
          <w:tcPr>
            <w:tcW w:w="1088" w:type="dxa"/>
            <w:tcBorders>
              <w:tl2br w:val="nil"/>
              <w:tr2bl w:val="nil"/>
            </w:tcBorders>
            <w:noWrap w:val="0"/>
            <w:tcMar>
              <w:left w:w="28" w:type="dxa"/>
              <w:right w:w="28" w:type="dxa"/>
            </w:tcMar>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w:t>
            </w:r>
          </w:p>
        </w:tc>
        <w:tc>
          <w:tcPr>
            <w:tcW w:w="2064" w:type="dxa"/>
            <w:gridSpan w:val="3"/>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1,1,1-三氯乙烷</w:t>
            </w:r>
          </w:p>
        </w:tc>
        <w:tc>
          <w:tcPr>
            <w:tcW w:w="133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71-55-6</w:t>
            </w:r>
          </w:p>
        </w:tc>
        <w:tc>
          <w:tcPr>
            <w:tcW w:w="104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701</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840</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840</w:t>
            </w:r>
          </w:p>
        </w:tc>
        <w:tc>
          <w:tcPr>
            <w:tcW w:w="108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w:t>
            </w:r>
          </w:p>
        </w:tc>
        <w:tc>
          <w:tcPr>
            <w:tcW w:w="2064" w:type="dxa"/>
            <w:gridSpan w:val="3"/>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1,1,2-三氯乙烷</w:t>
            </w:r>
          </w:p>
        </w:tc>
        <w:tc>
          <w:tcPr>
            <w:tcW w:w="133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79-00-5</w:t>
            </w:r>
          </w:p>
        </w:tc>
        <w:tc>
          <w:tcPr>
            <w:tcW w:w="104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08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w:t>
            </w:r>
          </w:p>
        </w:tc>
        <w:tc>
          <w:tcPr>
            <w:tcW w:w="2064" w:type="dxa"/>
            <w:gridSpan w:val="3"/>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三氯乙烯</w:t>
            </w:r>
          </w:p>
        </w:tc>
        <w:tc>
          <w:tcPr>
            <w:tcW w:w="133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79-01-6</w:t>
            </w:r>
          </w:p>
        </w:tc>
        <w:tc>
          <w:tcPr>
            <w:tcW w:w="104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0.7</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108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w:t>
            </w:r>
          </w:p>
        </w:tc>
        <w:tc>
          <w:tcPr>
            <w:tcW w:w="2064" w:type="dxa"/>
            <w:gridSpan w:val="3"/>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1,2,3-三氯丙烷</w:t>
            </w:r>
          </w:p>
        </w:tc>
        <w:tc>
          <w:tcPr>
            <w:tcW w:w="133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96-18-4</w:t>
            </w:r>
          </w:p>
        </w:tc>
        <w:tc>
          <w:tcPr>
            <w:tcW w:w="104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0.05</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108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2064" w:type="dxa"/>
            <w:gridSpan w:val="3"/>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氯乙烯</w:t>
            </w:r>
          </w:p>
        </w:tc>
        <w:tc>
          <w:tcPr>
            <w:tcW w:w="133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75-01-4</w:t>
            </w:r>
          </w:p>
        </w:tc>
        <w:tc>
          <w:tcPr>
            <w:tcW w:w="104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0.12</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0.43</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08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w:t>
            </w:r>
          </w:p>
        </w:tc>
        <w:tc>
          <w:tcPr>
            <w:tcW w:w="2064" w:type="dxa"/>
            <w:gridSpan w:val="3"/>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w:t>
            </w:r>
          </w:p>
        </w:tc>
        <w:tc>
          <w:tcPr>
            <w:tcW w:w="133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71-43-2</w:t>
            </w:r>
          </w:p>
        </w:tc>
        <w:tc>
          <w:tcPr>
            <w:tcW w:w="104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08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w:t>
            </w:r>
          </w:p>
        </w:tc>
        <w:tc>
          <w:tcPr>
            <w:tcW w:w="2064" w:type="dxa"/>
            <w:gridSpan w:val="3"/>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氯苯</w:t>
            </w:r>
          </w:p>
        </w:tc>
        <w:tc>
          <w:tcPr>
            <w:tcW w:w="133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108-90-7</w:t>
            </w:r>
          </w:p>
        </w:tc>
        <w:tc>
          <w:tcPr>
            <w:tcW w:w="104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68</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270</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08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2064" w:type="dxa"/>
            <w:gridSpan w:val="3"/>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1,2-二氯苯</w:t>
            </w:r>
          </w:p>
        </w:tc>
        <w:tc>
          <w:tcPr>
            <w:tcW w:w="133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95-50-1</w:t>
            </w:r>
          </w:p>
        </w:tc>
        <w:tc>
          <w:tcPr>
            <w:tcW w:w="104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560</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560</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560</w:t>
            </w:r>
          </w:p>
        </w:tc>
        <w:tc>
          <w:tcPr>
            <w:tcW w:w="108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29</w:t>
            </w:r>
          </w:p>
        </w:tc>
        <w:tc>
          <w:tcPr>
            <w:tcW w:w="2064" w:type="dxa"/>
            <w:gridSpan w:val="3"/>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1,4-二氯苯</w:t>
            </w:r>
          </w:p>
        </w:tc>
        <w:tc>
          <w:tcPr>
            <w:tcW w:w="133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106-46-7</w:t>
            </w:r>
          </w:p>
        </w:tc>
        <w:tc>
          <w:tcPr>
            <w:tcW w:w="104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w:t>
            </w:r>
          </w:p>
        </w:tc>
        <w:tc>
          <w:tcPr>
            <w:tcW w:w="108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2064" w:type="dxa"/>
            <w:gridSpan w:val="3"/>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乙苯</w:t>
            </w:r>
          </w:p>
        </w:tc>
        <w:tc>
          <w:tcPr>
            <w:tcW w:w="133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100-41-4</w:t>
            </w:r>
          </w:p>
        </w:tc>
        <w:tc>
          <w:tcPr>
            <w:tcW w:w="104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7.2</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72</w:t>
            </w:r>
          </w:p>
        </w:tc>
        <w:tc>
          <w:tcPr>
            <w:tcW w:w="108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31</w:t>
            </w:r>
          </w:p>
        </w:tc>
        <w:tc>
          <w:tcPr>
            <w:tcW w:w="2064" w:type="dxa"/>
            <w:gridSpan w:val="3"/>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苯乙烯</w:t>
            </w:r>
          </w:p>
        </w:tc>
        <w:tc>
          <w:tcPr>
            <w:tcW w:w="133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100-42-5</w:t>
            </w:r>
          </w:p>
        </w:tc>
        <w:tc>
          <w:tcPr>
            <w:tcW w:w="104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1290</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1290</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1290</w:t>
            </w:r>
          </w:p>
        </w:tc>
        <w:tc>
          <w:tcPr>
            <w:tcW w:w="108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w:t>
            </w:r>
          </w:p>
        </w:tc>
        <w:tc>
          <w:tcPr>
            <w:tcW w:w="2064" w:type="dxa"/>
            <w:gridSpan w:val="3"/>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甲苯</w:t>
            </w:r>
          </w:p>
        </w:tc>
        <w:tc>
          <w:tcPr>
            <w:tcW w:w="133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108-88-3</w:t>
            </w:r>
          </w:p>
        </w:tc>
        <w:tc>
          <w:tcPr>
            <w:tcW w:w="104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1200</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1200</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1200</w:t>
            </w:r>
          </w:p>
        </w:tc>
        <w:tc>
          <w:tcPr>
            <w:tcW w:w="108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4"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w:t>
            </w:r>
          </w:p>
        </w:tc>
        <w:tc>
          <w:tcPr>
            <w:tcW w:w="2064" w:type="dxa"/>
            <w:gridSpan w:val="3"/>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间二甲苯+对二甲苯</w:t>
            </w:r>
          </w:p>
        </w:tc>
        <w:tc>
          <w:tcPr>
            <w:tcW w:w="133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108-38-3,</w:t>
            </w:r>
          </w:p>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106-42-3</w:t>
            </w:r>
          </w:p>
        </w:tc>
        <w:tc>
          <w:tcPr>
            <w:tcW w:w="104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163</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570</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w:t>
            </w:r>
          </w:p>
        </w:tc>
        <w:tc>
          <w:tcPr>
            <w:tcW w:w="108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w:t>
            </w:r>
          </w:p>
        </w:tc>
        <w:tc>
          <w:tcPr>
            <w:tcW w:w="2064" w:type="dxa"/>
            <w:gridSpan w:val="3"/>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邻二甲苯</w:t>
            </w:r>
          </w:p>
        </w:tc>
        <w:tc>
          <w:tcPr>
            <w:tcW w:w="133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95-47-6</w:t>
            </w:r>
          </w:p>
        </w:tc>
        <w:tc>
          <w:tcPr>
            <w:tcW w:w="104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222</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640</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640</w:t>
            </w:r>
          </w:p>
        </w:tc>
        <w:tc>
          <w:tcPr>
            <w:tcW w:w="108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8362" w:type="dxa"/>
            <w:gridSpan w:val="1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半挥发性有机物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w:t>
            </w:r>
          </w:p>
        </w:tc>
        <w:tc>
          <w:tcPr>
            <w:tcW w:w="203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硝基苯</w:t>
            </w:r>
          </w:p>
        </w:tc>
        <w:tc>
          <w:tcPr>
            <w:tcW w:w="1364"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98-95-3</w:t>
            </w:r>
          </w:p>
        </w:tc>
        <w:tc>
          <w:tcPr>
            <w:tcW w:w="1021"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76</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190</w:t>
            </w:r>
          </w:p>
        </w:tc>
        <w:tc>
          <w:tcPr>
            <w:tcW w:w="1114"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w:t>
            </w:r>
          </w:p>
        </w:tc>
        <w:tc>
          <w:tcPr>
            <w:tcW w:w="203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苯胺</w:t>
            </w:r>
          </w:p>
        </w:tc>
        <w:tc>
          <w:tcPr>
            <w:tcW w:w="1364"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62-53-3</w:t>
            </w:r>
          </w:p>
        </w:tc>
        <w:tc>
          <w:tcPr>
            <w:tcW w:w="1021"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92</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211</w:t>
            </w:r>
          </w:p>
        </w:tc>
        <w:tc>
          <w:tcPr>
            <w:tcW w:w="1114"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663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37</w:t>
            </w:r>
          </w:p>
        </w:tc>
        <w:tc>
          <w:tcPr>
            <w:tcW w:w="203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2-氯酚</w:t>
            </w:r>
          </w:p>
        </w:tc>
        <w:tc>
          <w:tcPr>
            <w:tcW w:w="1364"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95-57-8</w:t>
            </w:r>
          </w:p>
        </w:tc>
        <w:tc>
          <w:tcPr>
            <w:tcW w:w="1021"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2256</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w:t>
            </w:r>
          </w:p>
        </w:tc>
        <w:tc>
          <w:tcPr>
            <w:tcW w:w="1114"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w:t>
            </w:r>
          </w:p>
        </w:tc>
        <w:tc>
          <w:tcPr>
            <w:tcW w:w="203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苯并[a]蒽</w:t>
            </w:r>
          </w:p>
        </w:tc>
        <w:tc>
          <w:tcPr>
            <w:tcW w:w="1364"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56-55-3</w:t>
            </w:r>
          </w:p>
        </w:tc>
        <w:tc>
          <w:tcPr>
            <w:tcW w:w="1021"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w:t>
            </w:r>
          </w:p>
        </w:tc>
        <w:tc>
          <w:tcPr>
            <w:tcW w:w="1114"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39</w:t>
            </w:r>
          </w:p>
        </w:tc>
        <w:tc>
          <w:tcPr>
            <w:tcW w:w="203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苯并[a]芘</w:t>
            </w:r>
          </w:p>
        </w:tc>
        <w:tc>
          <w:tcPr>
            <w:tcW w:w="1364"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50-32-8</w:t>
            </w:r>
          </w:p>
        </w:tc>
        <w:tc>
          <w:tcPr>
            <w:tcW w:w="1021"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0.55</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w:t>
            </w:r>
          </w:p>
        </w:tc>
        <w:tc>
          <w:tcPr>
            <w:tcW w:w="1114"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w:t>
            </w:r>
          </w:p>
        </w:tc>
        <w:tc>
          <w:tcPr>
            <w:tcW w:w="203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苯并[b]荧蒽</w:t>
            </w:r>
          </w:p>
        </w:tc>
        <w:tc>
          <w:tcPr>
            <w:tcW w:w="1364"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205-99-2</w:t>
            </w:r>
          </w:p>
        </w:tc>
        <w:tc>
          <w:tcPr>
            <w:tcW w:w="1021"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w:t>
            </w:r>
          </w:p>
        </w:tc>
        <w:tc>
          <w:tcPr>
            <w:tcW w:w="1114"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w:t>
            </w:r>
          </w:p>
        </w:tc>
        <w:tc>
          <w:tcPr>
            <w:tcW w:w="203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苯并[k]荧蒽</w:t>
            </w:r>
          </w:p>
        </w:tc>
        <w:tc>
          <w:tcPr>
            <w:tcW w:w="1364"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207-08-9</w:t>
            </w:r>
          </w:p>
        </w:tc>
        <w:tc>
          <w:tcPr>
            <w:tcW w:w="1021"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151</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550</w:t>
            </w:r>
          </w:p>
        </w:tc>
        <w:tc>
          <w:tcPr>
            <w:tcW w:w="1114"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42</w:t>
            </w:r>
          </w:p>
        </w:tc>
        <w:tc>
          <w:tcPr>
            <w:tcW w:w="203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䓛</w:t>
            </w:r>
          </w:p>
        </w:tc>
        <w:tc>
          <w:tcPr>
            <w:tcW w:w="1364"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218-01-9</w:t>
            </w:r>
          </w:p>
        </w:tc>
        <w:tc>
          <w:tcPr>
            <w:tcW w:w="1021"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490</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1293</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4900</w:t>
            </w:r>
          </w:p>
        </w:tc>
        <w:tc>
          <w:tcPr>
            <w:tcW w:w="1114"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12900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43</w:t>
            </w:r>
          </w:p>
        </w:tc>
        <w:tc>
          <w:tcPr>
            <w:tcW w:w="203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二苯并[a, h]蒽</w:t>
            </w:r>
          </w:p>
        </w:tc>
        <w:tc>
          <w:tcPr>
            <w:tcW w:w="1364"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53-70-3</w:t>
            </w:r>
          </w:p>
        </w:tc>
        <w:tc>
          <w:tcPr>
            <w:tcW w:w="1021"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0.55</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w:t>
            </w:r>
          </w:p>
        </w:tc>
        <w:tc>
          <w:tcPr>
            <w:tcW w:w="1114"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44</w:t>
            </w:r>
          </w:p>
        </w:tc>
        <w:tc>
          <w:tcPr>
            <w:tcW w:w="203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茚并[1,2,3-cd]芘</w:t>
            </w:r>
          </w:p>
        </w:tc>
        <w:tc>
          <w:tcPr>
            <w:tcW w:w="1364"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193-39-5</w:t>
            </w:r>
          </w:p>
        </w:tc>
        <w:tc>
          <w:tcPr>
            <w:tcW w:w="1021"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w:t>
            </w:r>
          </w:p>
        </w:tc>
        <w:tc>
          <w:tcPr>
            <w:tcW w:w="1114"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exact"/>
          <w:jc w:val="center"/>
        </w:trPr>
        <w:tc>
          <w:tcPr>
            <w:tcW w:w="797"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w:t>
            </w:r>
          </w:p>
        </w:tc>
        <w:tc>
          <w:tcPr>
            <w:tcW w:w="2037"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萘</w:t>
            </w:r>
          </w:p>
        </w:tc>
        <w:tc>
          <w:tcPr>
            <w:tcW w:w="1364"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91-20-3</w:t>
            </w:r>
          </w:p>
        </w:tc>
        <w:tc>
          <w:tcPr>
            <w:tcW w:w="1021"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037" w:type="dxa"/>
            <w:gridSpan w:val="2"/>
            <w:tcBorders>
              <w:tl2br w:val="nil"/>
              <w:tr2bl w:val="nil"/>
            </w:tcBorders>
            <w:shd w:val="clear" w:color="auto" w:fill="E7E6E6"/>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w:t>
            </w:r>
          </w:p>
        </w:tc>
        <w:tc>
          <w:tcPr>
            <w:tcW w:w="992"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255</w:t>
            </w:r>
          </w:p>
        </w:tc>
        <w:tc>
          <w:tcPr>
            <w:tcW w:w="1114" w:type="dxa"/>
            <w:gridSpan w:val="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center"/>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4" w:hRule="exact"/>
          <w:jc w:val="center"/>
        </w:trPr>
        <w:tc>
          <w:tcPr>
            <w:tcW w:w="8362" w:type="dxa"/>
            <w:gridSpan w:val="12"/>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snapToGrid w:val="0"/>
              <w:spacing w:line="300" w:lineRule="atLeast"/>
              <w:ind w:firstLine="0"/>
              <w:jc w:val="left"/>
              <w:textAlignment w:val="bottom"/>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注：①具体地块土壤中污染物检测含量超过筛选值，但等于或者低于土壤环境背景值水平的，不纳入污染地块管理。土壤环境背景值可参见附录 A。</w:t>
            </w:r>
          </w:p>
        </w:tc>
      </w:tr>
    </w:tbl>
    <w:p>
      <w:pPr>
        <w:spacing w:line="360" w:lineRule="auto"/>
        <w:ind w:firstLine="0"/>
        <w:outlineLvl w:val="1"/>
        <w:rPr>
          <w:rFonts w:hint="default" w:ascii="Times New Roman" w:hAnsi="Times New Roman" w:eastAsia="黑体" w:cs="Times New Roman"/>
          <w:b/>
          <w:color w:val="auto"/>
          <w:sz w:val="32"/>
          <w:szCs w:val="32"/>
        </w:rPr>
      </w:pPr>
      <w:bookmarkStart w:id="50" w:name="_Toc7380"/>
      <w:bookmarkStart w:id="51" w:name="_Toc6974"/>
      <w:r>
        <w:rPr>
          <w:rFonts w:hint="default" w:ascii="Times New Roman" w:hAnsi="Times New Roman" w:eastAsia="黑体" w:cs="Times New Roman"/>
          <w:b/>
          <w:color w:val="auto"/>
          <w:sz w:val="32"/>
          <w:szCs w:val="32"/>
        </w:rPr>
        <w:t>1.4 污染物排放标准</w:t>
      </w:r>
      <w:bookmarkEnd w:id="50"/>
      <w:bookmarkEnd w:id="51"/>
    </w:p>
    <w:p>
      <w:pPr>
        <w:spacing w:line="360" w:lineRule="auto"/>
        <w:ind w:firstLine="0"/>
        <w:outlineLvl w:val="2"/>
        <w:rPr>
          <w:rFonts w:hint="default" w:ascii="Times New Roman" w:hAnsi="Times New Roman" w:eastAsia="黑体" w:cs="Times New Roman"/>
          <w:b/>
          <w:color w:val="auto"/>
          <w:sz w:val="30"/>
          <w:szCs w:val="30"/>
        </w:rPr>
      </w:pPr>
      <w:r>
        <w:rPr>
          <w:rFonts w:hint="default" w:ascii="Times New Roman" w:hAnsi="Times New Roman" w:eastAsia="黑体" w:cs="Times New Roman"/>
          <w:b/>
          <w:color w:val="auto"/>
          <w:sz w:val="30"/>
          <w:szCs w:val="30"/>
        </w:rPr>
        <w:t>1.4.1废水</w:t>
      </w:r>
    </w:p>
    <w:p>
      <w:pPr>
        <w:widowControl w:val="0"/>
        <w:numPr>
          <w:ilvl w:val="0"/>
          <w:numId w:val="15"/>
        </w:numPr>
        <w:spacing w:line="360" w:lineRule="auto"/>
        <w:ind w:firstLine="480"/>
        <w:jc w:val="both"/>
        <w:rPr>
          <w:rFonts w:hint="eastAsia"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0"/>
          <w:lang w:val="en-US" w:eastAsia="zh-CN" w:bidi="ar-SA"/>
        </w:rPr>
        <w:t>生产含银废水等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jc w:val="both"/>
        <w:textAlignment w:val="auto"/>
        <w:rPr>
          <w:rFonts w:hint="eastAsia"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本项目</w:t>
      </w:r>
      <w:r>
        <w:rPr>
          <w:rFonts w:hint="eastAsia" w:ascii="Times New Roman" w:hAnsi="Times New Roman" w:eastAsia="宋体" w:cs="Times New Roman"/>
          <w:color w:val="auto"/>
          <w:kern w:val="2"/>
          <w:sz w:val="24"/>
          <w:szCs w:val="20"/>
          <w:lang w:val="en-US" w:eastAsia="zh-CN" w:bidi="ar-SA"/>
        </w:rPr>
        <w:t>生产</w:t>
      </w:r>
      <w:r>
        <w:rPr>
          <w:rFonts w:hint="default" w:ascii="Times New Roman" w:hAnsi="Times New Roman" w:eastAsia="宋体" w:cs="Times New Roman"/>
          <w:color w:val="auto"/>
          <w:kern w:val="2"/>
          <w:sz w:val="24"/>
          <w:szCs w:val="20"/>
          <w:lang w:val="en-US" w:eastAsia="zh-CN" w:bidi="ar-SA"/>
        </w:rPr>
        <w:t>含银废水</w:t>
      </w:r>
      <w:r>
        <w:rPr>
          <w:rFonts w:hint="eastAsia" w:ascii="Times New Roman" w:hAnsi="Times New Roman" w:eastAsia="宋体" w:cs="Times New Roman"/>
          <w:color w:val="auto"/>
          <w:kern w:val="2"/>
          <w:sz w:val="24"/>
          <w:szCs w:val="20"/>
          <w:lang w:val="en-US" w:eastAsia="zh-CN" w:bidi="ar-SA"/>
        </w:rPr>
        <w:t>、</w:t>
      </w:r>
      <w:r>
        <w:rPr>
          <w:rFonts w:hint="default" w:ascii="Times New Roman" w:hAnsi="Times New Roman" w:eastAsia="宋体" w:cs="Times New Roman"/>
          <w:color w:val="auto"/>
          <w:sz w:val="24"/>
          <w:szCs w:val="28"/>
          <w:lang w:val="en-US" w:eastAsia="zh-CN"/>
        </w:rPr>
        <w:t>各废气处理塔排水、水环真空泵废水、化验室废水</w:t>
      </w:r>
      <w:r>
        <w:rPr>
          <w:rFonts w:hint="eastAsia" w:ascii="Times New Roman" w:hAnsi="Times New Roman" w:eastAsia="宋体" w:cs="Times New Roman"/>
          <w:color w:val="auto"/>
          <w:kern w:val="2"/>
          <w:sz w:val="24"/>
          <w:szCs w:val="20"/>
          <w:lang w:val="en-US" w:eastAsia="zh-CN" w:bidi="ar-SA"/>
        </w:rPr>
        <w:t>等经处理</w:t>
      </w:r>
      <w:r>
        <w:rPr>
          <w:rFonts w:hint="default" w:ascii="Times New Roman" w:hAnsi="Times New Roman" w:eastAsia="宋体" w:cs="Times New Roman"/>
          <w:color w:val="auto"/>
          <w:kern w:val="2"/>
          <w:sz w:val="24"/>
          <w:szCs w:val="20"/>
          <w:lang w:val="en-US" w:eastAsia="zh-CN" w:bidi="ar-SA"/>
        </w:rPr>
        <w:t>后回用</w:t>
      </w:r>
      <w:r>
        <w:rPr>
          <w:rFonts w:hint="eastAsia" w:ascii="Times New Roman" w:hAnsi="Times New Roman" w:eastAsia="宋体" w:cs="Times New Roman"/>
          <w:color w:val="auto"/>
          <w:kern w:val="2"/>
          <w:sz w:val="24"/>
          <w:szCs w:val="22"/>
          <w:lang w:val="en-US" w:eastAsia="zh-CN" w:bidi="ar-SA"/>
        </w:rPr>
        <w:t>到工艺上及各个洗涤塔，</w:t>
      </w:r>
      <w:r>
        <w:rPr>
          <w:rFonts w:hint="default" w:ascii="Times New Roman" w:hAnsi="Times New Roman" w:eastAsia="宋体" w:cs="Times New Roman"/>
          <w:color w:val="auto"/>
          <w:kern w:val="2"/>
          <w:sz w:val="24"/>
          <w:szCs w:val="22"/>
          <w:lang w:val="en-US" w:eastAsia="zh-CN" w:bidi="ar-SA"/>
        </w:rPr>
        <w:t>《城市污水再生利用 工业用水水质》（GB/T19923-2005）中工艺与产品用水标准</w:t>
      </w:r>
      <w:r>
        <w:rPr>
          <w:rFonts w:hint="eastAsia" w:ascii="Times New Roman" w:hAnsi="Times New Roman" w:eastAsia="宋体" w:cs="Times New Roman"/>
          <w:color w:val="auto"/>
          <w:kern w:val="2"/>
          <w:sz w:val="24"/>
          <w:szCs w:val="22"/>
          <w:lang w:val="en-US" w:eastAsia="zh-CN" w:bidi="ar-SA"/>
        </w:rPr>
        <w:t>及洗涤用水标准见表1.4-1，工艺及产品用水标准严于洗涤用水标准。因此，项目回用水执行</w:t>
      </w:r>
      <w:r>
        <w:rPr>
          <w:rFonts w:hint="default" w:ascii="Times New Roman" w:hAnsi="Times New Roman" w:eastAsia="宋体" w:cs="Times New Roman"/>
          <w:color w:val="auto"/>
          <w:kern w:val="2"/>
          <w:sz w:val="24"/>
          <w:szCs w:val="22"/>
          <w:lang w:val="en-US" w:eastAsia="zh-CN" w:bidi="ar-SA"/>
        </w:rPr>
        <w:t>《城市污水再生利用 工业用水水质》（GB/T19923-2005）中工艺与产品用水标准</w:t>
      </w:r>
      <w:r>
        <w:rPr>
          <w:rFonts w:hint="eastAsia" w:ascii="Times New Roman" w:hAnsi="Times New Roman" w:eastAsia="宋体" w:cs="Times New Roman"/>
          <w:color w:val="auto"/>
          <w:kern w:val="2"/>
          <w:sz w:val="24"/>
          <w:szCs w:val="22"/>
          <w:lang w:val="en-US" w:eastAsia="zh-CN" w:bidi="ar-SA"/>
        </w:rPr>
        <w:t>，且工艺用水要求电导率低于0.1us/cm</w:t>
      </w:r>
      <w:r>
        <w:rPr>
          <w:rFonts w:hint="default" w:ascii="Times New Roman" w:hAnsi="Times New Roman" w:eastAsia="宋体" w:cs="Times New Roman"/>
          <w:color w:val="auto"/>
          <w:kern w:val="2"/>
          <w:sz w:val="24"/>
          <w:szCs w:val="22"/>
          <w:lang w:val="en-US" w:eastAsia="zh-CN" w:bidi="ar-SA"/>
        </w:rPr>
        <w:t>。</w:t>
      </w:r>
      <w:r>
        <w:rPr>
          <w:rFonts w:hint="eastAsia" w:ascii="Times New Roman" w:hAnsi="Times New Roman" w:eastAsia="宋体" w:cs="Times New Roman"/>
          <w:color w:val="auto"/>
          <w:kern w:val="2"/>
          <w:sz w:val="24"/>
          <w:szCs w:val="20"/>
          <w:lang w:val="en-US" w:eastAsia="zh-CN" w:bidi="ar-SA"/>
        </w:rPr>
        <w:t>但车间</w:t>
      </w:r>
      <w:r>
        <w:rPr>
          <w:rFonts w:hint="eastAsia" w:ascii="Times New Roman" w:hAnsi="Times New Roman" w:eastAsia="宋体" w:cs="Times New Roman"/>
          <w:color w:val="auto"/>
          <w:kern w:val="2"/>
          <w:sz w:val="24"/>
          <w:szCs w:val="24"/>
          <w:lang w:val="en-US" w:eastAsia="zh-CN" w:bidi="ar-SA"/>
        </w:rPr>
        <w:t>含银废水预处理设施出口总银执行</w:t>
      </w:r>
      <w:r>
        <w:rPr>
          <w:rFonts w:hint="default" w:ascii="Times New Roman" w:hAnsi="Times New Roman" w:eastAsia="宋体" w:cs="Times New Roman"/>
          <w:color w:val="auto"/>
          <w:kern w:val="2"/>
          <w:sz w:val="24"/>
          <w:szCs w:val="24"/>
          <w:lang w:val="en-GB" w:eastAsia="zh-CN" w:bidi="ar-SA"/>
        </w:rPr>
        <w:t>《无机化学工业污染物排放标准》（GB3157</w:t>
      </w:r>
      <w:r>
        <w:rPr>
          <w:rFonts w:hint="default" w:ascii="Times New Roman" w:hAnsi="Times New Roman" w:eastAsia="宋体" w:cs="Times New Roman"/>
          <w:color w:val="auto"/>
          <w:kern w:val="2"/>
          <w:sz w:val="24"/>
          <w:szCs w:val="24"/>
          <w:lang w:val="en-US" w:eastAsia="zh-CN" w:bidi="ar-SA"/>
        </w:rPr>
        <w:t>3</w:t>
      </w:r>
      <w:r>
        <w:rPr>
          <w:rFonts w:hint="default" w:ascii="Times New Roman" w:hAnsi="Times New Roman" w:eastAsia="宋体" w:cs="Times New Roman"/>
          <w:color w:val="auto"/>
          <w:kern w:val="2"/>
          <w:sz w:val="24"/>
          <w:szCs w:val="24"/>
          <w:lang w:val="en-GB" w:eastAsia="zh-CN" w:bidi="ar-SA"/>
        </w:rPr>
        <w:t>-2015）</w:t>
      </w:r>
      <w:r>
        <w:rPr>
          <w:rFonts w:hint="default" w:ascii="Times New Roman" w:hAnsi="Times New Roman" w:eastAsia="宋体" w:cs="Times New Roman"/>
          <w:color w:val="auto"/>
          <w:kern w:val="2"/>
          <w:sz w:val="24"/>
          <w:szCs w:val="24"/>
          <w:lang w:val="en-US" w:eastAsia="zh-CN" w:bidi="ar-SA"/>
        </w:rPr>
        <w:t>表1</w:t>
      </w:r>
      <w:r>
        <w:rPr>
          <w:rFonts w:hint="eastAsia" w:ascii="Times New Roman" w:hAnsi="Times New Roman" w:eastAsia="宋体" w:cs="Times New Roman"/>
          <w:color w:val="auto"/>
          <w:kern w:val="2"/>
          <w:sz w:val="24"/>
          <w:szCs w:val="24"/>
          <w:lang w:val="en-US" w:eastAsia="zh-CN" w:bidi="ar-SA"/>
        </w:rPr>
        <w:t>中</w:t>
      </w:r>
      <w:r>
        <w:rPr>
          <w:rFonts w:hint="eastAsia" w:ascii="Times New Roman" w:hAnsi="Times New Roman" w:eastAsia="宋体" w:cs="Times New Roman"/>
          <w:color w:val="auto"/>
          <w:kern w:val="0"/>
          <w:sz w:val="24"/>
          <w:szCs w:val="24"/>
          <w:lang w:val="en-US" w:eastAsia="zh-CN"/>
        </w:rPr>
        <w:t>车间或生产设施废水排放口限值标准</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详见下表1.4-</w:t>
      </w:r>
      <w:r>
        <w:rPr>
          <w:rFonts w:hint="eastAsia" w:ascii="Times New Roman" w:hAnsi="Times New Roman" w:eastAsia="宋体" w:cs="Times New Roman"/>
          <w:color w:val="auto"/>
          <w:kern w:val="2"/>
          <w:sz w:val="24"/>
          <w:szCs w:val="24"/>
          <w:lang w:val="en-US" w:eastAsia="zh-CN" w:bidi="ar-SA"/>
        </w:rPr>
        <w:t>2。</w:t>
      </w:r>
    </w:p>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eastAsia" w:ascii="Times New Roman" w:hAnsi="Times New Roman" w:eastAsia="仿宋_GB2312" w:cs="Times New Roman"/>
          <w:b w:val="0"/>
          <w:bCs/>
          <w:color w:val="auto"/>
          <w:sz w:val="24"/>
          <w:szCs w:val="22"/>
          <w:lang w:val="en-US" w:eastAsia="zh-CN"/>
        </w:rPr>
      </w:pPr>
      <w:r>
        <w:rPr>
          <w:rFonts w:hint="default" w:ascii="Times New Roman" w:hAnsi="Times New Roman" w:eastAsia="黑体" w:cs="Times New Roman"/>
          <w:b w:val="0"/>
          <w:bCs/>
          <w:color w:val="auto"/>
          <w:sz w:val="24"/>
          <w:szCs w:val="22"/>
        </w:rPr>
        <w:t>表1.</w:t>
      </w:r>
      <w:r>
        <w:rPr>
          <w:rFonts w:hint="default" w:ascii="Times New Roman" w:hAnsi="Times New Roman" w:eastAsia="黑体" w:cs="Times New Roman"/>
          <w:b w:val="0"/>
          <w:bCs/>
          <w:color w:val="auto"/>
          <w:sz w:val="24"/>
          <w:szCs w:val="22"/>
          <w:lang w:val="en-US" w:eastAsia="zh-CN"/>
        </w:rPr>
        <w:t>4-</w:t>
      </w:r>
      <w:r>
        <w:rPr>
          <w:rFonts w:hint="eastAsia" w:ascii="Times New Roman" w:hAnsi="Times New Roman" w:eastAsia="黑体" w:cs="Times New Roman"/>
          <w:b w:val="0"/>
          <w:bCs/>
          <w:color w:val="auto"/>
          <w:sz w:val="24"/>
          <w:szCs w:val="22"/>
          <w:lang w:val="en-US" w:eastAsia="zh-CN"/>
        </w:rPr>
        <w:t>1</w:t>
      </w:r>
      <w:r>
        <w:rPr>
          <w:rFonts w:hint="default" w:ascii="Times New Roman" w:hAnsi="Times New Roman" w:eastAsia="黑体" w:cs="Times New Roman"/>
          <w:b w:val="0"/>
          <w:bCs/>
          <w:color w:val="auto"/>
          <w:sz w:val="24"/>
          <w:szCs w:val="22"/>
        </w:rPr>
        <w:t xml:space="preserve"> </w:t>
      </w:r>
      <w:r>
        <w:rPr>
          <w:rFonts w:hint="eastAsia" w:ascii="Times New Roman" w:hAnsi="Times New Roman" w:eastAsia="黑体" w:cs="Times New Roman"/>
          <w:b w:val="0"/>
          <w:bCs/>
          <w:color w:val="auto"/>
          <w:sz w:val="24"/>
          <w:szCs w:val="22"/>
          <w:lang w:val="en-US" w:eastAsia="zh-CN"/>
        </w:rPr>
        <w:t xml:space="preserve"> </w:t>
      </w:r>
      <w:r>
        <w:rPr>
          <w:rFonts w:hint="default" w:ascii="Times New Roman" w:hAnsi="Times New Roman" w:eastAsia="黑体" w:cs="Times New Roman"/>
          <w:b w:val="0"/>
          <w:bCs/>
          <w:color w:val="auto"/>
          <w:sz w:val="24"/>
          <w:szCs w:val="22"/>
        </w:rPr>
        <w:t>废水回用标准</w:t>
      </w:r>
      <w:r>
        <w:rPr>
          <w:rFonts w:hint="eastAsia"/>
          <w:color w:val="auto"/>
          <w:lang w:val="en-US" w:eastAsia="zh-CN"/>
        </w:rPr>
        <w:t xml:space="preserve">   </w:t>
      </w:r>
      <w:r>
        <w:rPr>
          <w:rFonts w:hint="eastAsia" w:ascii="Times New Roman" w:hAnsi="Times New Roman" w:eastAsia="黑体" w:cs="Times New Roman"/>
          <w:b w:val="0"/>
          <w:bCs/>
          <w:color w:val="auto"/>
          <w:sz w:val="24"/>
          <w:szCs w:val="22"/>
          <w:lang w:val="en-US" w:eastAsia="zh-CN"/>
        </w:rPr>
        <w:t xml:space="preserve"> 单位：mg/L</w:t>
      </w:r>
    </w:p>
    <w:tbl>
      <w:tblPr>
        <w:tblStyle w:val="90"/>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018"/>
        <w:gridCol w:w="3058"/>
        <w:gridCol w:w="344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018" w:type="dxa"/>
            <w:vMerge w:val="restart"/>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630"/>
              <w:jc w:val="both"/>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污染物</w:t>
            </w:r>
          </w:p>
        </w:tc>
        <w:tc>
          <w:tcPr>
            <w:tcW w:w="6505" w:type="dxa"/>
            <w:gridSpan w:val="2"/>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0"/>
                <w:lang w:val="en-US" w:eastAsia="zh-CN" w:bidi="ar-SA"/>
              </w:rPr>
            </w:pPr>
            <w:r>
              <w:rPr>
                <w:rFonts w:hint="default" w:ascii="Times New Roman" w:hAnsi="Times New Roman" w:eastAsia="宋体" w:cs="Times New Roman"/>
                <w:b w:val="0"/>
                <w:color w:val="auto"/>
                <w:kern w:val="0"/>
                <w:sz w:val="21"/>
                <w:szCs w:val="20"/>
                <w:lang w:val="en-US" w:eastAsia="zh-CN" w:bidi="ar-SA"/>
              </w:rPr>
              <w:t xml:space="preserve">《城市污水再生利用 </w:t>
            </w:r>
            <w:r>
              <w:rPr>
                <w:rFonts w:hint="default" w:ascii="Times New Roman" w:hAnsi="Times New Roman" w:eastAsia="宋体" w:cs="Times New Roman"/>
                <w:b w:val="0"/>
                <w:color w:val="auto"/>
                <w:spacing w:val="-2"/>
                <w:kern w:val="0"/>
                <w:sz w:val="21"/>
                <w:szCs w:val="20"/>
                <w:lang w:val="en-US" w:eastAsia="zh-CN" w:bidi="ar-SA"/>
              </w:rPr>
              <w:t>工业</w:t>
            </w:r>
            <w:r>
              <w:rPr>
                <w:rFonts w:hint="default" w:ascii="Times New Roman" w:hAnsi="Times New Roman" w:eastAsia="宋体" w:cs="Times New Roman"/>
                <w:b w:val="0"/>
                <w:color w:val="auto"/>
                <w:kern w:val="0"/>
                <w:sz w:val="21"/>
                <w:szCs w:val="20"/>
                <w:lang w:val="en-US" w:eastAsia="zh-CN" w:bidi="ar-SA"/>
              </w:rPr>
              <w:t>用水水质》</w:t>
            </w:r>
            <w:r>
              <w:rPr>
                <w:rFonts w:hint="default" w:ascii="Times New Roman" w:hAnsi="Times New Roman" w:eastAsia="宋体" w:cs="Times New Roman"/>
                <w:b w:val="0"/>
                <w:color w:val="auto"/>
                <w:spacing w:val="-1"/>
                <w:kern w:val="0"/>
                <w:sz w:val="21"/>
                <w:szCs w:val="20"/>
                <w:lang w:val="en-US" w:eastAsia="zh-CN" w:bidi="ar-SA"/>
              </w:rPr>
              <w:t>（GB/T19923-2005）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vMerge w:val="continue"/>
            <w:tcBorders>
              <w:tl2br w:val="nil"/>
              <w:tr2bl w:val="nil"/>
            </w:tcBorders>
            <w:noWrap w:val="0"/>
          </w:tcPr>
          <w:p/>
        </w:tc>
        <w:tc>
          <w:tcPr>
            <w:tcW w:w="305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工艺与产品用水</w:t>
            </w:r>
          </w:p>
        </w:tc>
        <w:tc>
          <w:tcPr>
            <w:tcW w:w="3447"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0"/>
                <w:lang w:val="en-US" w:eastAsia="zh-CN" w:bidi="ar-SA"/>
              </w:rPr>
            </w:pPr>
            <w:r>
              <w:rPr>
                <w:rFonts w:hint="eastAsia" w:ascii="Times New Roman" w:hAnsi="Times New Roman" w:eastAsia="宋体" w:cs="Times New Roman"/>
                <w:b w:val="0"/>
                <w:color w:val="auto"/>
                <w:kern w:val="0"/>
                <w:sz w:val="21"/>
                <w:szCs w:val="20"/>
                <w:lang w:val="en-US" w:eastAsia="zh-CN" w:bidi="ar-SA"/>
              </w:rPr>
              <w:t>洗涤用水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01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spacing w:val="-1"/>
                <w:kern w:val="0"/>
                <w:sz w:val="21"/>
                <w:szCs w:val="20"/>
                <w:lang w:val="en-US" w:eastAsia="zh-CN" w:bidi="ar-SA"/>
              </w:rPr>
              <w:t>pH（无量纲）</w:t>
            </w:r>
          </w:p>
        </w:tc>
        <w:tc>
          <w:tcPr>
            <w:tcW w:w="305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spacing w:val="-1"/>
                <w:kern w:val="0"/>
                <w:sz w:val="21"/>
                <w:szCs w:val="20"/>
                <w:lang w:val="en-US" w:eastAsia="zh-CN" w:bidi="ar-SA"/>
              </w:rPr>
              <w:t>6.5~8.5</w:t>
            </w:r>
          </w:p>
        </w:tc>
        <w:tc>
          <w:tcPr>
            <w:tcW w:w="3447"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spacing w:val="-1"/>
                <w:kern w:val="0"/>
                <w:sz w:val="21"/>
                <w:szCs w:val="20"/>
                <w:lang w:val="en-US" w:eastAsia="zh-CN" w:bidi="ar-SA"/>
              </w:rPr>
            </w:pPr>
            <w:r>
              <w:rPr>
                <w:rFonts w:hint="default" w:ascii="Times New Roman" w:hAnsi="Times New Roman" w:eastAsia="宋体" w:cs="Times New Roman"/>
                <w:b w:val="0"/>
                <w:color w:val="auto"/>
                <w:spacing w:val="-1"/>
                <w:kern w:val="0"/>
                <w:sz w:val="21"/>
                <w:szCs w:val="20"/>
                <w:lang w:val="en-US" w:eastAsia="zh-CN" w:bidi="ar-SA"/>
              </w:rPr>
              <w:t>6.5~</w:t>
            </w:r>
            <w:r>
              <w:rPr>
                <w:rFonts w:hint="eastAsia" w:ascii="Times New Roman" w:hAnsi="Times New Roman" w:eastAsia="宋体" w:cs="Times New Roman"/>
                <w:b w:val="0"/>
                <w:color w:val="auto"/>
                <w:spacing w:val="-1"/>
                <w:kern w:val="0"/>
                <w:sz w:val="21"/>
                <w:szCs w:val="20"/>
                <w:lang w:val="en-US" w:eastAsia="zh-CN" w:bidi="ar-SA"/>
              </w:rPr>
              <w:t>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01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spacing w:val="-1"/>
                <w:kern w:val="0"/>
                <w:sz w:val="21"/>
                <w:szCs w:val="20"/>
                <w:lang w:val="en-US" w:eastAsia="zh-CN" w:bidi="ar-SA"/>
              </w:rPr>
              <w:t>BOD</w:t>
            </w:r>
            <w:r>
              <w:rPr>
                <w:rFonts w:hint="default" w:ascii="Times New Roman" w:hAnsi="Times New Roman" w:eastAsia="宋体" w:cs="Times New Roman"/>
                <w:b w:val="0"/>
                <w:color w:val="auto"/>
                <w:spacing w:val="-1"/>
                <w:kern w:val="0"/>
                <w:position w:val="-3"/>
                <w:sz w:val="14"/>
                <w:szCs w:val="14"/>
                <w:lang w:val="en-US" w:eastAsia="zh-CN" w:bidi="ar-SA"/>
              </w:rPr>
              <w:t>5</w:t>
            </w:r>
            <w:r>
              <w:rPr>
                <w:rFonts w:hint="default" w:ascii="Times New Roman" w:hAnsi="Times New Roman" w:eastAsia="宋体" w:cs="Times New Roman"/>
                <w:b w:val="0"/>
                <w:color w:val="auto"/>
                <w:spacing w:val="-1"/>
                <w:kern w:val="0"/>
                <w:position w:val="-3"/>
                <w:sz w:val="14"/>
                <w:szCs w:val="14"/>
                <w:lang w:val="en-US" w:eastAsia="zh-CN" w:bidi="ar-SA"/>
              </w:rPr>
              <w:tab/>
            </w:r>
            <w:r>
              <w:rPr>
                <w:rFonts w:hint="default" w:ascii="Times New Roman" w:hAnsi="Times New Roman" w:eastAsia="宋体" w:cs="Times New Roman"/>
                <w:b w:val="0"/>
                <w:color w:val="auto"/>
                <w:kern w:val="0"/>
                <w:sz w:val="21"/>
                <w:szCs w:val="20"/>
                <w:lang w:val="en-US" w:eastAsia="zh-CN" w:bidi="ar-SA"/>
              </w:rPr>
              <w:t>≤</w:t>
            </w:r>
          </w:p>
        </w:tc>
        <w:tc>
          <w:tcPr>
            <w:tcW w:w="305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10</w:t>
            </w:r>
          </w:p>
        </w:tc>
        <w:tc>
          <w:tcPr>
            <w:tcW w:w="3447"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0"/>
                <w:lang w:val="en-US" w:eastAsia="zh-CN" w:bidi="ar-SA"/>
              </w:rPr>
            </w:pPr>
            <w:r>
              <w:rPr>
                <w:rFonts w:hint="eastAsia" w:ascii="Times New Roman" w:hAnsi="Times New Roman" w:eastAsia="宋体" w:cs="Times New Roman"/>
                <w:b w:val="0"/>
                <w:color w:val="auto"/>
                <w:kern w:val="0"/>
                <w:sz w:val="21"/>
                <w:szCs w:val="20"/>
                <w:lang w:val="en-US" w:eastAsia="zh-CN" w:bidi="ar-SA"/>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01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spacing w:val="-1"/>
                <w:kern w:val="0"/>
                <w:sz w:val="21"/>
                <w:szCs w:val="20"/>
                <w:lang w:val="en-US" w:eastAsia="zh-CN" w:bidi="ar-SA"/>
              </w:rPr>
              <w:t>COD</w:t>
            </w:r>
            <w:r>
              <w:rPr>
                <w:rFonts w:hint="default" w:ascii="Times New Roman" w:hAnsi="Times New Roman" w:eastAsia="宋体" w:cs="Times New Roman"/>
                <w:b w:val="0"/>
                <w:color w:val="auto"/>
                <w:spacing w:val="-1"/>
                <w:kern w:val="0"/>
                <w:position w:val="-3"/>
                <w:sz w:val="14"/>
                <w:szCs w:val="14"/>
                <w:lang w:val="en-US" w:eastAsia="zh-CN" w:bidi="ar-SA"/>
              </w:rPr>
              <w:t>Cr</w:t>
            </w:r>
            <w:r>
              <w:rPr>
                <w:rFonts w:hint="default" w:ascii="Times New Roman" w:hAnsi="Times New Roman" w:eastAsia="宋体" w:cs="Times New Roman"/>
                <w:b w:val="0"/>
                <w:color w:val="auto"/>
                <w:spacing w:val="-1"/>
                <w:kern w:val="0"/>
                <w:position w:val="-3"/>
                <w:sz w:val="14"/>
                <w:szCs w:val="14"/>
                <w:lang w:val="en-US" w:eastAsia="zh-CN" w:bidi="ar-SA"/>
              </w:rPr>
              <w:tab/>
            </w:r>
            <w:r>
              <w:rPr>
                <w:rFonts w:hint="default" w:ascii="Times New Roman" w:hAnsi="Times New Roman" w:eastAsia="宋体" w:cs="Times New Roman"/>
                <w:b w:val="0"/>
                <w:color w:val="auto"/>
                <w:kern w:val="0"/>
                <w:sz w:val="21"/>
                <w:szCs w:val="20"/>
                <w:lang w:val="en-US" w:eastAsia="zh-CN" w:bidi="ar-SA"/>
              </w:rPr>
              <w:t>≤</w:t>
            </w:r>
          </w:p>
        </w:tc>
        <w:tc>
          <w:tcPr>
            <w:tcW w:w="305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60</w:t>
            </w:r>
          </w:p>
        </w:tc>
        <w:tc>
          <w:tcPr>
            <w:tcW w:w="3447"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0"/>
                <w:lang w:val="en-US" w:eastAsia="zh-CN" w:bidi="ar-SA"/>
              </w:rPr>
            </w:pPr>
            <w:r>
              <w:rPr>
                <w:rFonts w:hint="eastAsia" w:ascii="Times New Roman" w:hAnsi="Times New Roman" w:eastAsia="宋体" w:cs="Times New Roman"/>
                <w:b w:val="0"/>
                <w:color w:val="auto"/>
                <w:kern w:val="0"/>
                <w:sz w:val="21"/>
                <w:szCs w:val="20"/>
                <w:lang w:val="en-US" w:eastAsia="zh-CN" w:bidi="ar-S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01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spacing w:val="-1"/>
                <w:kern w:val="0"/>
                <w:sz w:val="21"/>
                <w:szCs w:val="20"/>
                <w:lang w:val="en-US" w:eastAsia="zh-CN" w:bidi="ar-SA"/>
              </w:rPr>
              <w:t>浊度(NTU)</w:t>
            </w:r>
            <w:r>
              <w:rPr>
                <w:rFonts w:hint="default" w:ascii="Times New Roman" w:hAnsi="Times New Roman" w:eastAsia="宋体" w:cs="Times New Roman"/>
                <w:b w:val="0"/>
                <w:color w:val="auto"/>
                <w:spacing w:val="-1"/>
                <w:kern w:val="0"/>
                <w:sz w:val="21"/>
                <w:szCs w:val="20"/>
                <w:lang w:val="en-US" w:eastAsia="zh-CN" w:bidi="ar-SA"/>
              </w:rPr>
              <w:tab/>
            </w:r>
            <w:r>
              <w:rPr>
                <w:rFonts w:hint="default" w:ascii="Times New Roman" w:hAnsi="Times New Roman" w:eastAsia="宋体" w:cs="Times New Roman"/>
                <w:b w:val="0"/>
                <w:color w:val="auto"/>
                <w:kern w:val="0"/>
                <w:sz w:val="21"/>
                <w:szCs w:val="20"/>
                <w:lang w:val="en-US" w:eastAsia="zh-CN" w:bidi="ar-SA"/>
              </w:rPr>
              <w:t>≤</w:t>
            </w:r>
          </w:p>
        </w:tc>
        <w:tc>
          <w:tcPr>
            <w:tcW w:w="305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5</w:t>
            </w:r>
          </w:p>
        </w:tc>
        <w:tc>
          <w:tcPr>
            <w:tcW w:w="3447"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0"/>
                <w:lang w:val="en-US" w:eastAsia="zh-CN" w:bidi="ar-SA"/>
              </w:rPr>
            </w:pPr>
            <w:r>
              <w:rPr>
                <w:rFonts w:hint="eastAsia" w:ascii="Times New Roman" w:hAnsi="Times New Roman" w:eastAsia="宋体" w:cs="Times New Roman"/>
                <w:b w:val="0"/>
                <w:color w:val="auto"/>
                <w:kern w:val="0"/>
                <w:sz w:val="21"/>
                <w:szCs w:val="20"/>
                <w:lang w:val="en-US" w:eastAsia="zh-CN" w:bidi="ar-S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01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spacing w:val="-1"/>
                <w:kern w:val="0"/>
                <w:sz w:val="21"/>
                <w:szCs w:val="20"/>
                <w:lang w:val="en-US" w:eastAsia="zh-CN" w:bidi="ar-SA"/>
              </w:rPr>
              <w:t>色度(度)</w:t>
            </w:r>
            <w:r>
              <w:rPr>
                <w:rFonts w:hint="default" w:ascii="Times New Roman" w:hAnsi="Times New Roman" w:eastAsia="宋体" w:cs="Times New Roman"/>
                <w:b w:val="0"/>
                <w:color w:val="auto"/>
                <w:spacing w:val="-1"/>
                <w:kern w:val="0"/>
                <w:sz w:val="21"/>
                <w:szCs w:val="20"/>
                <w:lang w:val="en-US" w:eastAsia="zh-CN" w:bidi="ar-SA"/>
              </w:rPr>
              <w:tab/>
            </w:r>
            <w:r>
              <w:rPr>
                <w:rFonts w:hint="default" w:ascii="Times New Roman" w:hAnsi="Times New Roman" w:eastAsia="宋体" w:cs="Times New Roman"/>
                <w:b w:val="0"/>
                <w:color w:val="auto"/>
                <w:kern w:val="0"/>
                <w:sz w:val="21"/>
                <w:szCs w:val="20"/>
                <w:lang w:val="en-US" w:eastAsia="zh-CN" w:bidi="ar-SA"/>
              </w:rPr>
              <w:t>≤</w:t>
            </w:r>
          </w:p>
        </w:tc>
        <w:tc>
          <w:tcPr>
            <w:tcW w:w="305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30</w:t>
            </w:r>
          </w:p>
        </w:tc>
        <w:tc>
          <w:tcPr>
            <w:tcW w:w="3447"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0"/>
                <w:lang w:val="en-US" w:eastAsia="zh-CN" w:bidi="ar-SA"/>
              </w:rPr>
            </w:pPr>
            <w:r>
              <w:rPr>
                <w:rFonts w:hint="eastAsia" w:ascii="Times New Roman" w:hAnsi="Times New Roman" w:eastAsia="宋体" w:cs="Times New Roman"/>
                <w:b w:val="0"/>
                <w:color w:val="auto"/>
                <w:kern w:val="0"/>
                <w:sz w:val="21"/>
                <w:szCs w:val="20"/>
                <w:lang w:val="en-US" w:eastAsia="zh-CN" w:bidi="ar-SA"/>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01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spacing w:val="-1"/>
                <w:kern w:val="0"/>
                <w:sz w:val="21"/>
                <w:szCs w:val="20"/>
                <w:lang w:val="en-US" w:eastAsia="zh-CN" w:bidi="ar-SA"/>
              </w:rPr>
              <w:t>NH</w:t>
            </w:r>
            <w:r>
              <w:rPr>
                <w:rFonts w:hint="default" w:ascii="Times New Roman" w:hAnsi="Times New Roman" w:eastAsia="宋体" w:cs="Times New Roman"/>
                <w:b w:val="0"/>
                <w:color w:val="auto"/>
                <w:spacing w:val="-1"/>
                <w:kern w:val="0"/>
                <w:position w:val="-3"/>
                <w:sz w:val="14"/>
                <w:szCs w:val="14"/>
                <w:lang w:val="en-US" w:eastAsia="zh-CN" w:bidi="ar-SA"/>
              </w:rPr>
              <w:t>3</w:t>
            </w:r>
            <w:r>
              <w:rPr>
                <w:rFonts w:hint="default" w:ascii="Times New Roman" w:hAnsi="Times New Roman" w:eastAsia="宋体" w:cs="Times New Roman"/>
                <w:b w:val="0"/>
                <w:color w:val="auto"/>
                <w:spacing w:val="-1"/>
                <w:kern w:val="0"/>
                <w:sz w:val="21"/>
                <w:szCs w:val="20"/>
                <w:lang w:val="en-US" w:eastAsia="zh-CN" w:bidi="ar-SA"/>
              </w:rPr>
              <w:t>-N(以</w:t>
            </w:r>
            <w:r>
              <w:rPr>
                <w:rFonts w:hint="default" w:ascii="Times New Roman" w:hAnsi="Times New Roman" w:eastAsia="宋体" w:cs="Times New Roman"/>
                <w:b w:val="0"/>
                <w:color w:val="auto"/>
                <w:spacing w:val="-53"/>
                <w:kern w:val="0"/>
                <w:sz w:val="21"/>
                <w:szCs w:val="20"/>
                <w:lang w:val="en-US" w:eastAsia="zh-CN" w:bidi="ar-SA"/>
              </w:rPr>
              <w:t xml:space="preserve"> </w:t>
            </w:r>
            <w:r>
              <w:rPr>
                <w:rFonts w:hint="default" w:ascii="Times New Roman" w:hAnsi="Times New Roman" w:eastAsia="宋体" w:cs="Times New Roman"/>
                <w:b w:val="0"/>
                <w:color w:val="auto"/>
                <w:kern w:val="0"/>
                <w:sz w:val="21"/>
                <w:szCs w:val="20"/>
                <w:lang w:val="en-US" w:eastAsia="zh-CN" w:bidi="ar-SA"/>
              </w:rPr>
              <w:t>N</w:t>
            </w:r>
            <w:r>
              <w:rPr>
                <w:rFonts w:hint="default" w:ascii="Times New Roman" w:hAnsi="Times New Roman" w:eastAsia="宋体" w:cs="Times New Roman"/>
                <w:b w:val="0"/>
                <w:color w:val="auto"/>
                <w:spacing w:val="1"/>
                <w:kern w:val="0"/>
                <w:sz w:val="21"/>
                <w:szCs w:val="20"/>
                <w:lang w:val="en-US" w:eastAsia="zh-CN" w:bidi="ar-SA"/>
              </w:rPr>
              <w:t xml:space="preserve"> </w:t>
            </w:r>
            <w:r>
              <w:rPr>
                <w:rFonts w:hint="default" w:ascii="Times New Roman" w:hAnsi="Times New Roman" w:eastAsia="宋体" w:cs="Times New Roman"/>
                <w:b w:val="0"/>
                <w:color w:val="auto"/>
                <w:kern w:val="0"/>
                <w:sz w:val="21"/>
                <w:szCs w:val="20"/>
                <w:lang w:val="en-US" w:eastAsia="zh-CN" w:bidi="ar-SA"/>
              </w:rPr>
              <w:t>计)</w:t>
            </w:r>
            <w:r>
              <w:rPr>
                <w:rFonts w:hint="default" w:ascii="Times New Roman" w:hAnsi="Times New Roman" w:eastAsia="宋体" w:cs="Times New Roman"/>
                <w:b w:val="0"/>
                <w:color w:val="auto"/>
                <w:spacing w:val="-1"/>
                <w:kern w:val="0"/>
                <w:sz w:val="21"/>
                <w:szCs w:val="20"/>
                <w:lang w:val="en-US" w:eastAsia="zh-CN" w:bidi="ar-SA"/>
              </w:rPr>
              <w:t xml:space="preserve"> </w:t>
            </w:r>
            <w:r>
              <w:rPr>
                <w:rFonts w:hint="default" w:ascii="Times New Roman" w:hAnsi="Times New Roman" w:eastAsia="宋体" w:cs="Times New Roman"/>
                <w:b w:val="0"/>
                <w:color w:val="auto"/>
                <w:kern w:val="0"/>
                <w:sz w:val="21"/>
                <w:szCs w:val="20"/>
                <w:lang w:val="en-US" w:eastAsia="zh-CN" w:bidi="ar-SA"/>
              </w:rPr>
              <w:t>≤</w:t>
            </w:r>
          </w:p>
        </w:tc>
        <w:tc>
          <w:tcPr>
            <w:tcW w:w="305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10</w:t>
            </w:r>
          </w:p>
        </w:tc>
        <w:tc>
          <w:tcPr>
            <w:tcW w:w="3447"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0"/>
                <w:lang w:val="en-US" w:eastAsia="zh-CN" w:bidi="ar-SA"/>
              </w:rPr>
            </w:pPr>
            <w:r>
              <w:rPr>
                <w:rFonts w:hint="eastAsia" w:ascii="Times New Roman" w:hAnsi="Times New Roman" w:eastAsia="宋体" w:cs="Times New Roman"/>
                <w:b w:val="0"/>
                <w:color w:val="auto"/>
                <w:kern w:val="0"/>
                <w:sz w:val="21"/>
                <w:szCs w:val="20"/>
                <w:lang w:val="en-US" w:eastAsia="zh-CN" w:bidi="ar-S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01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总磷（以</w:t>
            </w:r>
            <w:r>
              <w:rPr>
                <w:rFonts w:hint="default" w:ascii="Times New Roman" w:hAnsi="Times New Roman" w:eastAsia="宋体" w:cs="Times New Roman"/>
                <w:b w:val="0"/>
                <w:color w:val="auto"/>
                <w:spacing w:val="-53"/>
                <w:kern w:val="0"/>
                <w:sz w:val="21"/>
                <w:szCs w:val="20"/>
                <w:lang w:val="en-US" w:eastAsia="zh-CN" w:bidi="ar-SA"/>
              </w:rPr>
              <w:t xml:space="preserve"> </w:t>
            </w:r>
            <w:r>
              <w:rPr>
                <w:rFonts w:hint="default" w:ascii="Times New Roman" w:hAnsi="Times New Roman" w:eastAsia="宋体" w:cs="Times New Roman"/>
                <w:b w:val="0"/>
                <w:color w:val="auto"/>
                <w:kern w:val="0"/>
                <w:sz w:val="21"/>
                <w:szCs w:val="20"/>
                <w:lang w:val="en-US" w:eastAsia="zh-CN" w:bidi="ar-SA"/>
              </w:rPr>
              <w:t>P</w:t>
            </w:r>
            <w:r>
              <w:rPr>
                <w:rFonts w:hint="default" w:ascii="Times New Roman" w:hAnsi="Times New Roman" w:eastAsia="宋体" w:cs="Times New Roman"/>
                <w:b w:val="0"/>
                <w:color w:val="auto"/>
                <w:spacing w:val="-1"/>
                <w:kern w:val="0"/>
                <w:sz w:val="21"/>
                <w:szCs w:val="20"/>
                <w:lang w:val="en-US" w:eastAsia="zh-CN" w:bidi="ar-SA"/>
              </w:rPr>
              <w:t xml:space="preserve"> </w:t>
            </w:r>
            <w:r>
              <w:rPr>
                <w:rFonts w:hint="default" w:ascii="Times New Roman" w:hAnsi="Times New Roman" w:eastAsia="宋体" w:cs="Times New Roman"/>
                <w:b w:val="0"/>
                <w:color w:val="auto"/>
                <w:kern w:val="0"/>
                <w:sz w:val="21"/>
                <w:szCs w:val="20"/>
                <w:lang w:val="en-US" w:eastAsia="zh-CN" w:bidi="ar-SA"/>
              </w:rPr>
              <w:t>计）≤</w:t>
            </w:r>
          </w:p>
        </w:tc>
        <w:tc>
          <w:tcPr>
            <w:tcW w:w="305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1</w:t>
            </w:r>
          </w:p>
        </w:tc>
        <w:tc>
          <w:tcPr>
            <w:tcW w:w="3447"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0"/>
                <w:lang w:val="en-US" w:eastAsia="zh-CN" w:bidi="ar-SA"/>
              </w:rPr>
            </w:pPr>
            <w:r>
              <w:rPr>
                <w:rFonts w:hint="eastAsia" w:ascii="Times New Roman" w:hAnsi="Times New Roman" w:eastAsia="宋体" w:cs="Times New Roman"/>
                <w:b w:val="0"/>
                <w:color w:val="auto"/>
                <w:kern w:val="0"/>
                <w:sz w:val="21"/>
                <w:szCs w:val="20"/>
                <w:lang w:val="en-US" w:eastAsia="zh-CN" w:bidi="ar-S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01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溶解性总固体</w:t>
            </w:r>
            <w:r>
              <w:rPr>
                <w:rFonts w:hint="default" w:ascii="Times New Roman" w:hAnsi="Times New Roman" w:eastAsia="宋体" w:cs="Times New Roman"/>
                <w:b w:val="0"/>
                <w:color w:val="auto"/>
                <w:kern w:val="0"/>
                <w:sz w:val="21"/>
                <w:szCs w:val="20"/>
                <w:lang w:val="en-US" w:eastAsia="zh-CN" w:bidi="ar-SA"/>
              </w:rPr>
              <w:tab/>
            </w:r>
            <w:r>
              <w:rPr>
                <w:rFonts w:hint="default" w:ascii="Times New Roman" w:hAnsi="Times New Roman" w:eastAsia="宋体" w:cs="Times New Roman"/>
                <w:b w:val="0"/>
                <w:color w:val="auto"/>
                <w:kern w:val="0"/>
                <w:sz w:val="21"/>
                <w:szCs w:val="20"/>
                <w:lang w:val="en-US" w:eastAsia="zh-CN" w:bidi="ar-SA"/>
              </w:rPr>
              <w:t>≤</w:t>
            </w:r>
          </w:p>
        </w:tc>
        <w:tc>
          <w:tcPr>
            <w:tcW w:w="305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spacing w:val="-1"/>
                <w:kern w:val="0"/>
                <w:sz w:val="21"/>
                <w:szCs w:val="20"/>
                <w:lang w:val="en-US" w:eastAsia="zh-CN" w:bidi="ar-SA"/>
              </w:rPr>
              <w:t>1000</w:t>
            </w:r>
          </w:p>
        </w:tc>
        <w:tc>
          <w:tcPr>
            <w:tcW w:w="3447"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spacing w:val="-1"/>
                <w:kern w:val="0"/>
                <w:sz w:val="21"/>
                <w:szCs w:val="20"/>
                <w:lang w:val="en-US" w:eastAsia="zh-CN" w:bidi="ar-SA"/>
              </w:rPr>
            </w:pPr>
            <w:r>
              <w:rPr>
                <w:rFonts w:hint="eastAsia" w:ascii="Times New Roman" w:hAnsi="Times New Roman" w:eastAsia="宋体" w:cs="Times New Roman"/>
                <w:b w:val="0"/>
                <w:color w:val="auto"/>
                <w:spacing w:val="-1"/>
                <w:kern w:val="0"/>
                <w:sz w:val="21"/>
                <w:szCs w:val="20"/>
                <w:lang w:val="en-US" w:eastAsia="zh-CN" w:bidi="ar-SA"/>
              </w:rPr>
              <w:t>1000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01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石油类</w:t>
            </w:r>
            <w:r>
              <w:rPr>
                <w:rFonts w:hint="default" w:ascii="Times New Roman" w:hAnsi="Times New Roman" w:eastAsia="宋体" w:cs="Times New Roman"/>
                <w:b w:val="0"/>
                <w:color w:val="auto"/>
                <w:kern w:val="0"/>
                <w:sz w:val="21"/>
                <w:szCs w:val="20"/>
                <w:lang w:val="en-US" w:eastAsia="zh-CN" w:bidi="ar-SA"/>
              </w:rPr>
              <w:tab/>
            </w:r>
            <w:r>
              <w:rPr>
                <w:rFonts w:hint="default" w:ascii="Times New Roman" w:hAnsi="Times New Roman" w:eastAsia="宋体" w:cs="Times New Roman"/>
                <w:b w:val="0"/>
                <w:color w:val="auto"/>
                <w:kern w:val="0"/>
                <w:sz w:val="21"/>
                <w:szCs w:val="20"/>
                <w:lang w:val="en-US" w:eastAsia="zh-CN" w:bidi="ar-SA"/>
              </w:rPr>
              <w:t>≤</w:t>
            </w:r>
          </w:p>
        </w:tc>
        <w:tc>
          <w:tcPr>
            <w:tcW w:w="305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1</w:t>
            </w:r>
          </w:p>
        </w:tc>
        <w:tc>
          <w:tcPr>
            <w:tcW w:w="3447"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0"/>
                <w:lang w:val="en-US" w:eastAsia="zh-CN" w:bidi="ar-SA"/>
              </w:rPr>
            </w:pPr>
            <w:r>
              <w:rPr>
                <w:rFonts w:hint="eastAsia" w:ascii="Times New Roman" w:hAnsi="Times New Roman" w:eastAsia="宋体" w:cs="Times New Roman"/>
                <w:b w:val="0"/>
                <w:color w:val="auto"/>
                <w:kern w:val="0"/>
                <w:sz w:val="21"/>
                <w:szCs w:val="20"/>
                <w:lang w:val="en-US" w:eastAsia="zh-CN" w:bidi="ar-S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01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铁</w:t>
            </w:r>
            <w:r>
              <w:rPr>
                <w:rFonts w:hint="default" w:ascii="Times New Roman" w:hAnsi="Times New Roman" w:eastAsia="宋体" w:cs="Times New Roman"/>
                <w:b w:val="0"/>
                <w:color w:val="auto"/>
                <w:kern w:val="0"/>
                <w:sz w:val="21"/>
                <w:szCs w:val="20"/>
                <w:lang w:val="en-US" w:eastAsia="zh-CN" w:bidi="ar-SA"/>
              </w:rPr>
              <w:tab/>
            </w:r>
            <w:r>
              <w:rPr>
                <w:rFonts w:hint="default" w:ascii="Times New Roman" w:hAnsi="Times New Roman" w:eastAsia="宋体" w:cs="Times New Roman"/>
                <w:b w:val="0"/>
                <w:color w:val="auto"/>
                <w:kern w:val="0"/>
                <w:sz w:val="21"/>
                <w:szCs w:val="20"/>
                <w:lang w:val="en-US" w:eastAsia="zh-CN" w:bidi="ar-SA"/>
              </w:rPr>
              <w:t>≤</w:t>
            </w:r>
          </w:p>
        </w:tc>
        <w:tc>
          <w:tcPr>
            <w:tcW w:w="305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0.3</w:t>
            </w:r>
          </w:p>
        </w:tc>
        <w:tc>
          <w:tcPr>
            <w:tcW w:w="3447"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0"/>
                <w:lang w:val="en-US" w:eastAsia="zh-CN" w:bidi="ar-SA"/>
              </w:rPr>
            </w:pPr>
            <w:r>
              <w:rPr>
                <w:rFonts w:hint="eastAsia" w:ascii="Times New Roman" w:hAnsi="Times New Roman" w:eastAsia="宋体" w:cs="Times New Roman"/>
                <w:b w:val="0"/>
                <w:color w:val="auto"/>
                <w:kern w:val="0"/>
                <w:sz w:val="21"/>
                <w:szCs w:val="20"/>
                <w:lang w:val="en-US" w:eastAsia="zh-CN" w:bidi="ar-SA"/>
              </w:rPr>
              <w:t>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01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锰</w:t>
            </w:r>
            <w:r>
              <w:rPr>
                <w:rFonts w:hint="default" w:ascii="Times New Roman" w:hAnsi="Times New Roman" w:eastAsia="宋体" w:cs="Times New Roman"/>
                <w:b w:val="0"/>
                <w:color w:val="auto"/>
                <w:kern w:val="0"/>
                <w:sz w:val="21"/>
                <w:szCs w:val="20"/>
                <w:lang w:val="en-US" w:eastAsia="zh-CN" w:bidi="ar-SA"/>
              </w:rPr>
              <w:tab/>
            </w:r>
            <w:r>
              <w:rPr>
                <w:rFonts w:hint="default" w:ascii="Times New Roman" w:hAnsi="Times New Roman" w:eastAsia="宋体" w:cs="Times New Roman"/>
                <w:b w:val="0"/>
                <w:color w:val="auto"/>
                <w:kern w:val="0"/>
                <w:sz w:val="21"/>
                <w:szCs w:val="20"/>
                <w:lang w:val="en-US" w:eastAsia="zh-CN" w:bidi="ar-SA"/>
              </w:rPr>
              <w:t>≤</w:t>
            </w:r>
          </w:p>
        </w:tc>
        <w:tc>
          <w:tcPr>
            <w:tcW w:w="305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0.1</w:t>
            </w:r>
          </w:p>
        </w:tc>
        <w:tc>
          <w:tcPr>
            <w:tcW w:w="3447"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0"/>
                <w:lang w:val="en-US" w:eastAsia="zh-CN" w:bidi="ar-SA"/>
              </w:rPr>
            </w:pPr>
            <w:r>
              <w:rPr>
                <w:rFonts w:hint="eastAsia" w:ascii="Times New Roman" w:hAnsi="Times New Roman" w:eastAsia="宋体" w:cs="Times New Roman"/>
                <w:b w:val="0"/>
                <w:color w:val="auto"/>
                <w:kern w:val="0"/>
                <w:sz w:val="21"/>
                <w:szCs w:val="20"/>
                <w:lang w:val="en-US" w:eastAsia="zh-CN" w:bidi="ar-SA"/>
              </w:rPr>
              <w:t>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01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氯离子</w:t>
            </w:r>
            <w:r>
              <w:rPr>
                <w:rFonts w:hint="default" w:ascii="Times New Roman" w:hAnsi="Times New Roman" w:eastAsia="宋体" w:cs="Times New Roman"/>
                <w:b w:val="0"/>
                <w:color w:val="auto"/>
                <w:kern w:val="0"/>
                <w:sz w:val="21"/>
                <w:szCs w:val="20"/>
                <w:lang w:val="en-US" w:eastAsia="zh-CN" w:bidi="ar-SA"/>
              </w:rPr>
              <w:tab/>
            </w:r>
            <w:r>
              <w:rPr>
                <w:rFonts w:hint="default" w:ascii="Times New Roman" w:hAnsi="Times New Roman" w:eastAsia="宋体" w:cs="Times New Roman"/>
                <w:b w:val="0"/>
                <w:color w:val="auto"/>
                <w:kern w:val="0"/>
                <w:sz w:val="21"/>
                <w:szCs w:val="20"/>
                <w:lang w:val="en-US" w:eastAsia="zh-CN" w:bidi="ar-SA"/>
              </w:rPr>
              <w:t>≤</w:t>
            </w:r>
          </w:p>
        </w:tc>
        <w:tc>
          <w:tcPr>
            <w:tcW w:w="305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spacing w:val="-1"/>
                <w:kern w:val="0"/>
                <w:sz w:val="21"/>
                <w:szCs w:val="20"/>
                <w:lang w:val="en-US" w:eastAsia="zh-CN" w:bidi="ar-SA"/>
              </w:rPr>
              <w:t>250</w:t>
            </w:r>
          </w:p>
        </w:tc>
        <w:tc>
          <w:tcPr>
            <w:tcW w:w="3447"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spacing w:val="-1"/>
                <w:kern w:val="0"/>
                <w:sz w:val="21"/>
                <w:szCs w:val="20"/>
                <w:lang w:val="en-US" w:eastAsia="zh-CN" w:bidi="ar-SA"/>
              </w:rPr>
            </w:pPr>
            <w:r>
              <w:rPr>
                <w:rFonts w:hint="eastAsia" w:ascii="Times New Roman" w:hAnsi="Times New Roman" w:eastAsia="宋体" w:cs="Times New Roman"/>
                <w:b w:val="0"/>
                <w:color w:val="auto"/>
                <w:spacing w:val="-1"/>
                <w:kern w:val="0"/>
                <w:sz w:val="21"/>
                <w:szCs w:val="20"/>
                <w:lang w:val="en-US" w:eastAsia="zh-CN" w:bidi="ar-SA"/>
              </w:rPr>
              <w:t>250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01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总硬度</w:t>
            </w:r>
            <w:r>
              <w:rPr>
                <w:rFonts w:hint="default" w:ascii="Times New Roman" w:hAnsi="Times New Roman" w:eastAsia="宋体" w:cs="Times New Roman"/>
                <w:b w:val="0"/>
                <w:color w:val="auto"/>
                <w:kern w:val="0"/>
                <w:sz w:val="21"/>
                <w:szCs w:val="20"/>
                <w:lang w:val="en-US" w:eastAsia="zh-CN" w:bidi="ar-SA"/>
              </w:rPr>
              <w:tab/>
            </w:r>
            <w:r>
              <w:rPr>
                <w:rFonts w:hint="default" w:ascii="Times New Roman" w:hAnsi="Times New Roman" w:eastAsia="宋体" w:cs="Times New Roman"/>
                <w:b w:val="0"/>
                <w:color w:val="auto"/>
                <w:kern w:val="0"/>
                <w:sz w:val="21"/>
                <w:szCs w:val="20"/>
                <w:lang w:val="en-US" w:eastAsia="zh-CN" w:bidi="ar-SA"/>
              </w:rPr>
              <w:t>≤</w:t>
            </w:r>
          </w:p>
        </w:tc>
        <w:tc>
          <w:tcPr>
            <w:tcW w:w="305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spacing w:val="-1"/>
                <w:kern w:val="0"/>
                <w:sz w:val="21"/>
                <w:szCs w:val="20"/>
                <w:lang w:val="en-US" w:eastAsia="zh-CN" w:bidi="ar-SA"/>
              </w:rPr>
              <w:t>450</w:t>
            </w:r>
          </w:p>
        </w:tc>
        <w:tc>
          <w:tcPr>
            <w:tcW w:w="3447"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spacing w:val="-1"/>
                <w:kern w:val="0"/>
                <w:sz w:val="21"/>
                <w:szCs w:val="20"/>
                <w:lang w:val="en-US" w:eastAsia="zh-CN" w:bidi="ar-SA"/>
              </w:rPr>
            </w:pPr>
            <w:r>
              <w:rPr>
                <w:rFonts w:hint="eastAsia" w:ascii="Times New Roman" w:hAnsi="Times New Roman" w:eastAsia="宋体" w:cs="Times New Roman"/>
                <w:b w:val="0"/>
                <w:color w:val="auto"/>
                <w:spacing w:val="-1"/>
                <w:kern w:val="0"/>
                <w:sz w:val="21"/>
                <w:szCs w:val="20"/>
                <w:lang w:val="en-US" w:eastAsia="zh-CN" w:bidi="ar-SA"/>
              </w:rPr>
              <w:t>450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01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总碱度</w:t>
            </w:r>
            <w:r>
              <w:rPr>
                <w:rFonts w:hint="default" w:ascii="Times New Roman" w:hAnsi="Times New Roman" w:eastAsia="宋体" w:cs="Times New Roman"/>
                <w:b w:val="0"/>
                <w:color w:val="auto"/>
                <w:kern w:val="0"/>
                <w:sz w:val="21"/>
                <w:szCs w:val="20"/>
                <w:lang w:val="en-US" w:eastAsia="zh-CN" w:bidi="ar-SA"/>
              </w:rPr>
              <w:tab/>
            </w:r>
            <w:r>
              <w:rPr>
                <w:rFonts w:hint="default" w:ascii="Times New Roman" w:hAnsi="Times New Roman" w:eastAsia="宋体" w:cs="Times New Roman"/>
                <w:b w:val="0"/>
                <w:color w:val="auto"/>
                <w:kern w:val="0"/>
                <w:sz w:val="21"/>
                <w:szCs w:val="20"/>
                <w:lang w:val="en-US" w:eastAsia="zh-CN" w:bidi="ar-SA"/>
              </w:rPr>
              <w:t>≤</w:t>
            </w:r>
          </w:p>
        </w:tc>
        <w:tc>
          <w:tcPr>
            <w:tcW w:w="305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spacing w:val="-1"/>
                <w:kern w:val="0"/>
                <w:sz w:val="21"/>
                <w:szCs w:val="20"/>
                <w:lang w:val="en-US" w:eastAsia="zh-CN" w:bidi="ar-SA"/>
              </w:rPr>
              <w:t>350</w:t>
            </w:r>
          </w:p>
        </w:tc>
        <w:tc>
          <w:tcPr>
            <w:tcW w:w="3447"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spacing w:val="-1"/>
                <w:kern w:val="0"/>
                <w:sz w:val="21"/>
                <w:szCs w:val="20"/>
                <w:lang w:val="en-US" w:eastAsia="zh-CN" w:bidi="ar-SA"/>
              </w:rPr>
            </w:pPr>
            <w:r>
              <w:rPr>
                <w:rFonts w:hint="eastAsia" w:ascii="Times New Roman" w:hAnsi="Times New Roman" w:eastAsia="宋体" w:cs="Times New Roman"/>
                <w:b w:val="0"/>
                <w:color w:val="auto"/>
                <w:spacing w:val="-1"/>
                <w:kern w:val="0"/>
                <w:sz w:val="21"/>
                <w:szCs w:val="20"/>
                <w:lang w:val="en-US" w:eastAsia="zh-CN" w:bidi="ar-SA"/>
              </w:rPr>
              <w:t>350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01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硫酸盐</w:t>
            </w:r>
            <w:r>
              <w:rPr>
                <w:rFonts w:hint="default" w:ascii="Times New Roman" w:hAnsi="Times New Roman" w:eastAsia="宋体" w:cs="Times New Roman"/>
                <w:b w:val="0"/>
                <w:color w:val="auto"/>
                <w:kern w:val="0"/>
                <w:sz w:val="21"/>
                <w:szCs w:val="20"/>
                <w:lang w:val="en-US" w:eastAsia="zh-CN" w:bidi="ar-SA"/>
              </w:rPr>
              <w:tab/>
            </w:r>
            <w:r>
              <w:rPr>
                <w:rFonts w:hint="default" w:ascii="Times New Roman" w:hAnsi="Times New Roman" w:eastAsia="宋体" w:cs="Times New Roman"/>
                <w:b w:val="0"/>
                <w:color w:val="auto"/>
                <w:kern w:val="0"/>
                <w:sz w:val="21"/>
                <w:szCs w:val="20"/>
                <w:lang w:val="en-US" w:eastAsia="zh-CN" w:bidi="ar-SA"/>
              </w:rPr>
              <w:t>≤</w:t>
            </w:r>
          </w:p>
        </w:tc>
        <w:tc>
          <w:tcPr>
            <w:tcW w:w="305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spacing w:val="-1"/>
                <w:kern w:val="0"/>
                <w:sz w:val="21"/>
                <w:szCs w:val="20"/>
                <w:lang w:val="en-US" w:eastAsia="zh-CN" w:bidi="ar-SA"/>
              </w:rPr>
              <w:t>250</w:t>
            </w:r>
          </w:p>
        </w:tc>
        <w:tc>
          <w:tcPr>
            <w:tcW w:w="3447"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spacing w:val="-1"/>
                <w:kern w:val="0"/>
                <w:sz w:val="21"/>
                <w:szCs w:val="20"/>
                <w:lang w:val="en-US" w:eastAsia="zh-CN" w:bidi="ar-SA"/>
              </w:rPr>
            </w:pPr>
            <w:r>
              <w:rPr>
                <w:rFonts w:hint="eastAsia" w:ascii="Times New Roman" w:hAnsi="Times New Roman" w:eastAsia="宋体" w:cs="Times New Roman"/>
                <w:b w:val="0"/>
                <w:color w:val="auto"/>
                <w:spacing w:val="-1"/>
                <w:kern w:val="0"/>
                <w:sz w:val="21"/>
                <w:szCs w:val="20"/>
                <w:lang w:val="en-US" w:eastAsia="zh-CN" w:bidi="ar-SA"/>
              </w:rPr>
              <w:t>250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01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阴离子表面活性剂≤</w:t>
            </w:r>
          </w:p>
        </w:tc>
        <w:tc>
          <w:tcPr>
            <w:tcW w:w="3058"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4"/>
                <w:lang w:val="en-US" w:eastAsia="zh-CN" w:bidi="ar-SA"/>
              </w:rPr>
            </w:pPr>
            <w:r>
              <w:rPr>
                <w:rFonts w:hint="default" w:ascii="Times New Roman" w:hAnsi="Times New Roman" w:eastAsia="宋体" w:cs="Times New Roman"/>
                <w:b w:val="0"/>
                <w:color w:val="auto"/>
                <w:kern w:val="0"/>
                <w:sz w:val="21"/>
                <w:szCs w:val="20"/>
                <w:lang w:val="en-US" w:eastAsia="zh-CN" w:bidi="ar-SA"/>
              </w:rPr>
              <w:t>0.5</w:t>
            </w:r>
          </w:p>
        </w:tc>
        <w:tc>
          <w:tcPr>
            <w:tcW w:w="3447" w:type="dxa"/>
            <w:tcBorders>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val="0"/>
              <w:snapToGrid w:val="0"/>
              <w:spacing w:line="240" w:lineRule="atLeast"/>
              <w:ind w:firstLine="0"/>
              <w:jc w:val="center"/>
              <w:textAlignment w:val="baseline"/>
              <w:outlineLvl w:val="9"/>
              <w:rPr>
                <w:rFonts w:hint="default" w:ascii="Times New Roman" w:hAnsi="Times New Roman" w:eastAsia="宋体" w:cs="Times New Roman"/>
                <w:b w:val="0"/>
                <w:color w:val="auto"/>
                <w:kern w:val="0"/>
                <w:sz w:val="21"/>
                <w:szCs w:val="20"/>
                <w:lang w:val="en-US" w:eastAsia="zh-CN" w:bidi="ar-SA"/>
              </w:rPr>
            </w:pPr>
            <w:r>
              <w:rPr>
                <w:rFonts w:hint="eastAsia" w:ascii="Times New Roman" w:hAnsi="Times New Roman" w:eastAsia="宋体" w:cs="Times New Roman"/>
                <w:b w:val="0"/>
                <w:color w:val="auto"/>
                <w:kern w:val="0"/>
                <w:sz w:val="21"/>
                <w:szCs w:val="20"/>
                <w:lang w:val="en-US" w:eastAsia="zh-CN" w:bidi="ar-SA"/>
              </w:rPr>
              <w:t>/</w:t>
            </w:r>
          </w:p>
        </w:tc>
      </w:tr>
    </w:tbl>
    <w:p>
      <w:pPr>
        <w:widowControl w:val="0"/>
        <w:numPr>
          <w:ilvl w:val="0"/>
          <w:numId w:val="15"/>
        </w:numPr>
        <w:spacing w:line="360" w:lineRule="auto"/>
        <w:ind w:firstLine="480"/>
        <w:jc w:val="both"/>
        <w:rPr>
          <w:rFonts w:hint="default"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0"/>
          <w:lang w:val="en-US" w:eastAsia="zh-CN" w:bidi="ar-SA"/>
        </w:rPr>
        <w:t>项目去离子水站排水、</w:t>
      </w:r>
      <w:r>
        <w:rPr>
          <w:rFonts w:hint="default" w:ascii="Times New Roman" w:hAnsi="Times New Roman" w:eastAsia="宋体" w:cs="Times New Roman"/>
          <w:color w:val="auto"/>
          <w:kern w:val="2"/>
          <w:sz w:val="24"/>
          <w:szCs w:val="20"/>
          <w:lang w:val="en-US" w:eastAsia="zh-CN" w:bidi="ar-SA"/>
        </w:rPr>
        <w:t>循环水站</w:t>
      </w:r>
      <w:r>
        <w:rPr>
          <w:rFonts w:hint="eastAsia" w:ascii="Times New Roman" w:hAnsi="Times New Roman" w:eastAsia="宋体" w:cs="Times New Roman"/>
          <w:color w:val="auto"/>
          <w:kern w:val="2"/>
          <w:sz w:val="24"/>
          <w:szCs w:val="20"/>
          <w:lang w:val="en-US" w:eastAsia="zh-CN" w:bidi="ar-SA"/>
        </w:rPr>
        <w:t>间接冷却</w:t>
      </w:r>
      <w:r>
        <w:rPr>
          <w:rFonts w:hint="default" w:ascii="Times New Roman" w:hAnsi="Times New Roman" w:eastAsia="宋体" w:cs="Times New Roman"/>
          <w:color w:val="auto"/>
          <w:kern w:val="2"/>
          <w:sz w:val="24"/>
          <w:szCs w:val="20"/>
          <w:lang w:val="en-US" w:eastAsia="zh-CN" w:bidi="ar-SA"/>
        </w:rPr>
        <w:t>排水、污染区初期</w:t>
      </w:r>
      <w:r>
        <w:rPr>
          <w:rFonts w:hint="eastAsia" w:ascii="Times New Roman" w:hAnsi="Times New Roman" w:eastAsia="宋体" w:cs="Times New Roman"/>
          <w:color w:val="auto"/>
          <w:kern w:val="2"/>
          <w:sz w:val="24"/>
          <w:szCs w:val="20"/>
          <w:lang w:val="en-US" w:eastAsia="zh-CN" w:bidi="ar-SA"/>
        </w:rPr>
        <w:t>雨水经沉淀处理后</w:t>
      </w:r>
      <w:r>
        <w:rPr>
          <w:rFonts w:hint="default" w:ascii="Times New Roman" w:hAnsi="Times New Roman" w:eastAsia="宋体" w:cs="Times New Roman"/>
          <w:color w:val="auto"/>
          <w:kern w:val="2"/>
          <w:sz w:val="24"/>
          <w:szCs w:val="20"/>
          <w:lang w:val="en-US" w:eastAsia="zh-CN" w:bidi="ar-SA"/>
        </w:rPr>
        <w:t>监测达标</w:t>
      </w:r>
      <w:r>
        <w:rPr>
          <w:rFonts w:hint="eastAsia" w:ascii="Times New Roman" w:hAnsi="Times New Roman" w:eastAsia="宋体" w:cs="Times New Roman"/>
          <w:color w:val="auto"/>
          <w:kern w:val="2"/>
          <w:sz w:val="24"/>
          <w:szCs w:val="20"/>
          <w:lang w:val="en-US" w:eastAsia="zh-CN" w:bidi="ar-SA"/>
        </w:rPr>
        <w:t>通过工业污水排放口</w:t>
      </w:r>
      <w:r>
        <w:rPr>
          <w:rFonts w:hint="default" w:ascii="Times New Roman" w:hAnsi="Times New Roman" w:eastAsia="宋体" w:cs="Times New Roman"/>
          <w:color w:val="auto"/>
          <w:kern w:val="2"/>
          <w:sz w:val="24"/>
          <w:szCs w:val="20"/>
          <w:lang w:val="en-US" w:eastAsia="zh-CN" w:bidi="ar-SA"/>
        </w:rPr>
        <w:t>排入江阴污水处理厂</w:t>
      </w:r>
      <w:r>
        <w:rPr>
          <w:rFonts w:hint="eastAsia" w:ascii="Times New Roman" w:hAnsi="Times New Roman" w:eastAsia="宋体" w:cs="Times New Roman"/>
          <w:color w:val="auto"/>
          <w:kern w:val="2"/>
          <w:sz w:val="24"/>
          <w:szCs w:val="20"/>
          <w:lang w:val="en-US" w:eastAsia="zh-CN" w:bidi="ar-SA"/>
        </w:rPr>
        <w:t>，</w:t>
      </w:r>
      <w:r>
        <w:rPr>
          <w:rFonts w:hint="default" w:ascii="Times New Roman" w:hAnsi="Times New Roman" w:eastAsia="宋体" w:cs="Times New Roman"/>
          <w:color w:val="auto"/>
          <w:kern w:val="2"/>
          <w:sz w:val="24"/>
          <w:szCs w:val="20"/>
          <w:lang w:val="en-US" w:eastAsia="zh-CN" w:bidi="ar-SA"/>
        </w:rPr>
        <w:t>废水污染物执行</w:t>
      </w:r>
      <w:r>
        <w:rPr>
          <w:rFonts w:hint="default" w:ascii="Times New Roman" w:hAnsi="Times New Roman" w:eastAsia="宋体" w:cs="Times New Roman"/>
          <w:color w:val="auto"/>
          <w:kern w:val="2"/>
          <w:sz w:val="24"/>
          <w:szCs w:val="20"/>
          <w:lang w:val="en-GB" w:eastAsia="zh-CN" w:bidi="ar-SA"/>
        </w:rPr>
        <w:t>《无机化学</w:t>
      </w:r>
      <w:r>
        <w:rPr>
          <w:rFonts w:hint="default" w:ascii="Times New Roman" w:hAnsi="Times New Roman" w:eastAsia="宋体" w:cs="Times New Roman"/>
          <w:color w:val="auto"/>
          <w:kern w:val="2"/>
          <w:sz w:val="24"/>
          <w:szCs w:val="24"/>
          <w:lang w:val="en-GB" w:eastAsia="zh-CN" w:bidi="ar-SA"/>
        </w:rPr>
        <w:t>工业污染物排放标准》（GB3157</w:t>
      </w:r>
      <w:r>
        <w:rPr>
          <w:rFonts w:hint="default" w:ascii="Times New Roman" w:hAnsi="Times New Roman" w:eastAsia="宋体" w:cs="Times New Roman"/>
          <w:color w:val="auto"/>
          <w:kern w:val="2"/>
          <w:sz w:val="24"/>
          <w:szCs w:val="24"/>
          <w:lang w:val="en-US" w:eastAsia="zh-CN" w:bidi="ar-SA"/>
        </w:rPr>
        <w:t>3</w:t>
      </w:r>
      <w:r>
        <w:rPr>
          <w:rFonts w:hint="default" w:ascii="Times New Roman" w:hAnsi="Times New Roman" w:eastAsia="宋体" w:cs="Times New Roman"/>
          <w:color w:val="auto"/>
          <w:kern w:val="2"/>
          <w:sz w:val="24"/>
          <w:szCs w:val="24"/>
          <w:lang w:val="en-GB" w:eastAsia="zh-CN" w:bidi="ar-SA"/>
        </w:rPr>
        <w:t>-2015）</w:t>
      </w:r>
      <w:r>
        <w:rPr>
          <w:rFonts w:hint="default" w:ascii="Times New Roman" w:hAnsi="Times New Roman" w:eastAsia="宋体" w:cs="Times New Roman"/>
          <w:color w:val="auto"/>
          <w:kern w:val="2"/>
          <w:sz w:val="24"/>
          <w:szCs w:val="24"/>
          <w:lang w:val="en-US" w:eastAsia="zh-CN" w:bidi="ar-SA"/>
        </w:rPr>
        <w:t>表1间接排放标准</w:t>
      </w:r>
      <w:r>
        <w:rPr>
          <w:rFonts w:hint="eastAsia" w:ascii="Times New Roman" w:hAnsi="Times New Roman" w:eastAsia="宋体" w:cs="Times New Roman"/>
          <w:color w:val="auto"/>
          <w:kern w:val="2"/>
          <w:sz w:val="24"/>
          <w:szCs w:val="24"/>
          <w:lang w:val="en-US" w:eastAsia="zh-CN" w:bidi="ar-SA"/>
        </w:rPr>
        <w:t>，详见表1.4-2。为加强企业环境风险管理，项目在外排工业废水监控器设pH、COD、氨氮在线监控。</w:t>
      </w:r>
    </w:p>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default" w:ascii="Times New Roman" w:hAnsi="Times New Roman" w:eastAsia="黑体" w:cs="Times New Roman"/>
          <w:b w:val="0"/>
          <w:bCs/>
          <w:color w:val="auto"/>
          <w:sz w:val="24"/>
          <w:szCs w:val="22"/>
        </w:rPr>
      </w:pPr>
      <w:r>
        <w:rPr>
          <w:rFonts w:hint="default" w:ascii="Times New Roman" w:hAnsi="Times New Roman" w:eastAsia="黑体" w:cs="Times New Roman"/>
          <w:b w:val="0"/>
          <w:bCs/>
          <w:color w:val="auto"/>
          <w:sz w:val="24"/>
          <w:szCs w:val="22"/>
        </w:rPr>
        <w:t>表1.4-</w:t>
      </w:r>
      <w:r>
        <w:rPr>
          <w:rFonts w:hint="eastAsia" w:ascii="Times New Roman" w:hAnsi="Times New Roman" w:eastAsia="黑体" w:cs="Times New Roman"/>
          <w:b w:val="0"/>
          <w:bCs/>
          <w:color w:val="auto"/>
          <w:sz w:val="24"/>
          <w:szCs w:val="22"/>
          <w:lang w:val="en-US" w:eastAsia="zh-CN"/>
        </w:rPr>
        <w:t>2</w:t>
      </w:r>
      <w:r>
        <w:rPr>
          <w:rFonts w:hint="default" w:ascii="Times New Roman" w:hAnsi="Times New Roman" w:eastAsia="黑体" w:cs="Times New Roman"/>
          <w:b w:val="0"/>
          <w:bCs/>
          <w:color w:val="auto"/>
          <w:sz w:val="24"/>
          <w:szCs w:val="22"/>
        </w:rPr>
        <w:t xml:space="preserve"> </w:t>
      </w:r>
      <w:r>
        <w:rPr>
          <w:rFonts w:hint="eastAsia" w:ascii="Times New Roman" w:hAnsi="Times New Roman" w:eastAsia="黑体" w:cs="Times New Roman"/>
          <w:b w:val="0"/>
          <w:bCs/>
          <w:color w:val="auto"/>
          <w:sz w:val="24"/>
          <w:szCs w:val="22"/>
          <w:lang w:val="en-US" w:eastAsia="zh-CN"/>
        </w:rPr>
        <w:t>生产</w:t>
      </w:r>
      <w:r>
        <w:rPr>
          <w:rFonts w:hint="default" w:ascii="Times New Roman" w:hAnsi="Times New Roman" w:eastAsia="黑体" w:cs="Times New Roman"/>
          <w:b w:val="0"/>
          <w:bCs/>
          <w:color w:val="auto"/>
          <w:sz w:val="24"/>
          <w:szCs w:val="22"/>
        </w:rPr>
        <w:t>废水排放标准(除pH外，单位：mg/L)</w:t>
      </w:r>
    </w:p>
    <w:tbl>
      <w:tblPr>
        <w:tblStyle w:val="90"/>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65"/>
        <w:gridCol w:w="1280"/>
        <w:gridCol w:w="3200"/>
        <w:gridCol w:w="307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965"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序号</w:t>
            </w:r>
          </w:p>
        </w:tc>
        <w:tc>
          <w:tcPr>
            <w:tcW w:w="1280"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污染物项目</w:t>
            </w:r>
          </w:p>
        </w:tc>
        <w:tc>
          <w:tcPr>
            <w:tcW w:w="3200"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lang w:val="en-GB"/>
              </w:rPr>
              <w:t>GB3157</w:t>
            </w: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lang w:val="en-GB"/>
              </w:rPr>
              <w:t>-2015</w:t>
            </w:r>
            <w:r>
              <w:rPr>
                <w:rFonts w:hint="eastAsia" w:ascii="Times New Roman" w:hAnsi="Times New Roman" w:eastAsia="宋体" w:cs="Times New Roman"/>
                <w:color w:val="auto"/>
                <w:sz w:val="21"/>
                <w:szCs w:val="21"/>
                <w:lang w:val="en-US" w:eastAsia="zh-CN"/>
              </w:rPr>
              <w:t>表1间接排放标准</w:t>
            </w:r>
          </w:p>
        </w:tc>
        <w:tc>
          <w:tcPr>
            <w:tcW w:w="3077"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sz w:val="21"/>
                <w:szCs w:val="21"/>
              </w:rPr>
              <w:t>污染物排放监控位置</w:t>
            </w:r>
            <w:r>
              <w:rPr>
                <w:rFonts w:hint="default" w:ascii="Times New Roman" w:hAnsi="Times New Roman" w:eastAsia="宋体" w:cs="Times New Roman"/>
                <w:color w:val="auto"/>
                <w:kern w:val="0"/>
                <w:sz w:val="21"/>
                <w:szCs w:val="21"/>
                <w:lang w:eastAsia="zh-CN"/>
              </w:rPr>
              <w:t>监测位置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965"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w:t>
            </w:r>
          </w:p>
        </w:tc>
        <w:tc>
          <w:tcPr>
            <w:tcW w:w="1280"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pH</w:t>
            </w:r>
          </w:p>
        </w:tc>
        <w:tc>
          <w:tcPr>
            <w:tcW w:w="3200"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6-9</w:t>
            </w:r>
          </w:p>
        </w:tc>
        <w:tc>
          <w:tcPr>
            <w:tcW w:w="3077"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企业废水总排放口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965"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w:t>
            </w:r>
          </w:p>
        </w:tc>
        <w:tc>
          <w:tcPr>
            <w:tcW w:w="1280"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悬浮物</w:t>
            </w:r>
          </w:p>
        </w:tc>
        <w:tc>
          <w:tcPr>
            <w:tcW w:w="3200"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kern w:val="0"/>
                <w:sz w:val="21"/>
                <w:szCs w:val="21"/>
                <w:lang w:val="en-US" w:eastAsia="zh-CN"/>
              </w:rPr>
              <w:t>100</w:t>
            </w:r>
          </w:p>
        </w:tc>
        <w:tc>
          <w:tcPr>
            <w:vMerge w:val="continue"/>
            <w:tcBorders>
              <w:tl2br w:val="nil"/>
              <w:tr2bl w:val="nil"/>
            </w:tcBorders>
            <w:noWrap w:val="0"/>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965"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w:t>
            </w:r>
          </w:p>
        </w:tc>
        <w:tc>
          <w:tcPr>
            <w:tcW w:w="1280"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COD</w:t>
            </w:r>
          </w:p>
        </w:tc>
        <w:tc>
          <w:tcPr>
            <w:tcW w:w="3200"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kern w:val="0"/>
                <w:sz w:val="21"/>
                <w:szCs w:val="21"/>
                <w:lang w:val="en-US" w:eastAsia="zh-CN"/>
              </w:rPr>
              <w:t>200</w:t>
            </w:r>
          </w:p>
        </w:tc>
        <w:tc>
          <w:tcPr>
            <w:vMerge w:val="continue"/>
            <w:tcBorders>
              <w:tl2br w:val="nil"/>
              <w:tr2bl w:val="nil"/>
            </w:tcBorders>
            <w:noWrap w:val="0"/>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965"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eastAsia"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val="en-US" w:eastAsia="zh-CN"/>
              </w:rPr>
              <w:t>4</w:t>
            </w:r>
          </w:p>
        </w:tc>
        <w:tc>
          <w:tcPr>
            <w:tcW w:w="1280"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氨氮</w:t>
            </w:r>
          </w:p>
        </w:tc>
        <w:tc>
          <w:tcPr>
            <w:tcW w:w="3200"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40</w:t>
            </w:r>
          </w:p>
        </w:tc>
        <w:tc>
          <w:tcPr>
            <w:vMerge w:val="continue"/>
            <w:tcBorders>
              <w:tl2br w:val="nil"/>
              <w:tr2bl w:val="nil"/>
            </w:tcBorders>
            <w:noWrap w:val="0"/>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965"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eastAsia"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val="en-US" w:eastAsia="zh-CN"/>
              </w:rPr>
              <w:t>5</w:t>
            </w:r>
          </w:p>
        </w:tc>
        <w:tc>
          <w:tcPr>
            <w:tcW w:w="1280"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总氮</w:t>
            </w:r>
          </w:p>
        </w:tc>
        <w:tc>
          <w:tcPr>
            <w:tcW w:w="3200"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60</w:t>
            </w:r>
          </w:p>
        </w:tc>
        <w:tc>
          <w:tcPr>
            <w:vMerge w:val="continue"/>
            <w:tcBorders>
              <w:tl2br w:val="nil"/>
              <w:tr2bl w:val="nil"/>
            </w:tcBorders>
            <w:noWrap w:val="0"/>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965"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6</w:t>
            </w:r>
          </w:p>
        </w:tc>
        <w:tc>
          <w:tcPr>
            <w:tcW w:w="1280"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总磷</w:t>
            </w:r>
          </w:p>
        </w:tc>
        <w:tc>
          <w:tcPr>
            <w:tcW w:w="3200"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2.0</w:t>
            </w:r>
          </w:p>
        </w:tc>
        <w:tc>
          <w:tcPr>
            <w:vMerge w:val="continue"/>
            <w:tcBorders>
              <w:tl2br w:val="nil"/>
              <w:tr2bl w:val="nil"/>
            </w:tcBorders>
            <w:noWrap w:val="0"/>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965"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7</w:t>
            </w:r>
          </w:p>
        </w:tc>
        <w:tc>
          <w:tcPr>
            <w:tcW w:w="1280"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总银</w:t>
            </w:r>
          </w:p>
        </w:tc>
        <w:tc>
          <w:tcPr>
            <w:tcW w:w="3200"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0.5</w:t>
            </w:r>
          </w:p>
        </w:tc>
        <w:tc>
          <w:tcPr>
            <w:tcW w:w="3077"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车间或生产设施废水排放口</w:t>
            </w:r>
          </w:p>
        </w:tc>
      </w:tr>
    </w:tbl>
    <w:p>
      <w:pPr>
        <w:widowControl w:val="0"/>
        <w:numPr>
          <w:ilvl w:val="0"/>
          <w:numId w:val="0"/>
        </w:numPr>
        <w:spacing w:line="360" w:lineRule="auto"/>
        <w:ind w:firstLine="480"/>
        <w:jc w:val="both"/>
        <w:rPr>
          <w:rFonts w:hint="default"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0"/>
          <w:lang w:val="en-US" w:eastAsia="zh-CN" w:bidi="ar-SA"/>
        </w:rPr>
        <w:t>（3）生活污水</w:t>
      </w:r>
      <w:r>
        <w:rPr>
          <w:rFonts w:hint="default" w:ascii="Times New Roman" w:hAnsi="Times New Roman" w:eastAsia="宋体" w:cs="Times New Roman"/>
          <w:color w:val="auto"/>
          <w:kern w:val="2"/>
          <w:sz w:val="24"/>
          <w:szCs w:val="20"/>
          <w:lang w:val="en-US" w:eastAsia="zh-CN" w:bidi="ar-SA"/>
        </w:rPr>
        <w:t>经化粪池处理后通过生活污水排放口进入江阴污水处理厂。</w:t>
      </w:r>
    </w:p>
    <w:p>
      <w:pPr>
        <w:widowControl w:val="0"/>
        <w:spacing w:line="360" w:lineRule="auto"/>
        <w:ind w:firstLine="480"/>
        <w:jc w:val="both"/>
        <w:rPr>
          <w:rFonts w:hint="default"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4"/>
          <w:lang w:val="en-US" w:eastAsia="zh-CN" w:bidi="ar-SA"/>
        </w:rPr>
        <w:t>根据中华人民共和国生态环境部中关于行业标准中生活污水执行问题的回复（http://www.mee.gov.cn/hdjl/hfhz/201903/t20190321_696852.shtml）：相关企业的厂区生活污水原则上应当按行业排放标准进行管控。若生活与生产废水完全隔绝，且采取了有效措施防止二者混排等风险，这类生活污水可按一般生活污水管理。本项目生活、生产废水分别采用专管专线，职工公共活动区域完全隔绝，因此生活污水依然执行</w:t>
      </w:r>
      <w:r>
        <w:rPr>
          <w:rFonts w:hint="default" w:ascii="Times New Roman" w:hAnsi="Times New Roman" w:eastAsia="宋体" w:cs="Times New Roman"/>
          <w:color w:val="auto"/>
          <w:kern w:val="2"/>
          <w:sz w:val="24"/>
          <w:szCs w:val="24"/>
          <w:lang w:val="en-GB" w:eastAsia="zh-CN" w:bidi="ar-SA"/>
        </w:rPr>
        <w:t>《污水综合排放标准》(GB8978-1996)中表4三级标准</w:t>
      </w:r>
      <w:bookmarkStart w:id="52" w:name="OLE_LINK10"/>
      <w:r>
        <w:rPr>
          <w:rFonts w:hint="eastAsia" w:ascii="Times New Roman" w:hAnsi="Times New Roman" w:eastAsia="宋体" w:cs="Times New Roman"/>
          <w:color w:val="auto"/>
          <w:kern w:val="2"/>
          <w:sz w:val="24"/>
          <w:szCs w:val="24"/>
          <w:lang w:val="en-GB" w:eastAsia="zh-CN" w:bidi="ar-SA"/>
        </w:rPr>
        <w:t>，</w:t>
      </w:r>
      <w:r>
        <w:rPr>
          <w:rFonts w:hint="default" w:ascii="Times New Roman" w:hAnsi="Times New Roman" w:eastAsia="宋体" w:cs="Times New Roman"/>
          <w:color w:val="auto"/>
          <w:kern w:val="2"/>
          <w:sz w:val="24"/>
          <w:szCs w:val="20"/>
          <w:lang w:val="en-US" w:eastAsia="zh-CN" w:bidi="ar-SA"/>
        </w:rPr>
        <w:t>详见下表1.4-</w:t>
      </w:r>
      <w:bookmarkEnd w:id="52"/>
      <w:r>
        <w:rPr>
          <w:rFonts w:hint="eastAsia" w:ascii="Times New Roman" w:hAnsi="Times New Roman" w:eastAsia="宋体" w:cs="Times New Roman"/>
          <w:color w:val="auto"/>
          <w:kern w:val="2"/>
          <w:sz w:val="24"/>
          <w:szCs w:val="20"/>
          <w:lang w:val="en-US" w:eastAsia="zh-CN" w:bidi="ar-SA"/>
        </w:rPr>
        <w:t>3</w:t>
      </w:r>
      <w:r>
        <w:rPr>
          <w:rFonts w:hint="default" w:ascii="Times New Roman" w:hAnsi="Times New Roman" w:eastAsia="宋体" w:cs="Times New Roman"/>
          <w:color w:val="auto"/>
          <w:kern w:val="2"/>
          <w:sz w:val="24"/>
          <w:szCs w:val="20"/>
          <w:lang w:val="en-US" w:eastAsia="zh-CN" w:bidi="ar-SA"/>
        </w:rPr>
        <w:t>。</w:t>
      </w:r>
    </w:p>
    <w:p>
      <w:pPr>
        <w:pStyle w:val="777"/>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表</w:t>
      </w:r>
      <w:r>
        <w:rPr>
          <w:rFonts w:hint="eastAsia" w:ascii="Times New Roman" w:hAnsi="Times New Roman" w:cs="Times New Roman"/>
          <w:b/>
          <w:bCs/>
          <w:color w:val="auto"/>
          <w:lang w:val="en-US" w:eastAsia="zh-CN"/>
        </w:rPr>
        <w:t>1.4-3  项目生活</w:t>
      </w:r>
      <w:r>
        <w:rPr>
          <w:rFonts w:hint="default" w:ascii="Times New Roman" w:hAnsi="Times New Roman" w:cs="Times New Roman"/>
          <w:b/>
          <w:bCs/>
          <w:color w:val="auto"/>
          <w:lang w:val="en-US" w:eastAsia="zh-CN"/>
        </w:rPr>
        <w:t>废水排放执行标准</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740"/>
        <w:gridCol w:w="2561"/>
        <w:gridCol w:w="1708"/>
        <w:gridCol w:w="3409"/>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00" w:hRule="atLeast"/>
          <w:jc w:val="center"/>
        </w:trPr>
        <w:tc>
          <w:tcPr>
            <w:tcW w:w="740"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2561"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污染物名称</w:t>
            </w:r>
          </w:p>
        </w:tc>
        <w:tc>
          <w:tcPr>
            <w:tcW w:w="1708"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三级标准</w:t>
            </w:r>
          </w:p>
        </w:tc>
        <w:tc>
          <w:tcPr>
            <w:tcW w:w="3409"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执行标准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0"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561"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pH（无量纲）</w:t>
            </w:r>
          </w:p>
        </w:tc>
        <w:tc>
          <w:tcPr>
            <w:tcW w:w="1708"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6～9</w:t>
            </w:r>
          </w:p>
        </w:tc>
        <w:tc>
          <w:tcPr>
            <w:tcW w:w="3409" w:type="dxa"/>
            <w:vMerge w:val="restart"/>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《污水综合排放标准》(GB8978-1996)中表4三级标准</w:t>
            </w:r>
          </w:p>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（其中NH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-N参照执行《污水排入城镇下水道水质标准》（GB/T 31962-2015）表1中的B级标准）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0"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561"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悬浮物（SS）</w:t>
            </w:r>
          </w:p>
        </w:tc>
        <w:tc>
          <w:tcPr>
            <w:tcW w:w="1708"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≤400mg/L</w:t>
            </w:r>
          </w:p>
        </w:tc>
        <w:tc>
          <w:tcPr>
            <w:vMerge w:val="continue"/>
            <w:noWrap w:val="0"/>
          </w:tc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0"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561"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五日生化需氧（BOD</w:t>
            </w:r>
            <w:r>
              <w:rPr>
                <w:rFonts w:hint="default" w:ascii="Times New Roman" w:hAnsi="Times New Roman" w:eastAsia="宋体" w:cs="Times New Roman"/>
                <w:color w:val="auto"/>
                <w:sz w:val="21"/>
                <w:szCs w:val="21"/>
                <w:vertAlign w:val="subscript"/>
              </w:rPr>
              <w:t>5</w:t>
            </w:r>
            <w:r>
              <w:rPr>
                <w:rFonts w:hint="default" w:ascii="Times New Roman" w:hAnsi="Times New Roman" w:eastAsia="宋体" w:cs="Times New Roman"/>
                <w:color w:val="auto"/>
                <w:sz w:val="21"/>
                <w:szCs w:val="21"/>
              </w:rPr>
              <w:t>）</w:t>
            </w:r>
          </w:p>
        </w:tc>
        <w:tc>
          <w:tcPr>
            <w:tcW w:w="1708"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≤300mg/L</w:t>
            </w:r>
          </w:p>
        </w:tc>
        <w:tc>
          <w:tcPr>
            <w:vMerge w:val="continue"/>
            <w:noWrap w:val="0"/>
          </w:tc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0"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2561"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化学需氧量（COD）</w:t>
            </w:r>
          </w:p>
        </w:tc>
        <w:tc>
          <w:tcPr>
            <w:tcW w:w="1708"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≤500mg/L</w:t>
            </w:r>
          </w:p>
        </w:tc>
        <w:tc>
          <w:tcPr>
            <w:vMerge w:val="continue"/>
            <w:noWrap w:val="0"/>
          </w:tc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0"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2561"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动植物油</w:t>
            </w:r>
          </w:p>
        </w:tc>
        <w:tc>
          <w:tcPr>
            <w:tcW w:w="1708"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≤10mg/L</w:t>
            </w:r>
          </w:p>
        </w:tc>
        <w:tc>
          <w:tcPr>
            <w:vMerge w:val="continue"/>
            <w:noWrap w:val="0"/>
          </w:tc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0"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2561"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氨氮（NH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w:t>
            </w:r>
          </w:p>
        </w:tc>
        <w:tc>
          <w:tcPr>
            <w:tcW w:w="1708" w:type="dxa"/>
            <w:noWrap w:val="0"/>
            <w:vAlign w:val="center"/>
          </w:tcPr>
          <w:p>
            <w:pPr>
              <w:pStyle w:val="72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≤45mg/L</w:t>
            </w:r>
          </w:p>
        </w:tc>
        <w:tc>
          <w:tcPr>
            <w:vMerge w:val="continue"/>
            <w:noWrap w:val="0"/>
          </w:tcPr>
          <w:p/>
        </w:tc>
      </w:tr>
    </w:tbl>
    <w:p>
      <w:pPr>
        <w:widowControl w:val="0"/>
        <w:spacing w:line="360" w:lineRule="auto"/>
        <w:ind w:firstLine="482"/>
        <w:jc w:val="both"/>
        <w:rPr>
          <w:rFonts w:hint="default" w:ascii="Times New Roman" w:hAnsi="Times New Roman" w:eastAsia="宋体" w:cs="Times New Roman"/>
          <w:b/>
          <w:bCs/>
          <w:color w:val="auto"/>
          <w:kern w:val="2"/>
          <w:sz w:val="24"/>
          <w:szCs w:val="20"/>
          <w:lang w:val="en-US" w:eastAsia="zh-CN" w:bidi="ar-SA"/>
        </w:rPr>
      </w:pPr>
      <w:r>
        <w:rPr>
          <w:rFonts w:hint="default" w:ascii="Times New Roman" w:hAnsi="Times New Roman" w:eastAsia="宋体" w:cs="Times New Roman"/>
          <w:b/>
          <w:bCs/>
          <w:color w:val="auto"/>
          <w:kern w:val="2"/>
          <w:sz w:val="24"/>
          <w:szCs w:val="20"/>
          <w:lang w:val="en-US" w:eastAsia="zh-CN" w:bidi="ar-SA"/>
        </w:rPr>
        <w:t>（</w:t>
      </w:r>
      <w:r>
        <w:rPr>
          <w:rFonts w:hint="eastAsia" w:ascii="Times New Roman" w:hAnsi="Times New Roman" w:eastAsia="宋体" w:cs="Times New Roman"/>
          <w:b/>
          <w:bCs/>
          <w:color w:val="auto"/>
          <w:kern w:val="2"/>
          <w:sz w:val="24"/>
          <w:szCs w:val="20"/>
          <w:lang w:val="en-US" w:eastAsia="zh-CN" w:bidi="ar-SA"/>
        </w:rPr>
        <w:t>4</w:t>
      </w:r>
      <w:r>
        <w:rPr>
          <w:rFonts w:hint="default" w:ascii="Times New Roman" w:hAnsi="Times New Roman" w:eastAsia="宋体" w:cs="Times New Roman"/>
          <w:b/>
          <w:bCs/>
          <w:color w:val="auto"/>
          <w:kern w:val="2"/>
          <w:sz w:val="24"/>
          <w:szCs w:val="20"/>
          <w:lang w:val="en-US" w:eastAsia="zh-CN" w:bidi="ar-SA"/>
        </w:rPr>
        <w:t>）江阴污水厂尾水排放标准</w:t>
      </w:r>
    </w:p>
    <w:p>
      <w:pPr>
        <w:spacing w:line="360" w:lineRule="auto"/>
        <w:ind w:firstLine="480"/>
        <w:jc w:val="both"/>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江阴污水处理厂尾水执行《城镇污水处理厂污染物排放标准》（GB18918-2002）表1一级A标准</w:t>
      </w:r>
      <w:r>
        <w:rPr>
          <w:rFonts w:hint="eastAsia" w:ascii="Times New Roman" w:hAnsi="Times New Roman" w:eastAsia="宋体" w:cs="Times New Roman"/>
          <w:color w:val="auto"/>
          <w:kern w:val="2"/>
          <w:sz w:val="24"/>
          <w:szCs w:val="22"/>
          <w:lang w:val="en-US" w:eastAsia="zh-CN" w:bidi="ar-SA"/>
        </w:rPr>
        <w:t>、表3标准</w:t>
      </w:r>
      <w:r>
        <w:rPr>
          <w:rFonts w:hint="default" w:ascii="Times New Roman" w:hAnsi="Times New Roman" w:eastAsia="宋体" w:cs="Times New Roman"/>
          <w:color w:val="auto"/>
          <w:kern w:val="2"/>
          <w:sz w:val="24"/>
          <w:szCs w:val="22"/>
          <w:lang w:val="en-US" w:eastAsia="zh-CN" w:bidi="ar-SA"/>
        </w:rPr>
        <w:t>，</w:t>
      </w:r>
      <w:r>
        <w:rPr>
          <w:rFonts w:hint="eastAsia" w:ascii="Times New Roman" w:hAnsi="Times New Roman" w:eastAsia="宋体" w:cs="Times New Roman"/>
          <w:color w:val="auto"/>
          <w:kern w:val="2"/>
          <w:sz w:val="24"/>
          <w:szCs w:val="22"/>
          <w:lang w:val="en-US" w:eastAsia="zh-CN" w:bidi="ar-SA"/>
        </w:rPr>
        <w:t>还应从严执行《污水综合排放标准》（GB8978-1996）一级标准，</w:t>
      </w:r>
      <w:r>
        <w:rPr>
          <w:rFonts w:hint="default" w:ascii="Times New Roman" w:hAnsi="Times New Roman" w:eastAsia="宋体" w:cs="Times New Roman"/>
          <w:color w:val="auto"/>
          <w:kern w:val="2"/>
          <w:sz w:val="24"/>
          <w:szCs w:val="22"/>
          <w:lang w:val="en-US" w:eastAsia="zh-CN" w:bidi="ar-SA"/>
        </w:rPr>
        <w:t>见表1.4-</w:t>
      </w:r>
      <w:r>
        <w:rPr>
          <w:rFonts w:hint="eastAsia" w:ascii="Times New Roman" w:hAnsi="Times New Roman" w:eastAsia="宋体" w:cs="Times New Roman"/>
          <w:color w:val="auto"/>
          <w:kern w:val="2"/>
          <w:sz w:val="24"/>
          <w:szCs w:val="22"/>
          <w:lang w:val="en-US" w:eastAsia="zh-CN" w:bidi="ar-SA"/>
        </w:rPr>
        <w:t>4</w:t>
      </w:r>
      <w:r>
        <w:rPr>
          <w:rFonts w:hint="default" w:ascii="Times New Roman" w:hAnsi="Times New Roman" w:eastAsia="宋体" w:cs="Times New Roman"/>
          <w:color w:val="auto"/>
          <w:kern w:val="2"/>
          <w:sz w:val="24"/>
          <w:szCs w:val="22"/>
          <w:lang w:val="en-US" w:eastAsia="zh-CN" w:bidi="ar-SA"/>
        </w:rPr>
        <w:t>。GB18918-2002表1一级A标准</w:t>
      </w:r>
      <w:r>
        <w:rPr>
          <w:rFonts w:hint="eastAsia" w:ascii="Times New Roman" w:hAnsi="Times New Roman" w:eastAsia="宋体" w:cs="Times New Roman"/>
          <w:color w:val="auto"/>
          <w:kern w:val="2"/>
          <w:sz w:val="24"/>
          <w:szCs w:val="22"/>
          <w:lang w:val="en-US" w:eastAsia="zh-CN" w:bidi="ar-SA"/>
        </w:rPr>
        <w:t>、表3标准严于GB8978-1996一级标准，因此，</w:t>
      </w:r>
      <w:r>
        <w:rPr>
          <w:rFonts w:hint="default" w:ascii="Times New Roman" w:hAnsi="Times New Roman" w:eastAsia="宋体" w:cs="Times New Roman"/>
          <w:color w:val="auto"/>
          <w:kern w:val="2"/>
          <w:sz w:val="24"/>
          <w:szCs w:val="22"/>
          <w:lang w:val="en-US" w:eastAsia="zh-CN" w:bidi="ar-SA"/>
        </w:rPr>
        <w:t>江阴污水处理厂尾水</w:t>
      </w:r>
      <w:r>
        <w:rPr>
          <w:rFonts w:hint="eastAsia" w:ascii="Times New Roman" w:hAnsi="Times New Roman" w:eastAsia="宋体" w:cs="Times New Roman"/>
          <w:color w:val="auto"/>
          <w:kern w:val="2"/>
          <w:sz w:val="24"/>
          <w:szCs w:val="22"/>
          <w:lang w:val="en-US" w:eastAsia="zh-CN" w:bidi="ar-SA"/>
        </w:rPr>
        <w:t>执行</w:t>
      </w:r>
      <w:r>
        <w:rPr>
          <w:rFonts w:hint="default" w:ascii="Times New Roman" w:hAnsi="Times New Roman" w:eastAsia="宋体" w:cs="Times New Roman"/>
          <w:color w:val="auto"/>
          <w:kern w:val="2"/>
          <w:sz w:val="24"/>
          <w:szCs w:val="22"/>
          <w:lang w:val="en-US" w:eastAsia="zh-CN" w:bidi="ar-SA"/>
        </w:rPr>
        <w:t>GB18918-2002表1一级A标准</w:t>
      </w:r>
      <w:r>
        <w:rPr>
          <w:rFonts w:hint="eastAsia" w:ascii="Times New Roman" w:hAnsi="Times New Roman" w:eastAsia="宋体" w:cs="Times New Roman"/>
          <w:color w:val="auto"/>
          <w:kern w:val="2"/>
          <w:sz w:val="24"/>
          <w:szCs w:val="22"/>
          <w:lang w:val="en-US" w:eastAsia="zh-CN" w:bidi="ar-SA"/>
        </w:rPr>
        <w:t>、表3标准。</w:t>
      </w:r>
    </w:p>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default" w:ascii="Times New Roman" w:hAnsi="Times New Roman" w:eastAsia="黑体" w:cs="Times New Roman"/>
          <w:b w:val="0"/>
          <w:bCs/>
          <w:color w:val="auto"/>
          <w:sz w:val="24"/>
          <w:szCs w:val="22"/>
        </w:rPr>
      </w:pPr>
      <w:r>
        <w:rPr>
          <w:rFonts w:hint="default" w:ascii="Times New Roman" w:hAnsi="Times New Roman" w:eastAsia="黑体" w:cs="Times New Roman"/>
          <w:b w:val="0"/>
          <w:bCs/>
          <w:color w:val="auto"/>
          <w:sz w:val="24"/>
          <w:szCs w:val="22"/>
        </w:rPr>
        <w:t>表1.</w:t>
      </w:r>
      <w:r>
        <w:rPr>
          <w:rFonts w:hint="default" w:ascii="Times New Roman" w:hAnsi="Times New Roman" w:eastAsia="黑体" w:cs="Times New Roman"/>
          <w:b w:val="0"/>
          <w:bCs/>
          <w:color w:val="auto"/>
          <w:sz w:val="24"/>
          <w:szCs w:val="22"/>
          <w:lang w:val="en-US" w:eastAsia="zh-CN"/>
        </w:rPr>
        <w:t>4-</w:t>
      </w:r>
      <w:r>
        <w:rPr>
          <w:rFonts w:hint="eastAsia" w:ascii="Times New Roman" w:hAnsi="Times New Roman" w:eastAsia="黑体" w:cs="Times New Roman"/>
          <w:b w:val="0"/>
          <w:bCs/>
          <w:color w:val="auto"/>
          <w:sz w:val="24"/>
          <w:szCs w:val="22"/>
          <w:lang w:val="en-US" w:eastAsia="zh-CN"/>
        </w:rPr>
        <w:t>4</w:t>
      </w:r>
      <w:r>
        <w:rPr>
          <w:rFonts w:hint="default" w:ascii="Times New Roman" w:hAnsi="Times New Roman" w:eastAsia="黑体" w:cs="Times New Roman"/>
          <w:b w:val="0"/>
          <w:bCs/>
          <w:color w:val="auto"/>
          <w:sz w:val="24"/>
          <w:szCs w:val="22"/>
        </w:rPr>
        <w:t xml:space="preserve">  江阴工业集中区污水处理厂尾水污染物排放执行标准  单位mg/L</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2"/>
        <w:gridCol w:w="1585"/>
        <w:gridCol w:w="3006"/>
        <w:gridCol w:w="30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92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序号</w:t>
            </w:r>
          </w:p>
        </w:tc>
        <w:tc>
          <w:tcPr>
            <w:tcW w:w="158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污染物</w:t>
            </w:r>
          </w:p>
        </w:tc>
        <w:tc>
          <w:tcPr>
            <w:tcW w:w="300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《城镇污水处理厂污染物排放标准》一级A标准</w:t>
            </w:r>
          </w:p>
        </w:tc>
        <w:tc>
          <w:tcPr>
            <w:tcW w:w="300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《污水综合排放标准》（GB8978-1996）</w:t>
            </w:r>
            <w:r>
              <w:rPr>
                <w:rFonts w:hint="eastAsia" w:ascii="Times New Roman" w:hAnsi="Times New Roman" w:eastAsia="宋体" w:cs="Times New Roman"/>
                <w:color w:val="auto"/>
                <w:kern w:val="2"/>
                <w:sz w:val="21"/>
                <w:szCs w:val="22"/>
                <w:lang w:val="en-US" w:eastAsia="zh-CN" w:bidi="ar-SA"/>
              </w:rPr>
              <w:t>一级标准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92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1</w:t>
            </w:r>
          </w:p>
        </w:tc>
        <w:tc>
          <w:tcPr>
            <w:tcW w:w="158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pH（无量纲）</w:t>
            </w:r>
          </w:p>
        </w:tc>
        <w:tc>
          <w:tcPr>
            <w:tcW w:w="300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6~9</w:t>
            </w:r>
          </w:p>
        </w:tc>
        <w:tc>
          <w:tcPr>
            <w:tcW w:w="300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92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2</w:t>
            </w:r>
          </w:p>
        </w:tc>
        <w:tc>
          <w:tcPr>
            <w:tcW w:w="158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悬浮物</w:t>
            </w:r>
          </w:p>
        </w:tc>
        <w:tc>
          <w:tcPr>
            <w:tcW w:w="300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10</w:t>
            </w:r>
          </w:p>
        </w:tc>
        <w:tc>
          <w:tcPr>
            <w:tcW w:w="300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eastAsia" w:ascii="Times New Roman" w:hAnsi="Times New Roman" w:eastAsia="宋体" w:cs="Times New Roman"/>
                <w:color w:val="auto"/>
                <w:kern w:val="2"/>
                <w:sz w:val="21"/>
                <w:szCs w:val="22"/>
                <w:lang w:val="en-US" w:eastAsia="zh-CN" w:bidi="ar-SA"/>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92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3</w:t>
            </w:r>
          </w:p>
        </w:tc>
        <w:tc>
          <w:tcPr>
            <w:tcW w:w="158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COD</w:t>
            </w:r>
          </w:p>
        </w:tc>
        <w:tc>
          <w:tcPr>
            <w:tcW w:w="300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50</w:t>
            </w:r>
          </w:p>
        </w:tc>
        <w:tc>
          <w:tcPr>
            <w:tcW w:w="300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eastAsia" w:ascii="Times New Roman" w:hAnsi="Times New Roman" w:eastAsia="宋体" w:cs="Times New Roman"/>
                <w:color w:val="auto"/>
                <w:kern w:val="2"/>
                <w:sz w:val="21"/>
                <w:szCs w:val="22"/>
                <w:lang w:val="en-US" w:eastAsia="zh-CN" w:bidi="ar-SA"/>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92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4</w:t>
            </w:r>
          </w:p>
        </w:tc>
        <w:tc>
          <w:tcPr>
            <w:tcW w:w="158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BOD</w:t>
            </w:r>
            <w:r>
              <w:rPr>
                <w:rFonts w:hint="default" w:ascii="Times New Roman" w:hAnsi="Times New Roman" w:eastAsia="宋体" w:cs="Times New Roman"/>
                <w:color w:val="auto"/>
                <w:kern w:val="2"/>
                <w:sz w:val="21"/>
                <w:szCs w:val="22"/>
                <w:vertAlign w:val="subscript"/>
                <w:lang w:val="en-US" w:eastAsia="zh-CN" w:bidi="ar-SA"/>
              </w:rPr>
              <w:t>5</w:t>
            </w:r>
          </w:p>
        </w:tc>
        <w:tc>
          <w:tcPr>
            <w:tcW w:w="300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10</w:t>
            </w:r>
          </w:p>
        </w:tc>
        <w:tc>
          <w:tcPr>
            <w:tcW w:w="300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eastAsia" w:ascii="Times New Roman" w:hAnsi="Times New Roman" w:eastAsia="宋体" w:cs="Times New Roman"/>
                <w:color w:val="auto"/>
                <w:kern w:val="2"/>
                <w:sz w:val="21"/>
                <w:szCs w:val="22"/>
                <w:lang w:val="en-US" w:eastAsia="zh-CN" w:bidi="ar-SA"/>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92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5</w:t>
            </w:r>
          </w:p>
        </w:tc>
        <w:tc>
          <w:tcPr>
            <w:tcW w:w="158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NH</w:t>
            </w:r>
            <w:r>
              <w:rPr>
                <w:rFonts w:hint="default" w:ascii="Times New Roman" w:hAnsi="Times New Roman" w:eastAsia="宋体" w:cs="Times New Roman"/>
                <w:color w:val="auto"/>
                <w:kern w:val="2"/>
                <w:sz w:val="21"/>
                <w:szCs w:val="22"/>
                <w:vertAlign w:val="subscript"/>
                <w:lang w:val="en-US" w:eastAsia="zh-CN" w:bidi="ar-SA"/>
              </w:rPr>
              <w:t>3</w:t>
            </w:r>
            <w:r>
              <w:rPr>
                <w:rFonts w:hint="default" w:ascii="Times New Roman" w:hAnsi="Times New Roman" w:eastAsia="宋体" w:cs="Times New Roman"/>
                <w:color w:val="auto"/>
                <w:kern w:val="2"/>
                <w:sz w:val="21"/>
                <w:szCs w:val="22"/>
                <w:lang w:val="en-US" w:eastAsia="zh-CN" w:bidi="ar-SA"/>
              </w:rPr>
              <w:t>-N</w:t>
            </w:r>
          </w:p>
        </w:tc>
        <w:tc>
          <w:tcPr>
            <w:tcW w:w="300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5</w:t>
            </w:r>
          </w:p>
        </w:tc>
        <w:tc>
          <w:tcPr>
            <w:tcW w:w="300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eastAsia" w:ascii="Times New Roman" w:hAnsi="Times New Roman" w:eastAsia="宋体" w:cs="Times New Roman"/>
                <w:color w:val="auto"/>
                <w:kern w:val="2"/>
                <w:sz w:val="21"/>
                <w:szCs w:val="22"/>
                <w:lang w:val="en-US" w:eastAsia="zh-CN" w:bidi="ar-SA"/>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92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eastAsia" w:ascii="Times New Roman" w:hAnsi="Times New Roman" w:eastAsia="宋体" w:cs="Times New Roman"/>
                <w:color w:val="auto"/>
                <w:kern w:val="2"/>
                <w:sz w:val="21"/>
                <w:szCs w:val="22"/>
                <w:lang w:val="en-US" w:eastAsia="zh-CN" w:bidi="ar-SA"/>
              </w:rPr>
              <w:t>6</w:t>
            </w:r>
          </w:p>
        </w:tc>
        <w:tc>
          <w:tcPr>
            <w:tcW w:w="158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eastAsia" w:ascii="Times New Roman" w:hAnsi="Times New Roman" w:eastAsia="宋体" w:cs="Times New Roman"/>
                <w:color w:val="auto"/>
                <w:kern w:val="2"/>
                <w:sz w:val="21"/>
                <w:szCs w:val="22"/>
                <w:lang w:val="en-US" w:eastAsia="zh-CN" w:bidi="ar-SA"/>
              </w:rPr>
              <w:t>总银</w:t>
            </w:r>
          </w:p>
        </w:tc>
        <w:tc>
          <w:tcPr>
            <w:tcW w:w="300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eastAsia" w:ascii="Times New Roman" w:hAnsi="Times New Roman" w:eastAsia="宋体" w:cs="Times New Roman"/>
                <w:color w:val="auto"/>
                <w:kern w:val="2"/>
                <w:sz w:val="21"/>
                <w:szCs w:val="22"/>
                <w:lang w:val="en-US" w:eastAsia="zh-CN" w:bidi="ar-SA"/>
              </w:rPr>
              <w:t>0.1</w:t>
            </w:r>
          </w:p>
        </w:tc>
        <w:tc>
          <w:tcPr>
            <w:tcW w:w="300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eastAsia" w:ascii="Times New Roman" w:hAnsi="Times New Roman" w:eastAsia="宋体" w:cs="Times New Roman"/>
                <w:color w:val="auto"/>
                <w:kern w:val="2"/>
                <w:sz w:val="21"/>
                <w:szCs w:val="22"/>
                <w:lang w:val="en-US" w:eastAsia="zh-CN" w:bidi="ar-SA"/>
              </w:rPr>
              <w:t>0.5</w:t>
            </w:r>
          </w:p>
        </w:tc>
      </w:tr>
    </w:tbl>
    <w:p>
      <w:pPr>
        <w:spacing w:line="360" w:lineRule="auto"/>
        <w:ind w:firstLine="0"/>
        <w:outlineLvl w:val="2"/>
        <w:rPr>
          <w:rFonts w:hint="default" w:ascii="Times New Roman" w:hAnsi="Times New Roman" w:eastAsia="黑体" w:cs="Times New Roman"/>
          <w:b/>
          <w:color w:val="auto"/>
          <w:sz w:val="30"/>
          <w:szCs w:val="30"/>
        </w:rPr>
      </w:pPr>
      <w:r>
        <w:rPr>
          <w:rFonts w:hint="default" w:ascii="Times New Roman" w:hAnsi="Times New Roman" w:eastAsia="黑体" w:cs="Times New Roman"/>
          <w:b/>
          <w:color w:val="auto"/>
          <w:sz w:val="30"/>
          <w:szCs w:val="30"/>
        </w:rPr>
        <w:t>1.4.2废气</w:t>
      </w:r>
    </w:p>
    <w:p>
      <w:pPr>
        <w:keepNext w:val="0"/>
        <w:keepLines w:val="0"/>
        <w:pageBreakBefore w:val="0"/>
        <w:widowControl w:val="0"/>
        <w:kinsoku/>
        <w:wordWrap/>
        <w:overflowPunct/>
        <w:topLinePunct w:val="0"/>
        <w:autoSpaceDE/>
        <w:autoSpaceDN/>
        <w:bidi w:val="0"/>
        <w:adjustRightInd/>
        <w:spacing w:line="360" w:lineRule="auto"/>
        <w:ind w:firstLine="480"/>
        <w:textAlignment w:val="auto"/>
        <w:outlineLvl w:val="9"/>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lang w:val="en-GB"/>
        </w:rPr>
        <w:t>①有组织工艺废气</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DA001</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电子级硝酸生产废气</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硝酸银溶银废气经双氧水预洗塔后的尾气</w:t>
      </w:r>
      <w:r>
        <w:rPr>
          <w:rFonts w:hint="eastAsia" w:ascii="Times New Roman" w:hAnsi="Times New Roman" w:eastAsia="宋体" w:cs="Times New Roman"/>
          <w:color w:val="auto"/>
          <w:sz w:val="24"/>
          <w:szCs w:val="24"/>
          <w:lang w:val="en-US" w:eastAsia="zh-CN"/>
        </w:rPr>
        <w:t>由</w:t>
      </w:r>
      <w:r>
        <w:rPr>
          <w:rFonts w:hint="default" w:ascii="Times New Roman" w:hAnsi="Times New Roman" w:eastAsia="宋体" w:cs="Times New Roman"/>
          <w:color w:val="auto"/>
          <w:sz w:val="24"/>
          <w:szCs w:val="24"/>
        </w:rPr>
        <w:t>DA001排放</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H=25m</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主要污染因子为</w:t>
      </w:r>
      <w:r>
        <w:rPr>
          <w:rFonts w:hint="default" w:ascii="Times New Roman" w:hAnsi="Times New Roman" w:eastAsia="宋体" w:cs="Times New Roman"/>
          <w:color w:val="auto"/>
          <w:kern w:val="0"/>
          <w:sz w:val="24"/>
          <w:szCs w:val="24"/>
        </w:rPr>
        <w:t>氮氧化物</w:t>
      </w:r>
      <w:r>
        <w:rPr>
          <w:rFonts w:hint="eastAsia" w:ascii="Times New Roman" w:hAnsi="Times New Roman" w:eastAsia="宋体" w:cs="Times New Roman"/>
          <w:color w:val="auto"/>
          <w:kern w:val="0"/>
          <w:sz w:val="24"/>
          <w:szCs w:val="24"/>
          <w:lang w:eastAsia="zh-CN"/>
        </w:rPr>
        <w:t>，</w:t>
      </w:r>
      <w:r>
        <w:rPr>
          <w:rFonts w:hint="eastAsia" w:ascii="Times New Roman" w:hAnsi="Times New Roman" w:eastAsia="宋体" w:cs="Times New Roman"/>
          <w:color w:val="auto"/>
          <w:kern w:val="0"/>
          <w:sz w:val="24"/>
          <w:szCs w:val="24"/>
          <w:lang w:val="en-US" w:eastAsia="zh-CN"/>
        </w:rPr>
        <w:t>执行</w:t>
      </w:r>
      <w:r>
        <w:rPr>
          <w:rFonts w:hint="default" w:ascii="Times New Roman" w:hAnsi="Times New Roman" w:eastAsia="宋体" w:cs="Times New Roman"/>
          <w:color w:val="auto"/>
          <w:sz w:val="24"/>
          <w:szCs w:val="24"/>
          <w:lang w:val="en-GB"/>
        </w:rPr>
        <w:t>《</w:t>
      </w:r>
      <w:r>
        <w:rPr>
          <w:rFonts w:hint="default" w:ascii="Times New Roman" w:hAnsi="Times New Roman" w:eastAsia="宋体" w:cs="Times New Roman"/>
          <w:color w:val="auto"/>
          <w:sz w:val="24"/>
          <w:szCs w:val="24"/>
          <w:lang w:val="en-GB" w:eastAsia="zh-CN"/>
        </w:rPr>
        <w:t>无机化学工业</w:t>
      </w:r>
      <w:r>
        <w:rPr>
          <w:rFonts w:hint="default" w:ascii="Times New Roman" w:hAnsi="Times New Roman" w:eastAsia="宋体" w:cs="Times New Roman"/>
          <w:color w:val="auto"/>
          <w:sz w:val="24"/>
          <w:szCs w:val="24"/>
          <w:lang w:val="en-GB"/>
        </w:rPr>
        <w:t>污染物排放标准》（GB3157</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val="en-GB"/>
        </w:rPr>
        <w:t>-2015）</w:t>
      </w:r>
      <w:r>
        <w:rPr>
          <w:rFonts w:hint="default" w:ascii="Times New Roman" w:hAnsi="Times New Roman" w:eastAsia="宋体" w:cs="Times New Roman"/>
          <w:color w:val="auto"/>
          <w:sz w:val="24"/>
          <w:szCs w:val="24"/>
        </w:rPr>
        <w:t>表</w:t>
      </w:r>
      <w:r>
        <w:rPr>
          <w:rFonts w:hint="default" w:ascii="Times New Roman" w:hAnsi="Times New Roman" w:eastAsia="宋体" w:cs="Times New Roman"/>
          <w:color w:val="auto"/>
          <w:sz w:val="24"/>
          <w:szCs w:val="24"/>
          <w:lang w:val="en-US" w:eastAsia="zh-CN"/>
        </w:rPr>
        <w:t>4特别</w:t>
      </w:r>
      <w:r>
        <w:rPr>
          <w:rFonts w:hint="default" w:ascii="Times New Roman" w:hAnsi="Times New Roman" w:eastAsia="宋体" w:cs="Times New Roman"/>
          <w:color w:val="auto"/>
          <w:sz w:val="24"/>
          <w:szCs w:val="24"/>
          <w:lang w:val="en-GB"/>
        </w:rPr>
        <w:t>限值要求</w:t>
      </w:r>
      <w:r>
        <w:rPr>
          <w:rFonts w:hint="eastAsia" w:ascii="Times New Roman" w:hAnsi="Times New Roman" w:eastAsia="宋体" w:cs="Times New Roman"/>
          <w:color w:val="auto"/>
          <w:sz w:val="24"/>
          <w:szCs w:val="24"/>
          <w:lang w:val="en-GB"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DA00</w:t>
      </w: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含银废液三效蒸发器不凝气、</w:t>
      </w:r>
      <w:r>
        <w:rPr>
          <w:rFonts w:hint="default" w:ascii="Times New Roman" w:hAnsi="Times New Roman" w:eastAsia="宋体" w:cs="Times New Roman"/>
          <w:color w:val="auto"/>
          <w:sz w:val="24"/>
          <w:szCs w:val="24"/>
        </w:rPr>
        <w:t>超细银粉反应废气</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分散废气、乙醇精馏不凝气、干燥废气由DA002排放</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H=25m</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主要污染因子为非甲烷总烃、氨气、甲醛。其中</w:t>
      </w:r>
      <w:r>
        <w:rPr>
          <w:rFonts w:hint="default" w:ascii="Times New Roman" w:hAnsi="Times New Roman" w:eastAsia="宋体" w:cs="Times New Roman"/>
          <w:color w:val="auto"/>
          <w:sz w:val="24"/>
          <w:szCs w:val="24"/>
          <w:lang w:val="en-US" w:eastAsia="zh-CN"/>
        </w:rPr>
        <w:t>甲醛、非甲烷总烃</w:t>
      </w:r>
      <w:r>
        <w:rPr>
          <w:rFonts w:hint="default" w:ascii="Times New Roman" w:hAnsi="Times New Roman" w:eastAsia="宋体" w:cs="Times New Roman"/>
          <w:color w:val="auto"/>
          <w:sz w:val="24"/>
          <w:szCs w:val="24"/>
        </w:rPr>
        <w:t>执行</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工业企业挥发性有机物排放标准</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DB35/1782-2018</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表1其他行业排放标准</w:t>
      </w:r>
      <w:r>
        <w:rPr>
          <w:rFonts w:hint="eastAsia" w:ascii="Times New Roman" w:hAnsi="Times New Roman" w:eastAsia="宋体" w:cs="Times New Roman"/>
          <w:color w:val="auto"/>
          <w:sz w:val="24"/>
          <w:szCs w:val="24"/>
          <w:lang w:val="en-US" w:eastAsia="zh-CN"/>
        </w:rPr>
        <w:t>；氨气执行</w:t>
      </w:r>
      <w:r>
        <w:rPr>
          <w:rFonts w:hint="default" w:ascii="Times New Roman" w:hAnsi="Times New Roman" w:eastAsia="宋体" w:cs="Times New Roman"/>
          <w:color w:val="auto"/>
          <w:sz w:val="24"/>
          <w:szCs w:val="24"/>
          <w:lang w:val="en-GB"/>
        </w:rPr>
        <w:t>《</w:t>
      </w:r>
      <w:r>
        <w:rPr>
          <w:rFonts w:hint="default" w:ascii="Times New Roman" w:hAnsi="Times New Roman" w:eastAsia="宋体" w:cs="Times New Roman"/>
          <w:color w:val="auto"/>
          <w:sz w:val="24"/>
          <w:szCs w:val="24"/>
          <w:lang w:val="en-GB" w:eastAsia="zh-CN"/>
        </w:rPr>
        <w:t>无机化学工业</w:t>
      </w:r>
      <w:r>
        <w:rPr>
          <w:rFonts w:hint="default" w:ascii="Times New Roman" w:hAnsi="Times New Roman" w:eastAsia="宋体" w:cs="Times New Roman"/>
          <w:color w:val="auto"/>
          <w:sz w:val="24"/>
          <w:szCs w:val="24"/>
          <w:lang w:val="en-GB"/>
        </w:rPr>
        <w:t>污染物排放标准》（GB3157</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val="en-GB"/>
        </w:rPr>
        <w:t>-2015）</w:t>
      </w:r>
      <w:r>
        <w:rPr>
          <w:rFonts w:hint="default" w:ascii="Times New Roman" w:hAnsi="Times New Roman" w:eastAsia="宋体" w:cs="Times New Roman"/>
          <w:color w:val="auto"/>
          <w:sz w:val="24"/>
          <w:szCs w:val="24"/>
        </w:rPr>
        <w:t>表</w:t>
      </w:r>
      <w:r>
        <w:rPr>
          <w:rFonts w:hint="default" w:ascii="Times New Roman" w:hAnsi="Times New Roman" w:eastAsia="宋体" w:cs="Times New Roman"/>
          <w:color w:val="auto"/>
          <w:sz w:val="24"/>
          <w:szCs w:val="24"/>
          <w:lang w:val="en-US" w:eastAsia="zh-CN"/>
        </w:rPr>
        <w:t>4特别</w:t>
      </w:r>
      <w:r>
        <w:rPr>
          <w:rFonts w:hint="default" w:ascii="Times New Roman" w:hAnsi="Times New Roman" w:eastAsia="宋体" w:cs="Times New Roman"/>
          <w:color w:val="auto"/>
          <w:sz w:val="24"/>
          <w:szCs w:val="24"/>
          <w:lang w:val="en-GB"/>
        </w:rPr>
        <w:t>限值要求</w:t>
      </w:r>
      <w:r>
        <w:rPr>
          <w:rFonts w:hint="eastAsia" w:ascii="Times New Roman" w:hAnsi="Times New Roman" w:eastAsia="宋体" w:cs="Times New Roman"/>
          <w:color w:val="auto"/>
          <w:sz w:val="24"/>
          <w:szCs w:val="24"/>
          <w:lang w:val="en-GB" w:eastAsia="zh-CN"/>
        </w:rPr>
        <w:t>，</w:t>
      </w:r>
      <w:r>
        <w:rPr>
          <w:rFonts w:hint="eastAsia" w:ascii="Times New Roman" w:hAnsi="Times New Roman" w:eastAsia="宋体" w:cs="Times New Roman"/>
          <w:color w:val="auto"/>
          <w:sz w:val="24"/>
          <w:szCs w:val="24"/>
          <w:lang w:val="en-US" w:eastAsia="zh-CN"/>
        </w:rPr>
        <w:t>氨的排放速率参照《恶臭污染物排放标准》（GB14554-93）表2排放限值要求。</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DA00</w:t>
      </w:r>
      <w:r>
        <w:rPr>
          <w:rFonts w:hint="eastAsia"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罐区废气、污水站生化系统废气、危废间废气</w:t>
      </w:r>
      <w:r>
        <w:rPr>
          <w:rFonts w:hint="default" w:ascii="Times New Roman" w:hAnsi="Times New Roman" w:eastAsia="宋体" w:cs="Times New Roman"/>
          <w:color w:val="auto"/>
          <w:sz w:val="24"/>
          <w:szCs w:val="24"/>
        </w:rPr>
        <w:t>由</w:t>
      </w:r>
      <w:r>
        <w:rPr>
          <w:rFonts w:hint="eastAsia" w:ascii="Times New Roman" w:hAnsi="Times New Roman" w:eastAsia="宋体" w:cs="Times New Roman"/>
          <w:color w:val="auto"/>
          <w:sz w:val="24"/>
          <w:szCs w:val="24"/>
          <w:lang w:val="en-US" w:eastAsia="zh-CN"/>
        </w:rPr>
        <w:t>15</w:t>
      </w:r>
      <w:r>
        <w:rPr>
          <w:rFonts w:hint="default" w:ascii="Times New Roman" w:hAnsi="Times New Roman" w:eastAsia="宋体" w:cs="Times New Roman"/>
          <w:color w:val="auto"/>
          <w:sz w:val="24"/>
          <w:szCs w:val="24"/>
        </w:rPr>
        <w:t>m高排气筒（DA003）排放</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主要污染因子为</w:t>
      </w:r>
      <w:r>
        <w:rPr>
          <w:rFonts w:hint="eastAsia" w:ascii="Times New Roman" w:hAnsi="Times New Roman" w:eastAsia="宋体" w:cs="Times New Roman"/>
          <w:color w:val="auto"/>
          <w:kern w:val="0"/>
          <w:sz w:val="24"/>
          <w:szCs w:val="24"/>
          <w:lang w:val="en-US" w:eastAsia="zh-CN" w:bidi="ar"/>
        </w:rPr>
        <w:t>氮氧化物、</w:t>
      </w:r>
      <w:r>
        <w:rPr>
          <w:rFonts w:hint="default" w:ascii="Times New Roman" w:hAnsi="Times New Roman" w:eastAsia="宋体" w:cs="Times New Roman"/>
          <w:color w:val="auto"/>
          <w:kern w:val="0"/>
          <w:sz w:val="24"/>
          <w:szCs w:val="24"/>
          <w:lang w:bidi="ar"/>
        </w:rPr>
        <w:t>氨</w:t>
      </w:r>
      <w:r>
        <w:rPr>
          <w:rFonts w:hint="eastAsia" w:ascii="Times New Roman" w:hAnsi="Times New Roman" w:eastAsia="宋体" w:cs="Times New Roman"/>
          <w:color w:val="auto"/>
          <w:kern w:val="0"/>
          <w:sz w:val="24"/>
          <w:szCs w:val="24"/>
          <w:lang w:eastAsia="zh-CN" w:bidi="ar"/>
        </w:rPr>
        <w:t>、</w:t>
      </w:r>
      <w:r>
        <w:rPr>
          <w:rFonts w:hint="default" w:ascii="Times New Roman" w:hAnsi="Times New Roman" w:eastAsia="宋体" w:cs="Times New Roman"/>
          <w:color w:val="auto"/>
          <w:kern w:val="0"/>
          <w:sz w:val="24"/>
          <w:szCs w:val="24"/>
        </w:rPr>
        <w:t>非甲烷总烃</w:t>
      </w:r>
      <w:r>
        <w:rPr>
          <w:rFonts w:hint="eastAsia" w:ascii="Times New Roman" w:hAnsi="Times New Roman" w:eastAsia="宋体" w:cs="Times New Roman"/>
          <w:color w:val="auto"/>
          <w:kern w:val="0"/>
          <w:sz w:val="24"/>
          <w:szCs w:val="24"/>
          <w:lang w:eastAsia="zh-CN"/>
        </w:rPr>
        <w:t>。</w:t>
      </w:r>
      <w:r>
        <w:rPr>
          <w:rFonts w:hint="eastAsia" w:ascii="Times New Roman" w:hAnsi="Times New Roman" w:eastAsia="宋体" w:cs="Times New Roman"/>
          <w:color w:val="auto"/>
          <w:kern w:val="0"/>
          <w:sz w:val="24"/>
          <w:szCs w:val="24"/>
          <w:lang w:val="en-US" w:eastAsia="zh-CN"/>
        </w:rPr>
        <w:t>其中</w:t>
      </w:r>
      <w:r>
        <w:rPr>
          <w:rFonts w:hint="default" w:ascii="Times New Roman" w:hAnsi="Times New Roman" w:eastAsia="宋体" w:cs="Times New Roman"/>
          <w:color w:val="auto"/>
          <w:sz w:val="24"/>
          <w:szCs w:val="24"/>
          <w:lang w:val="en-US" w:eastAsia="zh-CN"/>
        </w:rPr>
        <w:t>非甲烷总烃</w:t>
      </w:r>
      <w:r>
        <w:rPr>
          <w:rFonts w:hint="default" w:ascii="Times New Roman" w:hAnsi="Times New Roman" w:eastAsia="宋体" w:cs="Times New Roman"/>
          <w:color w:val="auto"/>
          <w:sz w:val="24"/>
          <w:szCs w:val="24"/>
        </w:rPr>
        <w:t>执行</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工业企业挥发性有机物排放标准</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DB35/1782-2018</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表1其他行业排放标准</w:t>
      </w:r>
      <w:r>
        <w:rPr>
          <w:rFonts w:hint="eastAsia" w:ascii="Times New Roman" w:hAnsi="Times New Roman" w:eastAsia="宋体" w:cs="Times New Roman"/>
          <w:color w:val="auto"/>
          <w:sz w:val="24"/>
          <w:szCs w:val="24"/>
          <w:lang w:val="en-US" w:eastAsia="zh-CN"/>
        </w:rPr>
        <w:t>；氨气执行</w:t>
      </w:r>
      <w:r>
        <w:rPr>
          <w:rFonts w:hint="default" w:ascii="Times New Roman" w:hAnsi="Times New Roman" w:eastAsia="宋体" w:cs="Times New Roman"/>
          <w:color w:val="auto"/>
          <w:sz w:val="24"/>
          <w:szCs w:val="24"/>
          <w:lang w:val="en-GB"/>
        </w:rPr>
        <w:t>《</w:t>
      </w:r>
      <w:r>
        <w:rPr>
          <w:rFonts w:hint="default" w:ascii="Times New Roman" w:hAnsi="Times New Roman" w:eastAsia="宋体" w:cs="Times New Roman"/>
          <w:color w:val="auto"/>
          <w:sz w:val="24"/>
          <w:szCs w:val="24"/>
          <w:lang w:val="en-GB" w:eastAsia="zh-CN"/>
        </w:rPr>
        <w:t>无机化学工业</w:t>
      </w:r>
      <w:r>
        <w:rPr>
          <w:rFonts w:hint="default" w:ascii="Times New Roman" w:hAnsi="Times New Roman" w:eastAsia="宋体" w:cs="Times New Roman"/>
          <w:color w:val="auto"/>
          <w:sz w:val="24"/>
          <w:szCs w:val="24"/>
          <w:lang w:val="en-GB"/>
        </w:rPr>
        <w:t>污染物排放标准》（GB3157</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val="en-GB"/>
        </w:rPr>
        <w:t>-2015）</w:t>
      </w:r>
      <w:r>
        <w:rPr>
          <w:rFonts w:hint="default" w:ascii="Times New Roman" w:hAnsi="Times New Roman" w:eastAsia="宋体" w:cs="Times New Roman"/>
          <w:color w:val="auto"/>
          <w:sz w:val="24"/>
          <w:szCs w:val="24"/>
        </w:rPr>
        <w:t>表</w:t>
      </w:r>
      <w:r>
        <w:rPr>
          <w:rFonts w:hint="default" w:ascii="Times New Roman" w:hAnsi="Times New Roman" w:eastAsia="宋体" w:cs="Times New Roman"/>
          <w:color w:val="auto"/>
          <w:sz w:val="24"/>
          <w:szCs w:val="24"/>
          <w:lang w:val="en-US" w:eastAsia="zh-CN"/>
        </w:rPr>
        <w:t>4特别</w:t>
      </w:r>
      <w:r>
        <w:rPr>
          <w:rFonts w:hint="default" w:ascii="Times New Roman" w:hAnsi="Times New Roman" w:eastAsia="宋体" w:cs="Times New Roman"/>
          <w:color w:val="auto"/>
          <w:sz w:val="24"/>
          <w:szCs w:val="24"/>
          <w:lang w:val="en-GB"/>
        </w:rPr>
        <w:t>限值要求</w:t>
      </w:r>
      <w:r>
        <w:rPr>
          <w:rFonts w:hint="eastAsia" w:ascii="Times New Roman" w:hAnsi="Times New Roman" w:eastAsia="宋体" w:cs="Times New Roman"/>
          <w:color w:val="auto"/>
          <w:sz w:val="24"/>
          <w:szCs w:val="24"/>
          <w:lang w:val="en-GB" w:eastAsia="zh-CN"/>
        </w:rPr>
        <w:t>，</w:t>
      </w:r>
      <w:r>
        <w:rPr>
          <w:rFonts w:hint="eastAsia" w:ascii="Times New Roman" w:hAnsi="Times New Roman" w:eastAsia="宋体" w:cs="Times New Roman"/>
          <w:color w:val="auto"/>
          <w:sz w:val="24"/>
          <w:szCs w:val="24"/>
          <w:lang w:val="en-US" w:eastAsia="zh-CN"/>
        </w:rPr>
        <w:t>氨的排放速率参照《恶臭污染物排放标准》（GB14554-93）表2排放限值要求；</w:t>
      </w:r>
      <w:r>
        <w:rPr>
          <w:rFonts w:hint="default" w:ascii="Times New Roman" w:hAnsi="Times New Roman" w:eastAsia="宋体" w:cs="Times New Roman"/>
          <w:color w:val="auto"/>
          <w:kern w:val="0"/>
          <w:sz w:val="24"/>
          <w:szCs w:val="24"/>
        </w:rPr>
        <w:t>氮氧化物</w:t>
      </w:r>
      <w:r>
        <w:rPr>
          <w:rFonts w:hint="eastAsia" w:ascii="Times New Roman" w:hAnsi="Times New Roman" w:eastAsia="宋体" w:cs="Times New Roman"/>
          <w:color w:val="auto"/>
          <w:kern w:val="0"/>
          <w:sz w:val="24"/>
          <w:szCs w:val="24"/>
          <w:lang w:val="en-US" w:eastAsia="zh-CN"/>
        </w:rPr>
        <w:t>执行</w:t>
      </w:r>
      <w:r>
        <w:rPr>
          <w:rFonts w:hint="default" w:ascii="Times New Roman" w:hAnsi="Times New Roman" w:eastAsia="宋体" w:cs="Times New Roman"/>
          <w:color w:val="auto"/>
          <w:sz w:val="24"/>
          <w:szCs w:val="24"/>
          <w:lang w:val="en-GB"/>
        </w:rPr>
        <w:t>《</w:t>
      </w:r>
      <w:r>
        <w:rPr>
          <w:rFonts w:hint="default" w:ascii="Times New Roman" w:hAnsi="Times New Roman" w:eastAsia="宋体" w:cs="Times New Roman"/>
          <w:color w:val="auto"/>
          <w:sz w:val="24"/>
          <w:szCs w:val="24"/>
          <w:lang w:val="en-GB" w:eastAsia="zh-CN"/>
        </w:rPr>
        <w:t>无机化学工业</w:t>
      </w:r>
      <w:r>
        <w:rPr>
          <w:rFonts w:hint="default" w:ascii="Times New Roman" w:hAnsi="Times New Roman" w:eastAsia="宋体" w:cs="Times New Roman"/>
          <w:color w:val="auto"/>
          <w:sz w:val="24"/>
          <w:szCs w:val="24"/>
          <w:lang w:val="en-GB"/>
        </w:rPr>
        <w:t>污染物排放标准》（GB3157</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val="en-GB"/>
        </w:rPr>
        <w:t>-2015）</w:t>
      </w:r>
      <w:r>
        <w:rPr>
          <w:rFonts w:hint="default" w:ascii="Times New Roman" w:hAnsi="Times New Roman" w:eastAsia="宋体" w:cs="Times New Roman"/>
          <w:color w:val="auto"/>
          <w:sz w:val="24"/>
          <w:szCs w:val="24"/>
        </w:rPr>
        <w:t>表</w:t>
      </w:r>
      <w:r>
        <w:rPr>
          <w:rFonts w:hint="default" w:ascii="Times New Roman" w:hAnsi="Times New Roman" w:eastAsia="宋体" w:cs="Times New Roman"/>
          <w:color w:val="auto"/>
          <w:sz w:val="24"/>
          <w:szCs w:val="24"/>
          <w:lang w:val="en-US" w:eastAsia="zh-CN"/>
        </w:rPr>
        <w:t>4特别</w:t>
      </w:r>
      <w:r>
        <w:rPr>
          <w:rFonts w:hint="default" w:ascii="Times New Roman" w:hAnsi="Times New Roman" w:eastAsia="宋体" w:cs="Times New Roman"/>
          <w:color w:val="auto"/>
          <w:sz w:val="24"/>
          <w:szCs w:val="24"/>
          <w:lang w:val="en-GB"/>
        </w:rPr>
        <w:t>限值</w:t>
      </w:r>
      <w:r>
        <w:rPr>
          <w:rFonts w:hint="default" w:ascii="Times New Roman" w:hAnsi="Times New Roman" w:eastAsia="宋体" w:cs="Times New Roman"/>
          <w:color w:val="auto"/>
          <w:sz w:val="24"/>
          <w:szCs w:val="24"/>
          <w:lang w:val="en-GB" w:eastAsia="zh-CN"/>
        </w:rPr>
        <w:t>要求</w:t>
      </w:r>
      <w:r>
        <w:rPr>
          <w:rFonts w:hint="eastAsia" w:ascii="Times New Roman" w:hAnsi="Times New Roman" w:eastAsia="宋体" w:cs="Times New Roman"/>
          <w:color w:val="auto"/>
          <w:sz w:val="24"/>
          <w:szCs w:val="24"/>
          <w:lang w:val="en-GB"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eastAsia" w:ascii="Times New Roman" w:hAnsi="Times New Roman" w:eastAsia="宋体" w:cs="Times New Roman"/>
          <w:color w:val="auto"/>
          <w:sz w:val="24"/>
          <w:szCs w:val="24"/>
          <w:lang w:val="en-GB" w:eastAsia="zh-CN"/>
        </w:rPr>
      </w:pPr>
      <w:r>
        <w:rPr>
          <w:rFonts w:hint="default" w:ascii="Times New Roman" w:hAnsi="Times New Roman" w:eastAsia="宋体" w:cs="Times New Roman"/>
          <w:color w:val="auto"/>
          <w:sz w:val="24"/>
          <w:szCs w:val="24"/>
          <w:lang w:val="en-US" w:eastAsia="zh-CN"/>
        </w:rPr>
        <w:t>DA00</w:t>
      </w:r>
      <w:r>
        <w:rPr>
          <w:rFonts w:hint="eastAsia" w:ascii="Times New Roman" w:hAnsi="Times New Roman" w:eastAsia="宋体" w:cs="Times New Roman"/>
          <w:color w:val="auto"/>
          <w:sz w:val="24"/>
          <w:szCs w:val="24"/>
          <w:lang w:val="en-US" w:eastAsia="zh-CN"/>
        </w:rPr>
        <w:t>4：超细银粉抗坏血酸投料废气、破碎、包装废气由25m高</w:t>
      </w:r>
      <w:r>
        <w:rPr>
          <w:rFonts w:hint="default" w:ascii="Times New Roman" w:hAnsi="Times New Roman" w:eastAsia="宋体" w:cs="Times New Roman"/>
          <w:color w:val="auto"/>
          <w:sz w:val="24"/>
          <w:szCs w:val="24"/>
          <w:lang w:val="en-US" w:eastAsia="zh-CN"/>
        </w:rPr>
        <w:t>排气筒（DA00</w:t>
      </w: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）排放</w:t>
      </w:r>
      <w:r>
        <w:rPr>
          <w:rFonts w:hint="eastAsia" w:ascii="Times New Roman" w:hAnsi="Times New Roman" w:eastAsia="宋体" w:cs="Times New Roman"/>
          <w:color w:val="auto"/>
          <w:sz w:val="24"/>
          <w:szCs w:val="24"/>
          <w:lang w:val="en-US" w:eastAsia="zh-CN"/>
        </w:rPr>
        <w:t>，污染因子为颗粒物，执行</w:t>
      </w:r>
      <w:r>
        <w:rPr>
          <w:rFonts w:hint="default" w:ascii="Times New Roman" w:hAnsi="Times New Roman" w:eastAsia="宋体" w:cs="Times New Roman"/>
          <w:color w:val="auto"/>
          <w:sz w:val="24"/>
          <w:szCs w:val="24"/>
          <w:lang w:val="en-GB" w:eastAsia="zh-CN"/>
        </w:rPr>
        <w:t>《无机化学工业污染物排放标准》（GB3157</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val="en-GB" w:eastAsia="zh-CN"/>
        </w:rPr>
        <w:t>-2015）</w:t>
      </w:r>
      <w:r>
        <w:rPr>
          <w:rFonts w:hint="default" w:ascii="Times New Roman" w:hAnsi="Times New Roman" w:eastAsia="宋体" w:cs="Times New Roman"/>
          <w:color w:val="auto"/>
          <w:sz w:val="24"/>
          <w:szCs w:val="24"/>
          <w:lang w:val="en-US" w:eastAsia="zh-CN"/>
        </w:rPr>
        <w:t>表4特别</w:t>
      </w:r>
      <w:r>
        <w:rPr>
          <w:rFonts w:hint="default" w:ascii="Times New Roman" w:hAnsi="Times New Roman" w:eastAsia="宋体" w:cs="Times New Roman"/>
          <w:color w:val="auto"/>
          <w:sz w:val="24"/>
          <w:szCs w:val="24"/>
          <w:lang w:val="en-GB" w:eastAsia="zh-CN"/>
        </w:rPr>
        <w:t>限值要求</w:t>
      </w:r>
      <w:r>
        <w:rPr>
          <w:rFonts w:hint="eastAsia" w:ascii="Times New Roman" w:hAnsi="Times New Roman" w:eastAsia="宋体" w:cs="Times New Roman"/>
          <w:color w:val="auto"/>
          <w:sz w:val="24"/>
          <w:szCs w:val="24"/>
          <w:lang w:val="en-GB" w:eastAsia="zh-CN"/>
        </w:rPr>
        <w:t>。</w:t>
      </w:r>
    </w:p>
    <w:p>
      <w:pPr>
        <w:pStyle w:val="27"/>
        <w:keepNext w:val="0"/>
        <w:keepLines w:val="0"/>
        <w:pageBreakBefore w:val="0"/>
        <w:widowControl w:val="0"/>
        <w:kinsoku/>
        <w:wordWrap/>
        <w:overflowPunct/>
        <w:topLinePunct w:val="0"/>
        <w:autoSpaceDE/>
        <w:autoSpaceDN/>
        <w:bidi w:val="0"/>
        <w:adjustRightInd/>
        <w:snapToGrid/>
        <w:spacing w:after="0" w:line="360" w:lineRule="auto"/>
        <w:ind w:firstLine="480"/>
        <w:textAlignment w:val="auto"/>
        <w:rPr>
          <w:rFonts w:hint="eastAsia"/>
          <w:color w:val="auto"/>
          <w:lang w:val="en-US" w:eastAsia="zh-CN"/>
        </w:rPr>
      </w:pPr>
      <w:r>
        <w:rPr>
          <w:rFonts w:hint="default" w:ascii="Times New Roman" w:hAnsi="Times New Roman" w:eastAsia="宋体" w:cs="Times New Roman"/>
          <w:color w:val="auto"/>
          <w:sz w:val="24"/>
          <w:szCs w:val="24"/>
          <w:lang w:val="en-US" w:eastAsia="zh-CN"/>
        </w:rPr>
        <w:t>DA00</w:t>
      </w:r>
      <w:r>
        <w:rPr>
          <w:rFonts w:hint="eastAsia" w:ascii="Times New Roman" w:hAnsi="Times New Roman" w:cs="Times New Roman"/>
          <w:color w:val="auto"/>
          <w:sz w:val="24"/>
          <w:szCs w:val="24"/>
          <w:lang w:val="en-US" w:eastAsia="zh-CN"/>
        </w:rPr>
        <w:t>5</w:t>
      </w:r>
      <w:r>
        <w:rPr>
          <w:rFonts w:hint="eastAsia" w:ascii="Times New Roman" w:hAnsi="Times New Roman" w:eastAsia="宋体" w:cs="Times New Roman"/>
          <w:color w:val="auto"/>
          <w:sz w:val="24"/>
          <w:szCs w:val="24"/>
          <w:lang w:val="en-US" w:eastAsia="zh-CN"/>
        </w:rPr>
        <w:t>：</w:t>
      </w:r>
      <w:r>
        <w:rPr>
          <w:rFonts w:hint="eastAsia" w:ascii="Times New Roman" w:hAnsi="Times New Roman" w:cs="Times New Roman"/>
          <w:color w:val="auto"/>
          <w:sz w:val="24"/>
          <w:szCs w:val="24"/>
          <w:lang w:val="en-US" w:eastAsia="zh-CN"/>
        </w:rPr>
        <w:t>污水站配套三效蒸发器蒸发汽</w:t>
      </w:r>
      <w:r>
        <w:rPr>
          <w:rFonts w:hint="eastAsia" w:ascii="Times New Roman" w:hAnsi="Times New Roman" w:eastAsia="宋体" w:cs="Times New Roman"/>
          <w:color w:val="auto"/>
          <w:sz w:val="24"/>
          <w:szCs w:val="24"/>
          <w:lang w:val="en-US" w:eastAsia="zh-CN"/>
        </w:rPr>
        <w:t>由</w:t>
      </w:r>
      <w:r>
        <w:rPr>
          <w:rFonts w:hint="eastAsia" w:ascii="Times New Roman" w:hAnsi="Times New Roman"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5m高</w:t>
      </w:r>
      <w:r>
        <w:rPr>
          <w:rFonts w:hint="default" w:ascii="Times New Roman" w:hAnsi="Times New Roman" w:eastAsia="宋体" w:cs="Times New Roman"/>
          <w:color w:val="auto"/>
          <w:sz w:val="24"/>
          <w:szCs w:val="24"/>
          <w:lang w:val="en-US" w:eastAsia="zh-CN"/>
        </w:rPr>
        <w:t>排气筒（DA00</w:t>
      </w:r>
      <w:r>
        <w:rPr>
          <w:rFonts w:hint="eastAsia" w:ascii="Times New Roman" w:hAnsi="Times New Roman"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）排放</w:t>
      </w:r>
      <w:r>
        <w:rPr>
          <w:rFonts w:hint="eastAsia" w:ascii="Times New Roman" w:hAnsi="Times New Roman" w:eastAsia="宋体" w:cs="Times New Roman"/>
          <w:color w:val="auto"/>
          <w:sz w:val="24"/>
          <w:szCs w:val="24"/>
          <w:lang w:val="en-US" w:eastAsia="zh-CN"/>
        </w:rPr>
        <w:t>，污染因子为</w:t>
      </w:r>
      <w:r>
        <w:rPr>
          <w:rFonts w:hint="eastAsia" w:ascii="Times New Roman" w:hAnsi="Times New Roman" w:cs="Times New Roman"/>
          <w:color w:val="auto"/>
          <w:sz w:val="24"/>
          <w:szCs w:val="24"/>
          <w:lang w:val="en-US" w:eastAsia="zh-CN"/>
        </w:rPr>
        <w:t>氨、非甲烷总烃。非甲烷总烃</w:t>
      </w:r>
      <w:r>
        <w:rPr>
          <w:rFonts w:hint="eastAsia" w:ascii="Times New Roman" w:hAnsi="Times New Roman" w:eastAsia="宋体" w:cs="Times New Roman"/>
          <w:color w:val="auto"/>
          <w:sz w:val="24"/>
          <w:szCs w:val="24"/>
          <w:lang w:val="en-US" w:eastAsia="zh-CN"/>
        </w:rPr>
        <w:t>执行</w:t>
      </w:r>
      <w:r>
        <w:rPr>
          <w:rFonts w:hint="default" w:ascii="Times New Roman" w:hAnsi="Times New Roman" w:eastAsia="宋体" w:cs="Times New Roman"/>
          <w:color w:val="auto"/>
          <w:sz w:val="24"/>
          <w:szCs w:val="24"/>
          <w:lang w:val="en-GB" w:eastAsia="zh-CN"/>
        </w:rPr>
        <w:t>《无机化学工业污染物排放标准》（GB3157</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val="en-GB" w:eastAsia="zh-CN"/>
        </w:rPr>
        <w:t>-2015）</w:t>
      </w:r>
      <w:r>
        <w:rPr>
          <w:rFonts w:hint="default" w:ascii="Times New Roman" w:hAnsi="Times New Roman" w:eastAsia="宋体" w:cs="Times New Roman"/>
          <w:color w:val="auto"/>
          <w:sz w:val="24"/>
          <w:szCs w:val="24"/>
          <w:lang w:val="en-US" w:eastAsia="zh-CN"/>
        </w:rPr>
        <w:t>表</w:t>
      </w:r>
      <w:r>
        <w:rPr>
          <w:rFonts w:hint="eastAsia" w:ascii="Times New Roman" w:hAnsi="Times New Roman"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特别</w:t>
      </w:r>
      <w:r>
        <w:rPr>
          <w:rFonts w:hint="default" w:ascii="Times New Roman" w:hAnsi="Times New Roman" w:eastAsia="宋体" w:cs="Times New Roman"/>
          <w:color w:val="auto"/>
          <w:sz w:val="24"/>
          <w:szCs w:val="24"/>
          <w:lang w:val="en-GB" w:eastAsia="zh-CN"/>
        </w:rPr>
        <w:t>限值要求</w:t>
      </w:r>
      <w:r>
        <w:rPr>
          <w:rFonts w:hint="eastAsia" w:ascii="Times New Roman" w:hAnsi="Times New Roman" w:cs="Times New Roman"/>
          <w:color w:val="auto"/>
          <w:sz w:val="24"/>
          <w:szCs w:val="24"/>
          <w:lang w:val="en-GB" w:eastAsia="zh-CN"/>
        </w:rPr>
        <w:t>；</w:t>
      </w:r>
      <w:r>
        <w:rPr>
          <w:rFonts w:hint="eastAsia" w:ascii="Times New Roman" w:hAnsi="Times New Roman" w:eastAsia="宋体" w:cs="Times New Roman"/>
          <w:color w:val="auto"/>
          <w:sz w:val="24"/>
          <w:szCs w:val="24"/>
          <w:lang w:val="en-US" w:eastAsia="zh-CN"/>
        </w:rPr>
        <w:t>氨气执行</w:t>
      </w:r>
      <w:r>
        <w:rPr>
          <w:rFonts w:hint="default" w:ascii="Times New Roman" w:hAnsi="Times New Roman" w:eastAsia="宋体" w:cs="Times New Roman"/>
          <w:color w:val="auto"/>
          <w:sz w:val="24"/>
          <w:szCs w:val="24"/>
          <w:lang w:val="en-GB"/>
        </w:rPr>
        <w:t>《</w:t>
      </w:r>
      <w:r>
        <w:rPr>
          <w:rFonts w:hint="default" w:ascii="Times New Roman" w:hAnsi="Times New Roman" w:eastAsia="宋体" w:cs="Times New Roman"/>
          <w:color w:val="auto"/>
          <w:sz w:val="24"/>
          <w:szCs w:val="24"/>
          <w:lang w:val="en-GB" w:eastAsia="zh-CN"/>
        </w:rPr>
        <w:t>无机化学工业</w:t>
      </w:r>
      <w:r>
        <w:rPr>
          <w:rFonts w:hint="default" w:ascii="Times New Roman" w:hAnsi="Times New Roman" w:eastAsia="宋体" w:cs="Times New Roman"/>
          <w:color w:val="auto"/>
          <w:sz w:val="24"/>
          <w:szCs w:val="24"/>
          <w:lang w:val="en-GB"/>
        </w:rPr>
        <w:t>污染物排放标准》（GB3157</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val="en-GB"/>
        </w:rPr>
        <w:t>-2015）</w:t>
      </w:r>
      <w:r>
        <w:rPr>
          <w:rFonts w:hint="default" w:ascii="Times New Roman" w:hAnsi="Times New Roman" w:eastAsia="宋体" w:cs="Times New Roman"/>
          <w:color w:val="auto"/>
          <w:sz w:val="24"/>
          <w:szCs w:val="24"/>
        </w:rPr>
        <w:t>表</w:t>
      </w:r>
      <w:r>
        <w:rPr>
          <w:rFonts w:hint="default" w:ascii="Times New Roman" w:hAnsi="Times New Roman" w:eastAsia="宋体" w:cs="Times New Roman"/>
          <w:color w:val="auto"/>
          <w:sz w:val="24"/>
          <w:szCs w:val="24"/>
          <w:lang w:val="en-US" w:eastAsia="zh-CN"/>
        </w:rPr>
        <w:t>4特别</w:t>
      </w:r>
      <w:r>
        <w:rPr>
          <w:rFonts w:hint="default" w:ascii="Times New Roman" w:hAnsi="Times New Roman" w:eastAsia="宋体" w:cs="Times New Roman"/>
          <w:color w:val="auto"/>
          <w:sz w:val="24"/>
          <w:szCs w:val="24"/>
          <w:lang w:val="en-GB"/>
        </w:rPr>
        <w:t>限值要求</w:t>
      </w:r>
      <w:r>
        <w:rPr>
          <w:rFonts w:hint="eastAsia" w:ascii="Times New Roman" w:hAnsi="Times New Roman" w:eastAsia="宋体" w:cs="Times New Roman"/>
          <w:color w:val="auto"/>
          <w:sz w:val="24"/>
          <w:szCs w:val="24"/>
          <w:lang w:val="en-GB" w:eastAsia="zh-CN"/>
        </w:rPr>
        <w:t>，</w:t>
      </w:r>
      <w:r>
        <w:rPr>
          <w:rFonts w:hint="eastAsia" w:ascii="Times New Roman" w:hAnsi="Times New Roman" w:eastAsia="宋体" w:cs="Times New Roman"/>
          <w:color w:val="auto"/>
          <w:sz w:val="24"/>
          <w:szCs w:val="24"/>
          <w:lang w:val="en-US" w:eastAsia="zh-CN"/>
        </w:rPr>
        <w:t>氨的排放速率参照《恶臭污染物排放标准》（GB14554-93）</w:t>
      </w:r>
      <w:r>
        <w:rPr>
          <w:rFonts w:hint="eastAsia" w:ascii="Times New Roman" w:hAnsi="Times New Roman" w:cs="Times New Roman"/>
          <w:color w:val="auto"/>
          <w:sz w:val="24"/>
          <w:szCs w:val="24"/>
          <w:lang w:val="en-US" w:eastAsia="zh-CN"/>
        </w:rPr>
        <w:t>表2</w:t>
      </w:r>
      <w:r>
        <w:rPr>
          <w:rFonts w:hint="eastAsia" w:ascii="Times New Roman" w:hAnsi="Times New Roman" w:eastAsia="宋体" w:cs="Times New Roman"/>
          <w:color w:val="auto"/>
          <w:sz w:val="24"/>
          <w:szCs w:val="24"/>
          <w:lang w:val="en-US" w:eastAsia="zh-CN"/>
        </w:rPr>
        <w:t>排放限值要求</w:t>
      </w:r>
      <w:r>
        <w:rPr>
          <w:rFonts w:hint="eastAsia" w:ascii="Times New Roman" w:hAnsi="Times New Roman" w:eastAsia="宋体" w:cs="Times New Roman"/>
          <w:color w:val="auto"/>
          <w:sz w:val="24"/>
          <w:szCs w:val="24"/>
          <w:lang w:val="en-GB"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各排气筒污染因子执行标准</w:t>
      </w:r>
      <w:r>
        <w:rPr>
          <w:rFonts w:hint="default" w:ascii="Times New Roman" w:hAnsi="Times New Roman" w:eastAsia="宋体" w:cs="Times New Roman"/>
          <w:color w:val="auto"/>
          <w:sz w:val="24"/>
          <w:szCs w:val="24"/>
          <w:lang w:val="en-GB"/>
        </w:rPr>
        <w:t>具体见表</w:t>
      </w:r>
      <w:r>
        <w:rPr>
          <w:rFonts w:hint="default" w:ascii="Times New Roman" w:hAnsi="Times New Roman" w:eastAsia="宋体" w:cs="Times New Roman"/>
          <w:color w:val="auto"/>
          <w:sz w:val="24"/>
          <w:szCs w:val="24"/>
        </w:rPr>
        <w:t>1.4-</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default" w:ascii="Times New Roman" w:hAnsi="Times New Roman" w:eastAsia="黑体" w:cs="Times New Roman"/>
          <w:b/>
          <w:color w:val="auto"/>
          <w:sz w:val="24"/>
          <w:szCs w:val="22"/>
          <w:lang w:val="en-US" w:eastAsia="zh-CN"/>
        </w:rPr>
      </w:pPr>
      <w:r>
        <w:rPr>
          <w:rFonts w:hint="default" w:ascii="Times New Roman" w:hAnsi="Times New Roman" w:eastAsia="黑体" w:cs="Times New Roman"/>
          <w:b/>
          <w:color w:val="auto"/>
          <w:sz w:val="24"/>
          <w:szCs w:val="22"/>
        </w:rPr>
        <w:t>表1.</w:t>
      </w:r>
      <w:r>
        <w:rPr>
          <w:rFonts w:hint="default" w:ascii="Times New Roman" w:hAnsi="Times New Roman" w:eastAsia="黑体" w:cs="Times New Roman"/>
          <w:b/>
          <w:color w:val="auto"/>
          <w:sz w:val="24"/>
          <w:szCs w:val="22"/>
          <w:lang w:val="en-US" w:eastAsia="zh-CN"/>
        </w:rPr>
        <w:t>4-</w:t>
      </w:r>
      <w:r>
        <w:rPr>
          <w:rFonts w:hint="eastAsia" w:ascii="Times New Roman" w:hAnsi="Times New Roman" w:eastAsia="黑体" w:cs="Times New Roman"/>
          <w:b/>
          <w:color w:val="auto"/>
          <w:sz w:val="24"/>
          <w:szCs w:val="22"/>
          <w:lang w:val="en-US" w:eastAsia="zh-CN"/>
        </w:rPr>
        <w:t>5</w:t>
      </w:r>
      <w:r>
        <w:rPr>
          <w:rFonts w:hint="default" w:ascii="Times New Roman" w:hAnsi="Times New Roman" w:eastAsia="黑体" w:cs="Times New Roman"/>
          <w:b/>
          <w:color w:val="auto"/>
          <w:sz w:val="24"/>
          <w:szCs w:val="22"/>
        </w:rPr>
        <w:t xml:space="preserve">  </w:t>
      </w:r>
      <w:r>
        <w:rPr>
          <w:rFonts w:hint="default" w:ascii="Times New Roman" w:hAnsi="Times New Roman" w:eastAsia="黑体" w:cs="Times New Roman"/>
          <w:b/>
          <w:color w:val="auto"/>
          <w:sz w:val="24"/>
          <w:szCs w:val="22"/>
          <w:lang w:val="en-US" w:eastAsia="zh-CN"/>
        </w:rPr>
        <w:t>项目生产工艺废气执行标准</w:t>
      </w:r>
    </w:p>
    <w:tbl>
      <w:tblPr>
        <w:tblStyle w:val="90"/>
        <w:tblW w:w="0" w:type="auto"/>
        <w:tblInd w:w="0" w:type="dxa"/>
        <w:tblLayout w:type="fixed"/>
        <w:tblCellMar>
          <w:top w:w="0" w:type="dxa"/>
          <w:left w:w="0" w:type="dxa"/>
          <w:bottom w:w="0" w:type="dxa"/>
          <w:right w:w="0" w:type="dxa"/>
        </w:tblCellMar>
      </w:tblPr>
      <w:tblGrid>
        <w:gridCol w:w="852"/>
        <w:gridCol w:w="1370"/>
        <w:gridCol w:w="1390"/>
        <w:gridCol w:w="1410"/>
        <w:gridCol w:w="3314"/>
      </w:tblGrid>
      <w:tr>
        <w:tblPrEx>
          <w:tblCellMar>
            <w:top w:w="0" w:type="dxa"/>
            <w:left w:w="0" w:type="dxa"/>
            <w:bottom w:w="0" w:type="dxa"/>
            <w:right w:w="0" w:type="dxa"/>
          </w:tblCellMar>
        </w:tblPrEx>
        <w:trPr>
          <w:trHeight w:val="23" w:hRule="atLeast"/>
        </w:trPr>
        <w:tc>
          <w:tcPr>
            <w:tcW w:w="85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bidi="ar"/>
              </w:rPr>
              <w:t>编号</w:t>
            </w:r>
          </w:p>
        </w:tc>
        <w:tc>
          <w:tcPr>
            <w:tcW w:w="137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bidi="ar"/>
              </w:rPr>
              <w:t>污染物</w:t>
            </w:r>
          </w:p>
        </w:tc>
        <w:tc>
          <w:tcPr>
            <w:tcW w:w="1390" w:type="dxa"/>
            <w:tcBorders>
              <w:top w:val="single" w:color="000000" w:sz="4" w:space="0"/>
              <w:left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2"/>
                <w:sz w:val="21"/>
                <w:szCs w:val="21"/>
                <w:lang w:val="en-US" w:eastAsia="zh-CN" w:bidi="ar-SA"/>
              </w:rPr>
              <w:t>最高允许排放浓度(mg/m</w:t>
            </w:r>
            <w:r>
              <w:rPr>
                <w:rFonts w:hint="default" w:ascii="Times New Roman" w:hAnsi="Times New Roman" w:eastAsia="宋体" w:cs="Times New Roman"/>
                <w:color w:val="auto"/>
                <w:kern w:val="2"/>
                <w:sz w:val="21"/>
                <w:szCs w:val="21"/>
                <w:vertAlign w:val="superscript"/>
                <w:lang w:val="en-US" w:eastAsia="zh-CN" w:bidi="ar-SA"/>
              </w:rPr>
              <w:t>3</w:t>
            </w:r>
            <w:r>
              <w:rPr>
                <w:rFonts w:hint="default" w:ascii="Times New Roman" w:hAnsi="Times New Roman" w:eastAsia="宋体" w:cs="Times New Roman"/>
                <w:color w:val="auto"/>
                <w:kern w:val="2"/>
                <w:sz w:val="21"/>
                <w:szCs w:val="21"/>
                <w:lang w:val="en-US" w:eastAsia="zh-CN" w:bidi="ar-SA"/>
              </w:rPr>
              <w:t>)</w:t>
            </w:r>
          </w:p>
        </w:tc>
        <w:tc>
          <w:tcPr>
            <w:tcW w:w="1410" w:type="dxa"/>
            <w:tcBorders>
              <w:top w:val="single" w:color="000000" w:sz="4" w:space="0"/>
              <w:left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最高允许排放速率（kg/h）</w:t>
            </w:r>
            <w:r>
              <w:rPr>
                <w:rFonts w:hint="default" w:ascii="Times New Roman" w:hAnsi="Times New Roman" w:eastAsia="宋体" w:cs="Times New Roman"/>
                <w:color w:val="auto"/>
                <w:kern w:val="2"/>
                <w:sz w:val="21"/>
                <w:szCs w:val="21"/>
                <w:vertAlign w:val="superscript"/>
                <w:lang w:val="en-US" w:eastAsia="zh-CN" w:bidi="ar-SA"/>
              </w:rPr>
              <w:t>a</w:t>
            </w:r>
          </w:p>
        </w:tc>
        <w:tc>
          <w:tcPr>
            <w:tcW w:w="331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标准来源</w:t>
            </w:r>
          </w:p>
        </w:tc>
      </w:tr>
      <w:tr>
        <w:tblPrEx>
          <w:tblCellMar>
            <w:top w:w="0" w:type="dxa"/>
            <w:left w:w="0" w:type="dxa"/>
            <w:bottom w:w="0" w:type="dxa"/>
            <w:right w:w="0" w:type="dxa"/>
          </w:tblCellMar>
        </w:tblPrEx>
        <w:trPr>
          <w:trHeight w:val="23" w:hRule="atLeast"/>
        </w:trPr>
        <w:tc>
          <w:tcPr>
            <w:tcW w:w="85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bidi="ar"/>
              </w:rPr>
              <w:t>DA001</w:t>
            </w:r>
          </w:p>
        </w:tc>
        <w:tc>
          <w:tcPr>
            <w:tcW w:w="137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bidi="ar"/>
              </w:rPr>
              <w:t>氮氧化物</w:t>
            </w:r>
          </w:p>
        </w:tc>
        <w:tc>
          <w:tcPr>
            <w:tcW w:w="139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spacing w:line="240" w:lineRule="auto"/>
              <w:ind w:firstLine="0"/>
              <w:jc w:val="center"/>
              <w:textAlignment w:val="auto"/>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sz w:val="21"/>
                <w:szCs w:val="21"/>
                <w:lang w:val="en-US" w:eastAsia="zh-CN"/>
              </w:rPr>
              <w:t>100</w:t>
            </w:r>
          </w:p>
        </w:tc>
        <w:tc>
          <w:tcPr>
            <w:tcW w:w="1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2"/>
                <w:sz w:val="21"/>
                <w:szCs w:val="21"/>
                <w:lang w:val="en-US" w:eastAsia="zh-CN" w:bidi="ar-SA"/>
              </w:rPr>
              <w:t>/</w:t>
            </w:r>
          </w:p>
        </w:tc>
        <w:tc>
          <w:tcPr>
            <w:tcW w:w="331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2"/>
                <w:sz w:val="21"/>
                <w:szCs w:val="21"/>
                <w:lang w:val="en-GB" w:eastAsia="zh-CN" w:bidi="ar-SA"/>
              </w:rPr>
              <w:t>无机化学工业污染物排放标准》（GB3157</w:t>
            </w:r>
            <w:r>
              <w:rPr>
                <w:rFonts w:hint="default" w:ascii="Times New Roman" w:hAnsi="Times New Roman" w:eastAsia="宋体" w:cs="Times New Roman"/>
                <w:color w:val="auto"/>
                <w:kern w:val="2"/>
                <w:sz w:val="21"/>
                <w:szCs w:val="21"/>
                <w:lang w:val="en-US" w:eastAsia="zh-CN" w:bidi="ar-SA"/>
              </w:rPr>
              <w:t>3</w:t>
            </w:r>
            <w:r>
              <w:rPr>
                <w:rFonts w:hint="default" w:ascii="Times New Roman" w:hAnsi="Times New Roman" w:eastAsia="宋体" w:cs="Times New Roman"/>
                <w:color w:val="auto"/>
                <w:kern w:val="2"/>
                <w:sz w:val="21"/>
                <w:szCs w:val="21"/>
                <w:lang w:val="en-GB" w:eastAsia="zh-CN" w:bidi="ar-SA"/>
              </w:rPr>
              <w:t>-2015）</w:t>
            </w:r>
            <w:r>
              <w:rPr>
                <w:rFonts w:hint="default" w:ascii="Times New Roman" w:hAnsi="Times New Roman" w:eastAsia="宋体" w:cs="Times New Roman"/>
                <w:color w:val="auto"/>
                <w:kern w:val="2"/>
                <w:sz w:val="21"/>
                <w:szCs w:val="21"/>
                <w:lang w:val="en-US" w:eastAsia="zh-CN" w:bidi="ar-SA"/>
              </w:rPr>
              <w:t>表4</w:t>
            </w:r>
          </w:p>
        </w:tc>
      </w:tr>
      <w:tr>
        <w:tblPrEx>
          <w:tblCellMar>
            <w:top w:w="0" w:type="dxa"/>
            <w:left w:w="0" w:type="dxa"/>
            <w:bottom w:w="0" w:type="dxa"/>
            <w:right w:w="0" w:type="dxa"/>
          </w:tblCellMar>
        </w:tblPrEx>
        <w:trPr>
          <w:trHeight w:val="23" w:hRule="atLeast"/>
        </w:trPr>
        <w:tc>
          <w:tcPr>
            <w:tcW w:w="852" w:type="dxa"/>
            <w:vMerge w:val="restart"/>
            <w:tcBorders>
              <w:top w:val="single" w:color="000000" w:sz="4" w:space="0"/>
              <w:left w:val="single" w:color="000000" w:sz="4" w:space="0"/>
              <w:right w:val="single" w:color="000000" w:sz="4" w:space="0"/>
            </w:tcBorders>
            <w:noWrap w:val="0"/>
            <w:tcMar>
              <w:top w:w="15" w:type="dxa"/>
              <w:left w:w="15" w:type="dxa"/>
              <w:right w:w="15" w:type="dxa"/>
            </w:tcMar>
            <w:vAlign w:val="center"/>
          </w:tcPr>
          <w:p>
            <w:pPr>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DA002</w:t>
            </w:r>
          </w:p>
        </w:tc>
        <w:tc>
          <w:tcPr>
            <w:tcW w:w="137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氨</w:t>
            </w:r>
          </w:p>
        </w:tc>
        <w:tc>
          <w:tcPr>
            <w:tcW w:w="139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sz w:val="21"/>
                <w:szCs w:val="21"/>
                <w:lang w:val="en-US" w:eastAsia="zh-CN"/>
              </w:rPr>
              <w:t>10</w:t>
            </w:r>
          </w:p>
        </w:tc>
        <w:tc>
          <w:tcPr>
            <w:tcW w:w="1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2"/>
                <w:sz w:val="21"/>
                <w:szCs w:val="21"/>
                <w:lang w:val="en-US" w:eastAsia="zh-CN" w:bidi="ar-SA"/>
              </w:rPr>
              <w:t>14</w:t>
            </w:r>
          </w:p>
        </w:tc>
        <w:tc>
          <w:tcPr>
            <w:tcW w:w="331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2"/>
                <w:sz w:val="21"/>
                <w:szCs w:val="21"/>
                <w:lang w:val="en-GB" w:eastAsia="zh-CN" w:bidi="ar-SA"/>
              </w:rPr>
              <w:t>无机化学工业污染物排放标准》（GB3157</w:t>
            </w:r>
            <w:r>
              <w:rPr>
                <w:rFonts w:hint="default" w:ascii="Times New Roman" w:hAnsi="Times New Roman" w:eastAsia="宋体" w:cs="Times New Roman"/>
                <w:color w:val="auto"/>
                <w:kern w:val="2"/>
                <w:sz w:val="21"/>
                <w:szCs w:val="21"/>
                <w:lang w:val="en-US" w:eastAsia="zh-CN" w:bidi="ar-SA"/>
              </w:rPr>
              <w:t>3</w:t>
            </w:r>
            <w:r>
              <w:rPr>
                <w:rFonts w:hint="default" w:ascii="Times New Roman" w:hAnsi="Times New Roman" w:eastAsia="宋体" w:cs="Times New Roman"/>
                <w:color w:val="auto"/>
                <w:kern w:val="2"/>
                <w:sz w:val="21"/>
                <w:szCs w:val="21"/>
                <w:lang w:val="en-GB" w:eastAsia="zh-CN" w:bidi="ar-SA"/>
              </w:rPr>
              <w:t>-2015）</w:t>
            </w:r>
            <w:r>
              <w:rPr>
                <w:rFonts w:hint="default" w:ascii="Times New Roman" w:hAnsi="Times New Roman" w:eastAsia="宋体" w:cs="Times New Roman"/>
                <w:color w:val="auto"/>
                <w:kern w:val="2"/>
                <w:sz w:val="21"/>
                <w:szCs w:val="21"/>
                <w:lang w:val="en-US" w:eastAsia="zh-CN" w:bidi="ar-SA"/>
              </w:rPr>
              <w:t>表4</w:t>
            </w:r>
            <w:r>
              <w:rPr>
                <w:rFonts w:hint="eastAsia" w:ascii="Times New Roman" w:hAnsi="Times New Roman" w:eastAsia="宋体" w:cs="Times New Roman"/>
                <w:color w:val="auto"/>
                <w:kern w:val="2"/>
                <w:sz w:val="21"/>
                <w:szCs w:val="21"/>
                <w:lang w:val="en-US" w:eastAsia="zh-CN" w:bidi="ar-SA"/>
              </w:rPr>
              <w:t>及《恶臭污染物排放标准》（GB14554-93）表2</w:t>
            </w:r>
          </w:p>
        </w:tc>
      </w:tr>
      <w:tr>
        <w:tblPrEx>
          <w:tblCellMar>
            <w:top w:w="0" w:type="dxa"/>
            <w:left w:w="0" w:type="dxa"/>
            <w:bottom w:w="0" w:type="dxa"/>
            <w:right w:w="0" w:type="dxa"/>
          </w:tblCellMar>
        </w:tblPrEx>
        <w:trPr>
          <w:trHeight w:val="23" w:hRule="atLeast"/>
        </w:trPr>
        <w:tc>
          <w:tcPr>
            <w:vMerge w:val="continue"/>
            <w:tcBorders>
              <w:top w:val="single" w:color="000000" w:sz="4" w:space="0"/>
              <w:left w:val="single" w:color="000000" w:sz="4" w:space="0"/>
              <w:right w:val="single" w:color="000000" w:sz="4" w:space="0"/>
            </w:tcBorders>
            <w:noWrap w:val="0"/>
            <w:tcMar>
              <w:top w:w="15" w:type="dxa"/>
              <w:left w:w="15" w:type="dxa"/>
              <w:right w:w="15" w:type="dxa"/>
            </w:tcMar>
          </w:tcPr>
          <w:p/>
        </w:tc>
        <w:tc>
          <w:tcPr>
            <w:tcW w:w="137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bidi="ar"/>
              </w:rPr>
              <w:t>甲醛</w:t>
            </w:r>
          </w:p>
        </w:tc>
        <w:tc>
          <w:tcPr>
            <w:tcW w:w="139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2"/>
                <w:sz w:val="21"/>
                <w:szCs w:val="21"/>
                <w:lang w:val="en-US" w:eastAsia="zh-CN" w:bidi="ar-SA"/>
              </w:rPr>
              <w:t>5</w:t>
            </w:r>
          </w:p>
        </w:tc>
        <w:tc>
          <w:tcPr>
            <w:tcW w:w="1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2"/>
                <w:sz w:val="21"/>
                <w:szCs w:val="21"/>
                <w:lang w:val="en-US" w:eastAsia="zh-CN" w:bidi="ar-SA"/>
              </w:rPr>
              <w:t>0.65</w:t>
            </w:r>
          </w:p>
        </w:tc>
        <w:tc>
          <w:tcPr>
            <w:tcW w:w="331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2"/>
                <w:sz w:val="21"/>
                <w:szCs w:val="21"/>
                <w:lang w:val="en-US" w:eastAsia="zh-CN" w:bidi="ar-SA"/>
              </w:rPr>
              <w:t>《工业企业挥发性有机物排放标准》（DB35/1782-2018）表1其他行业</w:t>
            </w:r>
          </w:p>
        </w:tc>
      </w:tr>
      <w:tr>
        <w:tblPrEx>
          <w:tblCellMar>
            <w:top w:w="0" w:type="dxa"/>
            <w:left w:w="0" w:type="dxa"/>
            <w:bottom w:w="0" w:type="dxa"/>
            <w:right w:w="0" w:type="dxa"/>
          </w:tblCellMar>
        </w:tblPrEx>
        <w:trPr>
          <w:trHeight w:val="23" w:hRule="atLeast"/>
        </w:trPr>
        <w:tc>
          <w:tcPr>
            <w:vMerge w:val="continue"/>
            <w:tcBorders>
              <w:top w:val="single" w:color="000000" w:sz="4" w:space="0"/>
              <w:left w:val="single" w:color="000000" w:sz="4" w:space="0"/>
              <w:right w:val="single" w:color="000000" w:sz="4" w:space="0"/>
            </w:tcBorders>
            <w:noWrap w:val="0"/>
            <w:tcMar>
              <w:top w:w="15" w:type="dxa"/>
              <w:left w:w="15" w:type="dxa"/>
              <w:right w:w="15" w:type="dxa"/>
            </w:tcMar>
          </w:tcPr>
          <w:p/>
        </w:tc>
        <w:tc>
          <w:tcPr>
            <w:tcW w:w="137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bidi="ar"/>
              </w:rPr>
              <w:t>非甲烷总烃</w:t>
            </w:r>
          </w:p>
        </w:tc>
        <w:tc>
          <w:tcPr>
            <w:tcW w:w="139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2"/>
                <w:sz w:val="21"/>
                <w:szCs w:val="21"/>
                <w:lang w:val="en-US" w:eastAsia="zh-CN" w:bidi="ar-SA"/>
              </w:rPr>
              <w:t>100</w:t>
            </w:r>
          </w:p>
        </w:tc>
        <w:tc>
          <w:tcPr>
            <w:tcW w:w="1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2"/>
                <w:sz w:val="21"/>
                <w:szCs w:val="21"/>
                <w:lang w:val="en-US" w:eastAsia="zh-CN" w:bidi="ar-SA"/>
              </w:rPr>
              <w:t>6.6</w:t>
            </w:r>
          </w:p>
        </w:tc>
        <w:tc>
          <w:tcPr>
            <w:tcW w:w="331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2"/>
                <w:sz w:val="21"/>
                <w:szCs w:val="21"/>
                <w:lang w:val="en-US" w:eastAsia="zh-CN" w:bidi="ar-SA"/>
              </w:rPr>
              <w:t>《工业企业挥发性有机物排放标准》（DB35/1782-2018）表1其他行业</w:t>
            </w:r>
          </w:p>
        </w:tc>
      </w:tr>
      <w:tr>
        <w:tblPrEx>
          <w:tblCellMar>
            <w:top w:w="0" w:type="dxa"/>
            <w:left w:w="0" w:type="dxa"/>
            <w:bottom w:w="0" w:type="dxa"/>
            <w:right w:w="0" w:type="dxa"/>
          </w:tblCellMar>
        </w:tblPrEx>
        <w:trPr>
          <w:trHeight w:val="23" w:hRule="atLeast"/>
        </w:trPr>
        <w:tc>
          <w:tcPr>
            <w:tcW w:w="852" w:type="dxa"/>
            <w:vMerge w:val="restart"/>
            <w:tcBorders>
              <w:top w:val="single" w:color="000000" w:sz="4" w:space="0"/>
              <w:left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DA003</w:t>
            </w:r>
          </w:p>
        </w:tc>
        <w:tc>
          <w:tcPr>
            <w:tcW w:w="137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氮氧化物</w:t>
            </w:r>
          </w:p>
        </w:tc>
        <w:tc>
          <w:tcPr>
            <w:tcW w:w="139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spacing w:line="240" w:lineRule="auto"/>
              <w:ind w:firstLine="0"/>
              <w:jc w:val="center"/>
              <w:textAlignment w:val="auto"/>
              <w:outlineLvl w:val="9"/>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lang w:val="en-US" w:eastAsia="zh-CN"/>
              </w:rPr>
              <w:t>100</w:t>
            </w:r>
          </w:p>
        </w:tc>
        <w:tc>
          <w:tcPr>
            <w:tcW w:w="1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2"/>
                <w:sz w:val="21"/>
                <w:szCs w:val="21"/>
                <w:lang w:val="en-US" w:eastAsia="zh-CN" w:bidi="ar-SA"/>
              </w:rPr>
              <w:t>/</w:t>
            </w:r>
          </w:p>
        </w:tc>
        <w:tc>
          <w:tcPr>
            <w:tcW w:w="331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2"/>
                <w:sz w:val="21"/>
                <w:szCs w:val="21"/>
                <w:lang w:val="en-GB" w:eastAsia="zh-CN" w:bidi="ar-SA"/>
              </w:rPr>
              <w:t>无机化学工业污染物排放标准》（GB3157</w:t>
            </w:r>
            <w:r>
              <w:rPr>
                <w:rFonts w:hint="default" w:ascii="Times New Roman" w:hAnsi="Times New Roman" w:eastAsia="宋体" w:cs="Times New Roman"/>
                <w:color w:val="auto"/>
                <w:kern w:val="2"/>
                <w:sz w:val="21"/>
                <w:szCs w:val="21"/>
                <w:lang w:val="en-US" w:eastAsia="zh-CN" w:bidi="ar-SA"/>
              </w:rPr>
              <w:t>3</w:t>
            </w:r>
            <w:r>
              <w:rPr>
                <w:rFonts w:hint="default" w:ascii="Times New Roman" w:hAnsi="Times New Roman" w:eastAsia="宋体" w:cs="Times New Roman"/>
                <w:color w:val="auto"/>
                <w:kern w:val="2"/>
                <w:sz w:val="21"/>
                <w:szCs w:val="21"/>
                <w:lang w:val="en-GB" w:eastAsia="zh-CN" w:bidi="ar-SA"/>
              </w:rPr>
              <w:t>-2015）</w:t>
            </w:r>
            <w:r>
              <w:rPr>
                <w:rFonts w:hint="default" w:ascii="Times New Roman" w:hAnsi="Times New Roman" w:eastAsia="宋体" w:cs="Times New Roman"/>
                <w:color w:val="auto"/>
                <w:kern w:val="2"/>
                <w:sz w:val="21"/>
                <w:szCs w:val="21"/>
                <w:lang w:val="en-US" w:eastAsia="zh-CN" w:bidi="ar-SA"/>
              </w:rPr>
              <w:t>表4</w:t>
            </w:r>
          </w:p>
        </w:tc>
      </w:tr>
      <w:tr>
        <w:tblPrEx>
          <w:tblCellMar>
            <w:top w:w="0" w:type="dxa"/>
            <w:left w:w="0" w:type="dxa"/>
            <w:bottom w:w="0" w:type="dxa"/>
            <w:right w:w="0" w:type="dxa"/>
          </w:tblCellMar>
        </w:tblPrEx>
        <w:trPr>
          <w:trHeight w:val="23" w:hRule="atLeast"/>
        </w:trPr>
        <w:tc>
          <w:tcPr>
            <w:vMerge w:val="continue"/>
            <w:tcBorders>
              <w:top w:val="single" w:color="000000" w:sz="4" w:space="0"/>
              <w:left w:val="single" w:color="000000" w:sz="4" w:space="0"/>
              <w:right w:val="single" w:color="000000" w:sz="4" w:space="0"/>
            </w:tcBorders>
            <w:noWrap w:val="0"/>
            <w:tcMar>
              <w:top w:w="15" w:type="dxa"/>
              <w:left w:w="15" w:type="dxa"/>
              <w:right w:w="15" w:type="dxa"/>
            </w:tcMar>
          </w:tcPr>
          <w:p/>
        </w:tc>
        <w:tc>
          <w:tcPr>
            <w:tcW w:w="137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bidi="ar"/>
              </w:rPr>
              <w:t>氨</w:t>
            </w:r>
          </w:p>
        </w:tc>
        <w:tc>
          <w:tcPr>
            <w:tcW w:w="139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sz w:val="21"/>
                <w:szCs w:val="21"/>
                <w:lang w:val="en-US" w:eastAsia="zh-CN"/>
              </w:rPr>
              <w:t>10</w:t>
            </w:r>
          </w:p>
        </w:tc>
        <w:tc>
          <w:tcPr>
            <w:tcW w:w="1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4.9</w:t>
            </w:r>
          </w:p>
        </w:tc>
        <w:tc>
          <w:tcPr>
            <w:tcW w:w="331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2"/>
                <w:sz w:val="21"/>
                <w:szCs w:val="21"/>
                <w:lang w:val="en-GB" w:eastAsia="zh-CN" w:bidi="ar-SA"/>
              </w:rPr>
              <w:t>无机化学工业污染物排放标准》（GB3157</w:t>
            </w:r>
            <w:r>
              <w:rPr>
                <w:rFonts w:hint="default" w:ascii="Times New Roman" w:hAnsi="Times New Roman" w:eastAsia="宋体" w:cs="Times New Roman"/>
                <w:color w:val="auto"/>
                <w:kern w:val="2"/>
                <w:sz w:val="21"/>
                <w:szCs w:val="21"/>
                <w:lang w:val="en-US" w:eastAsia="zh-CN" w:bidi="ar-SA"/>
              </w:rPr>
              <w:t>3</w:t>
            </w:r>
            <w:r>
              <w:rPr>
                <w:rFonts w:hint="default" w:ascii="Times New Roman" w:hAnsi="Times New Roman" w:eastAsia="宋体" w:cs="Times New Roman"/>
                <w:color w:val="auto"/>
                <w:kern w:val="2"/>
                <w:sz w:val="21"/>
                <w:szCs w:val="21"/>
                <w:lang w:val="en-GB" w:eastAsia="zh-CN" w:bidi="ar-SA"/>
              </w:rPr>
              <w:t>-2015）</w:t>
            </w:r>
            <w:r>
              <w:rPr>
                <w:rFonts w:hint="default" w:ascii="Times New Roman" w:hAnsi="Times New Roman" w:eastAsia="宋体" w:cs="Times New Roman"/>
                <w:color w:val="auto"/>
                <w:kern w:val="2"/>
                <w:sz w:val="21"/>
                <w:szCs w:val="21"/>
                <w:lang w:val="en-US" w:eastAsia="zh-CN" w:bidi="ar-SA"/>
              </w:rPr>
              <w:t>表4</w:t>
            </w:r>
            <w:r>
              <w:rPr>
                <w:rFonts w:hint="eastAsia" w:ascii="Times New Roman" w:hAnsi="Times New Roman" w:eastAsia="宋体" w:cs="Times New Roman"/>
                <w:color w:val="auto"/>
                <w:kern w:val="2"/>
                <w:sz w:val="21"/>
                <w:szCs w:val="21"/>
                <w:lang w:val="en-US" w:eastAsia="zh-CN" w:bidi="ar-SA"/>
              </w:rPr>
              <w:t>及《恶臭污染物排放标准》（GB14554-93）表2</w:t>
            </w:r>
          </w:p>
        </w:tc>
      </w:tr>
      <w:tr>
        <w:tblPrEx>
          <w:tblCellMar>
            <w:top w:w="0" w:type="dxa"/>
            <w:left w:w="0" w:type="dxa"/>
            <w:bottom w:w="0" w:type="dxa"/>
            <w:right w:w="0" w:type="dxa"/>
          </w:tblCellMar>
        </w:tblPrEx>
        <w:trPr>
          <w:trHeight w:val="23" w:hRule="atLeast"/>
        </w:trPr>
        <w:tc>
          <w:tcPr>
            <w:vMerge w:val="continue"/>
            <w:tcBorders>
              <w:top w:val="single" w:color="000000" w:sz="4" w:space="0"/>
              <w:left w:val="single" w:color="000000" w:sz="4" w:space="0"/>
              <w:right w:val="single" w:color="000000" w:sz="4" w:space="0"/>
            </w:tcBorders>
            <w:noWrap w:val="0"/>
            <w:tcMar>
              <w:top w:w="15" w:type="dxa"/>
              <w:left w:w="15" w:type="dxa"/>
              <w:right w:w="15" w:type="dxa"/>
            </w:tcMar>
          </w:tcPr>
          <w:p/>
        </w:tc>
        <w:tc>
          <w:tcPr>
            <w:tcW w:w="137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非甲烷总烃</w:t>
            </w:r>
          </w:p>
        </w:tc>
        <w:tc>
          <w:tcPr>
            <w:tcW w:w="139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2"/>
                <w:sz w:val="21"/>
                <w:szCs w:val="21"/>
                <w:lang w:val="en-US" w:eastAsia="zh-CN" w:bidi="ar-SA"/>
              </w:rPr>
              <w:t>100</w:t>
            </w:r>
          </w:p>
        </w:tc>
        <w:tc>
          <w:tcPr>
            <w:tcW w:w="1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0"/>
                <w:sz w:val="21"/>
                <w:szCs w:val="21"/>
                <w:lang w:val="en-US"/>
              </w:rPr>
            </w:pPr>
            <w:r>
              <w:rPr>
                <w:rFonts w:hint="eastAsia" w:ascii="Times New Roman" w:hAnsi="Times New Roman" w:eastAsia="宋体" w:cs="Times New Roman"/>
                <w:color w:val="auto"/>
                <w:kern w:val="2"/>
                <w:sz w:val="21"/>
                <w:szCs w:val="21"/>
                <w:lang w:val="en-US" w:eastAsia="zh-CN" w:bidi="ar-SA"/>
              </w:rPr>
              <w:t>1.8</w:t>
            </w:r>
          </w:p>
        </w:tc>
        <w:tc>
          <w:tcPr>
            <w:tcW w:w="331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2"/>
                <w:sz w:val="21"/>
                <w:szCs w:val="21"/>
                <w:lang w:val="en-US" w:eastAsia="zh-CN" w:bidi="ar-SA"/>
              </w:rPr>
              <w:t>《工业企业挥发性有机物排放标准》（DB35/1782-2018）表1其他行业</w:t>
            </w:r>
          </w:p>
        </w:tc>
      </w:tr>
      <w:tr>
        <w:tblPrEx>
          <w:tblCellMar>
            <w:top w:w="0" w:type="dxa"/>
            <w:left w:w="0" w:type="dxa"/>
            <w:bottom w:w="0" w:type="dxa"/>
            <w:right w:w="0" w:type="dxa"/>
          </w:tblCellMar>
        </w:tblPrEx>
        <w:trPr>
          <w:trHeight w:val="23" w:hRule="atLeast"/>
        </w:trPr>
        <w:tc>
          <w:tcPr>
            <w:tcW w:w="85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eastAsia"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rPr>
              <w:t>DA00</w:t>
            </w:r>
            <w:r>
              <w:rPr>
                <w:rFonts w:hint="eastAsia" w:ascii="Times New Roman" w:hAnsi="Times New Roman" w:eastAsia="宋体" w:cs="Times New Roman"/>
                <w:color w:val="auto"/>
                <w:kern w:val="0"/>
                <w:sz w:val="21"/>
                <w:szCs w:val="21"/>
                <w:lang w:val="en-US" w:eastAsia="zh-CN"/>
              </w:rPr>
              <w:t>4</w:t>
            </w:r>
          </w:p>
        </w:tc>
        <w:tc>
          <w:tcPr>
            <w:tcW w:w="137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颗粒物</w:t>
            </w:r>
          </w:p>
        </w:tc>
        <w:tc>
          <w:tcPr>
            <w:tcW w:w="139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kinsoku/>
              <w:wordWrap/>
              <w:overflowPunct/>
              <w:topLinePunct w:val="0"/>
              <w:autoSpaceDE/>
              <w:autoSpaceDN/>
              <w:bidi w:val="0"/>
              <w:spacing w:line="240" w:lineRule="auto"/>
              <w:ind w:firstLine="0"/>
              <w:jc w:val="center"/>
              <w:textAlignment w:val="auto"/>
              <w:outlineLvl w:val="9"/>
              <w:rPr>
                <w:rFonts w:hint="eastAsia"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1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eastAsia"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2"/>
                <w:sz w:val="21"/>
                <w:szCs w:val="21"/>
                <w:lang w:val="en-US" w:eastAsia="zh-CN" w:bidi="ar-SA"/>
              </w:rPr>
              <w:t>/</w:t>
            </w:r>
          </w:p>
        </w:tc>
        <w:tc>
          <w:tcPr>
            <w:tcW w:w="331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eastAsia"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2"/>
                <w:sz w:val="21"/>
                <w:szCs w:val="21"/>
                <w:lang w:val="en-GB" w:eastAsia="zh-CN" w:bidi="ar-SA"/>
              </w:rPr>
              <w:t>无机化学工业污染物排放标准》（GB3157</w:t>
            </w:r>
            <w:r>
              <w:rPr>
                <w:rFonts w:hint="default" w:ascii="Times New Roman" w:hAnsi="Times New Roman" w:eastAsia="宋体" w:cs="Times New Roman"/>
                <w:color w:val="auto"/>
                <w:kern w:val="2"/>
                <w:sz w:val="21"/>
                <w:szCs w:val="21"/>
                <w:lang w:val="en-US" w:eastAsia="zh-CN" w:bidi="ar-SA"/>
              </w:rPr>
              <w:t>3</w:t>
            </w:r>
            <w:r>
              <w:rPr>
                <w:rFonts w:hint="default" w:ascii="Times New Roman" w:hAnsi="Times New Roman" w:eastAsia="宋体" w:cs="Times New Roman"/>
                <w:color w:val="auto"/>
                <w:kern w:val="2"/>
                <w:sz w:val="21"/>
                <w:szCs w:val="21"/>
                <w:lang w:val="en-GB" w:eastAsia="zh-CN" w:bidi="ar-SA"/>
              </w:rPr>
              <w:t>-2015）</w:t>
            </w:r>
            <w:r>
              <w:rPr>
                <w:rFonts w:hint="default" w:ascii="Times New Roman" w:hAnsi="Times New Roman" w:eastAsia="宋体" w:cs="Times New Roman"/>
                <w:color w:val="auto"/>
                <w:kern w:val="2"/>
                <w:sz w:val="21"/>
                <w:szCs w:val="21"/>
                <w:lang w:val="en-US" w:eastAsia="zh-CN" w:bidi="ar-SA"/>
              </w:rPr>
              <w:t>表4</w:t>
            </w:r>
          </w:p>
        </w:tc>
      </w:tr>
      <w:tr>
        <w:tblPrEx>
          <w:tblCellMar>
            <w:top w:w="0" w:type="dxa"/>
            <w:left w:w="0" w:type="dxa"/>
            <w:bottom w:w="0" w:type="dxa"/>
            <w:right w:w="0" w:type="dxa"/>
          </w:tblCellMar>
        </w:tblPrEx>
        <w:trPr>
          <w:trHeight w:val="23" w:hRule="atLeast"/>
        </w:trPr>
        <w:tc>
          <w:tcPr>
            <w:tcW w:w="852" w:type="dxa"/>
            <w:vMerge w:val="restart"/>
            <w:tcBorders>
              <w:top w:val="single" w:color="000000" w:sz="4" w:space="0"/>
              <w:left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DA005</w:t>
            </w:r>
          </w:p>
        </w:tc>
        <w:tc>
          <w:tcPr>
            <w:tcW w:w="137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bidi="ar"/>
              </w:rPr>
              <w:t>氨</w:t>
            </w:r>
          </w:p>
        </w:tc>
        <w:tc>
          <w:tcPr>
            <w:tcW w:w="139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lang w:val="en-US" w:eastAsia="zh-CN"/>
              </w:rPr>
              <w:t>10</w:t>
            </w:r>
          </w:p>
        </w:tc>
        <w:tc>
          <w:tcPr>
            <w:tcW w:w="1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4.9</w:t>
            </w:r>
          </w:p>
        </w:tc>
        <w:tc>
          <w:tcPr>
            <w:tcW w:w="331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GB" w:eastAsia="zh-CN" w:bidi="ar"/>
              </w:rPr>
            </w:pPr>
            <w:r>
              <w:rPr>
                <w:rFonts w:hint="default" w:ascii="Times New Roman" w:hAnsi="Times New Roman" w:eastAsia="宋体" w:cs="Times New Roman"/>
                <w:color w:val="auto"/>
                <w:kern w:val="2"/>
                <w:sz w:val="21"/>
                <w:szCs w:val="21"/>
                <w:lang w:val="en-GB" w:eastAsia="zh-CN" w:bidi="ar-SA"/>
              </w:rPr>
              <w:t>无机化学工业污染物排放标准》（GB3157</w:t>
            </w:r>
            <w:r>
              <w:rPr>
                <w:rFonts w:hint="default" w:ascii="Times New Roman" w:hAnsi="Times New Roman" w:eastAsia="宋体" w:cs="Times New Roman"/>
                <w:color w:val="auto"/>
                <w:kern w:val="2"/>
                <w:sz w:val="21"/>
                <w:szCs w:val="21"/>
                <w:lang w:val="en-US" w:eastAsia="zh-CN" w:bidi="ar-SA"/>
              </w:rPr>
              <w:t>3</w:t>
            </w:r>
            <w:r>
              <w:rPr>
                <w:rFonts w:hint="default" w:ascii="Times New Roman" w:hAnsi="Times New Roman" w:eastAsia="宋体" w:cs="Times New Roman"/>
                <w:color w:val="auto"/>
                <w:kern w:val="2"/>
                <w:sz w:val="21"/>
                <w:szCs w:val="21"/>
                <w:lang w:val="en-GB" w:eastAsia="zh-CN" w:bidi="ar-SA"/>
              </w:rPr>
              <w:t>-2015）</w:t>
            </w:r>
            <w:r>
              <w:rPr>
                <w:rFonts w:hint="default" w:ascii="Times New Roman" w:hAnsi="Times New Roman" w:eastAsia="宋体" w:cs="Times New Roman"/>
                <w:color w:val="auto"/>
                <w:kern w:val="2"/>
                <w:sz w:val="21"/>
                <w:szCs w:val="21"/>
                <w:lang w:val="en-US" w:eastAsia="zh-CN" w:bidi="ar-SA"/>
              </w:rPr>
              <w:t>表4</w:t>
            </w:r>
            <w:r>
              <w:rPr>
                <w:rFonts w:hint="eastAsia" w:ascii="Times New Roman" w:hAnsi="Times New Roman" w:eastAsia="宋体" w:cs="Times New Roman"/>
                <w:color w:val="auto"/>
                <w:kern w:val="2"/>
                <w:sz w:val="21"/>
                <w:szCs w:val="21"/>
                <w:lang w:val="en-US" w:eastAsia="zh-CN" w:bidi="ar-SA"/>
              </w:rPr>
              <w:t>及《恶臭污染物排放标准》（GB14554-93）表2</w:t>
            </w:r>
          </w:p>
        </w:tc>
      </w:tr>
      <w:tr>
        <w:tblPrEx>
          <w:tblCellMar>
            <w:top w:w="0" w:type="dxa"/>
            <w:left w:w="0" w:type="dxa"/>
            <w:bottom w:w="0" w:type="dxa"/>
            <w:right w:w="0" w:type="dxa"/>
          </w:tblCellMar>
        </w:tblPrEx>
        <w:trPr>
          <w:trHeight w:val="23" w:hRule="atLeast"/>
        </w:trPr>
        <w:tc>
          <w:tcPr>
            <w:vMerge w:val="continue"/>
            <w:tcBorders>
              <w:top w:val="single" w:color="000000" w:sz="4" w:space="0"/>
              <w:left w:val="single" w:color="000000" w:sz="4" w:space="0"/>
              <w:right w:val="single" w:color="000000" w:sz="4" w:space="0"/>
            </w:tcBorders>
            <w:noWrap w:val="0"/>
            <w:tcMar>
              <w:top w:w="15" w:type="dxa"/>
              <w:left w:w="15" w:type="dxa"/>
              <w:right w:w="15" w:type="dxa"/>
            </w:tcMar>
          </w:tcPr>
          <w:p/>
        </w:tc>
        <w:tc>
          <w:tcPr>
            <w:tcW w:w="137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非甲烷总烃</w:t>
            </w:r>
          </w:p>
        </w:tc>
        <w:tc>
          <w:tcPr>
            <w:tcW w:w="139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100</w:t>
            </w:r>
          </w:p>
        </w:tc>
        <w:tc>
          <w:tcPr>
            <w:tcW w:w="1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1.8</w:t>
            </w:r>
          </w:p>
        </w:tc>
        <w:tc>
          <w:tcPr>
            <w:tcW w:w="331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GB" w:eastAsia="zh-CN" w:bidi="ar-SA"/>
              </w:rPr>
            </w:pPr>
            <w:r>
              <w:rPr>
                <w:rFonts w:hint="default" w:ascii="Times New Roman" w:hAnsi="Times New Roman" w:eastAsia="宋体" w:cs="Times New Roman"/>
                <w:color w:val="auto"/>
                <w:kern w:val="2"/>
                <w:sz w:val="21"/>
                <w:szCs w:val="21"/>
                <w:lang w:val="en-US" w:eastAsia="zh-CN" w:bidi="ar-SA"/>
              </w:rPr>
              <w:t>《工业企业挥发性有机物排放标准》（DB35/1782-2018）表1其他行业</w:t>
            </w:r>
          </w:p>
        </w:tc>
      </w:tr>
      <w:tr>
        <w:tblPrEx>
          <w:tblCellMar>
            <w:top w:w="0" w:type="dxa"/>
            <w:left w:w="0" w:type="dxa"/>
            <w:bottom w:w="0" w:type="dxa"/>
            <w:right w:w="0" w:type="dxa"/>
          </w:tblCellMar>
        </w:tblPrEx>
        <w:trPr>
          <w:trHeight w:val="23" w:hRule="atLeast"/>
        </w:trPr>
        <w:tc>
          <w:tcPr>
            <w:tcW w:w="8336" w:type="dxa"/>
            <w:gridSpan w:val="5"/>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2"/>
                <w:sz w:val="21"/>
                <w:szCs w:val="21"/>
                <w:lang w:val="en-GB" w:eastAsia="zh-CN" w:bidi="ar-SA"/>
              </w:rPr>
            </w:pPr>
            <w:r>
              <w:rPr>
                <w:rFonts w:hint="default" w:ascii="Times New Roman" w:hAnsi="Times New Roman" w:eastAsia="宋体" w:cs="Times New Roman"/>
                <w:color w:val="auto"/>
                <w:kern w:val="2"/>
                <w:sz w:val="21"/>
                <w:szCs w:val="21"/>
                <w:lang w:val="en-US" w:eastAsia="zh-CN" w:bidi="ar-SA"/>
              </w:rPr>
              <w:t>a：当非甲烷总烃的去除率≥90%时，等同于满足最高允许排放速率限值要求。</w:t>
            </w:r>
          </w:p>
        </w:tc>
      </w:tr>
    </w:tbl>
    <w:p>
      <w:pPr>
        <w:spacing w:line="360" w:lineRule="auto"/>
        <w:ind w:firstLine="480"/>
        <w:rPr>
          <w:rFonts w:hint="default" w:ascii="Times New Roman" w:hAnsi="Times New Roman" w:eastAsia="宋体" w:cs="Times New Roman"/>
          <w:color w:val="auto"/>
          <w:sz w:val="24"/>
          <w:szCs w:val="20"/>
          <w:lang w:val="en-GB"/>
        </w:rPr>
      </w:pPr>
      <w:r>
        <w:rPr>
          <w:rFonts w:hint="default" w:ascii="Times New Roman" w:hAnsi="Times New Roman" w:eastAsia="宋体" w:cs="Times New Roman"/>
          <w:color w:val="auto"/>
          <w:sz w:val="24"/>
          <w:szCs w:val="20"/>
          <w:lang w:val="en-GB"/>
        </w:rPr>
        <w:t>②无组织废气</w:t>
      </w:r>
    </w:p>
    <w:p>
      <w:pPr>
        <w:spacing w:line="360" w:lineRule="auto"/>
        <w:ind w:firstLine="480"/>
        <w:jc w:val="both"/>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企业边界甲醛、非甲烷总烃污染物浓度</w:t>
      </w:r>
      <w:r>
        <w:rPr>
          <w:rFonts w:hint="eastAsia" w:ascii="Times New Roman" w:hAnsi="Times New Roman" w:eastAsia="宋体" w:cs="Times New Roman"/>
          <w:color w:val="auto"/>
          <w:kern w:val="2"/>
          <w:sz w:val="24"/>
          <w:szCs w:val="22"/>
          <w:lang w:val="en-US" w:eastAsia="zh-CN" w:bidi="ar-SA"/>
        </w:rPr>
        <w:t>执行</w:t>
      </w:r>
      <w:r>
        <w:rPr>
          <w:rFonts w:hint="default" w:ascii="Times New Roman" w:hAnsi="Times New Roman" w:eastAsia="宋体" w:cs="Times New Roman"/>
          <w:color w:val="auto"/>
          <w:kern w:val="2"/>
          <w:sz w:val="24"/>
          <w:szCs w:val="21"/>
          <w:lang w:val="en-US" w:eastAsia="zh-CN" w:bidi="ar-SA"/>
        </w:rPr>
        <w:t>《工业企业挥发性有机物排放标准》（DB35/1782-2018）</w:t>
      </w:r>
      <w:r>
        <w:rPr>
          <w:rFonts w:hint="eastAsia" w:ascii="Times New Roman" w:hAnsi="Times New Roman" w:eastAsia="宋体" w:cs="Times New Roman"/>
          <w:color w:val="auto"/>
          <w:kern w:val="2"/>
          <w:sz w:val="24"/>
          <w:szCs w:val="21"/>
          <w:lang w:val="en-US" w:eastAsia="zh-CN" w:bidi="ar-SA"/>
        </w:rPr>
        <w:t>表2、表3标准</w:t>
      </w:r>
      <w:r>
        <w:rPr>
          <w:rFonts w:hint="default" w:ascii="Times New Roman" w:hAnsi="Times New Roman" w:eastAsia="宋体" w:cs="Times New Roman"/>
          <w:color w:val="auto"/>
          <w:kern w:val="2"/>
          <w:sz w:val="24"/>
          <w:szCs w:val="22"/>
          <w:lang w:val="en-GB" w:eastAsia="zh-CN" w:bidi="ar-SA"/>
        </w:rPr>
        <w:t>；</w:t>
      </w:r>
      <w:r>
        <w:rPr>
          <w:rFonts w:hint="default" w:ascii="Times New Roman" w:hAnsi="Times New Roman" w:eastAsia="宋体" w:cs="Times New Roman"/>
          <w:color w:val="auto"/>
          <w:kern w:val="2"/>
          <w:sz w:val="24"/>
          <w:szCs w:val="21"/>
          <w:lang w:val="en-US" w:eastAsia="zh-CN" w:bidi="ar-SA"/>
        </w:rPr>
        <w:t>颗粒物、氮氧化物执行《大气污染物综合排放标准》（GB16297-1996）表2</w:t>
      </w:r>
      <w:r>
        <w:rPr>
          <w:rFonts w:hint="default" w:ascii="Times New Roman" w:hAnsi="Times New Roman" w:eastAsia="宋体" w:cs="Times New Roman"/>
          <w:color w:val="auto"/>
          <w:kern w:val="2"/>
          <w:sz w:val="24"/>
          <w:szCs w:val="22"/>
          <w:lang w:val="en-US" w:eastAsia="zh-CN" w:bidi="ar-SA"/>
        </w:rPr>
        <w:t>中周界外浓度最高点限值标准；氨气执行《无机化学工业污染物排放标准》（GB31573-2015）表5标准；非甲烷总烃厂区内监控点执行</w:t>
      </w:r>
      <w:r>
        <w:rPr>
          <w:rFonts w:hint="default" w:ascii="Times New Roman" w:hAnsi="Times New Roman" w:eastAsia="宋体" w:cs="Times New Roman"/>
          <w:color w:val="auto"/>
          <w:kern w:val="2"/>
          <w:sz w:val="24"/>
          <w:szCs w:val="22"/>
          <w:lang w:val="en-GB" w:eastAsia="zh-CN" w:bidi="ar-SA"/>
        </w:rPr>
        <w:t>《挥发性有机物无组织排放控制标准》（GB37822-2019）附录A的表A.1</w:t>
      </w:r>
      <w:r>
        <w:rPr>
          <w:rFonts w:hint="default" w:ascii="Times New Roman" w:hAnsi="Times New Roman" w:eastAsia="宋体" w:cs="Times New Roman"/>
          <w:color w:val="auto"/>
          <w:kern w:val="2"/>
          <w:sz w:val="24"/>
          <w:szCs w:val="22"/>
          <w:lang w:val="en-US" w:eastAsia="zh-CN" w:bidi="ar-SA"/>
        </w:rPr>
        <w:t>标准，具体见表1.4-</w:t>
      </w:r>
      <w:r>
        <w:rPr>
          <w:rFonts w:hint="eastAsia" w:ascii="Times New Roman" w:hAnsi="Times New Roman" w:eastAsia="宋体" w:cs="Times New Roman"/>
          <w:color w:val="auto"/>
          <w:kern w:val="2"/>
          <w:sz w:val="24"/>
          <w:szCs w:val="22"/>
          <w:lang w:val="en-US" w:eastAsia="zh-CN" w:bidi="ar-SA"/>
        </w:rPr>
        <w:t>6</w:t>
      </w:r>
      <w:r>
        <w:rPr>
          <w:rFonts w:hint="default" w:ascii="Times New Roman" w:hAnsi="Times New Roman" w:eastAsia="宋体" w:cs="Times New Roman"/>
          <w:color w:val="auto"/>
          <w:kern w:val="2"/>
          <w:sz w:val="24"/>
          <w:szCs w:val="22"/>
          <w:lang w:val="en-US" w:eastAsia="zh-CN" w:bidi="ar-SA"/>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default" w:ascii="Times New Roman" w:hAnsi="Times New Roman" w:eastAsia="黑体" w:cs="Times New Roman"/>
          <w:b/>
          <w:color w:val="auto"/>
          <w:sz w:val="24"/>
          <w:szCs w:val="22"/>
        </w:rPr>
      </w:pPr>
      <w:r>
        <w:rPr>
          <w:rFonts w:hint="default" w:ascii="Times New Roman" w:hAnsi="Times New Roman" w:eastAsia="黑体" w:cs="Times New Roman"/>
          <w:b/>
          <w:color w:val="auto"/>
          <w:sz w:val="24"/>
          <w:szCs w:val="22"/>
        </w:rPr>
        <w:t>表1.</w:t>
      </w:r>
      <w:r>
        <w:rPr>
          <w:rFonts w:hint="default" w:ascii="Times New Roman" w:hAnsi="Times New Roman" w:eastAsia="黑体" w:cs="Times New Roman"/>
          <w:b/>
          <w:color w:val="auto"/>
          <w:sz w:val="24"/>
          <w:szCs w:val="22"/>
          <w:lang w:val="en-US" w:eastAsia="zh-CN"/>
        </w:rPr>
        <w:t>4-</w:t>
      </w:r>
      <w:r>
        <w:rPr>
          <w:rFonts w:hint="eastAsia" w:ascii="Times New Roman" w:hAnsi="Times New Roman" w:eastAsia="黑体" w:cs="Times New Roman"/>
          <w:b/>
          <w:color w:val="auto"/>
          <w:sz w:val="24"/>
          <w:szCs w:val="22"/>
          <w:lang w:val="en-US" w:eastAsia="zh-CN"/>
        </w:rPr>
        <w:t>6</w:t>
      </w:r>
      <w:r>
        <w:rPr>
          <w:rFonts w:hint="default" w:ascii="Times New Roman" w:hAnsi="Times New Roman" w:eastAsia="黑体" w:cs="Times New Roman"/>
          <w:b/>
          <w:color w:val="auto"/>
          <w:sz w:val="24"/>
          <w:szCs w:val="22"/>
        </w:rPr>
        <w:t xml:space="preserve"> 污染物无组织排放浓度限值</w:t>
      </w:r>
    </w:p>
    <w:tbl>
      <w:tblPr>
        <w:tblStyle w:val="90"/>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95"/>
        <w:gridCol w:w="797"/>
        <w:gridCol w:w="607"/>
        <w:gridCol w:w="689"/>
        <w:gridCol w:w="735"/>
        <w:gridCol w:w="735"/>
        <w:gridCol w:w="4"/>
        <w:gridCol w:w="1052"/>
        <w:gridCol w:w="956"/>
        <w:gridCol w:w="1011"/>
        <w:gridCol w:w="656"/>
        <w:gridCol w:w="982"/>
        <w:gridCol w:w="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9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序号</w:t>
            </w:r>
          </w:p>
        </w:tc>
        <w:tc>
          <w:tcPr>
            <w:tcW w:w="797"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污染物项目</w:t>
            </w:r>
          </w:p>
        </w:tc>
        <w:tc>
          <w:tcPr>
            <w:tcW w:w="2770" w:type="dxa"/>
            <w:gridSpan w:val="5"/>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企业边界监控点浓度限值</w:t>
            </w:r>
          </w:p>
        </w:tc>
        <w:tc>
          <w:tcPr>
            <w:tcW w:w="4661" w:type="dxa"/>
            <w:gridSpan w:val="6"/>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厂内监控点浓度限值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0" w:type="dxa"/>
          <w:trHeight w:val="595" w:hRule="atLeast"/>
        </w:trPr>
        <w:tc>
          <w:tcPr>
            <w:vMerge w:val="continue"/>
            <w:tcBorders>
              <w:tl2br w:val="nil"/>
              <w:tr2bl w:val="nil"/>
            </w:tcBorders>
            <w:noWrap w:val="0"/>
          </w:tcPr>
          <w:p/>
        </w:tc>
        <w:tc>
          <w:tcPr>
            <w:vMerge w:val="continue"/>
            <w:tcBorders>
              <w:tl2br w:val="nil"/>
              <w:tr2bl w:val="nil"/>
            </w:tcBorders>
            <w:noWrap w:val="0"/>
          </w:tcPr>
          <w:p/>
        </w:tc>
        <w:tc>
          <w:tcPr>
            <w:tcW w:w="607"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GB16297-1996</w:t>
            </w:r>
          </w:p>
        </w:tc>
        <w:tc>
          <w:tcPr>
            <w:tcW w:w="689"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DB35/1782-2018</w:t>
            </w:r>
          </w:p>
        </w:tc>
        <w:tc>
          <w:tcPr>
            <w:tcW w:w="73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GB31573-2015</w:t>
            </w:r>
          </w:p>
        </w:tc>
        <w:tc>
          <w:tcPr>
            <w:tcW w:w="73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bCs/>
                <w:color w:val="auto"/>
                <w:kern w:val="2"/>
                <w:sz w:val="21"/>
                <w:szCs w:val="22"/>
                <w:lang w:val="en-US" w:eastAsia="zh-CN" w:bidi="ar-SA"/>
              </w:rPr>
            </w:pPr>
            <w:r>
              <w:rPr>
                <w:rFonts w:hint="default" w:ascii="Times New Roman" w:hAnsi="Times New Roman" w:eastAsia="宋体" w:cs="Times New Roman"/>
                <w:b/>
                <w:bCs/>
                <w:color w:val="auto"/>
                <w:kern w:val="2"/>
                <w:sz w:val="21"/>
                <w:szCs w:val="22"/>
                <w:highlight w:val="none"/>
                <w:lang w:val="en-US" w:eastAsia="zh-CN" w:bidi="ar-SA"/>
              </w:rPr>
              <w:t>本项目控制值</w:t>
            </w:r>
          </w:p>
        </w:tc>
        <w:tc>
          <w:tcPr>
            <w:tcW w:w="2012" w:type="dxa"/>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GB" w:eastAsia="zh-CN" w:bidi="ar-SA"/>
              </w:rPr>
              <w:t>GB37822-2019</w:t>
            </w:r>
          </w:p>
        </w:tc>
        <w:tc>
          <w:tcPr>
            <w:tcW w:w="10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DB35/1782-2018</w:t>
            </w:r>
          </w:p>
        </w:tc>
        <w:tc>
          <w:tcPr>
            <w:tcW w:w="1638"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eastAsia"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本项目控制值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0" w:type="dxa"/>
          <w:trHeight w:val="595" w:hRule="atLeast"/>
        </w:trPr>
        <w:tc>
          <w:tcPr>
            <w:vMerge w:val="continue"/>
            <w:tcBorders>
              <w:tl2br w:val="nil"/>
              <w:tr2bl w:val="nil"/>
            </w:tcBorders>
            <w:noWrap w:val="0"/>
          </w:tcPr>
          <w:p/>
        </w:tc>
        <w:tc>
          <w:tcPr>
            <w:vMerge w:val="continue"/>
            <w:tcBorders>
              <w:tl2br w:val="nil"/>
              <w:tr2bl w:val="nil"/>
            </w:tcBorders>
            <w:noWrap w:val="0"/>
          </w:tcPr>
          <w:p/>
        </w:tc>
        <w:tc>
          <w:tcPr>
            <w:vMerge w:val="continue"/>
            <w:tcBorders>
              <w:tl2br w:val="nil"/>
              <w:tr2bl w:val="nil"/>
            </w:tcBorders>
            <w:noWrap w:val="0"/>
          </w:tcPr>
          <w:p/>
        </w:tc>
        <w:tc>
          <w:tcPr>
            <w:vMerge w:val="continue"/>
            <w:tcBorders>
              <w:tl2br w:val="nil"/>
              <w:tr2bl w:val="nil"/>
            </w:tcBorders>
            <w:noWrap w:val="0"/>
          </w:tcPr>
          <w:p/>
        </w:tc>
        <w:tc>
          <w:tcPr>
            <w:vMerge w:val="continue"/>
            <w:tcBorders>
              <w:tl2br w:val="nil"/>
              <w:tr2bl w:val="nil"/>
            </w:tcBorders>
            <w:noWrap w:val="0"/>
          </w:tcPr>
          <w:p/>
        </w:tc>
        <w:tc>
          <w:tcPr>
            <w:vMerge w:val="continue"/>
            <w:tcBorders>
              <w:tl2br w:val="nil"/>
              <w:tr2bl w:val="nil"/>
            </w:tcBorders>
            <w:noWrap w:val="0"/>
          </w:tcPr>
          <w:p/>
        </w:tc>
        <w:tc>
          <w:tcPr>
            <w:tcW w:w="1056"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1h平均浓度值</w:t>
            </w:r>
          </w:p>
        </w:tc>
        <w:tc>
          <w:tcPr>
            <w:tcW w:w="9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监控点处任意一次浓度值</w:t>
            </w:r>
          </w:p>
        </w:tc>
        <w:tc>
          <w:tcPr>
            <w:tcW w:w="10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eastAsia" w:ascii="Times New Roman" w:hAnsi="Times New Roman" w:eastAsia="宋体" w:cs="Times New Roman"/>
                <w:color w:val="auto"/>
                <w:kern w:val="2"/>
                <w:sz w:val="21"/>
                <w:szCs w:val="22"/>
                <w:lang w:val="en-US" w:eastAsia="zh-CN" w:bidi="ar-SA"/>
              </w:rPr>
              <w:t>厂区内监控点排放浓度限值</w:t>
            </w:r>
          </w:p>
        </w:tc>
        <w:tc>
          <w:tcPr>
            <w:tcW w:w="6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1h平均浓度值</w:t>
            </w:r>
          </w:p>
        </w:tc>
        <w:tc>
          <w:tcPr>
            <w:tcW w:w="98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监控点处任意一次浓度值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0" w:type="dxa"/>
          <w:trHeight w:val="340" w:hRule="atLeast"/>
        </w:trPr>
        <w:tc>
          <w:tcPr>
            <w:tcW w:w="29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1</w:t>
            </w:r>
          </w:p>
        </w:tc>
        <w:tc>
          <w:tcPr>
            <w:tcW w:w="79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0"/>
                <w:szCs w:val="21"/>
                <w:lang w:val="en-US" w:eastAsia="zh-CN" w:bidi="ar-SA"/>
              </w:rPr>
              <w:t>非甲烷总烃</w:t>
            </w:r>
          </w:p>
        </w:tc>
        <w:tc>
          <w:tcPr>
            <w:tcW w:w="60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eastAsia" w:ascii="Times New Roman" w:hAnsi="Times New Roman" w:eastAsia="宋体" w:cs="Times New Roman"/>
                <w:color w:val="auto"/>
                <w:kern w:val="2"/>
                <w:sz w:val="21"/>
                <w:szCs w:val="22"/>
                <w:lang w:val="en-US" w:eastAsia="zh-CN" w:bidi="ar-SA"/>
              </w:rPr>
              <w:t>/</w:t>
            </w:r>
          </w:p>
        </w:tc>
        <w:tc>
          <w:tcPr>
            <w:tcW w:w="68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2.0</w:t>
            </w:r>
          </w:p>
        </w:tc>
        <w:tc>
          <w:tcPr>
            <w:tcW w:w="7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7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bCs/>
                <w:color w:val="auto"/>
                <w:kern w:val="2"/>
                <w:sz w:val="21"/>
                <w:szCs w:val="22"/>
                <w:lang w:val="en-US" w:eastAsia="zh-CN" w:bidi="ar-SA"/>
              </w:rPr>
            </w:pPr>
            <w:r>
              <w:rPr>
                <w:rFonts w:hint="default" w:ascii="Times New Roman" w:hAnsi="Times New Roman" w:eastAsia="宋体" w:cs="Times New Roman"/>
                <w:b/>
                <w:bCs/>
                <w:color w:val="auto"/>
                <w:kern w:val="2"/>
                <w:sz w:val="21"/>
                <w:szCs w:val="22"/>
                <w:lang w:val="en-US" w:eastAsia="zh-CN" w:bidi="ar-SA"/>
              </w:rPr>
              <w:t>2.0</w:t>
            </w:r>
          </w:p>
        </w:tc>
        <w:tc>
          <w:tcPr>
            <w:tcW w:w="1056"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6</w:t>
            </w:r>
          </w:p>
        </w:tc>
        <w:tc>
          <w:tcPr>
            <w:tcW w:w="9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20</w:t>
            </w:r>
          </w:p>
        </w:tc>
        <w:tc>
          <w:tcPr>
            <w:tcW w:w="10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eastAsia" w:ascii="Times New Roman" w:hAnsi="Times New Roman" w:eastAsia="宋体" w:cs="Times New Roman"/>
                <w:color w:val="auto"/>
                <w:kern w:val="2"/>
                <w:sz w:val="21"/>
                <w:szCs w:val="22"/>
                <w:lang w:val="en-US" w:eastAsia="zh-CN" w:bidi="ar-SA"/>
              </w:rPr>
              <w:t>8.0</w:t>
            </w:r>
          </w:p>
        </w:tc>
        <w:tc>
          <w:tcPr>
            <w:tcW w:w="6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eastAsia" w:ascii="Times New Roman" w:hAnsi="Times New Roman" w:eastAsia="宋体" w:cs="Times New Roman"/>
                <w:color w:val="auto"/>
                <w:kern w:val="2"/>
                <w:sz w:val="21"/>
                <w:szCs w:val="22"/>
                <w:lang w:val="en-US" w:eastAsia="zh-CN" w:bidi="ar-SA"/>
              </w:rPr>
              <w:t>6.0</w:t>
            </w:r>
          </w:p>
        </w:tc>
        <w:tc>
          <w:tcPr>
            <w:tcW w:w="98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eastAsia" w:ascii="Times New Roman" w:hAnsi="Times New Roman" w:eastAsia="宋体" w:cs="Times New Roman"/>
                <w:color w:val="auto"/>
                <w:kern w:val="2"/>
                <w:sz w:val="21"/>
                <w:szCs w:val="22"/>
                <w:lang w:val="en-US" w:eastAsia="zh-CN" w:bidi="ar-SA"/>
              </w:rPr>
            </w:pPr>
            <w:r>
              <w:rPr>
                <w:rFonts w:hint="eastAsia" w:ascii="Times New Roman" w:hAnsi="Times New Roman" w:eastAsia="宋体" w:cs="Times New Roman"/>
                <w:color w:val="auto"/>
                <w:kern w:val="2"/>
                <w:sz w:val="21"/>
                <w:szCs w:val="22"/>
                <w:lang w:val="en-US" w:eastAsia="zh-CN" w:bidi="ar-SA"/>
              </w:rPr>
              <w:t>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0" w:type="dxa"/>
          <w:trHeight w:val="90" w:hRule="atLeast"/>
        </w:trPr>
        <w:tc>
          <w:tcPr>
            <w:tcW w:w="29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2</w:t>
            </w:r>
          </w:p>
        </w:tc>
        <w:tc>
          <w:tcPr>
            <w:tcW w:w="79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甲醛</w:t>
            </w:r>
          </w:p>
        </w:tc>
        <w:tc>
          <w:tcPr>
            <w:tcW w:w="60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eastAsia" w:ascii="Times New Roman" w:hAnsi="Times New Roman" w:eastAsia="宋体" w:cs="Times New Roman"/>
                <w:color w:val="auto"/>
                <w:kern w:val="2"/>
                <w:sz w:val="21"/>
                <w:szCs w:val="22"/>
                <w:lang w:val="en-US" w:eastAsia="zh-CN" w:bidi="ar-SA"/>
              </w:rPr>
              <w:t>/</w:t>
            </w:r>
          </w:p>
        </w:tc>
        <w:tc>
          <w:tcPr>
            <w:tcW w:w="68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0.1</w:t>
            </w:r>
          </w:p>
        </w:tc>
        <w:tc>
          <w:tcPr>
            <w:tcW w:w="7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7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bCs/>
                <w:color w:val="auto"/>
                <w:kern w:val="2"/>
                <w:sz w:val="21"/>
                <w:szCs w:val="22"/>
                <w:lang w:val="en-US" w:eastAsia="zh-CN" w:bidi="ar-SA"/>
              </w:rPr>
            </w:pPr>
            <w:r>
              <w:rPr>
                <w:rFonts w:hint="default" w:ascii="Times New Roman" w:hAnsi="Times New Roman" w:eastAsia="宋体" w:cs="Times New Roman"/>
                <w:b/>
                <w:bCs/>
                <w:color w:val="auto"/>
                <w:kern w:val="2"/>
                <w:sz w:val="21"/>
                <w:szCs w:val="22"/>
                <w:lang w:val="en-US" w:eastAsia="zh-CN" w:bidi="ar-SA"/>
              </w:rPr>
              <w:t>0.1</w:t>
            </w:r>
          </w:p>
        </w:tc>
        <w:tc>
          <w:tcPr>
            <w:tcW w:w="1056"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9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10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6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98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0" w:type="dxa"/>
          <w:trHeight w:val="90" w:hRule="atLeast"/>
        </w:trPr>
        <w:tc>
          <w:tcPr>
            <w:tcW w:w="29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3</w:t>
            </w:r>
          </w:p>
        </w:tc>
        <w:tc>
          <w:tcPr>
            <w:tcW w:w="797" w:type="dxa"/>
            <w:tcBorders>
              <w:tl2br w:val="nil"/>
              <w:tr2bl w:val="nil"/>
            </w:tcBorders>
            <w:noWrap w:val="0"/>
            <w:vAlign w:val="center"/>
          </w:tcPr>
          <w:p>
            <w:pPr>
              <w:keepNext w:val="0"/>
              <w:keepLines w:val="0"/>
              <w:pageBreakBefore w:val="0"/>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1"/>
                <w:lang w:eastAsia="zh-CN"/>
              </w:rPr>
              <w:t>颗粒物</w:t>
            </w:r>
          </w:p>
        </w:tc>
        <w:tc>
          <w:tcPr>
            <w:tcW w:w="60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1.0</w:t>
            </w:r>
          </w:p>
        </w:tc>
        <w:tc>
          <w:tcPr>
            <w:tcW w:w="68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7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7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bCs/>
                <w:color w:val="auto"/>
                <w:kern w:val="2"/>
                <w:sz w:val="21"/>
                <w:szCs w:val="22"/>
                <w:lang w:val="en-US" w:eastAsia="zh-CN" w:bidi="ar-SA"/>
              </w:rPr>
            </w:pPr>
            <w:r>
              <w:rPr>
                <w:rFonts w:hint="default" w:ascii="Times New Roman" w:hAnsi="Times New Roman" w:eastAsia="宋体" w:cs="Times New Roman"/>
                <w:b/>
                <w:bCs/>
                <w:color w:val="auto"/>
                <w:kern w:val="2"/>
                <w:sz w:val="21"/>
                <w:szCs w:val="22"/>
                <w:lang w:val="en-US" w:eastAsia="zh-CN" w:bidi="ar-SA"/>
              </w:rPr>
              <w:t>1.0</w:t>
            </w:r>
          </w:p>
        </w:tc>
        <w:tc>
          <w:tcPr>
            <w:tcW w:w="1056"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9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10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6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98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0" w:type="dxa"/>
          <w:trHeight w:val="90" w:hRule="atLeast"/>
        </w:trPr>
        <w:tc>
          <w:tcPr>
            <w:tcW w:w="29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4</w:t>
            </w:r>
          </w:p>
        </w:tc>
        <w:tc>
          <w:tcPr>
            <w:tcW w:w="797" w:type="dxa"/>
            <w:tcBorders>
              <w:tl2br w:val="nil"/>
              <w:tr2bl w:val="nil"/>
            </w:tcBorders>
            <w:noWrap w:val="0"/>
            <w:vAlign w:val="center"/>
          </w:tcPr>
          <w:p>
            <w:pPr>
              <w:keepNext w:val="0"/>
              <w:keepLines w:val="0"/>
              <w:pageBreakBefore w:val="0"/>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1"/>
                <w:lang w:eastAsia="zh-CN"/>
              </w:rPr>
              <w:t>氮氧化物</w:t>
            </w:r>
          </w:p>
        </w:tc>
        <w:tc>
          <w:tcPr>
            <w:tcW w:w="60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0.12</w:t>
            </w:r>
          </w:p>
        </w:tc>
        <w:tc>
          <w:tcPr>
            <w:tcW w:w="68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7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7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bCs/>
                <w:color w:val="auto"/>
                <w:kern w:val="2"/>
                <w:sz w:val="21"/>
                <w:szCs w:val="22"/>
                <w:lang w:val="en-US" w:eastAsia="zh-CN" w:bidi="ar-SA"/>
              </w:rPr>
            </w:pPr>
            <w:r>
              <w:rPr>
                <w:rFonts w:hint="default" w:ascii="Times New Roman" w:hAnsi="Times New Roman" w:eastAsia="宋体" w:cs="Times New Roman"/>
                <w:b/>
                <w:bCs/>
                <w:color w:val="auto"/>
                <w:kern w:val="2"/>
                <w:sz w:val="21"/>
                <w:szCs w:val="22"/>
                <w:lang w:val="en-US" w:eastAsia="zh-CN" w:bidi="ar-SA"/>
              </w:rPr>
              <w:t>0.12</w:t>
            </w:r>
          </w:p>
        </w:tc>
        <w:tc>
          <w:tcPr>
            <w:tcW w:w="1056"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9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10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6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98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gridAfter w:val="1"/>
          <w:wAfter w:w="0" w:type="dxa"/>
          <w:trHeight w:val="90" w:hRule="atLeast"/>
        </w:trPr>
        <w:tc>
          <w:tcPr>
            <w:tcW w:w="29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5</w:t>
            </w:r>
          </w:p>
        </w:tc>
        <w:tc>
          <w:tcPr>
            <w:tcW w:w="797" w:type="dxa"/>
            <w:tcBorders>
              <w:tl2br w:val="nil"/>
              <w:tr2bl w:val="nil"/>
            </w:tcBorders>
            <w:noWrap w:val="0"/>
            <w:vAlign w:val="center"/>
          </w:tcPr>
          <w:p>
            <w:pPr>
              <w:keepNext w:val="0"/>
              <w:keepLines w:val="0"/>
              <w:pageBreakBefore w:val="0"/>
              <w:kinsoku/>
              <w:wordWrap/>
              <w:overflowPunct/>
              <w:topLinePunct w:val="0"/>
              <w:autoSpaceDE/>
              <w:autoSpaceDN/>
              <w:bidi w:val="0"/>
              <w:spacing w:line="300" w:lineRule="exact"/>
              <w:ind w:firstLine="0"/>
              <w:jc w:val="center"/>
              <w:textAlignment w:val="auto"/>
              <w:outlineLvl w:val="9"/>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1"/>
                <w:lang w:eastAsia="zh-CN"/>
              </w:rPr>
              <w:t>氨</w:t>
            </w:r>
          </w:p>
        </w:tc>
        <w:tc>
          <w:tcPr>
            <w:tcW w:w="60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68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7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eastAsia" w:ascii="Times New Roman" w:hAnsi="Times New Roman" w:eastAsia="宋体" w:cs="Times New Roman"/>
                <w:color w:val="auto"/>
                <w:kern w:val="2"/>
                <w:sz w:val="21"/>
                <w:szCs w:val="22"/>
                <w:lang w:val="en-US" w:eastAsia="zh-CN" w:bidi="ar-SA"/>
              </w:rPr>
              <w:t>0.3</w:t>
            </w:r>
          </w:p>
        </w:tc>
        <w:tc>
          <w:tcPr>
            <w:tcW w:w="73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bCs/>
                <w:color w:val="auto"/>
                <w:kern w:val="2"/>
                <w:sz w:val="21"/>
                <w:szCs w:val="22"/>
                <w:lang w:val="en-US" w:eastAsia="zh-CN" w:bidi="ar-SA"/>
              </w:rPr>
            </w:pPr>
            <w:r>
              <w:rPr>
                <w:rFonts w:hint="eastAsia" w:ascii="Times New Roman" w:hAnsi="Times New Roman" w:eastAsia="宋体" w:cs="Times New Roman"/>
                <w:b/>
                <w:bCs/>
                <w:color w:val="auto"/>
                <w:kern w:val="2"/>
                <w:sz w:val="21"/>
                <w:szCs w:val="22"/>
                <w:lang w:val="en-US" w:eastAsia="zh-CN" w:bidi="ar-SA"/>
              </w:rPr>
              <w:t>0.3</w:t>
            </w:r>
          </w:p>
        </w:tc>
        <w:tc>
          <w:tcPr>
            <w:tcW w:w="1056"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9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10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6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c>
          <w:tcPr>
            <w:tcW w:w="98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w:t>
            </w:r>
          </w:p>
        </w:tc>
      </w:tr>
    </w:tbl>
    <w:p>
      <w:pPr>
        <w:spacing w:line="360" w:lineRule="auto"/>
        <w:ind w:firstLine="0"/>
        <w:outlineLvl w:val="2"/>
        <w:rPr>
          <w:rFonts w:hint="default" w:ascii="Times New Roman" w:hAnsi="Times New Roman" w:eastAsia="黑体" w:cs="Times New Roman"/>
          <w:b w:val="0"/>
          <w:bCs/>
          <w:color w:val="auto"/>
          <w:sz w:val="30"/>
          <w:szCs w:val="30"/>
        </w:rPr>
      </w:pPr>
      <w:r>
        <w:rPr>
          <w:rFonts w:hint="default" w:ascii="Times New Roman" w:hAnsi="Times New Roman" w:eastAsia="黑体" w:cs="Times New Roman"/>
          <w:b w:val="0"/>
          <w:bCs/>
          <w:color w:val="auto"/>
          <w:sz w:val="30"/>
          <w:szCs w:val="30"/>
        </w:rPr>
        <w:t>1.4.3噪声</w:t>
      </w:r>
    </w:p>
    <w:p>
      <w:pPr>
        <w:spacing w:line="360" w:lineRule="auto"/>
        <w:ind w:firstLine="480"/>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lang w:val="en-GB"/>
        </w:rPr>
        <w:t>项目运营期间厂界噪声排放执行《工业企业厂界环境噪声排放标准》</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GB"/>
        </w:rPr>
        <w:t>GB12348-2008</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GB"/>
        </w:rPr>
        <w:t>中3类标准；工程施工过程中，场界环境噪声不得超过《建筑施工场界环境噪声排放标准》</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GB"/>
        </w:rPr>
        <w:t>GB12523-2011</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GB"/>
        </w:rPr>
        <w:t>中表1规定的排放限值，详见表</w:t>
      </w:r>
      <w:r>
        <w:rPr>
          <w:rFonts w:hint="default" w:ascii="Times New Roman" w:hAnsi="Times New Roman" w:eastAsia="宋体" w:cs="Times New Roman"/>
          <w:color w:val="auto"/>
          <w:sz w:val="24"/>
          <w:szCs w:val="24"/>
        </w:rPr>
        <w:t>1.4-</w:t>
      </w:r>
      <w:r>
        <w:rPr>
          <w:rFonts w:hint="eastAsia"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lang w:val="en-GB"/>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default" w:ascii="Times New Roman" w:hAnsi="Times New Roman" w:eastAsia="黑体" w:cs="Times New Roman"/>
          <w:b w:val="0"/>
          <w:bCs/>
          <w:color w:val="auto"/>
          <w:sz w:val="24"/>
          <w:szCs w:val="22"/>
        </w:rPr>
      </w:pPr>
      <w:bookmarkStart w:id="53" w:name="_Toc275269621"/>
      <w:bookmarkStart w:id="54" w:name="_Toc11422307"/>
      <w:bookmarkStart w:id="55" w:name="_Toc322356184"/>
      <w:r>
        <w:rPr>
          <w:rFonts w:hint="default" w:ascii="Times New Roman" w:hAnsi="Times New Roman" w:eastAsia="黑体" w:cs="Times New Roman"/>
          <w:b w:val="0"/>
          <w:bCs/>
          <w:color w:val="auto"/>
          <w:sz w:val="24"/>
          <w:szCs w:val="22"/>
        </w:rPr>
        <w:t>表1.4-</w:t>
      </w:r>
      <w:r>
        <w:rPr>
          <w:rFonts w:hint="eastAsia" w:ascii="Times New Roman" w:hAnsi="Times New Roman" w:eastAsia="黑体" w:cs="Times New Roman"/>
          <w:b w:val="0"/>
          <w:bCs/>
          <w:color w:val="auto"/>
          <w:sz w:val="24"/>
          <w:szCs w:val="22"/>
          <w:lang w:val="en-US" w:eastAsia="zh-CN"/>
        </w:rPr>
        <w:t>7</w:t>
      </w:r>
      <w:r>
        <w:rPr>
          <w:rFonts w:hint="default" w:ascii="Times New Roman" w:hAnsi="Times New Roman" w:eastAsia="黑体" w:cs="Times New Roman"/>
          <w:b w:val="0"/>
          <w:bCs/>
          <w:color w:val="auto"/>
          <w:sz w:val="24"/>
          <w:szCs w:val="22"/>
        </w:rPr>
        <w:t xml:space="preserve"> 噪声排放标准一览表</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6"/>
        <w:gridCol w:w="1287"/>
        <w:gridCol w:w="3903"/>
        <w:gridCol w:w="1014"/>
        <w:gridCol w:w="1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类别</w:t>
            </w:r>
          </w:p>
        </w:tc>
        <w:tc>
          <w:tcPr>
            <w:tcW w:w="128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污染源名称</w:t>
            </w:r>
          </w:p>
        </w:tc>
        <w:tc>
          <w:tcPr>
            <w:tcW w:w="6459"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vMerge w:val="continue"/>
            <w:tcBorders>
              <w:tl2br w:val="nil"/>
              <w:tr2bl w:val="nil"/>
            </w:tcBorders>
            <w:noWrap w:val="0"/>
          </w:tcPr>
          <w:p/>
        </w:tc>
        <w:tc>
          <w:tcPr>
            <w:vMerge w:val="continue"/>
            <w:tcBorders>
              <w:tl2br w:val="nil"/>
              <w:tr2bl w:val="nil"/>
            </w:tcBorders>
            <w:noWrap w:val="0"/>
          </w:tcPr>
          <w:p/>
        </w:tc>
        <w:tc>
          <w:tcPr>
            <w:tcW w:w="39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标准名称及标准号</w:t>
            </w:r>
          </w:p>
        </w:tc>
        <w:tc>
          <w:tcPr>
            <w:tcW w:w="101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15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128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运营期</w:t>
            </w:r>
            <w:r>
              <w:rPr>
                <w:rFonts w:hint="default" w:ascii="Times New Roman" w:hAnsi="Times New Roman" w:eastAsia="宋体" w:cs="Times New Roman"/>
                <w:color w:val="auto"/>
                <w:sz w:val="21"/>
                <w:szCs w:val="21"/>
              </w:rPr>
              <w:t>厂界噪声</w:t>
            </w:r>
          </w:p>
        </w:tc>
        <w:tc>
          <w:tcPr>
            <w:tcW w:w="390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《工业企业厂界环境噪声排放标准》</w:t>
            </w:r>
          </w:p>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(GB12348-2008)3类</w:t>
            </w:r>
          </w:p>
        </w:tc>
        <w:tc>
          <w:tcPr>
            <w:tcW w:w="101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昼间</w:t>
            </w:r>
          </w:p>
        </w:tc>
        <w:tc>
          <w:tcPr>
            <w:tcW w:w="15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vMerge w:val="continue"/>
            <w:tcBorders>
              <w:tl2br w:val="nil"/>
              <w:tr2bl w:val="nil"/>
            </w:tcBorders>
            <w:noWrap w:val="0"/>
          </w:tcPr>
          <w:p/>
        </w:tc>
        <w:tc>
          <w:tcPr>
            <w:vMerge w:val="continue"/>
            <w:tcBorders>
              <w:tl2br w:val="nil"/>
              <w:tr2bl w:val="nil"/>
            </w:tcBorders>
            <w:noWrap w:val="0"/>
          </w:tcPr>
          <w:p/>
        </w:tc>
        <w:tc>
          <w:tcPr>
            <w:vMerge w:val="continue"/>
            <w:tcBorders>
              <w:tl2br w:val="nil"/>
              <w:tr2bl w:val="nil"/>
            </w:tcBorders>
            <w:noWrap w:val="0"/>
          </w:tcPr>
          <w:p/>
        </w:tc>
        <w:tc>
          <w:tcPr>
            <w:tcW w:w="101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夜间</w:t>
            </w:r>
          </w:p>
        </w:tc>
        <w:tc>
          <w:tcPr>
            <w:tcW w:w="15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vMerge w:val="continue"/>
            <w:tcBorders>
              <w:tl2br w:val="nil"/>
              <w:tr2bl w:val="nil"/>
            </w:tcBorders>
            <w:noWrap w:val="0"/>
          </w:tcPr>
          <w:p/>
        </w:tc>
        <w:tc>
          <w:tcPr>
            <w:tcW w:w="128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施工噪声</w:t>
            </w:r>
          </w:p>
        </w:tc>
        <w:tc>
          <w:tcPr>
            <w:tcW w:w="390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《建筑施工场界环境噪声排放标准》</w:t>
            </w:r>
          </w:p>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(GB12523-2011)</w:t>
            </w:r>
          </w:p>
        </w:tc>
        <w:tc>
          <w:tcPr>
            <w:tcW w:w="101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昼间</w:t>
            </w:r>
          </w:p>
        </w:tc>
        <w:tc>
          <w:tcPr>
            <w:tcW w:w="15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vMerge w:val="continue"/>
            <w:tcBorders>
              <w:tl2br w:val="nil"/>
              <w:tr2bl w:val="nil"/>
            </w:tcBorders>
            <w:noWrap w:val="0"/>
          </w:tcPr>
          <w:p/>
        </w:tc>
        <w:tc>
          <w:tcPr>
            <w:vMerge w:val="continue"/>
            <w:tcBorders>
              <w:tl2br w:val="nil"/>
              <w:tr2bl w:val="nil"/>
            </w:tcBorders>
            <w:noWrap w:val="0"/>
          </w:tcPr>
          <w:p/>
        </w:tc>
        <w:tc>
          <w:tcPr>
            <w:vMerge w:val="continue"/>
            <w:tcBorders>
              <w:tl2br w:val="nil"/>
              <w:tr2bl w:val="nil"/>
            </w:tcBorders>
            <w:noWrap w:val="0"/>
          </w:tcPr>
          <w:p/>
        </w:tc>
        <w:tc>
          <w:tcPr>
            <w:tcW w:w="101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夜间</w:t>
            </w:r>
          </w:p>
        </w:tc>
        <w:tc>
          <w:tcPr>
            <w:tcW w:w="15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55dB</w:t>
            </w:r>
          </w:p>
        </w:tc>
      </w:tr>
    </w:tbl>
    <w:p>
      <w:pPr>
        <w:spacing w:line="360" w:lineRule="auto"/>
        <w:ind w:firstLine="0"/>
        <w:outlineLvl w:val="2"/>
        <w:rPr>
          <w:rFonts w:hint="default" w:ascii="Times New Roman" w:hAnsi="Times New Roman" w:eastAsia="黑体" w:cs="Times New Roman"/>
          <w:b w:val="0"/>
          <w:bCs/>
          <w:color w:val="auto"/>
          <w:sz w:val="30"/>
          <w:szCs w:val="30"/>
        </w:rPr>
      </w:pPr>
      <w:r>
        <w:rPr>
          <w:rFonts w:hint="default" w:ascii="Times New Roman" w:hAnsi="Times New Roman" w:eastAsia="黑体" w:cs="Times New Roman"/>
          <w:b w:val="0"/>
          <w:bCs/>
          <w:color w:val="auto"/>
          <w:sz w:val="30"/>
          <w:szCs w:val="30"/>
        </w:rPr>
        <w:t>1.4.4固废</w:t>
      </w:r>
    </w:p>
    <w:p>
      <w:pPr>
        <w:spacing w:line="360" w:lineRule="auto"/>
        <w:ind w:firstLine="480"/>
        <w:jc w:val="both"/>
        <w:rPr>
          <w:rFonts w:hint="default" w:ascii="Times New Roman" w:hAnsi="Times New Roman" w:eastAsia="宋体" w:cs="Times New Roman"/>
          <w:color w:val="auto"/>
          <w:kern w:val="2"/>
          <w:sz w:val="24"/>
          <w:szCs w:val="22"/>
          <w:lang w:val="en-GB" w:eastAsia="zh-CN" w:bidi="ar-SA"/>
        </w:rPr>
      </w:pPr>
      <w:r>
        <w:rPr>
          <w:rFonts w:hint="default" w:ascii="Times New Roman" w:hAnsi="Times New Roman" w:eastAsia="宋体" w:cs="Times New Roman"/>
          <w:color w:val="auto"/>
          <w:kern w:val="2"/>
          <w:sz w:val="24"/>
          <w:szCs w:val="22"/>
          <w:lang w:val="en-GB" w:eastAsia="zh-CN" w:bidi="ar-SA"/>
        </w:rPr>
        <w:t>一般工业固体废物执行</w:t>
      </w:r>
      <w:r>
        <w:rPr>
          <w:rFonts w:hint="default" w:ascii="Times New Roman" w:hAnsi="Times New Roman" w:eastAsia="宋体" w:cs="Times New Roman"/>
          <w:color w:val="auto"/>
          <w:kern w:val="2"/>
          <w:sz w:val="24"/>
          <w:szCs w:val="22"/>
          <w:lang w:val="en-US" w:eastAsia="zh-CN" w:bidi="ar-SA"/>
        </w:rPr>
        <w:t>《一般工业固体废物贮存和填埋污染控制标准》（GB18599-2020），生态环境部公告2020年第65号</w:t>
      </w:r>
      <w:r>
        <w:rPr>
          <w:rFonts w:hint="default" w:ascii="Times New Roman" w:hAnsi="Times New Roman" w:eastAsia="宋体" w:cs="Times New Roman"/>
          <w:color w:val="auto"/>
          <w:kern w:val="2"/>
          <w:sz w:val="24"/>
          <w:szCs w:val="22"/>
          <w:lang w:val="en-GB" w:eastAsia="zh-CN" w:bidi="ar-SA"/>
        </w:rPr>
        <w:t>；危险废物执行《危险废物贮存污染控制标准》（GB18597-2001）及其2013年修改单、《危险废物收集贮存运输技术规范》（HJ2025-2012）。</w:t>
      </w:r>
    </w:p>
    <w:p>
      <w:pPr>
        <w:spacing w:line="360" w:lineRule="auto"/>
        <w:ind w:firstLine="0"/>
        <w:outlineLvl w:val="1"/>
        <w:rPr>
          <w:rFonts w:hint="default" w:ascii="Times New Roman" w:hAnsi="Times New Roman" w:eastAsia="黑体" w:cs="Times New Roman"/>
          <w:b w:val="0"/>
          <w:bCs/>
          <w:color w:val="auto"/>
          <w:sz w:val="32"/>
          <w:szCs w:val="32"/>
        </w:rPr>
      </w:pPr>
      <w:bookmarkStart w:id="56" w:name="_Toc18140"/>
      <w:bookmarkStart w:id="57" w:name="_Toc15408"/>
      <w:r>
        <w:rPr>
          <w:rFonts w:hint="default" w:ascii="Times New Roman" w:hAnsi="Times New Roman" w:eastAsia="黑体" w:cs="Times New Roman"/>
          <w:b w:val="0"/>
          <w:bCs/>
          <w:color w:val="auto"/>
          <w:sz w:val="32"/>
          <w:szCs w:val="32"/>
        </w:rPr>
        <w:t>1.5 评价等级</w:t>
      </w:r>
      <w:bookmarkEnd w:id="53"/>
      <w:bookmarkEnd w:id="54"/>
      <w:bookmarkEnd w:id="55"/>
      <w:r>
        <w:rPr>
          <w:rFonts w:hint="default" w:ascii="Times New Roman" w:hAnsi="Times New Roman" w:eastAsia="黑体" w:cs="Times New Roman"/>
          <w:b w:val="0"/>
          <w:bCs/>
          <w:color w:val="auto"/>
          <w:sz w:val="32"/>
          <w:szCs w:val="32"/>
        </w:rPr>
        <w:t>和评价范围</w:t>
      </w:r>
      <w:bookmarkEnd w:id="56"/>
      <w:bookmarkEnd w:id="57"/>
    </w:p>
    <w:p>
      <w:pPr>
        <w:spacing w:line="360" w:lineRule="auto"/>
        <w:ind w:firstLine="0"/>
        <w:outlineLvl w:val="2"/>
        <w:rPr>
          <w:rFonts w:hint="default" w:ascii="Times New Roman" w:hAnsi="Times New Roman" w:eastAsia="黑体" w:cs="Times New Roman"/>
          <w:b w:val="0"/>
          <w:bCs/>
          <w:color w:val="auto"/>
          <w:sz w:val="30"/>
          <w:szCs w:val="30"/>
        </w:rPr>
      </w:pPr>
      <w:r>
        <w:rPr>
          <w:rFonts w:hint="default" w:ascii="Times New Roman" w:hAnsi="Times New Roman" w:eastAsia="黑体" w:cs="Times New Roman"/>
          <w:b w:val="0"/>
          <w:bCs/>
          <w:color w:val="auto"/>
          <w:sz w:val="30"/>
          <w:szCs w:val="30"/>
        </w:rPr>
        <w:t>1.5.1 地表水</w:t>
      </w:r>
    </w:p>
    <w:p>
      <w:pPr>
        <w:pStyle w:val="735"/>
        <w:numPr>
          <w:ilvl w:val="0"/>
          <w:numId w:val="0"/>
        </w:numPr>
        <w:adjustRightInd w:val="0"/>
        <w:snapToGrid w:val="0"/>
        <w:spacing w:before="0" w:beforeLines="0" w:line="360" w:lineRule="auto"/>
        <w:ind w:firstLine="0"/>
        <w:rPr>
          <w:rFonts w:hint="default" w:ascii="Times New Roman" w:hAnsi="Times New Roman" w:eastAsia="黑体" w:cs="Times New Roman"/>
          <w:b w:val="0"/>
          <w:bCs/>
          <w:color w:val="auto"/>
          <w:sz w:val="28"/>
          <w:szCs w:val="28"/>
        </w:rPr>
      </w:pPr>
      <w:r>
        <w:rPr>
          <w:rFonts w:hint="default" w:ascii="Times New Roman" w:hAnsi="Times New Roman" w:eastAsia="黑体" w:cs="Times New Roman"/>
          <w:b w:val="0"/>
          <w:bCs/>
          <w:color w:val="auto"/>
          <w:sz w:val="28"/>
          <w:szCs w:val="28"/>
        </w:rPr>
        <w:t>1.</w:t>
      </w:r>
      <w:r>
        <w:rPr>
          <w:rFonts w:hint="default" w:ascii="Times New Roman" w:hAnsi="Times New Roman" w:eastAsia="黑体" w:cs="Times New Roman"/>
          <w:b w:val="0"/>
          <w:bCs/>
          <w:color w:val="auto"/>
          <w:sz w:val="28"/>
          <w:szCs w:val="28"/>
          <w:lang w:val="en-US" w:eastAsia="zh-CN"/>
        </w:rPr>
        <w:t>5.1</w:t>
      </w:r>
      <w:r>
        <w:rPr>
          <w:rFonts w:hint="default" w:ascii="Times New Roman" w:hAnsi="Times New Roman" w:eastAsia="黑体" w:cs="Times New Roman"/>
          <w:b w:val="0"/>
          <w:bCs/>
          <w:color w:val="auto"/>
          <w:sz w:val="28"/>
          <w:szCs w:val="28"/>
        </w:rPr>
        <w:t>.1评价等级</w:t>
      </w:r>
    </w:p>
    <w:p>
      <w:pPr>
        <w:widowControl w:val="0"/>
        <w:spacing w:line="360" w:lineRule="auto"/>
        <w:ind w:firstLine="480"/>
        <w:jc w:val="both"/>
        <w:rPr>
          <w:rFonts w:hint="default" w:ascii="Times New Roman" w:hAnsi="Times New Roman" w:eastAsia="宋体" w:cs="Times New Roman"/>
          <w:color w:val="auto"/>
          <w:kern w:val="2"/>
          <w:sz w:val="24"/>
          <w:szCs w:val="24"/>
          <w:lang w:val="en-GB" w:eastAsia="zh-CN" w:bidi="ar-SA"/>
        </w:rPr>
      </w:pPr>
      <w:r>
        <w:rPr>
          <w:rFonts w:hint="default" w:ascii="Times New Roman" w:hAnsi="Times New Roman" w:eastAsia="宋体" w:cs="Times New Roman"/>
          <w:color w:val="auto"/>
          <w:kern w:val="2"/>
          <w:sz w:val="24"/>
          <w:szCs w:val="20"/>
          <w:lang w:val="en-US" w:eastAsia="zh-CN" w:bidi="ar-SA"/>
        </w:rPr>
        <w:t>本项目含银废水等经场内</w:t>
      </w:r>
      <w:r>
        <w:rPr>
          <w:rFonts w:hint="eastAsia" w:ascii="Times New Roman" w:hAnsi="Times New Roman" w:eastAsia="宋体" w:cs="Times New Roman"/>
          <w:color w:val="auto"/>
          <w:kern w:val="2"/>
          <w:sz w:val="24"/>
          <w:szCs w:val="20"/>
          <w:lang w:val="en-US" w:eastAsia="zh-CN" w:bidi="ar-SA"/>
        </w:rPr>
        <w:t>污水处理设施</w:t>
      </w:r>
      <w:r>
        <w:rPr>
          <w:rFonts w:hint="default" w:ascii="Times New Roman" w:hAnsi="Times New Roman" w:eastAsia="宋体" w:cs="Times New Roman"/>
          <w:color w:val="auto"/>
          <w:kern w:val="2"/>
          <w:sz w:val="24"/>
          <w:szCs w:val="20"/>
          <w:lang w:val="en-US" w:eastAsia="zh-CN" w:bidi="ar-SA"/>
        </w:rPr>
        <w:t>处理达标后回用，外排废水仅为</w:t>
      </w:r>
      <w:r>
        <w:rPr>
          <w:rFonts w:hint="eastAsia" w:ascii="Times New Roman" w:hAnsi="Times New Roman" w:eastAsia="宋体" w:cs="Times New Roman"/>
          <w:color w:val="auto"/>
          <w:kern w:val="2"/>
          <w:sz w:val="24"/>
          <w:szCs w:val="20"/>
          <w:lang w:val="en-US" w:eastAsia="zh-CN" w:bidi="ar-SA"/>
        </w:rPr>
        <w:t>去离子水站、</w:t>
      </w:r>
      <w:r>
        <w:rPr>
          <w:rFonts w:hint="default" w:ascii="Times New Roman" w:hAnsi="Times New Roman" w:eastAsia="宋体" w:cs="Times New Roman"/>
          <w:color w:val="auto"/>
          <w:kern w:val="2"/>
          <w:sz w:val="24"/>
          <w:szCs w:val="20"/>
          <w:lang w:val="en-US" w:eastAsia="zh-CN" w:bidi="ar-SA"/>
        </w:rPr>
        <w:t>循环水站</w:t>
      </w:r>
      <w:r>
        <w:rPr>
          <w:rFonts w:hint="eastAsia" w:ascii="Times New Roman" w:hAnsi="Times New Roman" w:eastAsia="宋体" w:cs="Times New Roman"/>
          <w:color w:val="auto"/>
          <w:kern w:val="2"/>
          <w:sz w:val="24"/>
          <w:szCs w:val="20"/>
          <w:lang w:val="en-US" w:eastAsia="zh-CN" w:bidi="ar-SA"/>
        </w:rPr>
        <w:t>间接冷却</w:t>
      </w:r>
      <w:r>
        <w:rPr>
          <w:rFonts w:hint="default" w:ascii="Times New Roman" w:hAnsi="Times New Roman" w:eastAsia="宋体" w:cs="Times New Roman"/>
          <w:color w:val="auto"/>
          <w:kern w:val="2"/>
          <w:sz w:val="24"/>
          <w:szCs w:val="20"/>
          <w:lang w:val="en-US" w:eastAsia="zh-CN" w:bidi="ar-SA"/>
        </w:rPr>
        <w:t>排水、</w:t>
      </w:r>
      <w:r>
        <w:rPr>
          <w:rFonts w:hint="eastAsia" w:ascii="Times New Roman" w:hAnsi="Times New Roman" w:eastAsia="宋体" w:cs="Times New Roman"/>
          <w:color w:val="auto"/>
          <w:kern w:val="2"/>
          <w:sz w:val="24"/>
          <w:szCs w:val="20"/>
          <w:lang w:val="en-US" w:eastAsia="zh-CN" w:bidi="ar-SA"/>
        </w:rPr>
        <w:t>初期雨水、生活污水</w:t>
      </w:r>
      <w:r>
        <w:rPr>
          <w:rFonts w:hint="default" w:ascii="Times New Roman" w:hAnsi="Times New Roman" w:eastAsia="宋体" w:cs="Times New Roman"/>
          <w:color w:val="auto"/>
          <w:kern w:val="2"/>
          <w:sz w:val="24"/>
          <w:szCs w:val="20"/>
          <w:lang w:val="en-US" w:eastAsia="zh-CN" w:bidi="ar-SA"/>
        </w:rPr>
        <w:t>，</w:t>
      </w:r>
      <w:r>
        <w:rPr>
          <w:rFonts w:hint="default" w:ascii="Times New Roman" w:hAnsi="Times New Roman" w:eastAsia="宋体" w:cs="Times New Roman"/>
          <w:color w:val="auto"/>
          <w:kern w:val="2"/>
          <w:sz w:val="24"/>
          <w:szCs w:val="24"/>
          <w:lang w:val="en-GB" w:eastAsia="zh-CN" w:bidi="ar-SA"/>
        </w:rPr>
        <w:t>排入</w:t>
      </w:r>
      <w:r>
        <w:rPr>
          <w:rFonts w:hint="eastAsia" w:ascii="Times New Roman" w:hAnsi="Times New Roman" w:eastAsia="宋体" w:cs="Times New Roman"/>
          <w:color w:val="auto"/>
          <w:kern w:val="2"/>
          <w:sz w:val="24"/>
          <w:szCs w:val="24"/>
          <w:lang w:val="en-US" w:eastAsia="zh-CN" w:bidi="ar-SA"/>
        </w:rPr>
        <w:t>江阴</w:t>
      </w:r>
      <w:r>
        <w:rPr>
          <w:rFonts w:hint="default" w:ascii="Times New Roman" w:hAnsi="Times New Roman" w:eastAsia="宋体" w:cs="Times New Roman"/>
          <w:color w:val="auto"/>
          <w:kern w:val="2"/>
          <w:sz w:val="24"/>
          <w:szCs w:val="24"/>
          <w:lang w:val="en-GB" w:eastAsia="zh-CN" w:bidi="ar-SA"/>
        </w:rPr>
        <w:t>污水处理厂进行处理，根据《环境影响评价技术导则  地表水环境》（HJ2.3-2018）</w:t>
      </w:r>
      <w:r>
        <w:rPr>
          <w:rFonts w:hint="default" w:ascii="Times New Roman" w:hAnsi="Times New Roman" w:eastAsia="宋体" w:cs="Times New Roman"/>
          <w:color w:val="auto"/>
          <w:kern w:val="2"/>
          <w:sz w:val="24"/>
          <w:szCs w:val="24"/>
          <w:lang w:val="en-US" w:eastAsia="zh-CN" w:bidi="ar-SA"/>
        </w:rPr>
        <w:t>中</w:t>
      </w:r>
      <w:r>
        <w:rPr>
          <w:rFonts w:hint="default" w:ascii="Times New Roman" w:hAnsi="Times New Roman" w:eastAsia="宋体" w:cs="Times New Roman"/>
          <w:color w:val="auto"/>
          <w:kern w:val="2"/>
          <w:sz w:val="24"/>
          <w:szCs w:val="24"/>
          <w:lang w:val="en-GB" w:eastAsia="zh-CN" w:bidi="ar-SA"/>
        </w:rPr>
        <w:t>“5.2.2.2间接排放建设项目评价等级为三级B”</w:t>
      </w:r>
      <w:r>
        <w:rPr>
          <w:rFonts w:hint="default" w:ascii="Times New Roman" w:hAnsi="Times New Roman" w:eastAsia="宋体" w:cs="Times New Roman"/>
          <w:color w:val="auto"/>
          <w:kern w:val="2"/>
          <w:sz w:val="24"/>
          <w:szCs w:val="24"/>
          <w:lang w:val="en-US" w:eastAsia="zh-CN" w:bidi="ar-SA"/>
        </w:rPr>
        <w:t>的规定</w:t>
      </w:r>
      <w:r>
        <w:rPr>
          <w:rFonts w:hint="default" w:ascii="Times New Roman" w:hAnsi="Times New Roman" w:eastAsia="宋体" w:cs="Times New Roman"/>
          <w:color w:val="auto"/>
          <w:kern w:val="2"/>
          <w:sz w:val="24"/>
          <w:szCs w:val="24"/>
          <w:lang w:val="en-GB" w:eastAsia="zh-CN" w:bidi="ar-SA"/>
        </w:rPr>
        <w:t>，确定项目地表水环境评价等级为三级B。</w:t>
      </w:r>
    </w:p>
    <w:p>
      <w:pPr>
        <w:pStyle w:val="735"/>
        <w:numPr>
          <w:ilvl w:val="0"/>
          <w:numId w:val="0"/>
        </w:numPr>
        <w:adjustRightInd w:val="0"/>
        <w:snapToGrid w:val="0"/>
        <w:spacing w:before="0" w:beforeLines="0" w:line="360" w:lineRule="auto"/>
        <w:ind w:firstLine="0"/>
        <w:rPr>
          <w:rFonts w:hint="default" w:ascii="Times New Roman" w:hAnsi="Times New Roman" w:eastAsia="黑体" w:cs="Times New Roman"/>
          <w:b w:val="0"/>
          <w:bCs/>
          <w:color w:val="auto"/>
          <w:sz w:val="28"/>
          <w:szCs w:val="28"/>
        </w:rPr>
      </w:pPr>
      <w:r>
        <w:rPr>
          <w:rFonts w:hint="default" w:ascii="Times New Roman" w:hAnsi="Times New Roman" w:eastAsia="黑体" w:cs="Times New Roman"/>
          <w:b w:val="0"/>
          <w:bCs/>
          <w:color w:val="auto"/>
          <w:sz w:val="28"/>
          <w:szCs w:val="28"/>
        </w:rPr>
        <w:t>1.</w:t>
      </w:r>
      <w:r>
        <w:rPr>
          <w:rFonts w:hint="default" w:ascii="Times New Roman" w:hAnsi="Times New Roman" w:eastAsia="黑体" w:cs="Times New Roman"/>
          <w:b w:val="0"/>
          <w:bCs/>
          <w:color w:val="auto"/>
          <w:sz w:val="28"/>
          <w:szCs w:val="28"/>
          <w:lang w:val="en-US" w:eastAsia="zh-CN"/>
        </w:rPr>
        <w:t>5.1.</w:t>
      </w:r>
      <w:r>
        <w:rPr>
          <w:rFonts w:hint="default" w:ascii="Times New Roman" w:hAnsi="Times New Roman" w:eastAsia="黑体" w:cs="Times New Roman"/>
          <w:b w:val="0"/>
          <w:bCs/>
          <w:color w:val="auto"/>
          <w:sz w:val="28"/>
          <w:szCs w:val="28"/>
        </w:rPr>
        <w:t>2评价范围</w:t>
      </w:r>
    </w:p>
    <w:p>
      <w:pPr>
        <w:spacing w:line="360" w:lineRule="auto"/>
        <w:ind w:firstLine="480"/>
        <w:jc w:val="both"/>
        <w:rPr>
          <w:rFonts w:hint="default" w:ascii="Times New Roman" w:hAnsi="Times New Roman" w:eastAsia="宋体" w:cs="Times New Roman"/>
          <w:color w:val="auto"/>
          <w:kern w:val="2"/>
          <w:sz w:val="24"/>
          <w:szCs w:val="22"/>
          <w:lang w:val="en-GB" w:eastAsia="zh-CN" w:bidi="ar-SA"/>
        </w:rPr>
      </w:pPr>
      <w:r>
        <w:rPr>
          <w:rFonts w:hint="default" w:ascii="Times New Roman" w:hAnsi="Times New Roman" w:eastAsia="宋体" w:cs="Times New Roman"/>
          <w:color w:val="auto"/>
          <w:kern w:val="2"/>
          <w:sz w:val="24"/>
          <w:szCs w:val="22"/>
          <w:lang w:val="en-GB" w:eastAsia="zh-CN" w:bidi="ar-SA"/>
        </w:rPr>
        <w:t>本项目地表水环境影响评价等级为三级B，主要对依托污水处理设施环境可行性</w:t>
      </w:r>
      <w:r>
        <w:rPr>
          <w:rFonts w:hint="default" w:ascii="Times New Roman" w:hAnsi="Times New Roman" w:eastAsia="宋体" w:cs="Times New Roman"/>
          <w:color w:val="auto"/>
          <w:kern w:val="2"/>
          <w:sz w:val="24"/>
          <w:szCs w:val="24"/>
          <w:lang w:val="en-GB" w:eastAsia="zh-CN" w:bidi="ar-SA"/>
        </w:rPr>
        <w:t>以及纳入</w:t>
      </w:r>
      <w:r>
        <w:rPr>
          <w:rFonts w:hint="default" w:ascii="Times New Roman" w:hAnsi="Times New Roman" w:eastAsia="宋体" w:cs="Times New Roman"/>
          <w:color w:val="auto"/>
          <w:kern w:val="2"/>
          <w:sz w:val="24"/>
          <w:szCs w:val="22"/>
          <w:lang w:val="en-GB" w:eastAsia="zh-CN" w:bidi="ar-SA"/>
        </w:rPr>
        <w:t>江阴污水处理厂</w:t>
      </w:r>
      <w:r>
        <w:rPr>
          <w:rFonts w:hint="default" w:ascii="Times New Roman" w:hAnsi="Times New Roman" w:eastAsia="宋体" w:cs="Times New Roman"/>
          <w:color w:val="auto"/>
          <w:kern w:val="2"/>
          <w:sz w:val="24"/>
          <w:szCs w:val="24"/>
          <w:lang w:val="en-GB" w:eastAsia="zh-CN" w:bidi="ar-SA"/>
        </w:rPr>
        <w:t>处理的可行性</w:t>
      </w:r>
      <w:r>
        <w:rPr>
          <w:rFonts w:hint="default" w:ascii="Times New Roman" w:hAnsi="Times New Roman" w:eastAsia="宋体" w:cs="Times New Roman"/>
          <w:color w:val="auto"/>
          <w:kern w:val="2"/>
          <w:sz w:val="24"/>
          <w:szCs w:val="22"/>
          <w:lang w:val="en-GB" w:eastAsia="zh-CN" w:bidi="ar-SA"/>
        </w:rPr>
        <w:t>进行分析。</w:t>
      </w:r>
    </w:p>
    <w:p>
      <w:pPr>
        <w:spacing w:line="360" w:lineRule="auto"/>
        <w:ind w:firstLine="0"/>
        <w:outlineLvl w:val="2"/>
        <w:rPr>
          <w:rFonts w:hint="default" w:ascii="Times New Roman" w:hAnsi="Times New Roman" w:eastAsia="黑体" w:cs="Times New Roman"/>
          <w:b w:val="0"/>
          <w:bCs/>
          <w:color w:val="auto"/>
          <w:sz w:val="30"/>
          <w:szCs w:val="30"/>
        </w:rPr>
      </w:pPr>
      <w:r>
        <w:rPr>
          <w:rFonts w:hint="default" w:ascii="Times New Roman" w:hAnsi="Times New Roman" w:eastAsia="黑体" w:cs="Times New Roman"/>
          <w:b w:val="0"/>
          <w:bCs/>
          <w:color w:val="auto"/>
          <w:sz w:val="30"/>
          <w:szCs w:val="30"/>
        </w:rPr>
        <w:t>1.5.2地下水环境</w:t>
      </w:r>
    </w:p>
    <w:p>
      <w:pPr>
        <w:pStyle w:val="735"/>
        <w:numPr>
          <w:ilvl w:val="0"/>
          <w:numId w:val="0"/>
        </w:numPr>
        <w:adjustRightInd w:val="0"/>
        <w:snapToGrid w:val="0"/>
        <w:spacing w:before="0" w:beforeLines="0" w:line="360" w:lineRule="auto"/>
        <w:ind w:firstLine="0"/>
        <w:rPr>
          <w:rFonts w:hint="default" w:ascii="Times New Roman" w:hAnsi="Times New Roman" w:eastAsia="黑体" w:cs="Times New Roman"/>
          <w:b w:val="0"/>
          <w:bCs/>
          <w:color w:val="auto"/>
          <w:sz w:val="28"/>
          <w:szCs w:val="28"/>
        </w:rPr>
      </w:pPr>
      <w:r>
        <w:rPr>
          <w:rFonts w:hint="default" w:ascii="Times New Roman" w:hAnsi="Times New Roman" w:eastAsia="黑体" w:cs="Times New Roman"/>
          <w:b w:val="0"/>
          <w:bCs/>
          <w:color w:val="auto"/>
          <w:sz w:val="28"/>
          <w:szCs w:val="28"/>
        </w:rPr>
        <w:t>1.</w:t>
      </w:r>
      <w:r>
        <w:rPr>
          <w:rFonts w:hint="default" w:ascii="Times New Roman" w:hAnsi="Times New Roman" w:eastAsia="黑体" w:cs="Times New Roman"/>
          <w:b w:val="0"/>
          <w:bCs/>
          <w:color w:val="auto"/>
          <w:sz w:val="28"/>
          <w:szCs w:val="28"/>
          <w:lang w:val="en-US" w:eastAsia="zh-CN"/>
        </w:rPr>
        <w:t>5.2.</w:t>
      </w:r>
      <w:r>
        <w:rPr>
          <w:rFonts w:hint="default" w:ascii="Times New Roman" w:hAnsi="Times New Roman" w:eastAsia="黑体" w:cs="Times New Roman"/>
          <w:b w:val="0"/>
          <w:bCs/>
          <w:color w:val="auto"/>
          <w:sz w:val="28"/>
          <w:szCs w:val="28"/>
        </w:rPr>
        <w:t>1评价等级</w:t>
      </w:r>
    </w:p>
    <w:p>
      <w:pPr>
        <w:spacing w:line="360" w:lineRule="auto"/>
        <w:ind w:firstLine="480"/>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lang w:val="en-GB"/>
        </w:rPr>
        <w:t>根据《环境影响评价技术导则 地下水环境》（HJ610-2016）附录A，本项目属于其中L石化、化工中的“85、</w:t>
      </w:r>
      <w:r>
        <w:rPr>
          <w:rFonts w:hint="default" w:ascii="Times New Roman" w:hAnsi="Times New Roman" w:eastAsia="宋体" w:cs="Times New Roman"/>
          <w:b/>
          <w:bCs/>
          <w:color w:val="auto"/>
          <w:sz w:val="24"/>
          <w:szCs w:val="24"/>
          <w:lang w:val="en-GB"/>
        </w:rPr>
        <w:t>基本化学原料制造</w:t>
      </w:r>
      <w:r>
        <w:rPr>
          <w:rFonts w:hint="default" w:ascii="Times New Roman" w:hAnsi="Times New Roman" w:eastAsia="宋体" w:cs="Times New Roman"/>
          <w:color w:val="auto"/>
          <w:sz w:val="24"/>
          <w:szCs w:val="24"/>
          <w:lang w:val="en-GB"/>
        </w:rPr>
        <w:t>”类，本项目位于福州江阴港城经济区，且项目厂区及周边无集中式饮用水水源准保护区，也不处于集中式饮用水水源准保护区的补给径流区范围内，地下水环境敏感程度为不敏感。建设项目地下水环境影响评价工作等级划分见下表。本项目地下水环境影响评价等级确定为二级。</w:t>
      </w:r>
    </w:p>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default" w:ascii="Times New Roman" w:hAnsi="Times New Roman" w:eastAsia="黑体" w:cs="Times New Roman"/>
          <w:b w:val="0"/>
          <w:bCs/>
          <w:color w:val="auto"/>
          <w:sz w:val="24"/>
          <w:szCs w:val="22"/>
        </w:rPr>
      </w:pPr>
      <w:r>
        <w:rPr>
          <w:rFonts w:hint="default" w:ascii="Times New Roman" w:hAnsi="Times New Roman" w:eastAsia="黑体" w:cs="Times New Roman"/>
          <w:b w:val="0"/>
          <w:bCs/>
          <w:color w:val="auto"/>
          <w:sz w:val="24"/>
          <w:szCs w:val="22"/>
        </w:rPr>
        <w:t>表1.5-1 地下水评价工作等级分级表</w:t>
      </w:r>
    </w:p>
    <w:tbl>
      <w:tblPr>
        <w:tblStyle w:val="90"/>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131"/>
        <w:gridCol w:w="2130"/>
        <w:gridCol w:w="2131"/>
        <w:gridCol w:w="213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131"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300" w:lineRule="exact"/>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        项目类别</w:t>
            </w:r>
          </w:p>
          <w:p>
            <w:pPr>
              <w:keepNext w:val="0"/>
              <w:keepLines w:val="0"/>
              <w:pageBreakBefore w:val="0"/>
              <w:widowControl w:val="0"/>
              <w:kinsoku/>
              <w:wordWrap/>
              <w:overflowPunct/>
              <w:topLinePunct w:val="0"/>
              <w:autoSpaceDE/>
              <w:autoSpaceDN/>
              <w:bidi w:val="0"/>
              <w:adjustRightInd/>
              <w:snapToGrid/>
              <w:spacing w:line="300" w:lineRule="exact"/>
              <w:ind w:firstLine="0"/>
              <w:jc w:val="both"/>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环境敏感</w:t>
            </w: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I类项目</w:t>
            </w:r>
          </w:p>
        </w:tc>
        <w:tc>
          <w:tcPr>
            <w:tcW w:w="21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Ⅱ类项目</w:t>
            </w: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Ⅲ类项目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1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敏感</w:t>
            </w: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w:t>
            </w:r>
          </w:p>
        </w:tc>
        <w:tc>
          <w:tcPr>
            <w:tcW w:w="21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w:t>
            </w: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1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较敏感</w:t>
            </w: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w:t>
            </w:r>
          </w:p>
        </w:tc>
        <w:tc>
          <w:tcPr>
            <w:tcW w:w="21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w:t>
            </w: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2131"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不敏感</w:t>
            </w:r>
          </w:p>
        </w:tc>
        <w:tc>
          <w:tcPr>
            <w:tcW w:w="2130" w:type="dxa"/>
            <w:tcBorders>
              <w:tl2br w:val="nil"/>
              <w:tr2bl w:val="nil"/>
            </w:tcBorders>
            <w:shd w:val="clear" w:color="auto" w:fill="BFBFBF"/>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w:t>
            </w:r>
          </w:p>
        </w:tc>
        <w:tc>
          <w:tcPr>
            <w:tcW w:w="21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w:t>
            </w: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w:t>
            </w:r>
          </w:p>
        </w:tc>
      </w:tr>
    </w:tbl>
    <w:p>
      <w:pPr>
        <w:pStyle w:val="735"/>
        <w:numPr>
          <w:ilvl w:val="0"/>
          <w:numId w:val="0"/>
        </w:numPr>
        <w:adjustRightInd w:val="0"/>
        <w:snapToGrid w:val="0"/>
        <w:spacing w:before="0" w:beforeLines="0" w:line="360" w:lineRule="auto"/>
        <w:ind w:firstLine="0"/>
        <w:rPr>
          <w:rFonts w:hint="default" w:ascii="Times New Roman" w:hAnsi="Times New Roman" w:eastAsia="黑体" w:cs="Times New Roman"/>
          <w:b w:val="0"/>
          <w:bCs/>
          <w:color w:val="auto"/>
          <w:sz w:val="28"/>
          <w:szCs w:val="28"/>
        </w:rPr>
      </w:pPr>
      <w:r>
        <w:rPr>
          <w:rFonts w:hint="default" w:ascii="Times New Roman" w:hAnsi="Times New Roman" w:eastAsia="黑体" w:cs="Times New Roman"/>
          <w:b w:val="0"/>
          <w:bCs/>
          <w:color w:val="auto"/>
          <w:sz w:val="28"/>
          <w:szCs w:val="28"/>
        </w:rPr>
        <w:t>1.</w:t>
      </w:r>
      <w:r>
        <w:rPr>
          <w:rFonts w:hint="default" w:ascii="Times New Roman" w:hAnsi="Times New Roman" w:eastAsia="黑体" w:cs="Times New Roman"/>
          <w:b w:val="0"/>
          <w:bCs/>
          <w:color w:val="auto"/>
          <w:sz w:val="28"/>
          <w:szCs w:val="28"/>
          <w:lang w:val="en-US" w:eastAsia="zh-CN"/>
        </w:rPr>
        <w:t>5.2.</w:t>
      </w:r>
      <w:r>
        <w:rPr>
          <w:rFonts w:hint="default" w:ascii="Times New Roman" w:hAnsi="Times New Roman" w:eastAsia="黑体" w:cs="Times New Roman"/>
          <w:b w:val="0"/>
          <w:bCs/>
          <w:color w:val="auto"/>
          <w:sz w:val="28"/>
          <w:szCs w:val="28"/>
        </w:rPr>
        <w:t>2评价范围</w:t>
      </w:r>
    </w:p>
    <w:p>
      <w:pPr>
        <w:spacing w:line="360" w:lineRule="auto"/>
        <w:ind w:firstLine="48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snapToGrid w:val="0"/>
          <w:color w:val="auto"/>
          <w:kern w:val="0"/>
          <w:sz w:val="24"/>
          <w:szCs w:val="24"/>
          <w:highlight w:val="none"/>
        </w:rPr>
        <w:t>评价范围：</w:t>
      </w:r>
      <w:r>
        <w:rPr>
          <w:rFonts w:hint="default" w:ascii="Times New Roman" w:hAnsi="Times New Roman" w:eastAsia="宋体" w:cs="Times New Roman"/>
          <w:snapToGrid w:val="0"/>
          <w:color w:val="auto"/>
          <w:kern w:val="0"/>
          <w:sz w:val="24"/>
          <w:szCs w:val="24"/>
          <w:highlight w:val="none"/>
          <w:lang w:val="en-US" w:eastAsia="zh-CN"/>
        </w:rPr>
        <w:t>本项目所在的水文地质单元</w:t>
      </w:r>
      <w:r>
        <w:rPr>
          <w:rFonts w:hint="default" w:ascii="Times New Roman" w:hAnsi="Times New Roman" w:eastAsia="宋体" w:cs="Times New Roman"/>
          <w:snapToGrid w:val="0"/>
          <w:color w:val="auto"/>
          <w:kern w:val="0"/>
          <w:sz w:val="24"/>
          <w:szCs w:val="24"/>
          <w:highlight w:val="none"/>
        </w:rPr>
        <w:t>。</w:t>
      </w:r>
    </w:p>
    <w:p>
      <w:pPr>
        <w:spacing w:line="360" w:lineRule="auto"/>
        <w:ind w:firstLine="0"/>
        <w:outlineLvl w:val="2"/>
        <w:rPr>
          <w:rFonts w:hint="default" w:ascii="Times New Roman" w:hAnsi="Times New Roman" w:eastAsia="黑体" w:cs="Times New Roman"/>
          <w:b w:val="0"/>
          <w:bCs/>
          <w:color w:val="auto"/>
          <w:sz w:val="30"/>
          <w:szCs w:val="30"/>
        </w:rPr>
      </w:pPr>
      <w:r>
        <w:rPr>
          <w:rFonts w:hint="default" w:ascii="Times New Roman" w:hAnsi="Times New Roman" w:eastAsia="黑体" w:cs="Times New Roman"/>
          <w:b w:val="0"/>
          <w:bCs/>
          <w:color w:val="auto"/>
          <w:sz w:val="30"/>
          <w:szCs w:val="30"/>
        </w:rPr>
        <w:t>1.5.3大气环境</w:t>
      </w:r>
    </w:p>
    <w:p>
      <w:pPr>
        <w:pStyle w:val="735"/>
        <w:numPr>
          <w:ilvl w:val="0"/>
          <w:numId w:val="0"/>
        </w:numPr>
        <w:adjustRightInd w:val="0"/>
        <w:snapToGrid w:val="0"/>
        <w:spacing w:before="0" w:beforeLines="0" w:line="360" w:lineRule="auto"/>
        <w:ind w:firstLine="0"/>
        <w:rPr>
          <w:rFonts w:hint="default" w:ascii="Times New Roman" w:hAnsi="Times New Roman" w:eastAsia="黑体" w:cs="Times New Roman"/>
          <w:b w:val="0"/>
          <w:bCs/>
          <w:color w:val="auto"/>
          <w:sz w:val="28"/>
          <w:szCs w:val="28"/>
        </w:rPr>
      </w:pPr>
      <w:bookmarkStart w:id="58" w:name="_Toc259278452"/>
      <w:bookmarkStart w:id="59" w:name="_Toc352680267"/>
      <w:bookmarkStart w:id="60" w:name="_Toc262786827"/>
      <w:bookmarkStart w:id="61" w:name="_Toc301857842"/>
      <w:bookmarkStart w:id="62" w:name="_Toc299457271"/>
      <w:r>
        <w:rPr>
          <w:rFonts w:hint="default" w:ascii="Times New Roman" w:hAnsi="Times New Roman" w:eastAsia="黑体" w:cs="Times New Roman"/>
          <w:b w:val="0"/>
          <w:bCs/>
          <w:color w:val="auto"/>
          <w:sz w:val="28"/>
          <w:szCs w:val="28"/>
          <w:lang w:val="en-US" w:eastAsia="zh-CN"/>
        </w:rPr>
        <w:t>1.5.3.1</w:t>
      </w:r>
      <w:r>
        <w:rPr>
          <w:rFonts w:hint="default" w:ascii="Times New Roman" w:hAnsi="Times New Roman" w:eastAsia="黑体" w:cs="Times New Roman"/>
          <w:b w:val="0"/>
          <w:bCs/>
          <w:color w:val="auto"/>
          <w:sz w:val="28"/>
          <w:szCs w:val="28"/>
        </w:rPr>
        <w:t xml:space="preserve">评价等级 </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本项目的大气污染物主要为氮氧化物</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bidi="ar"/>
        </w:rPr>
        <w:t>氨</w:t>
      </w:r>
      <w:r>
        <w:rPr>
          <w:rFonts w:hint="default" w:ascii="Times New Roman" w:hAnsi="Times New Roman" w:eastAsia="宋体" w:cs="Times New Roman"/>
          <w:color w:val="auto"/>
          <w:sz w:val="24"/>
          <w:szCs w:val="24"/>
          <w:lang w:eastAsia="zh-CN" w:bidi="ar"/>
        </w:rPr>
        <w:t>、</w:t>
      </w:r>
      <w:r>
        <w:rPr>
          <w:rFonts w:hint="default" w:ascii="Times New Roman" w:hAnsi="Times New Roman" w:eastAsia="宋体" w:cs="Times New Roman"/>
          <w:color w:val="auto"/>
          <w:sz w:val="24"/>
          <w:szCs w:val="24"/>
          <w:lang w:bidi="ar"/>
        </w:rPr>
        <w:t>甲醛</w:t>
      </w:r>
      <w:r>
        <w:rPr>
          <w:rFonts w:hint="default" w:ascii="Times New Roman" w:hAnsi="Times New Roman" w:eastAsia="宋体" w:cs="Times New Roman"/>
          <w:color w:val="auto"/>
          <w:sz w:val="24"/>
          <w:szCs w:val="24"/>
          <w:lang w:eastAsia="zh-CN" w:bidi="ar"/>
        </w:rPr>
        <w:t>、</w:t>
      </w:r>
      <w:r>
        <w:rPr>
          <w:rFonts w:hint="default" w:ascii="Times New Roman" w:hAnsi="Times New Roman" w:eastAsia="宋体" w:cs="Times New Roman"/>
          <w:color w:val="auto"/>
          <w:sz w:val="24"/>
          <w:szCs w:val="24"/>
          <w:lang w:bidi="ar"/>
        </w:rPr>
        <w:t>非甲烷总烃</w:t>
      </w:r>
      <w:r>
        <w:rPr>
          <w:rFonts w:hint="default" w:ascii="Times New Roman" w:hAnsi="Times New Roman" w:eastAsia="宋体" w:cs="Times New Roman"/>
          <w:color w:val="auto"/>
          <w:sz w:val="24"/>
          <w:szCs w:val="24"/>
          <w:lang w:eastAsia="zh-CN" w:bidi="ar"/>
        </w:rPr>
        <w:t>、</w:t>
      </w:r>
      <w:r>
        <w:rPr>
          <w:rFonts w:hint="default" w:ascii="Times New Roman" w:hAnsi="Times New Roman" w:eastAsia="宋体" w:cs="Times New Roman"/>
          <w:color w:val="auto"/>
          <w:sz w:val="24"/>
          <w:szCs w:val="24"/>
          <w:lang w:bidi="ar"/>
        </w:rPr>
        <w:t>颗粒物</w:t>
      </w:r>
      <w:r>
        <w:rPr>
          <w:rFonts w:hint="default" w:ascii="Times New Roman" w:hAnsi="Times New Roman" w:eastAsia="宋体" w:cs="Times New Roman"/>
          <w:color w:val="auto"/>
          <w:sz w:val="24"/>
          <w:szCs w:val="24"/>
        </w:rPr>
        <w:t xml:space="preserve">，本评价采用《环境影响评价技术导则—大气环境》(HJ2.2-2018)推荐的AERSCREEN模式对大气环境评价工作进行分级。 </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环境影响评价技术导则—大气环境》对拟建项目存在多个排气筒时，确定评价等级是这样规定的：“同一项目有多个（两个以上，含两个）污染源排放同一种污染物时，则按各污染源分别确定其评价等级，并取评价级别最高者作为项目的评价等级”。 </w:t>
      </w:r>
    </w:p>
    <w:p>
      <w:pPr>
        <w:spacing w:line="360" w:lineRule="auto"/>
        <w:ind w:firstLine="48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本次评价采用AERSCREEN估算模式进行计算，正常排放的大气污染物对环境的影响程度，其结果见表1</w:t>
      </w:r>
      <w:r>
        <w:rPr>
          <w:rFonts w:hint="default" w:ascii="Times New Roman" w:hAnsi="Times New Roman" w:eastAsia="宋体" w:cs="Times New Roman"/>
          <w:color w:val="auto"/>
          <w:sz w:val="24"/>
          <w:szCs w:val="24"/>
          <w:lang w:val="en-US" w:eastAsia="zh-CN"/>
        </w:rPr>
        <w:t>.5-4</w:t>
      </w:r>
      <w:r>
        <w:rPr>
          <w:rFonts w:hint="default" w:ascii="Times New Roman" w:hAnsi="Times New Roman" w:eastAsia="宋体" w:cs="Times New Roman"/>
          <w:color w:val="auto"/>
          <w:sz w:val="24"/>
          <w:szCs w:val="24"/>
          <w:lang w:eastAsia="zh-CN"/>
        </w:rPr>
        <w:t>。</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计算公式如下： 式中：Pi——第i 个污染物的最大地面浓度占标率，%； </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Ci——采用估算模式计算出的第i 个污染物的最大地面浓度，mg/m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 xml:space="preserve">； </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C0i——第i 个污染物的环境质量标准，mg/m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p>
    <w:p>
      <w:pPr>
        <w:spacing w:line="360" w:lineRule="auto"/>
        <w:ind w:firstLine="480"/>
        <w:jc w:val="center"/>
        <w:rPr>
          <w:rFonts w:hint="default" w:ascii="Times New Roman" w:hAnsi="Times New Roman" w:eastAsia="黑体" w:cs="Times New Roman"/>
          <w:b w:val="0"/>
          <w:bCs/>
          <w:color w:val="auto"/>
          <w:sz w:val="24"/>
          <w:szCs w:val="22"/>
        </w:rPr>
      </w:pPr>
      <w:r>
        <w:rPr>
          <w:rFonts w:hint="default" w:ascii="Times New Roman" w:hAnsi="Times New Roman" w:eastAsia="黑体" w:cs="Times New Roman"/>
          <w:b w:val="0"/>
          <w:bCs/>
          <w:color w:val="auto"/>
          <w:sz w:val="24"/>
          <w:szCs w:val="22"/>
        </w:rPr>
        <w:t>表 1.5-2 估算模型参数表</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71"/>
        <w:gridCol w:w="3702"/>
        <w:gridCol w:w="27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73" w:type="dxa"/>
            <w:gridSpan w:val="2"/>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参数</w:t>
            </w:r>
          </w:p>
        </w:tc>
        <w:tc>
          <w:tcPr>
            <w:tcW w:w="2789" w:type="dxa"/>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1" w:type="dxa"/>
            <w:vMerge w:val="restart"/>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城市/农村选项</w:t>
            </w:r>
          </w:p>
        </w:tc>
        <w:tc>
          <w:tcPr>
            <w:tcW w:w="3702" w:type="dxa"/>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城市/农村</w:t>
            </w:r>
          </w:p>
        </w:tc>
        <w:tc>
          <w:tcPr>
            <w:tcW w:w="2789" w:type="dxa"/>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vMerge w:val="continue"/>
            <w:tcBorders>
              <w:tl2br w:val="nil"/>
              <w:tr2bl w:val="nil"/>
            </w:tcBorders>
            <w:noWrap w:val="0"/>
            <w:tcMar>
              <w:left w:w="28" w:type="dxa"/>
              <w:right w:w="28" w:type="dxa"/>
            </w:tcMar>
          </w:tcPr>
          <w:p/>
        </w:tc>
        <w:tc>
          <w:tcPr>
            <w:tcW w:w="3702" w:type="dxa"/>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人口数（城市选项时）</w:t>
            </w:r>
          </w:p>
        </w:tc>
        <w:tc>
          <w:tcPr>
            <w:tcW w:w="2789" w:type="dxa"/>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136</w:t>
            </w:r>
            <w:r>
              <w:rPr>
                <w:rFonts w:hint="default" w:ascii="Times New Roman" w:hAnsi="Times New Roman" w:eastAsia="宋体" w:cs="Times New Roman"/>
                <w:color w:val="000000"/>
                <w:sz w:val="21"/>
                <w:szCs w:val="21"/>
              </w:rPr>
              <w:t>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73" w:type="dxa"/>
            <w:gridSpan w:val="2"/>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最高环境温度/℃</w:t>
            </w:r>
          </w:p>
        </w:tc>
        <w:tc>
          <w:tcPr>
            <w:tcW w:w="2789" w:type="dxa"/>
            <w:tcBorders>
              <w:tl2br w:val="nil"/>
              <w:tr2bl w:val="nil"/>
            </w:tcBorders>
            <w:noWrap w:val="0"/>
            <w:tcMar>
              <w:left w:w="28" w:type="dxa"/>
              <w:right w:w="28" w:type="dxa"/>
            </w:tcMar>
            <w:vAlign w:val="center"/>
          </w:tcPr>
          <w:p>
            <w:pPr>
              <w:widowControl/>
              <w:spacing w:line="280" w:lineRule="exact"/>
              <w:ind w:firstLine="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bCs/>
                <w:color w:val="000000"/>
                <w:sz w:val="21"/>
                <w:szCs w:val="24"/>
              </w:rPr>
              <w:t>38.4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73" w:type="dxa"/>
            <w:gridSpan w:val="2"/>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最低环境温度/℃</w:t>
            </w:r>
          </w:p>
        </w:tc>
        <w:tc>
          <w:tcPr>
            <w:tcW w:w="2789" w:type="dxa"/>
            <w:tcBorders>
              <w:tl2br w:val="nil"/>
              <w:tr2bl w:val="nil"/>
            </w:tcBorders>
            <w:noWrap w:val="0"/>
            <w:tcMar>
              <w:left w:w="28" w:type="dxa"/>
              <w:right w:w="28" w:type="dxa"/>
            </w:tcMar>
            <w:vAlign w:val="center"/>
          </w:tcPr>
          <w:p>
            <w:pPr>
              <w:widowControl/>
              <w:spacing w:line="280" w:lineRule="exact"/>
              <w:ind w:firstLine="0"/>
              <w:jc w:val="center"/>
              <w:rPr>
                <w:rFonts w:hint="default" w:ascii="Times New Roman" w:hAnsi="Times New Roman" w:eastAsia="宋体" w:cs="Times New Roman"/>
                <w:color w:val="000000"/>
                <w:sz w:val="21"/>
                <w:szCs w:val="21"/>
                <w:lang w:val="en-US"/>
              </w:rPr>
            </w:pPr>
            <w:r>
              <w:rPr>
                <w:rFonts w:hint="default" w:ascii="Times New Roman" w:hAnsi="Times New Roman" w:eastAsia="宋体" w:cs="Times New Roman"/>
                <w:bCs/>
                <w:color w:val="000000"/>
                <w:sz w:val="21"/>
                <w:szCs w:val="24"/>
              </w:rPr>
              <w:t>-0.7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73" w:type="dxa"/>
            <w:gridSpan w:val="2"/>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土地利用类型</w:t>
            </w:r>
          </w:p>
        </w:tc>
        <w:tc>
          <w:tcPr>
            <w:tcW w:w="2789" w:type="dxa"/>
            <w:tcBorders>
              <w:tl2br w:val="nil"/>
              <w:tr2bl w:val="nil"/>
            </w:tcBorders>
            <w:noWrap w:val="0"/>
            <w:tcMar>
              <w:left w:w="28" w:type="dxa"/>
              <w:right w:w="28" w:type="dxa"/>
            </w:tcMar>
            <w:vAlign w:val="center"/>
          </w:tcPr>
          <w:p>
            <w:pPr>
              <w:widowControl/>
              <w:spacing w:line="280" w:lineRule="exact"/>
              <w:ind w:firstLine="0"/>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bCs/>
                <w:color w:val="000000"/>
                <w:sz w:val="21"/>
                <w:szCs w:val="24"/>
              </w:rPr>
              <w:t>建设用地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73" w:type="dxa"/>
            <w:gridSpan w:val="2"/>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区域湿度条件</w:t>
            </w:r>
          </w:p>
        </w:tc>
        <w:tc>
          <w:tcPr>
            <w:tcW w:w="2789" w:type="dxa"/>
            <w:tcBorders>
              <w:tl2br w:val="nil"/>
              <w:tr2bl w:val="nil"/>
            </w:tcBorders>
            <w:noWrap w:val="0"/>
            <w:tcMar>
              <w:left w:w="28" w:type="dxa"/>
              <w:right w:w="28" w:type="dxa"/>
            </w:tcMar>
            <w:vAlign w:val="center"/>
          </w:tcPr>
          <w:p>
            <w:pPr>
              <w:widowControl/>
              <w:spacing w:line="280" w:lineRule="exact"/>
              <w:ind w:firstLine="0"/>
              <w:jc w:val="center"/>
              <w:rPr>
                <w:rFonts w:hint="default" w:ascii="Times New Roman" w:hAnsi="Times New Roman" w:eastAsia="宋体" w:cs="Times New Roman"/>
                <w:color w:val="000000"/>
                <w:sz w:val="21"/>
                <w:szCs w:val="21"/>
                <w:lang w:val="en-US"/>
              </w:rPr>
            </w:pPr>
            <w:r>
              <w:rPr>
                <w:rFonts w:hint="default" w:ascii="Times New Roman" w:hAnsi="Times New Roman" w:eastAsia="宋体" w:cs="Times New Roman"/>
                <w:bCs/>
                <w:color w:val="000000"/>
                <w:sz w:val="21"/>
                <w:szCs w:val="24"/>
              </w:rPr>
              <w:t>潮湿气候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1" w:type="dxa"/>
            <w:vMerge w:val="restart"/>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是否考虑地形</w:t>
            </w:r>
          </w:p>
        </w:tc>
        <w:tc>
          <w:tcPr>
            <w:tcW w:w="3702" w:type="dxa"/>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考虑地形</w:t>
            </w:r>
          </w:p>
        </w:tc>
        <w:tc>
          <w:tcPr>
            <w:tcW w:w="2789" w:type="dxa"/>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vMerge w:val="continue"/>
            <w:tcBorders>
              <w:tl2br w:val="nil"/>
              <w:tr2bl w:val="nil"/>
            </w:tcBorders>
            <w:noWrap w:val="0"/>
            <w:tcMar>
              <w:left w:w="28" w:type="dxa"/>
              <w:right w:w="28" w:type="dxa"/>
            </w:tcMar>
          </w:tcPr>
          <w:p/>
        </w:tc>
        <w:tc>
          <w:tcPr>
            <w:tcW w:w="3702" w:type="dxa"/>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地形数据分辨率/m</w:t>
            </w:r>
          </w:p>
        </w:tc>
        <w:tc>
          <w:tcPr>
            <w:tcW w:w="2789" w:type="dxa"/>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1" w:type="dxa"/>
            <w:vMerge w:val="restart"/>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是否考虑岸线熏烟</w:t>
            </w:r>
          </w:p>
        </w:tc>
        <w:tc>
          <w:tcPr>
            <w:tcW w:w="3702" w:type="dxa"/>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考虑岸线熏烟</w:t>
            </w:r>
          </w:p>
        </w:tc>
        <w:tc>
          <w:tcPr>
            <w:tcW w:w="2789" w:type="dxa"/>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vMerge w:val="continue"/>
            <w:tcBorders>
              <w:tl2br w:val="nil"/>
              <w:tr2bl w:val="nil"/>
            </w:tcBorders>
            <w:noWrap w:val="0"/>
            <w:tcMar>
              <w:left w:w="28" w:type="dxa"/>
              <w:right w:w="28" w:type="dxa"/>
            </w:tcMar>
          </w:tcPr>
          <w:p/>
        </w:tc>
        <w:tc>
          <w:tcPr>
            <w:tcW w:w="3702" w:type="dxa"/>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岸线距离/km</w:t>
            </w:r>
          </w:p>
        </w:tc>
        <w:tc>
          <w:tcPr>
            <w:tcW w:w="2789" w:type="dxa"/>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vMerge w:val="continue"/>
            <w:tcBorders>
              <w:tl2br w:val="nil"/>
              <w:tr2bl w:val="nil"/>
            </w:tcBorders>
            <w:noWrap w:val="0"/>
            <w:tcMar>
              <w:left w:w="28" w:type="dxa"/>
              <w:right w:w="28" w:type="dxa"/>
            </w:tcMar>
          </w:tcPr>
          <w:p/>
        </w:tc>
        <w:tc>
          <w:tcPr>
            <w:tcW w:w="3702" w:type="dxa"/>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岸线方向/°</w:t>
            </w:r>
          </w:p>
        </w:tc>
        <w:tc>
          <w:tcPr>
            <w:tcW w:w="2789" w:type="dxa"/>
            <w:tcBorders>
              <w:tl2br w:val="nil"/>
              <w:tr2bl w:val="nil"/>
            </w:tcBorders>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-9</w:t>
            </w:r>
          </w:p>
        </w:tc>
      </w:tr>
      <w:bookmarkEnd w:id="58"/>
      <w:bookmarkEnd w:id="59"/>
      <w:bookmarkEnd w:id="60"/>
      <w:bookmarkEnd w:id="61"/>
      <w:bookmarkEnd w:id="62"/>
    </w:tbl>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default" w:ascii="Times New Roman" w:hAnsi="Times New Roman" w:eastAsia="黑体" w:cs="Times New Roman"/>
          <w:b w:val="0"/>
          <w:bCs/>
          <w:color w:val="auto"/>
          <w:sz w:val="24"/>
          <w:szCs w:val="22"/>
        </w:rPr>
      </w:pPr>
      <w:bookmarkStart w:id="63" w:name="_Ref489626536"/>
      <w:r>
        <w:rPr>
          <w:rFonts w:hint="default" w:ascii="Times New Roman" w:hAnsi="Times New Roman" w:eastAsia="黑体" w:cs="Times New Roman"/>
          <w:b w:val="0"/>
          <w:bCs/>
          <w:color w:val="auto"/>
          <w:sz w:val="24"/>
          <w:szCs w:val="22"/>
        </w:rPr>
        <w:t>表1.5-3评价工作等级判据一览表</w:t>
      </w:r>
      <w:bookmarkEnd w:id="63"/>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41"/>
        <w:gridCol w:w="2412"/>
        <w:gridCol w:w="47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1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序号</w:t>
            </w:r>
          </w:p>
        </w:tc>
        <w:tc>
          <w:tcPr>
            <w:tcW w:w="241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评价工作等级</w:t>
            </w:r>
          </w:p>
        </w:tc>
        <w:tc>
          <w:tcPr>
            <w:tcW w:w="47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评价工作等级判据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1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1</w:t>
            </w:r>
          </w:p>
        </w:tc>
        <w:tc>
          <w:tcPr>
            <w:tcW w:w="241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一级</w:t>
            </w:r>
          </w:p>
        </w:tc>
        <w:tc>
          <w:tcPr>
            <w:tcW w:w="47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i/>
                <w:color w:val="auto"/>
                <w:kern w:val="0"/>
                <w:sz w:val="21"/>
                <w:szCs w:val="21"/>
              </w:rPr>
              <w:t>P</w:t>
            </w:r>
            <w:r>
              <w:rPr>
                <w:rFonts w:hint="default" w:ascii="Times New Roman" w:hAnsi="Times New Roman" w:eastAsia="宋体" w:cs="Times New Roman"/>
                <w:bCs/>
                <w:color w:val="auto"/>
                <w:kern w:val="0"/>
                <w:sz w:val="21"/>
                <w:szCs w:val="21"/>
                <w:vertAlign w:val="subscript"/>
              </w:rPr>
              <w:t>max</w:t>
            </w:r>
            <w:r>
              <w:rPr>
                <w:rFonts w:hint="default" w:ascii="Times New Roman" w:hAnsi="Times New Roman" w:eastAsia="宋体" w:cs="Times New Roman"/>
                <w:bCs/>
                <w:color w:val="auto"/>
                <w:kern w:val="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141" w:type="dxa"/>
            <w:tcBorders>
              <w:tl2br w:val="nil"/>
              <w:tr2bl w:val="nil"/>
            </w:tcBorders>
            <w:shd w:val="clear" w:color="auto" w:fill="CAEACE"/>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2</w:t>
            </w:r>
          </w:p>
        </w:tc>
        <w:tc>
          <w:tcPr>
            <w:tcW w:w="2412" w:type="dxa"/>
            <w:tcBorders>
              <w:tl2br w:val="nil"/>
              <w:tr2bl w:val="nil"/>
            </w:tcBorders>
            <w:shd w:val="clear" w:color="auto" w:fill="CAEACE"/>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二级</w:t>
            </w:r>
          </w:p>
        </w:tc>
        <w:tc>
          <w:tcPr>
            <w:tcW w:w="4753" w:type="dxa"/>
            <w:tcBorders>
              <w:tl2br w:val="nil"/>
              <w:tr2bl w:val="nil"/>
            </w:tcBorders>
            <w:shd w:val="clear" w:color="auto" w:fill="CAEACE"/>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1%≤</w:t>
            </w:r>
            <w:r>
              <w:rPr>
                <w:rFonts w:hint="default" w:ascii="Times New Roman" w:hAnsi="Times New Roman" w:eastAsia="宋体" w:cs="Times New Roman"/>
                <w:bCs/>
                <w:i/>
                <w:color w:val="auto"/>
                <w:kern w:val="0"/>
                <w:sz w:val="21"/>
                <w:szCs w:val="21"/>
              </w:rPr>
              <w:t>P</w:t>
            </w:r>
            <w:r>
              <w:rPr>
                <w:rFonts w:hint="default" w:ascii="Times New Roman" w:hAnsi="Times New Roman" w:eastAsia="宋体" w:cs="Times New Roman"/>
                <w:bCs/>
                <w:color w:val="auto"/>
                <w:kern w:val="0"/>
                <w:sz w:val="21"/>
                <w:szCs w:val="21"/>
                <w:vertAlign w:val="subscript"/>
              </w:rPr>
              <w:t>max</w:t>
            </w:r>
            <w:r>
              <w:rPr>
                <w:rFonts w:hint="default" w:ascii="Times New Roman" w:hAnsi="Times New Roman" w:eastAsia="宋体" w:cs="Times New Roman"/>
                <w:bCs/>
                <w:color w:val="auto"/>
                <w:kern w:val="0"/>
                <w:sz w:val="21"/>
                <w:szCs w:val="21"/>
              </w:rPr>
              <w:t>&lt;10%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141" w:type="dxa"/>
            <w:tcBorders>
              <w:tl2br w:val="nil"/>
              <w:tr2bl w:val="nil"/>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3</w:t>
            </w:r>
          </w:p>
        </w:tc>
        <w:tc>
          <w:tcPr>
            <w:tcW w:w="2412" w:type="dxa"/>
            <w:tcBorders>
              <w:tl2br w:val="nil"/>
              <w:tr2bl w:val="nil"/>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三级</w:t>
            </w:r>
          </w:p>
        </w:tc>
        <w:tc>
          <w:tcPr>
            <w:tcW w:w="4753" w:type="dxa"/>
            <w:tcBorders>
              <w:tl2br w:val="nil"/>
              <w:tr2bl w:val="nil"/>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i/>
                <w:color w:val="auto"/>
                <w:kern w:val="0"/>
                <w:sz w:val="21"/>
                <w:szCs w:val="21"/>
              </w:rPr>
              <w:t>P</w:t>
            </w:r>
            <w:r>
              <w:rPr>
                <w:rFonts w:hint="default" w:ascii="Times New Roman" w:hAnsi="Times New Roman" w:eastAsia="宋体" w:cs="Times New Roman"/>
                <w:bCs/>
                <w:color w:val="auto"/>
                <w:kern w:val="0"/>
                <w:sz w:val="21"/>
                <w:szCs w:val="21"/>
                <w:vertAlign w:val="subscript"/>
              </w:rPr>
              <w:t>max</w:t>
            </w:r>
            <w:r>
              <w:rPr>
                <w:rFonts w:hint="default" w:ascii="Times New Roman" w:hAnsi="Times New Roman" w:eastAsia="宋体" w:cs="Times New Roman"/>
                <w:bCs/>
                <w:color w:val="auto"/>
                <w:kern w:val="0"/>
                <w:sz w:val="21"/>
                <w:szCs w:val="21"/>
              </w:rPr>
              <w:t xml:space="preserve">&lt;1% </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default" w:ascii="Times New Roman" w:hAnsi="Times New Roman" w:eastAsia="黑体" w:cs="Times New Roman"/>
          <w:b w:val="0"/>
          <w:bCs/>
          <w:color w:val="auto"/>
          <w:sz w:val="24"/>
          <w:szCs w:val="22"/>
        </w:rPr>
      </w:pPr>
      <w:bookmarkStart w:id="64" w:name="_Ref502651945"/>
      <w:bookmarkStart w:id="65" w:name="_Ref491437996"/>
      <w:bookmarkStart w:id="66" w:name="_Ref533522770"/>
      <w:bookmarkStart w:id="67" w:name="_Ref489626541"/>
    </w:p>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default" w:ascii="Times New Roman" w:hAnsi="Times New Roman" w:eastAsia="黑体" w:cs="Times New Roman"/>
          <w:b w:val="0"/>
          <w:bCs/>
          <w:color w:val="auto"/>
          <w:sz w:val="24"/>
          <w:szCs w:val="22"/>
        </w:rPr>
      </w:pPr>
    </w:p>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default" w:ascii="Times New Roman" w:hAnsi="Times New Roman" w:eastAsia="黑体" w:cs="Times New Roman"/>
          <w:b w:val="0"/>
          <w:bCs/>
          <w:color w:val="auto"/>
          <w:sz w:val="24"/>
          <w:szCs w:val="22"/>
        </w:rPr>
      </w:pPr>
    </w:p>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default" w:ascii="Times New Roman" w:hAnsi="Times New Roman" w:eastAsia="黑体" w:cs="Times New Roman"/>
          <w:b w:val="0"/>
          <w:bCs/>
          <w:color w:val="auto"/>
          <w:sz w:val="24"/>
          <w:szCs w:val="22"/>
        </w:rPr>
      </w:pPr>
      <w:r>
        <w:rPr>
          <w:rFonts w:hint="default" w:ascii="Times New Roman" w:hAnsi="Times New Roman" w:eastAsia="黑体" w:cs="Times New Roman"/>
          <w:b w:val="0"/>
          <w:bCs/>
          <w:color w:val="auto"/>
          <w:sz w:val="24"/>
          <w:szCs w:val="22"/>
        </w:rPr>
        <w:t>表1.5-4主要污染源估算模型计算结果一览表</w:t>
      </w:r>
      <w:bookmarkEnd w:id="64"/>
      <w:bookmarkEnd w:id="65"/>
      <w:bookmarkEnd w:id="66"/>
      <w:bookmarkEnd w:id="67"/>
      <w:r>
        <w:rPr>
          <w:rFonts w:hint="default" w:ascii="Times New Roman" w:hAnsi="Times New Roman" w:eastAsia="黑体" w:cs="Times New Roman"/>
          <w:b w:val="0"/>
          <w:bCs/>
          <w:color w:val="auto"/>
          <w:sz w:val="24"/>
          <w:szCs w:val="22"/>
        </w:rPr>
        <w:t>（Pmax，单位：%）</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0"/>
        <w:gridCol w:w="766"/>
        <w:gridCol w:w="1847"/>
        <w:gridCol w:w="1067"/>
        <w:gridCol w:w="1066"/>
        <w:gridCol w:w="1061"/>
        <w:gridCol w:w="1066"/>
        <w:gridCol w:w="1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10" w:type="dxa"/>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i w:val="0"/>
                <w:color w:val="auto"/>
                <w:sz w:val="21"/>
                <w:szCs w:val="21"/>
                <w:u w:val="none" w:color="auto"/>
              </w:rPr>
            </w:pPr>
            <w:r>
              <w:rPr>
                <w:rFonts w:hint="default" w:ascii="Times New Roman" w:hAnsi="Times New Roman" w:eastAsia="宋体" w:cs="Times New Roman"/>
                <w:i w:val="0"/>
                <w:color w:val="auto"/>
                <w:kern w:val="0"/>
                <w:sz w:val="21"/>
                <w:szCs w:val="21"/>
                <w:u w:val="none" w:color="auto"/>
                <w:lang w:val="en-US" w:eastAsia="zh-CN" w:bidi="ar"/>
              </w:rPr>
              <w:t>序号</w:t>
            </w:r>
          </w:p>
        </w:tc>
        <w:tc>
          <w:tcPr>
            <w:tcW w:w="2613" w:type="dxa"/>
            <w:gridSpan w:val="2"/>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i w:val="0"/>
                <w:color w:val="auto"/>
                <w:sz w:val="21"/>
                <w:szCs w:val="21"/>
                <w:u w:val="none" w:color="auto"/>
              </w:rPr>
            </w:pPr>
            <w:r>
              <w:rPr>
                <w:rFonts w:hint="default" w:ascii="Times New Roman" w:hAnsi="Times New Roman" w:eastAsia="宋体" w:cs="Times New Roman"/>
                <w:i w:val="0"/>
                <w:color w:val="auto"/>
                <w:kern w:val="0"/>
                <w:sz w:val="21"/>
                <w:szCs w:val="21"/>
                <w:u w:val="none" w:color="auto"/>
                <w:lang w:val="en-US" w:eastAsia="zh-CN" w:bidi="ar"/>
              </w:rPr>
              <w:t>污染源名称</w:t>
            </w:r>
          </w:p>
        </w:tc>
        <w:tc>
          <w:tcPr>
            <w:tcW w:w="1067" w:type="dxa"/>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i w:val="0"/>
                <w:color w:val="auto"/>
                <w:sz w:val="21"/>
                <w:szCs w:val="21"/>
                <w:u w:val="none" w:color="auto"/>
              </w:rPr>
            </w:pPr>
            <w:r>
              <w:rPr>
                <w:rFonts w:hint="default" w:ascii="Times New Roman" w:hAnsi="Times New Roman" w:eastAsia="宋体" w:cs="Times New Roman"/>
                <w:i w:val="0"/>
                <w:color w:val="auto"/>
                <w:kern w:val="0"/>
                <w:sz w:val="21"/>
                <w:szCs w:val="21"/>
                <w:u w:val="none" w:color="auto"/>
                <w:lang w:val="en-US" w:eastAsia="zh-CN" w:bidi="ar"/>
              </w:rPr>
              <w:t>非甲烷总烃|D10(m)</w:t>
            </w:r>
          </w:p>
        </w:tc>
        <w:tc>
          <w:tcPr>
            <w:tcW w:w="1066" w:type="dxa"/>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i w:val="0"/>
                <w:color w:val="auto"/>
                <w:sz w:val="21"/>
                <w:szCs w:val="21"/>
                <w:u w:val="none" w:color="auto"/>
              </w:rPr>
            </w:pPr>
            <w:r>
              <w:rPr>
                <w:rFonts w:hint="default" w:ascii="Times New Roman" w:hAnsi="Times New Roman" w:eastAsia="宋体" w:cs="Times New Roman"/>
                <w:i w:val="0"/>
                <w:color w:val="auto"/>
                <w:kern w:val="0"/>
                <w:sz w:val="21"/>
                <w:szCs w:val="21"/>
                <w:u w:val="none" w:color="auto"/>
                <w:lang w:val="en-US" w:eastAsia="zh-CN" w:bidi="ar"/>
              </w:rPr>
              <w:t>甲醛|D10(m)</w:t>
            </w:r>
          </w:p>
        </w:tc>
        <w:tc>
          <w:tcPr>
            <w:tcW w:w="1061" w:type="dxa"/>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i w:val="0"/>
                <w:color w:val="auto"/>
                <w:kern w:val="0"/>
                <w:sz w:val="21"/>
                <w:szCs w:val="21"/>
                <w:u w:val="none" w:color="auto"/>
                <w:lang w:val="en-US" w:eastAsia="zh-CN" w:bidi="ar"/>
              </w:rPr>
            </w:pPr>
            <w:r>
              <w:rPr>
                <w:rFonts w:hint="default" w:ascii="Times New Roman" w:hAnsi="Times New Roman" w:eastAsia="宋体" w:cs="Times New Roman"/>
                <w:i w:val="0"/>
                <w:color w:val="auto"/>
                <w:kern w:val="0"/>
                <w:sz w:val="21"/>
                <w:szCs w:val="21"/>
                <w:u w:val="none" w:color="auto"/>
                <w:lang w:val="en-US" w:eastAsia="zh-CN" w:bidi="ar"/>
              </w:rPr>
              <w:t>氨|D10(m)</w:t>
            </w:r>
          </w:p>
        </w:tc>
        <w:tc>
          <w:tcPr>
            <w:tcW w:w="1066" w:type="dxa"/>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i w:val="0"/>
                <w:color w:val="auto"/>
                <w:kern w:val="0"/>
                <w:sz w:val="21"/>
                <w:szCs w:val="21"/>
                <w:u w:val="none" w:color="auto"/>
                <w:vertAlign w:val="subscript"/>
                <w:lang w:val="en-US" w:eastAsia="zh-CN" w:bidi="ar"/>
              </w:rPr>
            </w:pPr>
            <w:r>
              <w:rPr>
                <w:rFonts w:hint="default" w:ascii="Times New Roman" w:hAnsi="Times New Roman" w:eastAsia="宋体" w:cs="Times New Roman"/>
                <w:i w:val="0"/>
                <w:color w:val="auto"/>
                <w:kern w:val="0"/>
                <w:sz w:val="21"/>
                <w:szCs w:val="21"/>
                <w:u w:val="none" w:color="auto"/>
                <w:lang w:val="en-US" w:eastAsia="zh-CN" w:bidi="ar"/>
              </w:rPr>
              <w:t>PM</w:t>
            </w:r>
            <w:r>
              <w:rPr>
                <w:rFonts w:hint="default" w:ascii="Times New Roman" w:hAnsi="Times New Roman" w:eastAsia="宋体" w:cs="Times New Roman"/>
                <w:i w:val="0"/>
                <w:color w:val="auto"/>
                <w:kern w:val="0"/>
                <w:sz w:val="21"/>
                <w:szCs w:val="21"/>
                <w:u w:val="none" w:color="auto"/>
                <w:vertAlign w:val="subscript"/>
                <w:lang w:val="en-US" w:eastAsia="zh-CN" w:bidi="ar"/>
              </w:rPr>
              <w:t>10</w:t>
            </w:r>
          </w:p>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color w:val="auto"/>
                <w:sz w:val="21"/>
                <w:szCs w:val="22"/>
              </w:rPr>
            </w:pPr>
            <w:r>
              <w:rPr>
                <w:rFonts w:hint="default" w:ascii="Times New Roman" w:hAnsi="Times New Roman" w:eastAsia="宋体" w:cs="Times New Roman"/>
                <w:i w:val="0"/>
                <w:color w:val="auto"/>
                <w:kern w:val="0"/>
                <w:sz w:val="21"/>
                <w:szCs w:val="21"/>
                <w:u w:val="none" w:color="auto"/>
                <w:lang w:val="en-US" w:eastAsia="zh-CN" w:bidi="ar"/>
              </w:rPr>
              <w:t>|D10(m)</w:t>
            </w:r>
          </w:p>
        </w:tc>
        <w:tc>
          <w:tcPr>
            <w:tcW w:w="1066" w:type="dxa"/>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i w:val="0"/>
                <w:color w:val="auto"/>
                <w:kern w:val="0"/>
                <w:sz w:val="21"/>
                <w:szCs w:val="21"/>
                <w:u w:val="none" w:color="auto"/>
                <w:vertAlign w:val="subscript"/>
                <w:lang w:val="en-US" w:eastAsia="zh-CN" w:bidi="ar"/>
              </w:rPr>
            </w:pPr>
            <w:r>
              <w:rPr>
                <w:rFonts w:hint="default" w:ascii="Times New Roman" w:hAnsi="Times New Roman" w:eastAsia="宋体" w:cs="Times New Roman"/>
                <w:i w:val="0"/>
                <w:color w:val="auto"/>
                <w:kern w:val="0"/>
                <w:sz w:val="21"/>
                <w:szCs w:val="21"/>
                <w:u w:val="none" w:color="auto"/>
                <w:lang w:val="en-US" w:eastAsia="zh-CN" w:bidi="ar"/>
              </w:rPr>
              <w:t>NO</w:t>
            </w:r>
            <w:r>
              <w:rPr>
                <w:rFonts w:hint="default" w:ascii="Times New Roman" w:hAnsi="Times New Roman" w:eastAsia="宋体" w:cs="Times New Roman"/>
                <w:i w:val="0"/>
                <w:color w:val="auto"/>
                <w:kern w:val="0"/>
                <w:sz w:val="21"/>
                <w:szCs w:val="21"/>
                <w:u w:val="none" w:color="auto"/>
                <w:vertAlign w:val="subscript"/>
                <w:lang w:val="en-US" w:eastAsia="zh-CN" w:bidi="ar"/>
              </w:rPr>
              <w:t>2</w:t>
            </w:r>
          </w:p>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color w:val="auto"/>
                <w:sz w:val="21"/>
                <w:szCs w:val="22"/>
              </w:rPr>
            </w:pPr>
            <w:r>
              <w:rPr>
                <w:rFonts w:hint="default" w:ascii="Times New Roman" w:hAnsi="Times New Roman" w:eastAsia="宋体" w:cs="Times New Roman"/>
                <w:i w:val="0"/>
                <w:color w:val="auto"/>
                <w:kern w:val="0"/>
                <w:sz w:val="21"/>
                <w:szCs w:val="21"/>
                <w:u w:val="none" w:color="auto"/>
                <w:lang w:val="en-US" w:eastAsia="zh-CN" w:bidi="ar"/>
              </w:rPr>
              <w:t>|D10(m)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10" w:type="dxa"/>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i w:val="0"/>
                <w:color w:val="auto"/>
                <w:sz w:val="21"/>
                <w:szCs w:val="21"/>
                <w:u w:val="none" w:color="auto"/>
              </w:rPr>
            </w:pPr>
            <w:r>
              <w:rPr>
                <w:rFonts w:hint="default" w:ascii="Times New Roman" w:hAnsi="Times New Roman" w:eastAsia="宋体" w:cs="Times New Roman"/>
                <w:i w:val="0"/>
                <w:color w:val="auto"/>
                <w:kern w:val="0"/>
                <w:sz w:val="21"/>
                <w:szCs w:val="21"/>
                <w:u w:val="none" w:color="auto"/>
                <w:lang w:val="en-US" w:eastAsia="zh-CN" w:bidi="ar"/>
              </w:rPr>
              <w:t>1</w:t>
            </w:r>
          </w:p>
        </w:tc>
        <w:tc>
          <w:tcPr>
            <w:tcW w:w="766" w:type="dxa"/>
            <w:vMerge w:val="restart"/>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i w:val="0"/>
                <w:color w:val="auto"/>
                <w:sz w:val="21"/>
                <w:szCs w:val="21"/>
                <w:u w:val="none" w:color="auto"/>
                <w:lang w:val="en-US" w:eastAsia="zh-CN"/>
              </w:rPr>
            </w:pPr>
            <w:r>
              <w:rPr>
                <w:rFonts w:hint="default" w:ascii="Times New Roman" w:hAnsi="Times New Roman" w:eastAsia="宋体" w:cs="Times New Roman"/>
                <w:i w:val="0"/>
                <w:color w:val="auto"/>
                <w:sz w:val="21"/>
                <w:szCs w:val="21"/>
                <w:u w:val="none" w:color="auto"/>
                <w:lang w:val="en-US" w:eastAsia="zh-CN"/>
              </w:rPr>
              <w:t>有组织</w:t>
            </w:r>
          </w:p>
        </w:tc>
        <w:tc>
          <w:tcPr>
            <w:tcW w:w="1847" w:type="dxa"/>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i w:val="0"/>
                <w:color w:val="auto"/>
                <w:kern w:val="0"/>
                <w:sz w:val="21"/>
                <w:szCs w:val="21"/>
                <w:u w:val="none" w:color="auto"/>
                <w:lang w:val="en-US" w:eastAsia="zh-CN" w:bidi="ar"/>
              </w:rPr>
            </w:pPr>
            <w:r>
              <w:rPr>
                <w:rFonts w:hint="default" w:ascii="Times New Roman" w:hAnsi="Times New Roman" w:eastAsia="宋体" w:cs="Times New Roman"/>
                <w:i w:val="0"/>
                <w:color w:val="auto"/>
                <w:kern w:val="0"/>
                <w:sz w:val="21"/>
                <w:szCs w:val="21"/>
                <w:u w:val="none"/>
                <w:lang w:val="en-US" w:eastAsia="zh-CN" w:bidi="ar"/>
              </w:rPr>
              <w:t>DA001</w:t>
            </w:r>
          </w:p>
        </w:tc>
        <w:tc>
          <w:tcPr>
            <w:tcW w:w="1067"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w:t>
            </w:r>
          </w:p>
        </w:tc>
        <w:tc>
          <w:tcPr>
            <w:tcW w:w="1061"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10" w:type="dxa"/>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i w:val="0"/>
                <w:color w:val="auto"/>
                <w:kern w:val="0"/>
                <w:sz w:val="21"/>
                <w:szCs w:val="21"/>
                <w:u w:val="none" w:color="auto"/>
                <w:lang w:val="en-US" w:eastAsia="zh-CN" w:bidi="ar"/>
              </w:rPr>
            </w:pPr>
            <w:r>
              <w:rPr>
                <w:rFonts w:hint="default" w:ascii="Times New Roman" w:hAnsi="Times New Roman" w:eastAsia="宋体" w:cs="Times New Roman"/>
                <w:i w:val="0"/>
                <w:color w:val="auto"/>
                <w:kern w:val="0"/>
                <w:sz w:val="21"/>
                <w:szCs w:val="21"/>
                <w:u w:val="none" w:color="auto"/>
                <w:lang w:val="en-US" w:eastAsia="zh-CN" w:bidi="ar"/>
              </w:rPr>
              <w:t>2</w:t>
            </w:r>
          </w:p>
        </w:tc>
        <w:tc>
          <w:tcPr>
            <w:vMerge w:val="continue"/>
            <w:tcBorders>
              <w:tl2br w:val="nil"/>
              <w:tr2bl w:val="nil"/>
            </w:tcBorders>
            <w:noWrap w:val="0"/>
            <w:tcMar>
              <w:top w:w="15" w:type="dxa"/>
              <w:left w:w="15" w:type="dxa"/>
              <w:right w:w="15" w:type="dxa"/>
            </w:tcMar>
          </w:tcPr>
          <w:p/>
        </w:tc>
        <w:tc>
          <w:tcPr>
            <w:tcW w:w="1847" w:type="dxa"/>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DA002</w:t>
            </w:r>
          </w:p>
        </w:tc>
        <w:tc>
          <w:tcPr>
            <w:tcW w:w="1067"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0.72|0</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0.02|0</w:t>
            </w:r>
          </w:p>
        </w:tc>
        <w:tc>
          <w:tcPr>
            <w:tcW w:w="1061"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0.26|0</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0.02|0</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10" w:type="dxa"/>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i w:val="0"/>
                <w:color w:val="auto"/>
                <w:sz w:val="21"/>
                <w:szCs w:val="21"/>
                <w:u w:val="none" w:color="auto"/>
              </w:rPr>
            </w:pPr>
            <w:r>
              <w:rPr>
                <w:rFonts w:hint="eastAsia" w:ascii="Times New Roman" w:hAnsi="Times New Roman" w:eastAsia="宋体" w:cs="Times New Roman"/>
                <w:i w:val="0"/>
                <w:color w:val="auto"/>
                <w:kern w:val="0"/>
                <w:sz w:val="21"/>
                <w:szCs w:val="21"/>
                <w:u w:val="none" w:color="auto"/>
                <w:lang w:val="en-US" w:eastAsia="zh-CN" w:bidi="ar"/>
              </w:rPr>
              <w:t>3</w:t>
            </w:r>
          </w:p>
        </w:tc>
        <w:tc>
          <w:tcPr>
            <w:vMerge w:val="continue"/>
            <w:tcBorders>
              <w:tl2br w:val="nil"/>
              <w:tr2bl w:val="nil"/>
            </w:tcBorders>
            <w:noWrap w:val="0"/>
            <w:tcMar>
              <w:top w:w="15" w:type="dxa"/>
              <w:left w:w="15" w:type="dxa"/>
              <w:right w:w="15" w:type="dxa"/>
            </w:tcMar>
          </w:tcPr>
          <w:p/>
        </w:tc>
        <w:tc>
          <w:tcPr>
            <w:tcW w:w="1847" w:type="dxa"/>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i w:val="0"/>
                <w:color w:val="auto"/>
                <w:kern w:val="0"/>
                <w:sz w:val="21"/>
                <w:szCs w:val="21"/>
                <w:highlight w:val="none"/>
                <w:u w:val="none" w:color="auto"/>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DA003</w:t>
            </w:r>
          </w:p>
        </w:tc>
        <w:tc>
          <w:tcPr>
            <w:tcW w:w="1067"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0.01|0</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w:t>
            </w:r>
          </w:p>
        </w:tc>
        <w:tc>
          <w:tcPr>
            <w:tcW w:w="1061"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0.53|0</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10" w:type="dxa"/>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i w:val="0"/>
                <w:color w:val="auto"/>
                <w:kern w:val="0"/>
                <w:sz w:val="21"/>
                <w:szCs w:val="21"/>
                <w:u w:val="none" w:color="auto"/>
                <w:lang w:val="en-US" w:eastAsia="zh-CN" w:bidi="ar"/>
              </w:rPr>
            </w:pPr>
            <w:r>
              <w:rPr>
                <w:rFonts w:hint="eastAsia" w:ascii="Times New Roman" w:hAnsi="Times New Roman" w:eastAsia="宋体" w:cs="Times New Roman"/>
                <w:i w:val="0"/>
                <w:color w:val="auto"/>
                <w:kern w:val="0"/>
                <w:sz w:val="21"/>
                <w:szCs w:val="21"/>
                <w:u w:val="none" w:color="auto"/>
                <w:lang w:val="en-US" w:eastAsia="zh-CN" w:bidi="ar"/>
              </w:rPr>
              <w:t>4</w:t>
            </w:r>
          </w:p>
        </w:tc>
        <w:tc>
          <w:tcPr>
            <w:vMerge w:val="continue"/>
            <w:tcBorders>
              <w:tl2br w:val="nil"/>
              <w:tr2bl w:val="nil"/>
            </w:tcBorders>
            <w:noWrap w:val="0"/>
            <w:tcMar>
              <w:top w:w="15" w:type="dxa"/>
              <w:left w:w="15" w:type="dxa"/>
              <w:right w:w="15" w:type="dxa"/>
            </w:tcMar>
          </w:tcPr>
          <w:p/>
        </w:tc>
        <w:tc>
          <w:tcPr>
            <w:tcW w:w="1847" w:type="dxa"/>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DA00</w:t>
            </w:r>
            <w:r>
              <w:rPr>
                <w:rFonts w:hint="eastAsia" w:ascii="Times New Roman" w:hAnsi="Times New Roman" w:eastAsia="宋体" w:cs="Times New Roman"/>
                <w:i w:val="0"/>
                <w:color w:val="auto"/>
                <w:kern w:val="0"/>
                <w:sz w:val="21"/>
                <w:szCs w:val="21"/>
                <w:highlight w:val="none"/>
                <w:u w:val="none"/>
                <w:lang w:val="en-US" w:eastAsia="zh-CN" w:bidi="ar"/>
              </w:rPr>
              <w:t>4</w:t>
            </w:r>
          </w:p>
        </w:tc>
        <w:tc>
          <w:tcPr>
            <w:tcW w:w="1067"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w:t>
            </w:r>
          </w:p>
        </w:tc>
        <w:tc>
          <w:tcPr>
            <w:tcW w:w="1061"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0.04|0</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10" w:type="dxa"/>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i w:val="0"/>
                <w:color w:val="auto"/>
                <w:sz w:val="21"/>
                <w:szCs w:val="21"/>
                <w:u w:val="none" w:color="auto"/>
                <w:lang w:val="en-US" w:eastAsia="zh-CN"/>
              </w:rPr>
            </w:pPr>
            <w:r>
              <w:rPr>
                <w:rFonts w:hint="eastAsia" w:ascii="Times New Roman" w:hAnsi="Times New Roman" w:eastAsia="宋体" w:cs="Times New Roman"/>
                <w:i w:val="0"/>
                <w:color w:val="auto"/>
                <w:sz w:val="21"/>
                <w:szCs w:val="21"/>
                <w:u w:val="none" w:color="auto"/>
                <w:lang w:val="en-US" w:eastAsia="zh-CN"/>
              </w:rPr>
              <w:t>5</w:t>
            </w:r>
          </w:p>
        </w:tc>
        <w:tc>
          <w:tcPr>
            <w:tcW w:w="766" w:type="dxa"/>
            <w:vMerge w:val="restart"/>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i w:val="0"/>
                <w:color w:val="auto"/>
                <w:sz w:val="21"/>
                <w:szCs w:val="21"/>
                <w:u w:val="none" w:color="auto"/>
              </w:rPr>
            </w:pPr>
            <w:r>
              <w:rPr>
                <w:rFonts w:hint="default" w:ascii="Times New Roman" w:hAnsi="Times New Roman" w:eastAsia="宋体" w:cs="Times New Roman"/>
                <w:i w:val="0"/>
                <w:color w:val="auto"/>
                <w:kern w:val="0"/>
                <w:sz w:val="21"/>
                <w:szCs w:val="21"/>
                <w:u w:val="none" w:color="auto"/>
                <w:lang w:val="en-US" w:eastAsia="zh-CN" w:bidi="ar"/>
              </w:rPr>
              <w:t>无组织</w:t>
            </w:r>
          </w:p>
        </w:tc>
        <w:tc>
          <w:tcPr>
            <w:tcW w:w="1847" w:type="dxa"/>
            <w:tcBorders>
              <w:tl2br w:val="nil"/>
              <w:tr2bl w:val="nil"/>
            </w:tcBorders>
            <w:noWrap w:val="0"/>
            <w:tcMar>
              <w:top w:w="15" w:type="dxa"/>
              <w:left w:w="15" w:type="dxa"/>
              <w:right w:w="15" w:type="dxa"/>
            </w:tcMar>
            <w:vAlign w:val="center"/>
          </w:tcPr>
          <w:p>
            <w:pPr>
              <w:keepNext w:val="0"/>
              <w:keepLines w:val="0"/>
              <w:suppressLineNumbers w:val="0"/>
              <w:autoSpaceDE w:val="0"/>
              <w:autoSpaceDN w:val="0"/>
              <w:adjustRightInd w:val="0"/>
              <w:snapToGrid w:val="0"/>
              <w:spacing w:before="0" w:beforeAutospacing="0" w:after="0" w:afterAutospacing="0" w:line="240" w:lineRule="atLeast"/>
              <w:ind w:left="0" w:right="0" w:firstLine="0"/>
              <w:jc w:val="center"/>
              <w:textAlignment w:val="bottom"/>
              <w:rPr>
                <w:rFonts w:hint="default" w:ascii="Times New Roman" w:hAnsi="Times New Roman" w:eastAsia="宋体" w:cs="Times New Roman"/>
                <w:i w:val="0"/>
                <w:color w:val="auto"/>
                <w:kern w:val="0"/>
                <w:sz w:val="21"/>
                <w:szCs w:val="21"/>
                <w:u w:val="none" w:color="auto"/>
                <w:lang w:val="en-US" w:eastAsia="zh-CN" w:bidi="ar"/>
              </w:rPr>
            </w:pPr>
            <w:r>
              <w:rPr>
                <w:rFonts w:hint="default" w:ascii="Times New Roman" w:hAnsi="Times New Roman" w:eastAsia="宋体" w:cs="Times New Roman"/>
                <w:color w:val="auto"/>
                <w:sz w:val="21"/>
                <w:szCs w:val="21"/>
                <w:highlight w:val="none"/>
                <w:u w:val="none" w:color="auto"/>
                <w:lang w:val="en-US" w:eastAsia="zh-CN"/>
              </w:rPr>
              <w:t>车间二</w:t>
            </w:r>
          </w:p>
        </w:tc>
        <w:tc>
          <w:tcPr>
            <w:tcW w:w="1067"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0.03|0</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0.05|0</w:t>
            </w:r>
          </w:p>
        </w:tc>
        <w:tc>
          <w:tcPr>
            <w:tcW w:w="1061"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0.50|0</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0.50|0</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3.78|0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10" w:type="dxa"/>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i w:val="0"/>
                <w:color w:val="auto"/>
                <w:sz w:val="21"/>
                <w:szCs w:val="21"/>
                <w:u w:val="none" w:color="auto"/>
                <w:lang w:val="en-US" w:eastAsia="zh-CN"/>
              </w:rPr>
            </w:pPr>
            <w:r>
              <w:rPr>
                <w:rFonts w:hint="eastAsia" w:ascii="Times New Roman" w:hAnsi="Times New Roman" w:eastAsia="宋体" w:cs="Times New Roman"/>
                <w:i w:val="0"/>
                <w:color w:val="auto"/>
                <w:sz w:val="21"/>
                <w:szCs w:val="21"/>
                <w:u w:val="none" w:color="auto"/>
                <w:lang w:val="en-US" w:eastAsia="zh-CN"/>
              </w:rPr>
              <w:t>6</w:t>
            </w:r>
          </w:p>
        </w:tc>
        <w:tc>
          <w:tcPr>
            <w:vMerge w:val="continue"/>
            <w:tcBorders>
              <w:tl2br w:val="nil"/>
              <w:tr2bl w:val="nil"/>
            </w:tcBorders>
            <w:noWrap w:val="0"/>
            <w:tcMar>
              <w:top w:w="15" w:type="dxa"/>
              <w:left w:w="15" w:type="dxa"/>
              <w:right w:w="15" w:type="dxa"/>
            </w:tcMar>
          </w:tcPr>
          <w:p/>
        </w:tc>
        <w:tc>
          <w:tcPr>
            <w:tcW w:w="1847" w:type="dxa"/>
            <w:tcBorders>
              <w:tl2br w:val="nil"/>
              <w:tr2bl w:val="nil"/>
            </w:tcBorders>
            <w:noWrap w:val="0"/>
            <w:tcMar>
              <w:top w:w="15" w:type="dxa"/>
              <w:left w:w="15" w:type="dxa"/>
              <w:right w:w="15" w:type="dxa"/>
            </w:tcMar>
            <w:vAlign w:val="center"/>
          </w:tcPr>
          <w:p>
            <w:pPr>
              <w:keepNext w:val="0"/>
              <w:keepLines w:val="0"/>
              <w:suppressLineNumbers w:val="0"/>
              <w:autoSpaceDE w:val="0"/>
              <w:autoSpaceDN w:val="0"/>
              <w:adjustRightInd w:val="0"/>
              <w:snapToGrid w:val="0"/>
              <w:spacing w:before="0" w:beforeAutospacing="0" w:after="0" w:afterAutospacing="0" w:line="240" w:lineRule="atLeast"/>
              <w:ind w:left="0" w:right="0" w:firstLine="0"/>
              <w:jc w:val="center"/>
              <w:textAlignment w:val="bottom"/>
              <w:rPr>
                <w:rFonts w:hint="default" w:ascii="Times New Roman" w:hAnsi="Times New Roman" w:eastAsia="宋体" w:cs="Times New Roman"/>
                <w:i w:val="0"/>
                <w:color w:val="auto"/>
                <w:kern w:val="0"/>
                <w:sz w:val="21"/>
                <w:szCs w:val="21"/>
                <w:highlight w:val="none"/>
                <w:u w:val="none" w:color="auto"/>
                <w:lang w:val="en-US" w:eastAsia="zh-CN" w:bidi="ar"/>
              </w:rPr>
            </w:pPr>
            <w:r>
              <w:rPr>
                <w:rFonts w:hint="default" w:ascii="Times New Roman" w:hAnsi="Times New Roman" w:eastAsia="宋体" w:cs="Times New Roman"/>
                <w:color w:val="auto"/>
                <w:sz w:val="21"/>
                <w:szCs w:val="21"/>
                <w:highlight w:val="none"/>
                <w:u w:val="none" w:color="auto"/>
                <w:lang w:val="en-US" w:eastAsia="zh-CN"/>
              </w:rPr>
              <w:t>污水站</w:t>
            </w:r>
          </w:p>
        </w:tc>
        <w:tc>
          <w:tcPr>
            <w:tcW w:w="1067"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0.57|0</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w:t>
            </w:r>
          </w:p>
        </w:tc>
        <w:tc>
          <w:tcPr>
            <w:tcW w:w="1061"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42.03|50</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10" w:type="dxa"/>
            <w:tcBorders>
              <w:tl2br w:val="nil"/>
              <w:tr2bl w:val="nil"/>
            </w:tcBorders>
            <w:noWrap w:val="0"/>
            <w:tcMar>
              <w:top w:w="15" w:type="dxa"/>
              <w:left w:w="15" w:type="dxa"/>
              <w:right w:w="15" w:type="dxa"/>
            </w:tcMar>
            <w:vAlign w:val="center"/>
          </w:tcPr>
          <w:p>
            <w:pPr>
              <w:keepNext w:val="0"/>
              <w:keepLines w:val="0"/>
              <w:suppressLineNumbers w:val="0"/>
              <w:spacing w:before="0" w:beforeAutospacing="0" w:after="0" w:afterAutospacing="0" w:line="240" w:lineRule="auto"/>
              <w:ind w:left="0" w:right="0" w:firstLine="0"/>
              <w:jc w:val="center"/>
              <w:rPr>
                <w:rFonts w:hint="eastAsia" w:ascii="Times New Roman" w:hAnsi="Times New Roman" w:eastAsia="宋体" w:cs="Times New Roman"/>
                <w:i w:val="0"/>
                <w:color w:val="auto"/>
                <w:sz w:val="21"/>
                <w:szCs w:val="21"/>
                <w:u w:val="none" w:color="auto"/>
                <w:lang w:val="en-US" w:eastAsia="zh-CN"/>
              </w:rPr>
            </w:pPr>
            <w:r>
              <w:rPr>
                <w:rFonts w:hint="eastAsia" w:ascii="Times New Roman" w:hAnsi="Times New Roman" w:eastAsia="宋体" w:cs="Times New Roman"/>
                <w:i w:val="0"/>
                <w:color w:val="auto"/>
                <w:sz w:val="21"/>
                <w:szCs w:val="21"/>
                <w:u w:val="none" w:color="auto"/>
                <w:lang w:val="en-US" w:eastAsia="zh-CN"/>
              </w:rPr>
              <w:t>7</w:t>
            </w:r>
          </w:p>
        </w:tc>
        <w:tc>
          <w:tcPr>
            <w:tcW w:w="2613" w:type="dxa"/>
            <w:gridSpan w:val="2"/>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jc w:val="center"/>
              <w:textAlignment w:val="center"/>
              <w:rPr>
                <w:rFonts w:hint="default" w:ascii="Times New Roman" w:hAnsi="Times New Roman" w:eastAsia="宋体" w:cs="Times New Roman"/>
                <w:i w:val="0"/>
                <w:color w:val="auto"/>
                <w:sz w:val="21"/>
                <w:szCs w:val="21"/>
                <w:highlight w:val="none"/>
                <w:u w:val="none" w:color="auto"/>
              </w:rPr>
            </w:pPr>
            <w:r>
              <w:rPr>
                <w:rFonts w:hint="default" w:ascii="Times New Roman" w:hAnsi="Times New Roman" w:eastAsia="宋体" w:cs="Times New Roman"/>
                <w:i w:val="0"/>
                <w:color w:val="auto"/>
                <w:kern w:val="0"/>
                <w:sz w:val="21"/>
                <w:szCs w:val="21"/>
                <w:highlight w:val="none"/>
                <w:u w:val="none" w:color="auto"/>
                <w:lang w:val="en-US" w:eastAsia="zh-CN" w:bidi="ar"/>
              </w:rPr>
              <w:t>各源最大值</w:t>
            </w:r>
          </w:p>
        </w:tc>
        <w:tc>
          <w:tcPr>
            <w:tcW w:w="1067"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0.72</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0.05</w:t>
            </w:r>
          </w:p>
        </w:tc>
        <w:tc>
          <w:tcPr>
            <w:tcW w:w="1061"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42.03</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w:t>
            </w:r>
          </w:p>
        </w:tc>
        <w:tc>
          <w:tcPr>
            <w:tcW w:w="1066" w:type="dxa"/>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6.19</w:t>
            </w:r>
          </w:p>
        </w:tc>
      </w:tr>
    </w:tbl>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根据《环境影响评价技术导则—大气环境》（HJ2.2-2018），项目环境评价工作等级判定依据见</w:t>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REF _Ref489626536 \r \h  \* MERGEFORMAT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表</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lang w:val="en-US" w:eastAsia="zh-CN"/>
        </w:rPr>
        <w:t>.5-3</w:t>
      </w:r>
      <w:r>
        <w:rPr>
          <w:rFonts w:hint="default" w:ascii="Times New Roman" w:hAnsi="Times New Roman" w:eastAsia="宋体" w:cs="Times New Roman"/>
          <w:color w:val="auto"/>
          <w:sz w:val="24"/>
          <w:szCs w:val="24"/>
        </w:rPr>
        <w:t>，估算结果见</w:t>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REF _Ref533522770 \r \h  \* MERGEFORMAT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表</w:t>
      </w:r>
      <w:r>
        <w:rPr>
          <w:rFonts w:hint="default" w:ascii="Times New Roman" w:hAnsi="Times New Roman" w:eastAsia="宋体" w:cs="Times New Roman"/>
          <w:color w:val="auto"/>
          <w:sz w:val="24"/>
          <w:szCs w:val="24"/>
          <w:lang w:val="en-US" w:eastAsia="zh-CN"/>
        </w:rPr>
        <w:t>1.5-4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lang w:val="en-US" w:eastAsia="zh-CN"/>
        </w:rPr>
        <w:t>，由</w:t>
      </w:r>
      <w:r>
        <w:rPr>
          <w:rFonts w:hint="default" w:ascii="Times New Roman" w:hAnsi="Times New Roman" w:eastAsia="宋体" w:cs="Times New Roman"/>
          <w:color w:val="auto"/>
          <w:sz w:val="24"/>
          <w:szCs w:val="24"/>
        </w:rPr>
        <w:t>计算结果可知，</w:t>
      </w:r>
      <w:r>
        <w:rPr>
          <w:rFonts w:hint="default" w:ascii="Times New Roman" w:hAnsi="Times New Roman" w:eastAsia="宋体" w:cs="Times New Roman"/>
          <w:color w:val="auto"/>
          <w:sz w:val="24"/>
          <w:szCs w:val="24"/>
          <w:lang w:val="en-US" w:eastAsia="zh-CN"/>
        </w:rPr>
        <w:t>污水站无组织排放</w:t>
      </w:r>
      <w:r>
        <w:rPr>
          <w:rFonts w:hint="default" w:ascii="Times New Roman" w:hAnsi="Times New Roman" w:eastAsia="宋体" w:cs="Times New Roman"/>
          <w:color w:val="auto"/>
          <w:sz w:val="24"/>
          <w:szCs w:val="24"/>
        </w:rPr>
        <w:t>的</w:t>
      </w:r>
      <w:r>
        <w:rPr>
          <w:rFonts w:hint="default" w:ascii="Times New Roman" w:hAnsi="Times New Roman" w:eastAsia="宋体" w:cs="Times New Roman"/>
          <w:color w:val="auto"/>
          <w:sz w:val="24"/>
          <w:szCs w:val="24"/>
          <w:lang w:val="en-US" w:eastAsia="zh-CN"/>
        </w:rPr>
        <w:t>氨</w:t>
      </w:r>
      <w:r>
        <w:rPr>
          <w:rFonts w:hint="default" w:ascii="Times New Roman" w:hAnsi="Times New Roman" w:eastAsia="宋体" w:cs="Times New Roman"/>
          <w:color w:val="auto"/>
          <w:sz w:val="24"/>
          <w:szCs w:val="24"/>
        </w:rPr>
        <w:t>Pmax</w:t>
      </w:r>
      <w:r>
        <w:rPr>
          <w:rFonts w:hint="default" w:ascii="Times New Roman" w:hAnsi="Times New Roman" w:eastAsia="宋体" w:cs="Times New Roman"/>
          <w:color w:val="auto"/>
          <w:sz w:val="24"/>
          <w:szCs w:val="24"/>
          <w:lang w:val="en-US" w:eastAsia="zh-CN"/>
        </w:rPr>
        <w:t>42</w:t>
      </w:r>
      <w:r>
        <w:rPr>
          <w:rFonts w:hint="eastAsia" w:ascii="Times New Roman" w:hAnsi="Times New Roman" w:eastAsia="宋体" w:cs="Times New Roman"/>
          <w:color w:val="auto"/>
          <w:sz w:val="24"/>
          <w:szCs w:val="24"/>
          <w:lang w:val="en-US" w:eastAsia="zh-CN"/>
        </w:rPr>
        <w:t>.03</w:t>
      </w:r>
      <w:r>
        <w:rPr>
          <w:rFonts w:hint="default" w:ascii="Times New Roman" w:hAnsi="Times New Roman" w:eastAsia="宋体" w:cs="Times New Roman"/>
          <w:color w:val="auto"/>
          <w:sz w:val="24"/>
          <w:szCs w:val="24"/>
        </w:rPr>
        <w:t>%为最大，评价等级为一级。</w:t>
      </w:r>
    </w:p>
    <w:p>
      <w:pPr>
        <w:pStyle w:val="735"/>
        <w:numPr>
          <w:ilvl w:val="0"/>
          <w:numId w:val="0"/>
        </w:numPr>
        <w:adjustRightInd w:val="0"/>
        <w:snapToGrid w:val="0"/>
        <w:spacing w:before="0" w:beforeLines="0" w:line="360" w:lineRule="auto"/>
        <w:ind w:firstLine="0"/>
        <w:rPr>
          <w:rFonts w:hint="default" w:ascii="Times New Roman" w:hAnsi="Times New Roman" w:eastAsia="黑体" w:cs="Times New Roman"/>
          <w:b w:val="0"/>
          <w:bCs/>
          <w:color w:val="auto"/>
          <w:sz w:val="28"/>
          <w:szCs w:val="28"/>
          <w:lang w:eastAsia="zh-CN"/>
        </w:rPr>
      </w:pPr>
      <w:r>
        <w:rPr>
          <w:rFonts w:hint="default" w:ascii="Times New Roman" w:hAnsi="Times New Roman" w:eastAsia="黑体" w:cs="Times New Roman"/>
          <w:b w:val="0"/>
          <w:bCs/>
          <w:color w:val="auto"/>
          <w:sz w:val="28"/>
          <w:szCs w:val="28"/>
          <w:lang w:val="en-US" w:eastAsia="zh-CN"/>
        </w:rPr>
        <w:t>1.5.3.2</w:t>
      </w:r>
      <w:r>
        <w:rPr>
          <w:rFonts w:hint="default" w:ascii="Times New Roman" w:hAnsi="Times New Roman" w:eastAsia="黑体" w:cs="Times New Roman"/>
          <w:b w:val="0"/>
          <w:bCs/>
          <w:color w:val="auto"/>
          <w:sz w:val="28"/>
          <w:szCs w:val="28"/>
        </w:rPr>
        <w:t>评价</w:t>
      </w:r>
      <w:r>
        <w:rPr>
          <w:rFonts w:hint="default" w:ascii="Times New Roman" w:hAnsi="Times New Roman" w:eastAsia="黑体" w:cs="Times New Roman"/>
          <w:b w:val="0"/>
          <w:bCs/>
          <w:color w:val="auto"/>
          <w:sz w:val="28"/>
          <w:szCs w:val="28"/>
          <w:lang w:val="en-US" w:eastAsia="zh-CN"/>
        </w:rPr>
        <w:t>范围</w:t>
      </w:r>
    </w:p>
    <w:p>
      <w:pPr>
        <w:spacing w:line="360" w:lineRule="auto"/>
        <w:ind w:firstLine="480"/>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rPr>
        <w:t>由于项目D10%小于2.5km，大气评价范围为自</w:t>
      </w:r>
      <w:r>
        <w:rPr>
          <w:rFonts w:hint="default" w:ascii="Times New Roman" w:hAnsi="Times New Roman" w:eastAsia="宋体" w:cs="Times New Roman"/>
          <w:color w:val="auto"/>
          <w:sz w:val="24"/>
          <w:szCs w:val="24"/>
          <w:lang w:val="zh-CN"/>
        </w:rPr>
        <w:t>项目厂界外</w:t>
      </w:r>
      <w:r>
        <w:rPr>
          <w:rFonts w:hint="default" w:ascii="Times New Roman" w:hAnsi="Times New Roman" w:eastAsia="宋体" w:cs="Times New Roman"/>
          <w:color w:val="auto"/>
          <w:sz w:val="24"/>
          <w:szCs w:val="24"/>
        </w:rPr>
        <w:t>5</w:t>
      </w:r>
      <w:r>
        <w:rPr>
          <w:rFonts w:hint="default" w:ascii="Times New Roman" w:hAnsi="Times New Roman" w:eastAsia="宋体" w:cs="Times New Roman"/>
          <w:color w:val="auto"/>
          <w:sz w:val="24"/>
          <w:szCs w:val="24"/>
          <w:lang w:val="zh-CN"/>
        </w:rPr>
        <w:t>km范围矩形区域</w:t>
      </w:r>
      <w:r>
        <w:rPr>
          <w:rFonts w:hint="default" w:ascii="Times New Roman" w:hAnsi="Times New Roman" w:eastAsia="宋体" w:cs="Times New Roman"/>
          <w:color w:val="auto"/>
          <w:sz w:val="24"/>
          <w:szCs w:val="24"/>
        </w:rPr>
        <w:t>。</w:t>
      </w:r>
    </w:p>
    <w:p>
      <w:pPr>
        <w:spacing w:line="360" w:lineRule="auto"/>
        <w:ind w:firstLine="0"/>
        <w:outlineLvl w:val="2"/>
        <w:rPr>
          <w:rFonts w:hint="default" w:ascii="Times New Roman" w:hAnsi="Times New Roman" w:eastAsia="黑体" w:cs="Times New Roman"/>
          <w:b w:val="0"/>
          <w:bCs/>
          <w:color w:val="auto"/>
          <w:sz w:val="30"/>
          <w:szCs w:val="30"/>
        </w:rPr>
      </w:pPr>
      <w:r>
        <w:rPr>
          <w:rFonts w:hint="default" w:ascii="Times New Roman" w:hAnsi="Times New Roman" w:eastAsia="黑体" w:cs="Times New Roman"/>
          <w:b w:val="0"/>
          <w:bCs/>
          <w:color w:val="auto"/>
          <w:sz w:val="30"/>
          <w:szCs w:val="30"/>
        </w:rPr>
        <w:t>1.5.4声环境</w:t>
      </w:r>
    </w:p>
    <w:p>
      <w:pPr>
        <w:pStyle w:val="735"/>
        <w:numPr>
          <w:ilvl w:val="0"/>
          <w:numId w:val="0"/>
        </w:numPr>
        <w:adjustRightInd w:val="0"/>
        <w:snapToGrid w:val="0"/>
        <w:spacing w:before="0" w:beforeLines="0" w:line="360" w:lineRule="auto"/>
        <w:ind w:firstLine="0"/>
        <w:rPr>
          <w:rFonts w:hint="default" w:ascii="Times New Roman" w:hAnsi="Times New Roman" w:eastAsia="黑体" w:cs="Times New Roman"/>
          <w:b w:val="0"/>
          <w:bCs/>
          <w:color w:val="auto"/>
          <w:sz w:val="28"/>
          <w:szCs w:val="28"/>
        </w:rPr>
      </w:pPr>
      <w:r>
        <w:rPr>
          <w:rFonts w:hint="default" w:ascii="Times New Roman" w:hAnsi="Times New Roman" w:eastAsia="黑体" w:cs="Times New Roman"/>
          <w:b w:val="0"/>
          <w:bCs/>
          <w:color w:val="auto"/>
          <w:sz w:val="28"/>
          <w:szCs w:val="28"/>
        </w:rPr>
        <w:t>1.</w:t>
      </w:r>
      <w:r>
        <w:rPr>
          <w:rFonts w:hint="default" w:ascii="Times New Roman" w:hAnsi="Times New Roman" w:eastAsia="黑体" w:cs="Times New Roman"/>
          <w:b w:val="0"/>
          <w:bCs/>
          <w:color w:val="auto"/>
          <w:sz w:val="28"/>
          <w:szCs w:val="28"/>
          <w:lang w:val="en-US" w:eastAsia="zh-CN"/>
        </w:rPr>
        <w:t>5.4</w:t>
      </w:r>
      <w:r>
        <w:rPr>
          <w:rFonts w:hint="default" w:ascii="Times New Roman" w:hAnsi="Times New Roman" w:eastAsia="黑体" w:cs="Times New Roman"/>
          <w:b w:val="0"/>
          <w:bCs/>
          <w:color w:val="auto"/>
          <w:sz w:val="28"/>
          <w:szCs w:val="28"/>
        </w:rPr>
        <w:t>.1评价等级</w:t>
      </w:r>
    </w:p>
    <w:p>
      <w:pPr>
        <w:spacing w:line="360" w:lineRule="auto"/>
        <w:ind w:firstLine="480"/>
        <w:jc w:val="both"/>
        <w:rPr>
          <w:rFonts w:hint="default" w:ascii="Times New Roman" w:hAnsi="Times New Roman" w:eastAsia="宋体" w:cs="Times New Roman"/>
          <w:color w:val="auto"/>
          <w:kern w:val="2"/>
          <w:sz w:val="24"/>
          <w:szCs w:val="22"/>
          <w:lang w:val="en-GB" w:eastAsia="zh-CN" w:bidi="ar-SA"/>
        </w:rPr>
      </w:pPr>
      <w:r>
        <w:rPr>
          <w:rFonts w:hint="default" w:ascii="Times New Roman" w:hAnsi="Times New Roman" w:eastAsia="宋体" w:cs="Times New Roman"/>
          <w:color w:val="auto"/>
          <w:kern w:val="2"/>
          <w:sz w:val="24"/>
          <w:szCs w:val="22"/>
          <w:lang w:val="en-GB" w:eastAsia="zh-CN" w:bidi="ar-SA"/>
        </w:rPr>
        <w:t>本项目位于福州江阴港城经济区，属于《声环境质量标准》（GB3096-2008）规定的3类区，项目建设前后对敏感目标的噪声级增加量在3dB（A）以内，且受影响村庄距离较远。根据《环境影响评价技术导则-声环境》(HJ</w:t>
      </w:r>
      <w:r>
        <w:rPr>
          <w:rFonts w:hint="default" w:ascii="Times New Roman" w:hAnsi="Times New Roman" w:eastAsia="宋体" w:cs="Times New Roman"/>
          <w:color w:val="auto"/>
          <w:kern w:val="2"/>
          <w:sz w:val="24"/>
          <w:szCs w:val="22"/>
          <w:lang w:val="en-US" w:eastAsia="zh-CN" w:bidi="ar-SA"/>
        </w:rPr>
        <w:t>2.4</w:t>
      </w:r>
      <w:r>
        <w:rPr>
          <w:rFonts w:hint="default" w:ascii="Times New Roman" w:hAnsi="Times New Roman" w:eastAsia="宋体" w:cs="Times New Roman"/>
          <w:color w:val="auto"/>
          <w:kern w:val="2"/>
          <w:sz w:val="24"/>
          <w:szCs w:val="22"/>
          <w:lang w:val="en-GB" w:eastAsia="zh-CN" w:bidi="ar-SA"/>
        </w:rPr>
        <w:t>-2009)关于评价工作等级划分原则，本项目噪声评价定为三级。</w:t>
      </w:r>
    </w:p>
    <w:p>
      <w:pPr>
        <w:pStyle w:val="735"/>
        <w:numPr>
          <w:ilvl w:val="0"/>
          <w:numId w:val="0"/>
        </w:numPr>
        <w:adjustRightInd w:val="0"/>
        <w:snapToGrid w:val="0"/>
        <w:spacing w:before="0" w:beforeLines="0" w:line="360" w:lineRule="auto"/>
        <w:ind w:firstLine="0"/>
        <w:rPr>
          <w:rFonts w:hint="default" w:ascii="Times New Roman" w:hAnsi="Times New Roman" w:eastAsia="黑体" w:cs="Times New Roman"/>
          <w:b w:val="0"/>
          <w:bCs/>
          <w:color w:val="auto"/>
          <w:sz w:val="28"/>
          <w:szCs w:val="28"/>
        </w:rPr>
      </w:pPr>
      <w:r>
        <w:rPr>
          <w:rFonts w:hint="default" w:ascii="Times New Roman" w:hAnsi="Times New Roman" w:eastAsia="黑体" w:cs="Times New Roman"/>
          <w:b w:val="0"/>
          <w:bCs/>
          <w:color w:val="auto"/>
          <w:sz w:val="28"/>
          <w:szCs w:val="28"/>
        </w:rPr>
        <w:t>1.</w:t>
      </w:r>
      <w:r>
        <w:rPr>
          <w:rFonts w:hint="default" w:ascii="Times New Roman" w:hAnsi="Times New Roman" w:eastAsia="黑体" w:cs="Times New Roman"/>
          <w:b w:val="0"/>
          <w:bCs/>
          <w:color w:val="auto"/>
          <w:sz w:val="28"/>
          <w:szCs w:val="28"/>
          <w:lang w:val="en-US" w:eastAsia="zh-CN"/>
        </w:rPr>
        <w:t>5.4</w:t>
      </w:r>
      <w:r>
        <w:rPr>
          <w:rFonts w:hint="default" w:ascii="Times New Roman" w:hAnsi="Times New Roman" w:eastAsia="黑体" w:cs="Times New Roman"/>
          <w:b w:val="0"/>
          <w:bCs/>
          <w:color w:val="auto"/>
          <w:sz w:val="28"/>
          <w:szCs w:val="28"/>
        </w:rPr>
        <w:t>.2评价范围</w:t>
      </w:r>
    </w:p>
    <w:p>
      <w:pPr>
        <w:spacing w:line="360" w:lineRule="auto"/>
        <w:ind w:firstLine="480"/>
        <w:jc w:val="both"/>
        <w:rPr>
          <w:rFonts w:hint="default" w:ascii="Times New Roman" w:hAnsi="Times New Roman" w:eastAsia="宋体" w:cs="Times New Roman"/>
          <w:color w:val="auto"/>
          <w:kern w:val="2"/>
          <w:sz w:val="24"/>
          <w:szCs w:val="22"/>
          <w:lang w:val="en-GB" w:eastAsia="zh-CN" w:bidi="ar-SA"/>
        </w:rPr>
      </w:pPr>
      <w:r>
        <w:rPr>
          <w:rFonts w:hint="default" w:ascii="Times New Roman" w:hAnsi="Times New Roman" w:eastAsia="宋体" w:cs="Times New Roman"/>
          <w:color w:val="auto"/>
          <w:kern w:val="2"/>
          <w:sz w:val="24"/>
          <w:szCs w:val="22"/>
          <w:lang w:val="en-GB" w:eastAsia="zh-CN" w:bidi="ar-SA"/>
        </w:rPr>
        <w:t>声环境评价范围：项目厂界外200m范围。</w:t>
      </w:r>
    </w:p>
    <w:p>
      <w:pPr>
        <w:spacing w:line="360" w:lineRule="auto"/>
        <w:ind w:firstLine="0"/>
        <w:outlineLvl w:val="2"/>
        <w:rPr>
          <w:rFonts w:hint="default" w:ascii="Times New Roman" w:hAnsi="Times New Roman" w:eastAsia="黑体" w:cs="Times New Roman"/>
          <w:b w:val="0"/>
          <w:bCs/>
          <w:color w:val="auto"/>
          <w:sz w:val="30"/>
          <w:szCs w:val="30"/>
        </w:rPr>
      </w:pPr>
      <w:r>
        <w:rPr>
          <w:rFonts w:hint="default" w:ascii="Times New Roman" w:hAnsi="Times New Roman" w:eastAsia="黑体" w:cs="Times New Roman"/>
          <w:b w:val="0"/>
          <w:bCs/>
          <w:color w:val="auto"/>
          <w:sz w:val="30"/>
          <w:szCs w:val="30"/>
        </w:rPr>
        <w:t>1.5.5土壤环境</w:t>
      </w:r>
    </w:p>
    <w:p>
      <w:pPr>
        <w:pStyle w:val="735"/>
        <w:numPr>
          <w:ilvl w:val="0"/>
          <w:numId w:val="0"/>
        </w:numPr>
        <w:adjustRightInd w:val="0"/>
        <w:snapToGrid w:val="0"/>
        <w:spacing w:before="0" w:beforeLines="0" w:line="360" w:lineRule="auto"/>
        <w:ind w:firstLine="0"/>
        <w:rPr>
          <w:rFonts w:hint="default" w:ascii="Times New Roman" w:hAnsi="Times New Roman" w:eastAsia="黑体" w:cs="Times New Roman"/>
          <w:b w:val="0"/>
          <w:bCs/>
          <w:color w:val="auto"/>
          <w:sz w:val="28"/>
          <w:szCs w:val="28"/>
        </w:rPr>
      </w:pPr>
      <w:r>
        <w:rPr>
          <w:rFonts w:hint="default" w:ascii="Times New Roman" w:hAnsi="Times New Roman" w:eastAsia="黑体" w:cs="Times New Roman"/>
          <w:b w:val="0"/>
          <w:bCs/>
          <w:color w:val="auto"/>
          <w:sz w:val="28"/>
          <w:szCs w:val="28"/>
        </w:rPr>
        <w:t>1.</w:t>
      </w:r>
      <w:r>
        <w:rPr>
          <w:rFonts w:hint="default" w:ascii="Times New Roman" w:hAnsi="Times New Roman" w:eastAsia="黑体" w:cs="Times New Roman"/>
          <w:b w:val="0"/>
          <w:bCs/>
          <w:color w:val="auto"/>
          <w:sz w:val="28"/>
          <w:szCs w:val="28"/>
          <w:lang w:val="en-US" w:eastAsia="zh-CN"/>
        </w:rPr>
        <w:t>5.5</w:t>
      </w:r>
      <w:r>
        <w:rPr>
          <w:rFonts w:hint="default" w:ascii="Times New Roman" w:hAnsi="Times New Roman" w:eastAsia="黑体" w:cs="Times New Roman"/>
          <w:b w:val="0"/>
          <w:bCs/>
          <w:color w:val="auto"/>
          <w:sz w:val="28"/>
          <w:szCs w:val="28"/>
        </w:rPr>
        <w:t>.1评价等级</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对照《环境影响评价技术导则 土壤环境（试行）》（HJ964-2018），项目为制造业-石油、化工类别中的Ⅰ类项目；项目永久占地面积为</w:t>
      </w:r>
      <w:r>
        <w:rPr>
          <w:rFonts w:hint="default" w:ascii="Times New Roman" w:hAnsi="Times New Roman" w:eastAsia="宋体" w:cs="Times New Roman"/>
          <w:color w:val="auto"/>
          <w:sz w:val="24"/>
          <w:szCs w:val="24"/>
          <w:lang w:val="en-US" w:eastAsia="zh-CN"/>
        </w:rPr>
        <w:t>42000</w:t>
      </w:r>
      <w:r>
        <w:rPr>
          <w:rFonts w:hint="default" w:ascii="Times New Roman" w:hAnsi="Times New Roman" w:eastAsia="宋体" w:cs="Times New Roman"/>
          <w:color w:val="auto"/>
          <w:sz w:val="24"/>
          <w:szCs w:val="24"/>
        </w:rPr>
        <w:t xml:space="preserve"> 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（约</w:t>
      </w:r>
      <w:r>
        <w:rPr>
          <w:rFonts w:hint="default" w:ascii="Times New Roman" w:hAnsi="Times New Roman" w:eastAsia="宋体" w:cs="Times New Roman"/>
          <w:color w:val="auto"/>
          <w:sz w:val="24"/>
          <w:szCs w:val="24"/>
          <w:lang w:val="en-US" w:eastAsia="zh-CN"/>
        </w:rPr>
        <w:t>4.2</w:t>
      </w:r>
      <w:r>
        <w:rPr>
          <w:rFonts w:hint="default" w:ascii="Times New Roman" w:hAnsi="Times New Roman" w:eastAsia="宋体" w:cs="Times New Roman"/>
          <w:color w:val="auto"/>
          <w:sz w:val="24"/>
          <w:szCs w:val="24"/>
        </w:rPr>
        <w:t>hm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），属于</w:t>
      </w:r>
      <w:r>
        <w:rPr>
          <w:rFonts w:hint="default" w:ascii="Times New Roman" w:hAnsi="Times New Roman" w:eastAsia="宋体" w:cs="Times New Roman"/>
          <w:color w:val="auto"/>
          <w:sz w:val="24"/>
          <w:szCs w:val="24"/>
          <w:lang w:val="en-US" w:eastAsia="zh-CN"/>
        </w:rPr>
        <w:t>小</w:t>
      </w:r>
      <w:r>
        <w:rPr>
          <w:rFonts w:hint="default" w:ascii="Times New Roman" w:hAnsi="Times New Roman" w:eastAsia="宋体" w:cs="Times New Roman"/>
          <w:color w:val="auto"/>
          <w:sz w:val="24"/>
          <w:szCs w:val="24"/>
        </w:rPr>
        <w:t>型占地规模；项目位于</w:t>
      </w:r>
      <w:r>
        <w:rPr>
          <w:rFonts w:hint="default" w:ascii="Times New Roman" w:hAnsi="Times New Roman" w:eastAsia="宋体" w:cs="Times New Roman"/>
          <w:color w:val="auto"/>
          <w:sz w:val="24"/>
          <w:szCs w:val="24"/>
          <w:lang w:val="en-GB"/>
        </w:rPr>
        <w:t>江阴工业集中区</w:t>
      </w:r>
      <w:r>
        <w:rPr>
          <w:rFonts w:hint="default" w:ascii="Times New Roman" w:hAnsi="Times New Roman" w:eastAsia="宋体" w:cs="Times New Roman"/>
          <w:color w:val="auto"/>
          <w:sz w:val="24"/>
          <w:szCs w:val="24"/>
        </w:rPr>
        <w:t>，周边无土壤环境敏感目标，项目土壤敏感程度为不敏感。根据评价工作等级划分表（表1.5-5），项目土壤环境评价工作等级为二级。</w:t>
      </w:r>
    </w:p>
    <w:p>
      <w:pPr>
        <w:spacing w:line="360" w:lineRule="auto"/>
        <w:ind w:firstLine="480"/>
        <w:jc w:val="center"/>
        <w:rPr>
          <w:rFonts w:hint="default" w:ascii="Times New Roman" w:hAnsi="Times New Roman" w:eastAsia="黑体" w:cs="Times New Roman"/>
          <w:b w:val="0"/>
          <w:bCs/>
          <w:color w:val="auto"/>
          <w:sz w:val="24"/>
          <w:szCs w:val="22"/>
        </w:rPr>
      </w:pPr>
      <w:r>
        <w:rPr>
          <w:rFonts w:hint="default" w:ascii="Times New Roman" w:hAnsi="Times New Roman" w:eastAsia="黑体" w:cs="Times New Roman"/>
          <w:b w:val="0"/>
          <w:bCs/>
          <w:color w:val="auto"/>
          <w:sz w:val="24"/>
          <w:szCs w:val="22"/>
        </w:rPr>
        <w:t>表1.5-5</w:t>
      </w:r>
      <w:r>
        <w:rPr>
          <w:rFonts w:hint="default" w:ascii="Times New Roman" w:hAnsi="Times New Roman" w:eastAsia="黑体" w:cs="Times New Roman"/>
          <w:b w:val="0"/>
          <w:bCs/>
          <w:color w:val="auto"/>
          <w:sz w:val="24"/>
          <w:szCs w:val="22"/>
          <w:lang w:val="en-US" w:eastAsia="zh-CN"/>
        </w:rPr>
        <w:t xml:space="preserve"> </w:t>
      </w:r>
      <w:r>
        <w:rPr>
          <w:rFonts w:hint="default" w:ascii="Times New Roman" w:hAnsi="Times New Roman" w:eastAsia="黑体" w:cs="Times New Roman"/>
          <w:b w:val="0"/>
          <w:bCs/>
          <w:color w:val="auto"/>
          <w:sz w:val="24"/>
          <w:szCs w:val="22"/>
        </w:rPr>
        <w:t>污染影响型评价工作等级划分表</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6"/>
        <w:gridCol w:w="855"/>
        <w:gridCol w:w="854"/>
        <w:gridCol w:w="855"/>
        <w:gridCol w:w="856"/>
        <w:gridCol w:w="856"/>
        <w:gridCol w:w="854"/>
        <w:gridCol w:w="855"/>
        <w:gridCol w:w="856"/>
        <w:gridCol w:w="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left="-305" w:right="-232"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 xml:space="preserve">   项目类别</w:t>
            </w:r>
          </w:p>
          <w:p>
            <w:pPr>
              <w:keepNext w:val="0"/>
              <w:keepLines w:val="0"/>
              <w:pageBreakBefore w:val="0"/>
              <w:widowControl/>
              <w:kinsoku/>
              <w:wordWrap/>
              <w:overflowPunct/>
              <w:topLinePunct w:val="0"/>
              <w:autoSpaceDE/>
              <w:autoSpaceDN/>
              <w:bidi w:val="0"/>
              <w:adjustRightInd/>
              <w:snapToGrid/>
              <w:spacing w:line="300" w:lineRule="exact"/>
              <w:ind w:left="-305"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敏感程度</w:t>
            </w:r>
          </w:p>
        </w:tc>
        <w:tc>
          <w:tcPr>
            <w:tcW w:w="2564" w:type="dxa"/>
            <w:gridSpan w:val="3"/>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I类</w:t>
            </w:r>
          </w:p>
        </w:tc>
        <w:tc>
          <w:tcPr>
            <w:tcW w:w="2566" w:type="dxa"/>
            <w:gridSpan w:val="3"/>
            <w:tcBorders>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II类</w:t>
            </w:r>
          </w:p>
        </w:tc>
        <w:tc>
          <w:tcPr>
            <w:tcW w:w="2416" w:type="dxa"/>
            <w:gridSpan w:val="3"/>
            <w:tcBorders>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III类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vMerge w:val="continue"/>
            <w:tcBorders>
              <w:tl2br w:val="nil"/>
              <w:tr2bl w:val="nil"/>
            </w:tcBorders>
            <w:noWrap w:val="0"/>
          </w:tcPr>
          <w:p/>
        </w:tc>
        <w:tc>
          <w:tcPr>
            <w:tcW w:w="85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大</w:t>
            </w:r>
          </w:p>
        </w:tc>
        <w:tc>
          <w:tcPr>
            <w:tcW w:w="85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中</w:t>
            </w:r>
          </w:p>
        </w:tc>
        <w:tc>
          <w:tcPr>
            <w:tcW w:w="85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小</w:t>
            </w:r>
          </w:p>
        </w:tc>
        <w:tc>
          <w:tcPr>
            <w:tcW w:w="85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大</w:t>
            </w:r>
          </w:p>
        </w:tc>
        <w:tc>
          <w:tcPr>
            <w:tcW w:w="85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中</w:t>
            </w:r>
          </w:p>
        </w:tc>
        <w:tc>
          <w:tcPr>
            <w:tcW w:w="85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小</w:t>
            </w:r>
          </w:p>
        </w:tc>
        <w:tc>
          <w:tcPr>
            <w:tcW w:w="85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大</w:t>
            </w:r>
          </w:p>
        </w:tc>
        <w:tc>
          <w:tcPr>
            <w:tcW w:w="85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中</w:t>
            </w:r>
          </w:p>
        </w:tc>
        <w:tc>
          <w:tcPr>
            <w:tcW w:w="70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敏感</w:t>
            </w:r>
          </w:p>
        </w:tc>
        <w:tc>
          <w:tcPr>
            <w:tcW w:w="85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一级</w:t>
            </w:r>
          </w:p>
        </w:tc>
        <w:tc>
          <w:tcPr>
            <w:tcW w:w="854" w:type="dxa"/>
            <w:tcBorders>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一级</w:t>
            </w:r>
          </w:p>
        </w:tc>
        <w:tc>
          <w:tcPr>
            <w:tcW w:w="855" w:type="dxa"/>
            <w:tcBorders>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一级</w:t>
            </w:r>
          </w:p>
        </w:tc>
        <w:tc>
          <w:tcPr>
            <w:tcW w:w="856" w:type="dxa"/>
            <w:tcBorders>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二级</w:t>
            </w:r>
          </w:p>
        </w:tc>
        <w:tc>
          <w:tcPr>
            <w:tcW w:w="856" w:type="dxa"/>
            <w:tcBorders>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二级</w:t>
            </w:r>
          </w:p>
        </w:tc>
        <w:tc>
          <w:tcPr>
            <w:tcW w:w="854" w:type="dxa"/>
            <w:tcBorders>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二级</w:t>
            </w:r>
          </w:p>
        </w:tc>
        <w:tc>
          <w:tcPr>
            <w:tcW w:w="855" w:type="dxa"/>
            <w:tcBorders>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三级</w:t>
            </w:r>
          </w:p>
        </w:tc>
        <w:tc>
          <w:tcPr>
            <w:tcW w:w="856" w:type="dxa"/>
            <w:tcBorders>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三级</w:t>
            </w:r>
          </w:p>
        </w:tc>
        <w:tc>
          <w:tcPr>
            <w:tcW w:w="70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7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轻敏感</w:t>
            </w:r>
          </w:p>
        </w:tc>
        <w:tc>
          <w:tcPr>
            <w:tcW w:w="855" w:type="dxa"/>
            <w:tcBorders>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一级</w:t>
            </w:r>
          </w:p>
        </w:tc>
        <w:tc>
          <w:tcPr>
            <w:tcW w:w="85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一级</w:t>
            </w:r>
          </w:p>
        </w:tc>
        <w:tc>
          <w:tcPr>
            <w:tcW w:w="855" w:type="dxa"/>
            <w:tcBorders>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二级</w:t>
            </w:r>
          </w:p>
        </w:tc>
        <w:tc>
          <w:tcPr>
            <w:tcW w:w="856" w:type="dxa"/>
            <w:tcBorders>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二级</w:t>
            </w:r>
          </w:p>
        </w:tc>
        <w:tc>
          <w:tcPr>
            <w:tcW w:w="856" w:type="dxa"/>
            <w:tcBorders>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二级</w:t>
            </w:r>
          </w:p>
        </w:tc>
        <w:tc>
          <w:tcPr>
            <w:tcW w:w="854" w:type="dxa"/>
            <w:tcBorders>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三级</w:t>
            </w:r>
          </w:p>
        </w:tc>
        <w:tc>
          <w:tcPr>
            <w:tcW w:w="855" w:type="dxa"/>
            <w:tcBorders>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三级</w:t>
            </w:r>
          </w:p>
        </w:tc>
        <w:tc>
          <w:tcPr>
            <w:tcW w:w="856" w:type="dxa"/>
            <w:tcBorders>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三级</w:t>
            </w:r>
          </w:p>
        </w:tc>
        <w:tc>
          <w:tcPr>
            <w:tcW w:w="70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不敏感</w:t>
            </w:r>
          </w:p>
        </w:tc>
        <w:tc>
          <w:tcPr>
            <w:tcW w:w="855" w:type="dxa"/>
            <w:tcBorders>
              <w:tl2br w:val="nil"/>
              <w:tr2bl w:val="nil"/>
            </w:tcBorders>
            <w:shd w:val="clear" w:color="auto" w:fill="auto"/>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一级</w:t>
            </w:r>
          </w:p>
        </w:tc>
        <w:tc>
          <w:tcPr>
            <w:tcW w:w="854" w:type="dxa"/>
            <w:tcBorders>
              <w:tl2br w:val="nil"/>
              <w:tr2bl w:val="nil"/>
            </w:tcBorders>
            <w:shd w:val="pct5" w:color="auto" w:fill="auto"/>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二级</w:t>
            </w:r>
          </w:p>
        </w:tc>
        <w:tc>
          <w:tcPr>
            <w:tcW w:w="855" w:type="dxa"/>
            <w:tcBorders>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二级</w:t>
            </w:r>
          </w:p>
        </w:tc>
        <w:tc>
          <w:tcPr>
            <w:tcW w:w="856" w:type="dxa"/>
            <w:tcBorders>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二级</w:t>
            </w:r>
          </w:p>
        </w:tc>
        <w:tc>
          <w:tcPr>
            <w:tcW w:w="85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三级</w:t>
            </w:r>
          </w:p>
        </w:tc>
        <w:tc>
          <w:tcPr>
            <w:tcW w:w="854" w:type="dxa"/>
            <w:tcBorders>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三级</w:t>
            </w:r>
          </w:p>
        </w:tc>
        <w:tc>
          <w:tcPr>
            <w:tcW w:w="855" w:type="dxa"/>
            <w:tcBorders>
              <w:tl2br w:val="nil"/>
              <w:tr2bl w:val="nil"/>
            </w:tcBorders>
            <w:noWrap w:val="0"/>
            <w:vAlign w:val="top"/>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三级</w:t>
            </w:r>
          </w:p>
        </w:tc>
        <w:tc>
          <w:tcPr>
            <w:tcW w:w="85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w:t>
            </w:r>
          </w:p>
        </w:tc>
        <w:tc>
          <w:tcPr>
            <w:tcW w:w="70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gridSpan w:val="10"/>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ind w:firstLine="0"/>
              <w:textAlignment w:val="auto"/>
              <w:outlineLvl w:val="9"/>
              <w:rPr>
                <w:rFonts w:hint="default" w:ascii="Times New Roman" w:hAnsi="Times New Roman" w:eastAsia="宋体" w:cs="Times New Roman"/>
                <w:bCs/>
                <w:color w:val="auto"/>
                <w:kern w:val="44"/>
                <w:sz w:val="21"/>
                <w:szCs w:val="44"/>
              </w:rPr>
            </w:pPr>
            <w:r>
              <w:rPr>
                <w:rFonts w:hint="default" w:ascii="Times New Roman" w:hAnsi="Times New Roman" w:eastAsia="宋体" w:cs="Times New Roman"/>
                <w:bCs/>
                <w:color w:val="auto"/>
                <w:kern w:val="44"/>
                <w:sz w:val="21"/>
                <w:szCs w:val="44"/>
              </w:rPr>
              <w:t>注：“-”表示可不开展土壤环境影响评价工作。</w:t>
            </w:r>
          </w:p>
        </w:tc>
      </w:tr>
    </w:tbl>
    <w:p>
      <w:pPr>
        <w:pStyle w:val="735"/>
        <w:numPr>
          <w:ilvl w:val="0"/>
          <w:numId w:val="0"/>
        </w:numPr>
        <w:adjustRightInd w:val="0"/>
        <w:snapToGrid w:val="0"/>
        <w:spacing w:before="0" w:beforeLines="0" w:line="360" w:lineRule="auto"/>
        <w:ind w:firstLine="0"/>
        <w:rPr>
          <w:rFonts w:hint="default" w:ascii="Times New Roman" w:hAnsi="Times New Roman" w:eastAsia="黑体" w:cs="Times New Roman"/>
          <w:b w:val="0"/>
          <w:bCs/>
          <w:color w:val="auto"/>
          <w:sz w:val="28"/>
          <w:szCs w:val="28"/>
        </w:rPr>
      </w:pPr>
      <w:r>
        <w:rPr>
          <w:rFonts w:hint="default" w:ascii="Times New Roman" w:hAnsi="Times New Roman" w:eastAsia="黑体" w:cs="Times New Roman"/>
          <w:b w:val="0"/>
          <w:bCs/>
          <w:color w:val="auto"/>
          <w:sz w:val="28"/>
          <w:szCs w:val="28"/>
        </w:rPr>
        <w:t>1.</w:t>
      </w:r>
      <w:r>
        <w:rPr>
          <w:rFonts w:hint="default" w:ascii="Times New Roman" w:hAnsi="Times New Roman" w:eastAsia="黑体" w:cs="Times New Roman"/>
          <w:b w:val="0"/>
          <w:bCs/>
          <w:color w:val="auto"/>
          <w:sz w:val="28"/>
          <w:szCs w:val="28"/>
          <w:lang w:val="en-US" w:eastAsia="zh-CN"/>
        </w:rPr>
        <w:t>5.</w:t>
      </w:r>
      <w:r>
        <w:rPr>
          <w:rFonts w:hint="default" w:ascii="Times New Roman" w:hAnsi="Times New Roman" w:eastAsia="黑体" w:cs="Times New Roman"/>
          <w:b w:val="0"/>
          <w:bCs/>
          <w:color w:val="auto"/>
          <w:sz w:val="28"/>
          <w:szCs w:val="28"/>
        </w:rPr>
        <w:t>5.2评价范围</w:t>
      </w:r>
    </w:p>
    <w:p>
      <w:pPr>
        <w:adjustRightInd w:val="0"/>
        <w:snapToGrid w:val="0"/>
        <w:spacing w:line="360" w:lineRule="auto"/>
        <w:ind w:firstLine="48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项目属于污染影响型，评价范围与现状调查评价范围一致，均为项目厂区占地及外围0.2km。</w:t>
      </w:r>
    </w:p>
    <w:p>
      <w:pPr>
        <w:keepNext w:val="0"/>
        <w:keepLines w:val="0"/>
        <w:pageBreakBefore w:val="0"/>
        <w:widowControl w:val="0"/>
        <w:kinsoku/>
        <w:wordWrap/>
        <w:overflowPunct/>
        <w:topLinePunct w:val="0"/>
        <w:autoSpaceDE/>
        <w:autoSpaceDN/>
        <w:bidi w:val="0"/>
        <w:spacing w:line="360" w:lineRule="auto"/>
        <w:ind w:firstLine="0"/>
        <w:textAlignment w:val="auto"/>
        <w:outlineLvl w:val="2"/>
        <w:rPr>
          <w:rFonts w:hint="default" w:ascii="Times New Roman" w:hAnsi="Times New Roman" w:eastAsia="黑体" w:cs="Times New Roman"/>
          <w:b w:val="0"/>
          <w:bCs/>
          <w:color w:val="auto"/>
          <w:sz w:val="30"/>
          <w:szCs w:val="30"/>
          <w:highlight w:val="none"/>
        </w:rPr>
      </w:pPr>
      <w:r>
        <w:rPr>
          <w:rFonts w:hint="default" w:ascii="Times New Roman" w:hAnsi="Times New Roman" w:eastAsia="黑体" w:cs="Times New Roman"/>
          <w:b w:val="0"/>
          <w:bCs/>
          <w:color w:val="auto"/>
          <w:sz w:val="30"/>
          <w:szCs w:val="30"/>
          <w:highlight w:val="none"/>
        </w:rPr>
        <w:t>1.5.6环境风险</w:t>
      </w:r>
    </w:p>
    <w:p>
      <w:pPr>
        <w:pStyle w:val="735"/>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line="360" w:lineRule="auto"/>
        <w:ind w:firstLine="0"/>
        <w:textAlignment w:val="auto"/>
        <w:rPr>
          <w:rFonts w:hint="default" w:ascii="Times New Roman" w:hAnsi="Times New Roman" w:eastAsia="黑体" w:cs="Times New Roman"/>
          <w:b w:val="0"/>
          <w:bCs/>
          <w:color w:val="auto"/>
          <w:sz w:val="28"/>
          <w:szCs w:val="28"/>
          <w:highlight w:val="none"/>
          <w:lang w:val="zh-CN"/>
        </w:rPr>
      </w:pPr>
      <w:bookmarkStart w:id="68" w:name="_Ref520966229"/>
      <w:bookmarkStart w:id="69" w:name="_Toc268077899"/>
      <w:bookmarkStart w:id="70" w:name="_Toc276996342"/>
      <w:bookmarkStart w:id="71" w:name="_Toc407787032"/>
      <w:bookmarkStart w:id="72" w:name="_Toc277776804"/>
      <w:bookmarkStart w:id="73" w:name="_Toc268014651"/>
      <w:bookmarkStart w:id="74" w:name="_Toc276654301"/>
      <w:bookmarkStart w:id="75" w:name="_Toc290045847"/>
      <w:bookmarkStart w:id="76" w:name="_Toc291141503"/>
      <w:bookmarkStart w:id="77" w:name="_Toc266361310"/>
      <w:bookmarkStart w:id="78" w:name="_Toc452557048"/>
      <w:bookmarkStart w:id="79" w:name="_Toc268015258"/>
      <w:bookmarkStart w:id="80" w:name="_Toc215411751"/>
      <w:bookmarkStart w:id="81" w:name="_Toc452745226"/>
      <w:bookmarkStart w:id="82" w:name="_Toc277776410"/>
      <w:bookmarkStart w:id="83" w:name="_Toc274226132"/>
      <w:bookmarkStart w:id="84" w:name="_Toc277776003"/>
      <w:bookmarkStart w:id="85" w:name="_Toc283216135"/>
      <w:bookmarkStart w:id="86" w:name="_Toc274225588"/>
      <w:bookmarkStart w:id="87" w:name="_Toc290044679"/>
      <w:bookmarkStart w:id="88" w:name="_Toc283043172"/>
      <w:bookmarkStart w:id="89" w:name="_Toc276044557"/>
      <w:bookmarkStart w:id="90" w:name="_Toc265160673"/>
      <w:bookmarkStart w:id="91" w:name="_Toc11732"/>
      <w:bookmarkStart w:id="92" w:name="_Toc276654698"/>
      <w:bookmarkStart w:id="93" w:name="_Toc276653904"/>
      <w:bookmarkStart w:id="94" w:name="_Toc268012513"/>
      <w:bookmarkStart w:id="95" w:name="_Toc266361623"/>
      <w:bookmarkStart w:id="96" w:name="_Toc266362249"/>
      <w:bookmarkStart w:id="97" w:name="_Toc318279472"/>
      <w:bookmarkStart w:id="98" w:name="_Toc266361936"/>
      <w:bookmarkStart w:id="99" w:name="_Toc322356185"/>
      <w:bookmarkStart w:id="100" w:name="_Toc275269622"/>
      <w:r>
        <w:rPr>
          <w:rFonts w:hint="default" w:ascii="Times New Roman" w:hAnsi="Times New Roman" w:eastAsia="黑体" w:cs="Times New Roman"/>
          <w:b w:val="0"/>
          <w:bCs/>
          <w:color w:val="auto"/>
          <w:sz w:val="28"/>
          <w:szCs w:val="28"/>
          <w:highlight w:val="none"/>
          <w:lang w:val="en-US" w:eastAsia="zh-CN"/>
        </w:rPr>
        <w:t>1.5.6.1</w:t>
      </w:r>
      <w:r>
        <w:rPr>
          <w:rFonts w:hint="default" w:ascii="Times New Roman" w:hAnsi="Times New Roman" w:eastAsia="黑体" w:cs="Times New Roman"/>
          <w:b w:val="0"/>
          <w:bCs/>
          <w:color w:val="auto"/>
          <w:sz w:val="28"/>
          <w:szCs w:val="28"/>
          <w:highlight w:val="none"/>
          <w:lang w:val="zh-CN"/>
        </w:rPr>
        <w:t>风险潜势及评价等级</w:t>
      </w:r>
    </w:p>
    <w:p>
      <w:pPr>
        <w:widowControl w:val="0"/>
        <w:spacing w:line="360" w:lineRule="auto"/>
        <w:ind w:firstLine="480"/>
        <w:jc w:val="both"/>
        <w:rPr>
          <w:rFonts w:hint="default" w:ascii="Times New Roman" w:hAnsi="Times New Roman" w:eastAsia="宋体" w:cs="Times New Roman"/>
          <w:color w:val="auto"/>
          <w:sz w:val="24"/>
          <w:szCs w:val="24"/>
          <w:highlight w:val="none"/>
          <w:lang w:val="zh-CN"/>
        </w:rPr>
      </w:pPr>
      <w:r>
        <w:rPr>
          <w:rFonts w:hint="default" w:ascii="Times New Roman" w:hAnsi="Times New Roman" w:eastAsia="宋体" w:cs="Times New Roman"/>
          <w:color w:val="auto"/>
          <w:sz w:val="24"/>
          <w:szCs w:val="24"/>
          <w:highlight w:val="none"/>
          <w:lang w:val="zh-CN"/>
        </w:rPr>
        <w:t>本项目危险物质及工艺系统危险性为P</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zh-CN"/>
        </w:rPr>
        <w:t>，</w:t>
      </w:r>
      <w:r>
        <w:rPr>
          <w:rFonts w:hint="default" w:ascii="Times New Roman" w:hAnsi="Times New Roman" w:eastAsia="宋体" w:cs="Times New Roman"/>
          <w:snapToGrid w:val="0"/>
          <w:color w:val="auto"/>
          <w:kern w:val="0"/>
          <w:sz w:val="24"/>
          <w:szCs w:val="24"/>
          <w:highlight w:val="none"/>
          <w:lang w:val="en-US" w:eastAsia="zh-CN" w:bidi="ar"/>
        </w:rPr>
        <w:t>项目</w:t>
      </w:r>
      <w:r>
        <w:rPr>
          <w:rFonts w:hint="default" w:ascii="Times New Roman" w:hAnsi="Times New Roman" w:eastAsia="宋体" w:cs="Times New Roman"/>
          <w:snapToGrid w:val="0"/>
          <w:color w:val="auto"/>
          <w:kern w:val="0"/>
          <w:sz w:val="24"/>
          <w:szCs w:val="24"/>
          <w:highlight w:val="none"/>
          <w:lang w:val="zh-CN" w:eastAsia="zh-CN" w:bidi="ar"/>
        </w:rPr>
        <w:t>大气环境敏感程度为E</w:t>
      </w:r>
      <w:r>
        <w:rPr>
          <w:rFonts w:hint="eastAsia" w:ascii="Times New Roman" w:hAnsi="Times New Roman" w:eastAsia="宋体" w:cs="Times New Roman"/>
          <w:snapToGrid w:val="0"/>
          <w:color w:val="auto"/>
          <w:kern w:val="0"/>
          <w:sz w:val="24"/>
          <w:szCs w:val="24"/>
          <w:highlight w:val="none"/>
          <w:lang w:val="en-US" w:eastAsia="zh-CN" w:bidi="ar"/>
        </w:rPr>
        <w:t>2</w:t>
      </w:r>
      <w:r>
        <w:rPr>
          <w:rFonts w:hint="default" w:ascii="Times New Roman" w:hAnsi="Times New Roman" w:eastAsia="宋体" w:cs="Times New Roman"/>
          <w:snapToGrid w:val="0"/>
          <w:color w:val="auto"/>
          <w:kern w:val="0"/>
          <w:sz w:val="24"/>
          <w:szCs w:val="24"/>
          <w:highlight w:val="none"/>
          <w:lang w:val="zh-CN" w:eastAsia="zh-CN" w:bidi="ar"/>
        </w:rPr>
        <w:t>，判断</w:t>
      </w:r>
      <w:r>
        <w:rPr>
          <w:rFonts w:hint="default" w:ascii="Times New Roman" w:hAnsi="Times New Roman" w:eastAsia="宋体" w:cs="Times New Roman"/>
          <w:snapToGrid w:val="0"/>
          <w:color w:val="auto"/>
          <w:kern w:val="0"/>
          <w:sz w:val="24"/>
          <w:szCs w:val="24"/>
          <w:highlight w:val="none"/>
          <w:lang w:val="en-US" w:eastAsia="zh-CN" w:bidi="ar"/>
        </w:rPr>
        <w:t>大气环境</w:t>
      </w:r>
      <w:r>
        <w:rPr>
          <w:rFonts w:hint="default" w:ascii="Times New Roman" w:hAnsi="Times New Roman" w:eastAsia="宋体" w:cs="Times New Roman"/>
          <w:snapToGrid w:val="0"/>
          <w:color w:val="auto"/>
          <w:kern w:val="0"/>
          <w:sz w:val="24"/>
          <w:szCs w:val="24"/>
          <w:highlight w:val="none"/>
          <w:lang w:val="zh-CN" w:eastAsia="zh-CN" w:bidi="ar"/>
        </w:rPr>
        <w:t>风险潜势为</w:t>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 3 \* ROMAN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III</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snapToGrid w:val="0"/>
          <w:color w:val="auto"/>
          <w:kern w:val="0"/>
          <w:sz w:val="24"/>
          <w:szCs w:val="24"/>
          <w:highlight w:val="none"/>
          <w:lang w:val="zh-CN" w:eastAsia="zh-CN" w:bidi="ar"/>
        </w:rPr>
        <w:t>级；地表水环境敏感程度为E</w:t>
      </w:r>
      <w:r>
        <w:rPr>
          <w:rFonts w:hint="eastAsia" w:ascii="Times New Roman" w:hAnsi="Times New Roman" w:eastAsia="宋体" w:cs="Times New Roman"/>
          <w:snapToGrid w:val="0"/>
          <w:color w:val="auto"/>
          <w:kern w:val="0"/>
          <w:sz w:val="24"/>
          <w:szCs w:val="24"/>
          <w:highlight w:val="none"/>
          <w:lang w:val="en-US" w:eastAsia="zh-CN" w:bidi="ar"/>
        </w:rPr>
        <w:t>1</w:t>
      </w:r>
      <w:r>
        <w:rPr>
          <w:rFonts w:hint="default" w:ascii="Times New Roman" w:hAnsi="Times New Roman" w:eastAsia="宋体" w:cs="Times New Roman"/>
          <w:snapToGrid w:val="0"/>
          <w:color w:val="auto"/>
          <w:kern w:val="0"/>
          <w:sz w:val="24"/>
          <w:szCs w:val="24"/>
          <w:highlight w:val="none"/>
          <w:lang w:val="zh-CN" w:eastAsia="zh-CN" w:bidi="ar"/>
        </w:rPr>
        <w:t>，</w:t>
      </w:r>
      <w:r>
        <w:rPr>
          <w:rFonts w:hint="default" w:ascii="Times New Roman" w:hAnsi="Times New Roman" w:eastAsia="宋体" w:cs="Times New Roman"/>
          <w:snapToGrid w:val="0"/>
          <w:color w:val="auto"/>
          <w:kern w:val="0"/>
          <w:sz w:val="24"/>
          <w:szCs w:val="21"/>
          <w:lang w:val="en-US" w:eastAsia="zh-CN" w:bidi="ar-SA"/>
        </w:rPr>
        <w:t>正常情况项目</w:t>
      </w:r>
      <w:r>
        <w:rPr>
          <w:rFonts w:hint="eastAsia" w:ascii="Times New Roman" w:hAnsi="Times New Roman" w:eastAsia="宋体" w:cs="Times New Roman"/>
          <w:snapToGrid w:val="0"/>
          <w:color w:val="auto"/>
          <w:kern w:val="0"/>
          <w:sz w:val="24"/>
          <w:szCs w:val="21"/>
          <w:lang w:val="en-US" w:eastAsia="zh-CN" w:bidi="ar-SA"/>
        </w:rPr>
        <w:t>外排</w:t>
      </w:r>
      <w:r>
        <w:rPr>
          <w:rFonts w:hint="default" w:ascii="Times New Roman" w:hAnsi="Times New Roman" w:eastAsia="宋体" w:cs="Times New Roman"/>
          <w:snapToGrid w:val="0"/>
          <w:color w:val="auto"/>
          <w:kern w:val="0"/>
          <w:sz w:val="24"/>
          <w:szCs w:val="21"/>
          <w:lang w:val="en-US" w:eastAsia="zh-CN" w:bidi="ar-SA"/>
        </w:rPr>
        <w:t>废水排入江阴工业园区污水处理厂处理达标后排入兴化湾，非正常情况下项目事故废水、废液经完善的三级防控措施（装置、储罐围堰→事故应急池→园区公共事故应急池）收集，不存在废液泄漏至海边，因此，地表水评价不作等级划分，简单分析</w:t>
      </w:r>
      <w:r>
        <w:rPr>
          <w:rFonts w:hint="default" w:ascii="Times New Roman" w:hAnsi="Times New Roman" w:eastAsia="宋体" w:cs="Times New Roman"/>
          <w:snapToGrid w:val="0"/>
          <w:color w:val="auto"/>
          <w:kern w:val="0"/>
          <w:sz w:val="24"/>
          <w:szCs w:val="24"/>
          <w:highlight w:val="none"/>
          <w:lang w:val="zh-CN" w:eastAsia="zh-CN" w:bidi="ar"/>
        </w:rPr>
        <w:t>；地</w:t>
      </w:r>
      <w:r>
        <w:rPr>
          <w:rFonts w:hint="default" w:ascii="Times New Roman" w:hAnsi="Times New Roman" w:eastAsia="宋体" w:cs="Times New Roman"/>
          <w:snapToGrid w:val="0"/>
          <w:color w:val="auto"/>
          <w:kern w:val="0"/>
          <w:sz w:val="24"/>
          <w:szCs w:val="24"/>
          <w:highlight w:val="none"/>
          <w:lang w:val="en-US" w:eastAsia="zh-CN" w:bidi="ar"/>
        </w:rPr>
        <w:t>下</w:t>
      </w:r>
      <w:r>
        <w:rPr>
          <w:rFonts w:hint="default" w:ascii="Times New Roman" w:hAnsi="Times New Roman" w:eastAsia="宋体" w:cs="Times New Roman"/>
          <w:snapToGrid w:val="0"/>
          <w:color w:val="auto"/>
          <w:kern w:val="0"/>
          <w:sz w:val="24"/>
          <w:szCs w:val="24"/>
          <w:highlight w:val="none"/>
          <w:lang w:val="zh-CN" w:eastAsia="zh-CN" w:bidi="ar"/>
        </w:rPr>
        <w:t>水环境敏感程度为E</w:t>
      </w:r>
      <w:r>
        <w:rPr>
          <w:rFonts w:hint="default" w:ascii="Times New Roman" w:hAnsi="Times New Roman" w:eastAsia="宋体" w:cs="Times New Roman"/>
          <w:snapToGrid w:val="0"/>
          <w:color w:val="auto"/>
          <w:kern w:val="0"/>
          <w:sz w:val="24"/>
          <w:szCs w:val="24"/>
          <w:highlight w:val="none"/>
          <w:lang w:val="en-US" w:eastAsia="zh-CN" w:bidi="ar"/>
        </w:rPr>
        <w:t>3</w:t>
      </w:r>
      <w:r>
        <w:rPr>
          <w:rFonts w:hint="default" w:ascii="Times New Roman" w:hAnsi="Times New Roman" w:eastAsia="宋体" w:cs="Times New Roman"/>
          <w:snapToGrid w:val="0"/>
          <w:color w:val="auto"/>
          <w:kern w:val="0"/>
          <w:sz w:val="24"/>
          <w:szCs w:val="24"/>
          <w:highlight w:val="none"/>
          <w:lang w:val="zh-CN" w:eastAsia="zh-CN" w:bidi="ar"/>
        </w:rPr>
        <w:t>，判断风险潜势为</w:t>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 2 \* ROMAN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II</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snapToGrid w:val="0"/>
          <w:color w:val="auto"/>
          <w:kern w:val="0"/>
          <w:sz w:val="24"/>
          <w:szCs w:val="24"/>
          <w:highlight w:val="none"/>
          <w:lang w:val="zh-CN" w:eastAsia="zh-CN" w:bidi="ar"/>
        </w:rPr>
        <w:t>级。本项目环境风险潜势综合等级取各要素等级的相对高值，即本项目环境风险潜势综合等级为</w:t>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 3 \* ROMAN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III</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snapToGrid w:val="0"/>
          <w:color w:val="auto"/>
          <w:kern w:val="0"/>
          <w:sz w:val="24"/>
          <w:szCs w:val="24"/>
          <w:highlight w:val="none"/>
          <w:lang w:val="zh-CN" w:eastAsia="zh-CN" w:bidi="ar"/>
        </w:rPr>
        <w:t>级。</w:t>
      </w:r>
      <w:r>
        <w:rPr>
          <w:rFonts w:hint="default" w:ascii="Times New Roman" w:hAnsi="Times New Roman" w:eastAsia="宋体" w:cs="Times New Roman"/>
          <w:color w:val="auto"/>
          <w:sz w:val="24"/>
          <w:szCs w:val="24"/>
          <w:highlight w:val="none"/>
          <w:lang w:val="zh-CN"/>
        </w:rPr>
        <w:t>评价等级为</w:t>
      </w:r>
      <w:r>
        <w:rPr>
          <w:rFonts w:hint="default" w:ascii="Times New Roman" w:hAnsi="Times New Roman" w:eastAsia="宋体" w:cs="Times New Roman"/>
          <w:color w:val="auto"/>
          <w:sz w:val="24"/>
          <w:szCs w:val="24"/>
          <w:highlight w:val="none"/>
          <w:lang w:val="en-US" w:eastAsia="zh-CN"/>
        </w:rPr>
        <w:t>二</w:t>
      </w:r>
      <w:r>
        <w:rPr>
          <w:rFonts w:hint="default" w:ascii="Times New Roman" w:hAnsi="Times New Roman" w:eastAsia="宋体" w:cs="Times New Roman"/>
          <w:color w:val="auto"/>
          <w:sz w:val="24"/>
          <w:szCs w:val="24"/>
          <w:highlight w:val="none"/>
          <w:lang w:val="zh-CN"/>
        </w:rPr>
        <w:t>级。</w:t>
      </w:r>
    </w:p>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default" w:ascii="Times New Roman" w:hAnsi="Times New Roman" w:eastAsia="黑体" w:cs="Times New Roman"/>
          <w:b w:val="0"/>
          <w:bCs/>
          <w:color w:val="auto"/>
          <w:sz w:val="24"/>
          <w:szCs w:val="22"/>
          <w:highlight w:val="none"/>
        </w:rPr>
      </w:pPr>
      <w:r>
        <w:rPr>
          <w:rFonts w:hint="default" w:ascii="Times New Roman" w:hAnsi="Times New Roman" w:eastAsia="黑体" w:cs="Times New Roman"/>
          <w:b w:val="0"/>
          <w:bCs/>
          <w:color w:val="auto"/>
          <w:sz w:val="24"/>
          <w:szCs w:val="22"/>
          <w:highlight w:val="none"/>
        </w:rPr>
        <w:t>表1.</w:t>
      </w:r>
      <w:r>
        <w:rPr>
          <w:rFonts w:hint="default" w:ascii="Times New Roman" w:hAnsi="Times New Roman" w:eastAsia="黑体" w:cs="Times New Roman"/>
          <w:b w:val="0"/>
          <w:bCs/>
          <w:color w:val="auto"/>
          <w:sz w:val="24"/>
          <w:szCs w:val="22"/>
          <w:highlight w:val="none"/>
          <w:lang w:val="en-US" w:eastAsia="zh-CN"/>
        </w:rPr>
        <w:t>5</w:t>
      </w:r>
      <w:r>
        <w:rPr>
          <w:rFonts w:hint="default" w:ascii="Times New Roman" w:hAnsi="Times New Roman" w:eastAsia="黑体" w:cs="Times New Roman"/>
          <w:b w:val="0"/>
          <w:bCs/>
          <w:color w:val="auto"/>
          <w:sz w:val="24"/>
          <w:szCs w:val="22"/>
          <w:highlight w:val="none"/>
        </w:rPr>
        <w:t>-6建设项目环境风险潜势划分</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4"/>
        <w:gridCol w:w="1564"/>
        <w:gridCol w:w="1565"/>
        <w:gridCol w:w="1564"/>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4"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环境敏感程度（E）</w:t>
            </w:r>
          </w:p>
        </w:tc>
        <w:tc>
          <w:tcPr>
            <w:tcW w:w="6258" w:type="dxa"/>
            <w:gridSpan w:val="4"/>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危险物质及工艺系统危险性（P）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vMerge w:val="continue"/>
            <w:tcBorders>
              <w:tl2br w:val="nil"/>
              <w:tr2bl w:val="nil"/>
            </w:tcBorders>
            <w:noWrap w:val="0"/>
          </w:tcPr>
          <w:p/>
        </w:tc>
        <w:tc>
          <w:tcPr>
            <w:tcW w:w="1564"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极高危害（P1）</w:t>
            </w:r>
          </w:p>
        </w:tc>
        <w:tc>
          <w:tcPr>
            <w:tcW w:w="1565"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高度危害（P2）</w:t>
            </w:r>
          </w:p>
        </w:tc>
        <w:tc>
          <w:tcPr>
            <w:tcW w:w="1564"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中度危害（P3）</w:t>
            </w:r>
          </w:p>
        </w:tc>
        <w:tc>
          <w:tcPr>
            <w:tcW w:w="1565"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轻度危害（P4）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4"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环境高度敏感区（E1）</w:t>
            </w:r>
          </w:p>
        </w:tc>
        <w:tc>
          <w:tcPr>
            <w:tcW w:w="1564"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Ⅳ</w:t>
            </w:r>
            <w:r>
              <w:rPr>
                <w:rStyle w:val="226"/>
                <w:rFonts w:hint="default" w:ascii="Times New Roman" w:hAnsi="Times New Roman" w:eastAsia="宋体" w:cs="Times New Roman"/>
                <w:color w:val="auto"/>
                <w:sz w:val="21"/>
                <w:szCs w:val="21"/>
                <w:highlight w:val="none"/>
                <w:lang w:val="en-US" w:eastAsia="zh-CN" w:bidi="ar-SA"/>
              </w:rPr>
              <w:t>+</w:t>
            </w:r>
          </w:p>
        </w:tc>
        <w:tc>
          <w:tcPr>
            <w:tcW w:w="1565"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Ⅳ</w:t>
            </w:r>
          </w:p>
        </w:tc>
        <w:tc>
          <w:tcPr>
            <w:tcW w:w="1564"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Ⅲ</w:t>
            </w:r>
          </w:p>
        </w:tc>
        <w:tc>
          <w:tcPr>
            <w:tcW w:w="1565"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4"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环境中度敏感区（E2）</w:t>
            </w:r>
          </w:p>
        </w:tc>
        <w:tc>
          <w:tcPr>
            <w:tcW w:w="1564"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Ⅳ</w:t>
            </w:r>
          </w:p>
        </w:tc>
        <w:tc>
          <w:tcPr>
            <w:tcW w:w="1565"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Ⅲ</w:t>
            </w:r>
          </w:p>
        </w:tc>
        <w:tc>
          <w:tcPr>
            <w:tcW w:w="1564"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Ⅲ</w:t>
            </w:r>
          </w:p>
        </w:tc>
        <w:tc>
          <w:tcPr>
            <w:tcW w:w="1565"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4"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环境低度敏感区（E3）</w:t>
            </w:r>
          </w:p>
        </w:tc>
        <w:tc>
          <w:tcPr>
            <w:tcW w:w="1564"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Ⅲ</w:t>
            </w:r>
          </w:p>
        </w:tc>
        <w:tc>
          <w:tcPr>
            <w:tcW w:w="1565"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Ⅲ</w:t>
            </w:r>
          </w:p>
        </w:tc>
        <w:tc>
          <w:tcPr>
            <w:tcW w:w="1564"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Ⅱ</w:t>
            </w:r>
          </w:p>
        </w:tc>
        <w:tc>
          <w:tcPr>
            <w:tcW w:w="1565"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2" w:type="dxa"/>
            <w:gridSpan w:val="5"/>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left"/>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注：Ⅳ+为极高环境风险。</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default" w:ascii="Times New Roman" w:hAnsi="Times New Roman" w:eastAsia="黑体" w:cs="Times New Roman"/>
          <w:b w:val="0"/>
          <w:bCs/>
          <w:color w:val="auto"/>
          <w:sz w:val="24"/>
          <w:szCs w:val="22"/>
          <w:highlight w:val="none"/>
        </w:rPr>
      </w:pPr>
      <w:r>
        <w:rPr>
          <w:rFonts w:hint="default" w:ascii="Times New Roman" w:hAnsi="Times New Roman" w:eastAsia="黑体" w:cs="Times New Roman"/>
          <w:b w:val="0"/>
          <w:bCs/>
          <w:color w:val="auto"/>
          <w:sz w:val="24"/>
          <w:szCs w:val="22"/>
          <w:highlight w:val="none"/>
        </w:rPr>
        <w:t>表1.</w:t>
      </w:r>
      <w:r>
        <w:rPr>
          <w:rFonts w:hint="default" w:ascii="Times New Roman" w:hAnsi="Times New Roman" w:eastAsia="黑体" w:cs="Times New Roman"/>
          <w:b w:val="0"/>
          <w:bCs/>
          <w:color w:val="auto"/>
          <w:sz w:val="24"/>
          <w:szCs w:val="22"/>
          <w:highlight w:val="none"/>
          <w:lang w:val="en-US" w:eastAsia="zh-CN"/>
        </w:rPr>
        <w:t>5</w:t>
      </w:r>
      <w:r>
        <w:rPr>
          <w:rFonts w:hint="default" w:ascii="Times New Roman" w:hAnsi="Times New Roman" w:eastAsia="黑体" w:cs="Times New Roman"/>
          <w:b w:val="0"/>
          <w:bCs/>
          <w:color w:val="auto"/>
          <w:sz w:val="24"/>
          <w:szCs w:val="22"/>
          <w:highlight w:val="none"/>
        </w:rPr>
        <w:t>-7环境风险评价工作等级划分</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3"/>
        <w:gridCol w:w="1710"/>
        <w:gridCol w:w="1702"/>
        <w:gridCol w:w="1704"/>
        <w:gridCol w:w="17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3"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环境风险潜势</w:t>
            </w:r>
          </w:p>
        </w:tc>
        <w:tc>
          <w:tcPr>
            <w:tcW w:w="1710"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Ⅳ、Ⅳ+</w:t>
            </w:r>
          </w:p>
        </w:tc>
        <w:tc>
          <w:tcPr>
            <w:tcW w:w="1702"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Ⅲ</w:t>
            </w:r>
          </w:p>
        </w:tc>
        <w:tc>
          <w:tcPr>
            <w:tcW w:w="1704"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Ⅱ</w:t>
            </w:r>
          </w:p>
        </w:tc>
        <w:tc>
          <w:tcPr>
            <w:tcW w:w="1703"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3"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评价工作等级</w:t>
            </w:r>
          </w:p>
        </w:tc>
        <w:tc>
          <w:tcPr>
            <w:tcW w:w="1710"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一</w:t>
            </w:r>
          </w:p>
        </w:tc>
        <w:tc>
          <w:tcPr>
            <w:tcW w:w="1702"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二</w:t>
            </w:r>
          </w:p>
        </w:tc>
        <w:tc>
          <w:tcPr>
            <w:tcW w:w="1704"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三</w:t>
            </w:r>
          </w:p>
        </w:tc>
        <w:tc>
          <w:tcPr>
            <w:tcW w:w="1703" w:type="dxa"/>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简单分析a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522" w:type="dxa"/>
            <w:gridSpan w:val="5"/>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00" w:lineRule="exact"/>
              <w:ind w:left="0" w:right="0" w:firstLine="0"/>
              <w:jc w:val="left"/>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 是相对于详细评价工作内容而言，在描述危险物质、环境影响途径、环境危害后果、风险防范措施等方面给出定性的说明。</w:t>
            </w:r>
          </w:p>
        </w:tc>
      </w:tr>
    </w:tbl>
    <w:p>
      <w:pPr>
        <w:pStyle w:val="735"/>
        <w:numPr>
          <w:ilvl w:val="0"/>
          <w:numId w:val="0"/>
        </w:numPr>
        <w:adjustRightInd w:val="0"/>
        <w:snapToGrid w:val="0"/>
        <w:spacing w:before="0" w:beforeLines="0" w:line="360" w:lineRule="auto"/>
        <w:ind w:firstLine="0"/>
        <w:rPr>
          <w:rFonts w:hint="default" w:ascii="Times New Roman" w:hAnsi="Times New Roman" w:eastAsia="黑体" w:cs="Times New Roman"/>
          <w:b w:val="0"/>
          <w:bCs/>
          <w:color w:val="auto"/>
          <w:sz w:val="28"/>
          <w:szCs w:val="28"/>
          <w:highlight w:val="none"/>
        </w:rPr>
      </w:pPr>
      <w:r>
        <w:rPr>
          <w:rFonts w:hint="default" w:ascii="Times New Roman" w:hAnsi="Times New Roman" w:eastAsia="黑体" w:cs="Times New Roman"/>
          <w:b w:val="0"/>
          <w:bCs/>
          <w:color w:val="auto"/>
          <w:sz w:val="28"/>
          <w:szCs w:val="28"/>
          <w:highlight w:val="none"/>
          <w:lang w:val="en-US" w:eastAsia="zh-CN"/>
        </w:rPr>
        <w:t>1.5.6.2</w:t>
      </w:r>
      <w:r>
        <w:rPr>
          <w:rFonts w:hint="default" w:ascii="Times New Roman" w:hAnsi="Times New Roman" w:eastAsia="黑体" w:cs="Times New Roman"/>
          <w:b w:val="0"/>
          <w:bCs/>
          <w:color w:val="auto"/>
          <w:sz w:val="28"/>
          <w:szCs w:val="28"/>
          <w:highlight w:val="none"/>
        </w:rPr>
        <w:t>评价范围</w:t>
      </w:r>
    </w:p>
    <w:p>
      <w:pPr>
        <w:spacing w:line="360" w:lineRule="auto"/>
        <w:ind w:firstLine="480"/>
        <w:jc w:val="both"/>
        <w:rPr>
          <w:rFonts w:hint="default" w:ascii="Times New Roman" w:hAnsi="Times New Roman" w:eastAsia="宋体" w:cs="Times New Roman"/>
          <w:color w:val="0000FF"/>
          <w:kern w:val="2"/>
          <w:sz w:val="24"/>
          <w:szCs w:val="22"/>
          <w:highlight w:val="none"/>
          <w:lang w:val="en-US" w:eastAsia="zh-CN" w:bidi="ar-SA"/>
        </w:rPr>
      </w:pPr>
      <w:r>
        <w:rPr>
          <w:rFonts w:hint="default" w:ascii="Times New Roman" w:hAnsi="Times New Roman" w:eastAsia="宋体" w:cs="Times New Roman"/>
          <w:color w:val="auto"/>
          <w:kern w:val="2"/>
          <w:sz w:val="24"/>
          <w:szCs w:val="24"/>
          <w:highlight w:val="none"/>
          <w:lang w:val="zh-CN" w:eastAsia="zh-CN" w:bidi="ar"/>
        </w:rPr>
        <w:t>本项目大气环境风险评价等级为</w:t>
      </w:r>
      <w:r>
        <w:rPr>
          <w:rFonts w:hint="default" w:ascii="Times New Roman" w:hAnsi="Times New Roman" w:eastAsia="宋体" w:cs="Times New Roman"/>
          <w:color w:val="auto"/>
          <w:kern w:val="2"/>
          <w:sz w:val="24"/>
          <w:szCs w:val="24"/>
          <w:highlight w:val="none"/>
          <w:lang w:val="en-US" w:eastAsia="zh-CN" w:bidi="ar"/>
        </w:rPr>
        <w:t>二</w:t>
      </w:r>
      <w:r>
        <w:rPr>
          <w:rFonts w:hint="default" w:ascii="Times New Roman" w:hAnsi="Times New Roman" w:eastAsia="宋体" w:cs="Times New Roman"/>
          <w:color w:val="auto"/>
          <w:kern w:val="2"/>
          <w:sz w:val="24"/>
          <w:szCs w:val="24"/>
          <w:highlight w:val="none"/>
          <w:lang w:val="zh-CN" w:eastAsia="zh-CN" w:bidi="ar"/>
        </w:rPr>
        <w:t>级，评价范围为：距建设项目边界</w:t>
      </w:r>
      <w:r>
        <w:rPr>
          <w:rFonts w:hint="eastAsia" w:ascii="Times New Roman" w:hAnsi="Times New Roman" w:eastAsia="宋体" w:cs="Times New Roman"/>
          <w:color w:val="auto"/>
          <w:kern w:val="2"/>
          <w:sz w:val="24"/>
          <w:szCs w:val="24"/>
          <w:highlight w:val="none"/>
          <w:lang w:val="en-US" w:eastAsia="zh-CN" w:bidi="ar"/>
        </w:rPr>
        <w:t>5</w:t>
      </w:r>
      <w:r>
        <w:rPr>
          <w:rFonts w:hint="default" w:ascii="Times New Roman" w:hAnsi="Times New Roman" w:eastAsia="宋体" w:cs="Times New Roman"/>
          <w:color w:val="auto"/>
          <w:kern w:val="2"/>
          <w:sz w:val="24"/>
          <w:szCs w:val="24"/>
          <w:highlight w:val="none"/>
          <w:lang w:val="zh-CN" w:eastAsia="zh-CN" w:bidi="ar"/>
        </w:rPr>
        <w:t>km</w:t>
      </w:r>
      <w:r>
        <w:rPr>
          <w:rFonts w:hint="default" w:ascii="Times New Roman" w:hAnsi="Times New Roman" w:eastAsia="宋体" w:cs="Times New Roman"/>
          <w:color w:val="auto"/>
          <w:kern w:val="2"/>
          <w:sz w:val="24"/>
          <w:szCs w:val="24"/>
          <w:highlight w:val="none"/>
          <w:lang w:val="en-US" w:eastAsia="zh-CN" w:bidi="ar"/>
        </w:rPr>
        <w:t>圆形</w:t>
      </w:r>
      <w:r>
        <w:rPr>
          <w:rFonts w:hint="default" w:ascii="Times New Roman" w:hAnsi="Times New Roman" w:eastAsia="宋体" w:cs="Times New Roman"/>
          <w:color w:val="auto"/>
          <w:kern w:val="2"/>
          <w:sz w:val="24"/>
          <w:szCs w:val="24"/>
          <w:highlight w:val="none"/>
          <w:lang w:val="zh-CN" w:eastAsia="zh-CN" w:bidi="ar"/>
        </w:rPr>
        <w:t>区域范围</w:t>
      </w:r>
      <w:r>
        <w:rPr>
          <w:rFonts w:hint="default" w:ascii="Times New Roman" w:hAnsi="Times New Roman" w:eastAsia="宋体" w:cs="Times New Roman"/>
          <w:snapToGrid w:val="0"/>
          <w:color w:val="auto"/>
          <w:kern w:val="0"/>
          <w:sz w:val="24"/>
          <w:szCs w:val="24"/>
          <w:highlight w:val="none"/>
          <w:lang w:val="en-US" w:eastAsia="zh-CN" w:bidi="ar-SA"/>
        </w:rPr>
        <w:t>。</w:t>
      </w:r>
    </w:p>
    <w:bookmarkEnd w:id="68"/>
    <w:p>
      <w:pPr>
        <w:spacing w:line="360" w:lineRule="auto"/>
        <w:ind w:firstLine="0"/>
        <w:outlineLvl w:val="1"/>
        <w:rPr>
          <w:rFonts w:hint="default" w:ascii="Times New Roman" w:hAnsi="Times New Roman" w:eastAsia="黑体" w:cs="Times New Roman"/>
          <w:b w:val="0"/>
          <w:bCs/>
          <w:color w:val="auto"/>
          <w:sz w:val="32"/>
          <w:szCs w:val="32"/>
        </w:rPr>
      </w:pPr>
      <w:bookmarkStart w:id="101" w:name="_Toc29968"/>
      <w:r>
        <w:rPr>
          <w:rFonts w:hint="default" w:ascii="Times New Roman" w:hAnsi="Times New Roman" w:eastAsia="黑体" w:cs="Times New Roman"/>
          <w:b w:val="0"/>
          <w:bCs/>
          <w:color w:val="auto"/>
          <w:sz w:val="32"/>
          <w:szCs w:val="32"/>
        </w:rPr>
        <w:t>1.6 评价内容和评价重点</w:t>
      </w:r>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101"/>
    </w:p>
    <w:p>
      <w:pPr>
        <w:spacing w:line="360" w:lineRule="auto"/>
        <w:ind w:firstLine="0"/>
        <w:outlineLvl w:val="2"/>
        <w:rPr>
          <w:rFonts w:hint="default" w:ascii="Times New Roman" w:hAnsi="Times New Roman" w:eastAsia="黑体" w:cs="Times New Roman"/>
          <w:b w:val="0"/>
          <w:bCs/>
          <w:color w:val="auto"/>
          <w:sz w:val="30"/>
          <w:szCs w:val="30"/>
        </w:rPr>
      </w:pPr>
      <w:bookmarkStart w:id="102" w:name="_Toc383074869"/>
      <w:bookmarkStart w:id="103" w:name="_Toc376789562"/>
      <w:bookmarkStart w:id="104" w:name="_Toc452557049"/>
      <w:bookmarkStart w:id="105" w:name="_Toc376848947"/>
      <w:bookmarkStart w:id="106" w:name="_Toc376190699"/>
      <w:r>
        <w:rPr>
          <w:rFonts w:hint="default" w:ascii="Times New Roman" w:hAnsi="Times New Roman" w:eastAsia="黑体" w:cs="Times New Roman"/>
          <w:b w:val="0"/>
          <w:bCs/>
          <w:color w:val="auto"/>
          <w:sz w:val="30"/>
          <w:szCs w:val="30"/>
        </w:rPr>
        <w:t>1.6.1 评价内容</w:t>
      </w:r>
      <w:bookmarkEnd w:id="102"/>
      <w:bookmarkEnd w:id="103"/>
      <w:bookmarkEnd w:id="104"/>
      <w:bookmarkEnd w:id="105"/>
      <w:bookmarkEnd w:id="106"/>
    </w:p>
    <w:p>
      <w:pPr>
        <w:spacing w:line="360" w:lineRule="auto"/>
        <w:ind w:firstLine="480"/>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lang w:val="en-GB"/>
        </w:rPr>
        <w:t>本项目评价内容主要包括：总则、工程分析、环境现状调查与评价、环境影响评价与预测、环境风险评价、环境保护措施及可行性论证、环境经济损益分析、环境管理及监测等。</w:t>
      </w:r>
    </w:p>
    <w:p>
      <w:pPr>
        <w:spacing w:line="360" w:lineRule="auto"/>
        <w:ind w:firstLine="0"/>
        <w:outlineLvl w:val="2"/>
        <w:rPr>
          <w:rFonts w:hint="default" w:ascii="Times New Roman" w:hAnsi="Times New Roman" w:eastAsia="黑体" w:cs="Times New Roman"/>
          <w:b w:val="0"/>
          <w:bCs/>
          <w:color w:val="auto"/>
          <w:sz w:val="30"/>
          <w:szCs w:val="30"/>
        </w:rPr>
      </w:pPr>
      <w:r>
        <w:rPr>
          <w:rFonts w:hint="default" w:ascii="Times New Roman" w:hAnsi="Times New Roman" w:eastAsia="黑体" w:cs="Times New Roman"/>
          <w:b w:val="0"/>
          <w:bCs/>
          <w:color w:val="auto"/>
          <w:sz w:val="30"/>
          <w:szCs w:val="30"/>
        </w:rPr>
        <w:t>1.6.2 评价重点</w:t>
      </w:r>
    </w:p>
    <w:p>
      <w:pPr>
        <w:spacing w:line="360" w:lineRule="auto"/>
        <w:ind w:firstLine="480"/>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lang w:val="en-GB"/>
        </w:rPr>
        <w:t>根据本项目的排污特点及所在区域的环境特征，本次环境影响评价的重点为：工程分析、环境影响评价与预测、环境保护措施及可行性论证。</w:t>
      </w:r>
    </w:p>
    <w:p>
      <w:pPr>
        <w:spacing w:line="360" w:lineRule="auto"/>
        <w:ind w:firstLine="0"/>
        <w:outlineLvl w:val="1"/>
        <w:rPr>
          <w:rFonts w:hint="default" w:ascii="Times New Roman" w:hAnsi="Times New Roman" w:eastAsia="黑体" w:cs="Times New Roman"/>
          <w:b w:val="0"/>
          <w:bCs/>
          <w:color w:val="auto"/>
          <w:sz w:val="32"/>
          <w:szCs w:val="32"/>
        </w:rPr>
      </w:pPr>
      <w:bookmarkStart w:id="107" w:name="_Toc26226"/>
      <w:bookmarkStart w:id="108" w:name="_Toc28665"/>
      <w:r>
        <w:rPr>
          <w:rFonts w:hint="default" w:ascii="Times New Roman" w:hAnsi="Times New Roman" w:eastAsia="黑体" w:cs="Times New Roman"/>
          <w:b w:val="0"/>
          <w:bCs/>
          <w:color w:val="auto"/>
          <w:sz w:val="32"/>
          <w:szCs w:val="32"/>
        </w:rPr>
        <w:t>1.7环境保护目标</w:t>
      </w:r>
      <w:bookmarkEnd w:id="107"/>
      <w:bookmarkEnd w:id="108"/>
    </w:p>
    <w:bookmarkEnd w:id="99"/>
    <w:bookmarkEnd w:id="100"/>
    <w:p>
      <w:pPr>
        <w:spacing w:line="360" w:lineRule="auto"/>
        <w:ind w:firstLine="480"/>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lang w:val="en-GB"/>
        </w:rPr>
        <w:t>根据本项目的污染物排放特征及运营期对环境的潜在的风险</w:t>
      </w:r>
      <w:r>
        <w:rPr>
          <w:rFonts w:hint="default" w:ascii="Times New Roman" w:hAnsi="Times New Roman" w:eastAsia="宋体" w:cs="Times New Roman"/>
          <w:color w:val="auto"/>
          <w:sz w:val="24"/>
          <w:szCs w:val="24"/>
          <w:lang w:val="en-GB" w:eastAsia="zh-CN"/>
        </w:rPr>
        <w:t>，</w:t>
      </w:r>
      <w:r>
        <w:rPr>
          <w:rFonts w:hint="default" w:ascii="Times New Roman" w:hAnsi="Times New Roman" w:eastAsia="宋体" w:cs="Times New Roman"/>
          <w:color w:val="auto"/>
          <w:sz w:val="24"/>
          <w:szCs w:val="24"/>
          <w:lang w:val="en-GB"/>
        </w:rPr>
        <w:t>结合工程资料和现场实地踏勘，调查</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val="en-GB"/>
        </w:rPr>
        <w:t>km范围内敏感点。详见表</w:t>
      </w:r>
      <w:r>
        <w:rPr>
          <w:rFonts w:hint="default" w:ascii="Times New Roman" w:hAnsi="Times New Roman" w:eastAsia="宋体" w:cs="Times New Roman"/>
          <w:color w:val="auto"/>
          <w:sz w:val="24"/>
          <w:szCs w:val="24"/>
        </w:rPr>
        <w:t>1.7-1</w:t>
      </w:r>
      <w:r>
        <w:rPr>
          <w:rFonts w:hint="eastAsia" w:ascii="Times New Roman" w:hAnsi="Times New Roman" w:eastAsia="宋体" w:cs="Times New Roman"/>
          <w:color w:val="auto"/>
          <w:sz w:val="24"/>
          <w:szCs w:val="24"/>
          <w:lang w:val="en-US" w:eastAsia="zh-CN"/>
        </w:rPr>
        <w:t>~1.7-2</w:t>
      </w:r>
      <w:r>
        <w:rPr>
          <w:rFonts w:hint="default" w:ascii="Times New Roman" w:hAnsi="Times New Roman" w:eastAsia="宋体" w:cs="Times New Roman"/>
          <w:color w:val="auto"/>
          <w:sz w:val="24"/>
          <w:szCs w:val="24"/>
          <w:lang w:val="en-GB"/>
        </w:rPr>
        <w:t>及</w:t>
      </w:r>
      <w:r>
        <w:rPr>
          <w:rFonts w:hint="default" w:ascii="Times New Roman" w:hAnsi="Times New Roman" w:eastAsia="宋体" w:cs="Times New Roman"/>
          <w:color w:val="auto"/>
          <w:sz w:val="24"/>
          <w:szCs w:val="24"/>
          <w:highlight w:val="none"/>
          <w:lang w:val="en-GB"/>
        </w:rPr>
        <w:t>图1.7-1</w:t>
      </w:r>
      <w:r>
        <w:rPr>
          <w:rFonts w:hint="eastAsia" w:ascii="Times New Roman" w:hAnsi="Times New Roman" w:eastAsia="宋体" w:cs="Times New Roman"/>
          <w:color w:val="auto"/>
          <w:sz w:val="24"/>
          <w:szCs w:val="24"/>
          <w:highlight w:val="none"/>
          <w:lang w:val="en-US" w:eastAsia="zh-CN"/>
        </w:rPr>
        <w:t>~1.7-3</w:t>
      </w:r>
      <w:r>
        <w:rPr>
          <w:rFonts w:hint="default" w:ascii="Times New Roman" w:hAnsi="Times New Roman" w:eastAsia="宋体" w:cs="Times New Roman"/>
          <w:color w:val="auto"/>
          <w:sz w:val="24"/>
          <w:szCs w:val="24"/>
          <w:lang w:val="en-GB"/>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9"/>
        <w:rPr>
          <w:rFonts w:hint="default" w:ascii="Times New Roman" w:hAnsi="Times New Roman" w:eastAsia="黑体" w:cs="Times New Roman"/>
          <w:b w:val="0"/>
          <w:bCs/>
          <w:color w:val="auto"/>
          <w:sz w:val="24"/>
          <w:szCs w:val="22"/>
        </w:rPr>
      </w:pPr>
      <w:r>
        <w:rPr>
          <w:rFonts w:hint="default" w:ascii="Times New Roman" w:hAnsi="Times New Roman" w:eastAsia="黑体" w:cs="Times New Roman"/>
          <w:b w:val="0"/>
          <w:bCs/>
          <w:color w:val="auto"/>
          <w:sz w:val="24"/>
          <w:szCs w:val="22"/>
        </w:rPr>
        <w:t>表1.7-1 项目周边主要保护目标情况</w:t>
      </w:r>
    </w:p>
    <w:tbl>
      <w:tblPr>
        <w:tblStyle w:val="90"/>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71"/>
        <w:gridCol w:w="960"/>
        <w:gridCol w:w="1500"/>
        <w:gridCol w:w="2110"/>
        <w:gridCol w:w="960"/>
        <w:gridCol w:w="22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hint="default" w:ascii="Times New Roman" w:hAnsi="Times New Roman" w:eastAsia="宋体" w:cs="Times New Roman"/>
                <w:color w:val="auto"/>
                <w:sz w:val="21"/>
                <w:szCs w:val="20"/>
              </w:rPr>
              <w:t>环境</w:t>
            </w:r>
          </w:p>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hint="default" w:ascii="Times New Roman" w:hAnsi="Times New Roman" w:eastAsia="宋体" w:cs="Times New Roman"/>
                <w:color w:val="auto"/>
                <w:sz w:val="21"/>
                <w:szCs w:val="20"/>
              </w:rPr>
              <w:t>因素</w:t>
            </w:r>
          </w:p>
        </w:tc>
        <w:tc>
          <w:tcPr>
            <w:tcW w:w="246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hint="default" w:ascii="Times New Roman" w:hAnsi="Times New Roman" w:eastAsia="宋体" w:cs="Times New Roman"/>
                <w:color w:val="auto"/>
                <w:sz w:val="21"/>
                <w:szCs w:val="20"/>
              </w:rPr>
              <w:t>保护目标</w:t>
            </w:r>
          </w:p>
        </w:tc>
        <w:tc>
          <w:tcPr>
            <w:tcW w:w="21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hint="default" w:ascii="Times New Roman" w:hAnsi="Times New Roman" w:eastAsia="宋体" w:cs="Times New Roman"/>
                <w:color w:val="auto"/>
                <w:sz w:val="21"/>
                <w:szCs w:val="20"/>
              </w:rPr>
              <w:t>相对位置</w:t>
            </w:r>
          </w:p>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hint="default" w:ascii="Times New Roman" w:hAnsi="Times New Roman" w:eastAsia="宋体" w:cs="Times New Roman"/>
                <w:color w:val="auto"/>
                <w:sz w:val="21"/>
                <w:szCs w:val="20"/>
              </w:rPr>
              <w:t>距厂界最近距离（m）</w:t>
            </w:r>
          </w:p>
        </w:tc>
        <w:tc>
          <w:tcPr>
            <w:tcW w:w="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lang w:eastAsia="zh-CN"/>
              </w:rPr>
            </w:pPr>
            <w:r>
              <w:rPr>
                <w:rFonts w:hint="default" w:ascii="Times New Roman" w:hAnsi="Times New Roman" w:eastAsia="宋体" w:cs="Times New Roman"/>
                <w:color w:val="auto"/>
                <w:sz w:val="21"/>
                <w:szCs w:val="20"/>
              </w:rPr>
              <w:t>规模</w:t>
            </w:r>
            <w:r>
              <w:rPr>
                <w:rFonts w:hint="default" w:ascii="Times New Roman" w:hAnsi="Times New Roman" w:eastAsia="宋体" w:cs="Times New Roman"/>
                <w:color w:val="auto"/>
                <w:sz w:val="21"/>
                <w:szCs w:val="20"/>
                <w:lang w:eastAsia="zh-CN"/>
              </w:rPr>
              <w:t>（人）</w:t>
            </w:r>
          </w:p>
        </w:tc>
        <w:tc>
          <w:tcPr>
            <w:tcW w:w="22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hint="default" w:ascii="Times New Roman" w:hAnsi="Times New Roman" w:eastAsia="宋体" w:cs="Times New Roman"/>
                <w:color w:val="auto"/>
                <w:sz w:val="21"/>
                <w:szCs w:val="20"/>
              </w:rPr>
              <w:t>环境功能及保护要求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71"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eastAsia" w:ascii="Times New Roman" w:hAnsi="Times New Roman" w:eastAsia="宋体" w:cs="Times New Roman"/>
                <w:color w:val="auto"/>
                <w:sz w:val="21"/>
                <w:szCs w:val="20"/>
                <w:lang w:eastAsia="zh-CN"/>
              </w:rPr>
            </w:pPr>
            <w:r>
              <w:rPr>
                <w:rFonts w:hint="default" w:ascii="Times New Roman" w:hAnsi="Times New Roman" w:eastAsia="宋体" w:cs="Times New Roman"/>
                <w:color w:val="auto"/>
                <w:kern w:val="0"/>
                <w:sz w:val="21"/>
                <w:szCs w:val="21"/>
              </w:rPr>
              <w:t>大气环境</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项目边界5km矩形范围</w:t>
            </w:r>
            <w:r>
              <w:rPr>
                <w:rFonts w:hint="eastAsia" w:ascii="Times New Roman" w:hAnsi="Times New Roman" w:eastAsia="宋体" w:cs="Times New Roman"/>
                <w:color w:val="auto"/>
                <w:kern w:val="0"/>
                <w:sz w:val="21"/>
                <w:szCs w:val="21"/>
                <w:lang w:eastAsia="zh-CN"/>
              </w:rPr>
              <w:t>）</w:t>
            </w:r>
          </w:p>
        </w:tc>
        <w:tc>
          <w:tcPr>
            <w:tcW w:w="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hint="default" w:ascii="Times New Roman" w:hAnsi="Times New Roman" w:eastAsia="宋体" w:cs="Times New Roman"/>
                <w:color w:val="auto"/>
                <w:sz w:val="21"/>
                <w:szCs w:val="22"/>
                <w:highlight w:val="none"/>
              </w:rPr>
              <w:t>南曹村</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eastAsia" w:ascii="Times New Roman" w:hAnsi="Times New Roman" w:eastAsia="宋体" w:cs="Times New Roman"/>
                <w:color w:val="auto"/>
                <w:sz w:val="21"/>
                <w:szCs w:val="22"/>
                <w:highlight w:val="none"/>
                <w:lang w:eastAsia="zh-CN"/>
              </w:rPr>
            </w:pPr>
            <w:r>
              <w:rPr>
                <w:rFonts w:eastAsia="宋体"/>
                <w:color w:val="auto"/>
                <w:sz w:val="21"/>
                <w:szCs w:val="22"/>
              </w:rPr>
              <w:t>芝山、高局、西山、下渚</w:t>
            </w:r>
          </w:p>
        </w:tc>
        <w:tc>
          <w:tcPr>
            <w:tcW w:w="21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hint="eastAsia" w:ascii="Times New Roman" w:hAnsi="Times New Roman" w:eastAsia="宋体" w:cs="Times New Roman"/>
                <w:color w:val="auto"/>
                <w:sz w:val="21"/>
                <w:szCs w:val="20"/>
                <w:highlight w:val="none"/>
                <w:lang w:val="en-US" w:eastAsia="zh-CN"/>
              </w:rPr>
              <w:t>N</w:t>
            </w:r>
            <w:r>
              <w:rPr>
                <w:rFonts w:hint="default" w:ascii="Times New Roman" w:hAnsi="Times New Roman" w:eastAsia="宋体" w:cs="Times New Roman"/>
                <w:color w:val="auto"/>
                <w:sz w:val="21"/>
                <w:szCs w:val="20"/>
                <w:highlight w:val="none"/>
                <w:lang w:val="en-US" w:eastAsia="zh-CN"/>
              </w:rPr>
              <w:t>E</w:t>
            </w:r>
            <w:r>
              <w:rPr>
                <w:rFonts w:hint="eastAsia" w:ascii="Times New Roman" w:hAnsi="Times New Roman" w:eastAsia="宋体" w:cs="Times New Roman"/>
                <w:color w:val="auto"/>
                <w:sz w:val="21"/>
                <w:szCs w:val="20"/>
                <w:highlight w:val="none"/>
                <w:lang w:val="en-US" w:eastAsia="zh-CN"/>
              </w:rPr>
              <w:t xml:space="preserve"> </w:t>
            </w:r>
            <w:r>
              <w:rPr>
                <w:rFonts w:hint="default" w:ascii="Times New Roman" w:hAnsi="Times New Roman" w:eastAsia="宋体" w:cs="Times New Roman"/>
                <w:color w:val="auto"/>
                <w:sz w:val="21"/>
                <w:szCs w:val="20"/>
                <w:highlight w:val="none"/>
                <w:lang w:val="en-US" w:eastAsia="zh-CN"/>
              </w:rPr>
              <w:t>915</w:t>
            </w:r>
          </w:p>
        </w:tc>
        <w:tc>
          <w:tcPr>
            <w:tcW w:w="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eastAsia="宋体"/>
                <w:color w:val="auto"/>
                <w:sz w:val="21"/>
                <w:szCs w:val="22"/>
              </w:rPr>
              <w:t>6900</w:t>
            </w:r>
          </w:p>
        </w:tc>
        <w:tc>
          <w:tcPr>
            <w:tcW w:w="222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hint="default" w:ascii="Times New Roman" w:hAnsi="Times New Roman" w:eastAsia="宋体" w:cs="Times New Roman"/>
                <w:color w:val="auto"/>
                <w:sz w:val="21"/>
                <w:szCs w:val="20"/>
              </w:rPr>
              <w:t>大气环境</w:t>
            </w:r>
          </w:p>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hint="default" w:ascii="Times New Roman" w:hAnsi="Times New Roman" w:eastAsia="宋体" w:cs="Times New Roman"/>
                <w:color w:val="auto"/>
                <w:sz w:val="21"/>
                <w:szCs w:val="20"/>
              </w:rPr>
              <w:t>二类功能区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vMerge w:val="continue"/>
            <w:tcBorders>
              <w:tl2br w:val="nil"/>
              <w:tr2bl w:val="nil"/>
            </w:tcBorders>
            <w:noWrap w:val="0"/>
          </w:tcPr>
          <w:p/>
        </w:tc>
        <w:tc>
          <w:tcPr>
            <w:tcW w:w="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eastAsia="宋体"/>
                <w:color w:val="auto"/>
                <w:sz w:val="21"/>
                <w:szCs w:val="22"/>
              </w:rPr>
              <w:t>东井村</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eastAsia="宋体"/>
                <w:color w:val="auto"/>
                <w:sz w:val="21"/>
                <w:szCs w:val="22"/>
              </w:rPr>
              <w:t>东埕、凤柄、山头</w:t>
            </w:r>
          </w:p>
        </w:tc>
        <w:tc>
          <w:tcPr>
            <w:tcW w:w="21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hint="default" w:ascii="Times New Roman" w:hAnsi="Times New Roman" w:eastAsia="宋体" w:cs="Times New Roman"/>
                <w:color w:val="auto"/>
                <w:sz w:val="21"/>
                <w:szCs w:val="20"/>
                <w:highlight w:val="none"/>
                <w:lang w:val="en-US" w:eastAsia="zh-CN"/>
              </w:rPr>
              <w:t>NE 2450</w:t>
            </w:r>
          </w:p>
        </w:tc>
        <w:tc>
          <w:tcPr>
            <w:tcW w:w="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eastAsia="宋体"/>
                <w:color w:val="auto"/>
                <w:sz w:val="21"/>
                <w:szCs w:val="22"/>
              </w:rPr>
              <w:t>4636</w:t>
            </w:r>
          </w:p>
        </w:tc>
        <w:tc>
          <w:tcPr>
            <w:vMerge w:val="continue"/>
            <w:tcBorders>
              <w:tl2br w:val="nil"/>
              <w:tr2bl w:val="nil"/>
            </w:tcBorders>
            <w:noWrap w:val="0"/>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vMerge w:val="continue"/>
            <w:tcBorders>
              <w:tl2br w:val="nil"/>
              <w:tr2bl w:val="nil"/>
            </w:tcBorders>
            <w:noWrap w:val="0"/>
          </w:tcPr>
          <w:p/>
        </w:tc>
        <w:tc>
          <w:tcPr>
            <w:tcW w:w="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firstLine="0"/>
              <w:jc w:val="both"/>
              <w:textAlignment w:val="auto"/>
              <w:outlineLvl w:val="9"/>
              <w:rPr>
                <w:rFonts w:hint="default" w:ascii="Times New Roman" w:hAnsi="Times New Roman" w:eastAsia="宋体" w:cs="Times New Roman"/>
                <w:color w:val="auto"/>
                <w:sz w:val="21"/>
                <w:szCs w:val="20"/>
              </w:rPr>
            </w:pPr>
            <w:r>
              <w:rPr>
                <w:rFonts w:eastAsia="宋体"/>
                <w:color w:val="auto"/>
                <w:sz w:val="21"/>
                <w:szCs w:val="22"/>
              </w:rPr>
              <w:t>何厝村</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firstLine="0"/>
              <w:jc w:val="center"/>
              <w:textAlignment w:val="auto"/>
              <w:outlineLvl w:val="9"/>
              <w:rPr>
                <w:rFonts w:hint="default" w:ascii="Times New Roman" w:hAnsi="Times New Roman" w:eastAsia="宋体" w:cs="Times New Roman"/>
                <w:color w:val="auto"/>
                <w:sz w:val="21"/>
                <w:szCs w:val="20"/>
              </w:rPr>
            </w:pPr>
            <w:r>
              <w:rPr>
                <w:rFonts w:eastAsia="宋体"/>
                <w:color w:val="auto"/>
                <w:sz w:val="21"/>
                <w:szCs w:val="22"/>
              </w:rPr>
              <w:t>后林、庄西林、岭兜</w:t>
            </w:r>
          </w:p>
        </w:tc>
        <w:tc>
          <w:tcPr>
            <w:tcW w:w="21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hint="default" w:ascii="Times New Roman" w:hAnsi="Times New Roman" w:eastAsia="宋体" w:cs="Times New Roman"/>
                <w:color w:val="auto"/>
                <w:sz w:val="21"/>
                <w:szCs w:val="20"/>
                <w:highlight w:val="none"/>
                <w:lang w:val="en-US" w:eastAsia="zh-CN"/>
              </w:rPr>
              <w:t>SE 1821</w:t>
            </w:r>
          </w:p>
        </w:tc>
        <w:tc>
          <w:tcPr>
            <w:tcW w:w="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eastAsia="宋体"/>
                <w:color w:val="auto"/>
                <w:sz w:val="21"/>
                <w:szCs w:val="22"/>
              </w:rPr>
              <w:t>5200</w:t>
            </w:r>
          </w:p>
        </w:tc>
        <w:tc>
          <w:tcPr>
            <w:vMerge w:val="continue"/>
            <w:tcBorders>
              <w:tl2br w:val="nil"/>
              <w:tr2bl w:val="nil"/>
            </w:tcBorders>
            <w:noWrap w:val="0"/>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vMerge w:val="continue"/>
            <w:tcBorders>
              <w:tl2br w:val="nil"/>
              <w:tr2bl w:val="nil"/>
            </w:tcBorders>
            <w:noWrap w:val="0"/>
          </w:tcPr>
          <w:p/>
        </w:tc>
        <w:tc>
          <w:tcPr>
            <w:tcW w:w="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hint="default" w:ascii="Times New Roman" w:hAnsi="Times New Roman" w:eastAsia="宋体" w:cs="Times New Roman"/>
                <w:color w:val="auto"/>
                <w:sz w:val="21"/>
                <w:szCs w:val="22"/>
                <w:highlight w:val="none"/>
              </w:rPr>
              <w:t>沾泽村</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eastAsia="宋体"/>
                <w:color w:val="auto"/>
                <w:sz w:val="21"/>
                <w:szCs w:val="22"/>
              </w:rPr>
              <w:t>孙卓、垄北</w:t>
            </w:r>
          </w:p>
        </w:tc>
        <w:tc>
          <w:tcPr>
            <w:tcW w:w="21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lang w:val="en-US"/>
              </w:rPr>
            </w:pPr>
            <w:r>
              <w:rPr>
                <w:rFonts w:hint="default" w:ascii="Times New Roman" w:hAnsi="Times New Roman" w:eastAsia="宋体" w:cs="Times New Roman"/>
                <w:color w:val="auto"/>
                <w:sz w:val="21"/>
                <w:szCs w:val="20"/>
                <w:highlight w:val="none"/>
                <w:lang w:val="en-US" w:eastAsia="zh-CN"/>
              </w:rPr>
              <w:t>NE 2387</w:t>
            </w:r>
          </w:p>
        </w:tc>
        <w:tc>
          <w:tcPr>
            <w:tcW w:w="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eastAsia="宋体"/>
                <w:color w:val="auto"/>
                <w:sz w:val="21"/>
                <w:szCs w:val="22"/>
              </w:rPr>
              <w:t>3300</w:t>
            </w:r>
          </w:p>
        </w:tc>
        <w:tc>
          <w:tcPr>
            <w:vMerge w:val="continue"/>
            <w:tcBorders>
              <w:tl2br w:val="nil"/>
              <w:tr2bl w:val="nil"/>
            </w:tcBorders>
            <w:noWrap w:val="0"/>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60" w:hRule="atLeast"/>
        </w:trPr>
        <w:tc>
          <w:tcPr>
            <w:tcW w:w="871"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eastAsia" w:ascii="Times New Roman" w:hAnsi="Times New Roman" w:eastAsia="宋体" w:cs="Times New Roman"/>
                <w:color w:val="auto"/>
                <w:sz w:val="21"/>
                <w:szCs w:val="20"/>
                <w:lang w:eastAsia="zh-CN"/>
              </w:rPr>
            </w:pPr>
            <w:r>
              <w:rPr>
                <w:rFonts w:hint="default" w:ascii="Times New Roman" w:hAnsi="Times New Roman" w:eastAsia="宋体" w:cs="Times New Roman"/>
                <w:color w:val="auto"/>
                <w:kern w:val="0"/>
                <w:sz w:val="21"/>
                <w:szCs w:val="21"/>
              </w:rPr>
              <w:t>环境风险</w:t>
            </w:r>
          </w:p>
        </w:tc>
        <w:tc>
          <w:tcPr>
            <w:tcW w:w="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eastAsia="宋体"/>
                <w:color w:val="FF0000"/>
                <w:sz w:val="21"/>
                <w:szCs w:val="22"/>
              </w:rPr>
            </w:pPr>
            <w:r>
              <w:rPr>
                <w:rFonts w:hint="default" w:ascii="Times New Roman" w:hAnsi="Times New Roman" w:eastAsia="宋体" w:cs="Times New Roman"/>
                <w:color w:val="auto"/>
                <w:sz w:val="21"/>
                <w:szCs w:val="22"/>
                <w:highlight w:val="none"/>
              </w:rPr>
              <w:t>南曹村</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eastAsia="宋体"/>
                <w:color w:val="auto"/>
                <w:sz w:val="21"/>
                <w:szCs w:val="22"/>
              </w:rPr>
            </w:pPr>
            <w:r>
              <w:rPr>
                <w:rFonts w:eastAsia="宋体"/>
                <w:color w:val="auto"/>
                <w:sz w:val="21"/>
                <w:szCs w:val="22"/>
              </w:rPr>
              <w:t>芝山、高局、西山、下渚</w:t>
            </w:r>
          </w:p>
        </w:tc>
        <w:tc>
          <w:tcPr>
            <w:tcW w:w="21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eastAsia" w:eastAsia="宋体"/>
                <w:color w:val="auto"/>
                <w:sz w:val="21"/>
                <w:szCs w:val="22"/>
                <w:lang w:val="en-US" w:eastAsia="zh-CN"/>
              </w:rPr>
            </w:pPr>
            <w:r>
              <w:rPr>
                <w:rFonts w:hint="eastAsia" w:ascii="Times New Roman" w:hAnsi="Times New Roman" w:eastAsia="宋体" w:cs="Times New Roman"/>
                <w:color w:val="auto"/>
                <w:sz w:val="21"/>
                <w:szCs w:val="20"/>
                <w:highlight w:val="none"/>
                <w:lang w:val="en-US" w:eastAsia="zh-CN"/>
              </w:rPr>
              <w:t>N</w:t>
            </w:r>
            <w:r>
              <w:rPr>
                <w:rFonts w:hint="default" w:ascii="Times New Roman" w:hAnsi="Times New Roman" w:eastAsia="宋体" w:cs="Times New Roman"/>
                <w:color w:val="auto"/>
                <w:sz w:val="21"/>
                <w:szCs w:val="20"/>
                <w:highlight w:val="none"/>
                <w:lang w:val="en-US" w:eastAsia="zh-CN"/>
              </w:rPr>
              <w:t>E</w:t>
            </w:r>
            <w:r>
              <w:rPr>
                <w:rFonts w:hint="eastAsia" w:ascii="Times New Roman" w:hAnsi="Times New Roman" w:eastAsia="宋体" w:cs="Times New Roman"/>
                <w:color w:val="auto"/>
                <w:sz w:val="21"/>
                <w:szCs w:val="20"/>
                <w:highlight w:val="none"/>
                <w:lang w:val="en-US" w:eastAsia="zh-CN"/>
              </w:rPr>
              <w:t xml:space="preserve"> </w:t>
            </w:r>
            <w:r>
              <w:rPr>
                <w:rFonts w:hint="default" w:ascii="Times New Roman" w:hAnsi="Times New Roman" w:eastAsia="宋体" w:cs="Times New Roman"/>
                <w:color w:val="auto"/>
                <w:sz w:val="21"/>
                <w:szCs w:val="20"/>
                <w:highlight w:val="none"/>
                <w:lang w:val="en-US" w:eastAsia="zh-CN"/>
              </w:rPr>
              <w:t>915</w:t>
            </w:r>
          </w:p>
        </w:tc>
        <w:tc>
          <w:tcPr>
            <w:tcW w:w="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eastAsia="宋体"/>
                <w:color w:val="auto"/>
                <w:sz w:val="21"/>
                <w:szCs w:val="22"/>
              </w:rPr>
            </w:pPr>
            <w:r>
              <w:rPr>
                <w:rFonts w:eastAsia="宋体"/>
                <w:color w:val="auto"/>
                <w:sz w:val="21"/>
                <w:szCs w:val="22"/>
              </w:rPr>
              <w:t>6900</w:t>
            </w:r>
          </w:p>
        </w:tc>
        <w:tc>
          <w:tcPr>
            <w:tcW w:w="222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hint="default" w:ascii="Times New Roman" w:hAnsi="Times New Roman" w:eastAsia="宋体" w:cs="Times New Roman"/>
                <w:color w:val="auto"/>
                <w:sz w:val="21"/>
                <w:szCs w:val="20"/>
              </w:rPr>
              <w:t>预防突发环境事件，有效应对，控制环境风险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60" w:hRule="atLeast"/>
        </w:trPr>
        <w:tc>
          <w:tcPr>
            <w:vMerge w:val="continue"/>
            <w:tcBorders>
              <w:tl2br w:val="nil"/>
              <w:tr2bl w:val="nil"/>
            </w:tcBorders>
            <w:noWrap w:val="0"/>
          </w:tcPr>
          <w:p/>
        </w:tc>
        <w:tc>
          <w:tcPr>
            <w:tcW w:w="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eastAsia="宋体"/>
                <w:color w:val="FF0000"/>
                <w:sz w:val="21"/>
                <w:szCs w:val="22"/>
              </w:rPr>
            </w:pPr>
            <w:r>
              <w:rPr>
                <w:rFonts w:eastAsia="宋体"/>
                <w:color w:val="auto"/>
                <w:sz w:val="21"/>
                <w:szCs w:val="22"/>
              </w:rPr>
              <w:t>东井村</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eastAsia="宋体"/>
                <w:color w:val="auto"/>
                <w:sz w:val="21"/>
                <w:szCs w:val="22"/>
              </w:rPr>
            </w:pPr>
            <w:r>
              <w:rPr>
                <w:rFonts w:eastAsia="宋体"/>
                <w:color w:val="auto"/>
                <w:sz w:val="21"/>
                <w:szCs w:val="22"/>
              </w:rPr>
              <w:t>东埕、凤柄、山头</w:t>
            </w:r>
          </w:p>
        </w:tc>
        <w:tc>
          <w:tcPr>
            <w:tcW w:w="21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eastAsia" w:eastAsia="宋体"/>
                <w:color w:val="auto"/>
                <w:sz w:val="21"/>
                <w:szCs w:val="22"/>
                <w:lang w:val="en-US" w:eastAsia="zh-CN"/>
              </w:rPr>
            </w:pPr>
            <w:r>
              <w:rPr>
                <w:rFonts w:hint="default" w:ascii="Times New Roman" w:hAnsi="Times New Roman" w:eastAsia="宋体" w:cs="Times New Roman"/>
                <w:color w:val="auto"/>
                <w:sz w:val="21"/>
                <w:szCs w:val="20"/>
                <w:highlight w:val="none"/>
                <w:lang w:val="en-US" w:eastAsia="zh-CN"/>
              </w:rPr>
              <w:t>NE 2450</w:t>
            </w:r>
          </w:p>
        </w:tc>
        <w:tc>
          <w:tcPr>
            <w:tcW w:w="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eastAsia="宋体"/>
                <w:color w:val="auto"/>
                <w:sz w:val="21"/>
                <w:szCs w:val="22"/>
              </w:rPr>
            </w:pPr>
            <w:r>
              <w:rPr>
                <w:rFonts w:eastAsia="宋体"/>
                <w:color w:val="auto"/>
                <w:sz w:val="21"/>
                <w:szCs w:val="22"/>
              </w:rPr>
              <w:t>4636</w:t>
            </w:r>
          </w:p>
        </w:tc>
        <w:tc>
          <w:tcPr>
            <w:vMerge w:val="continue"/>
            <w:tcBorders>
              <w:tl2br w:val="nil"/>
              <w:tr2bl w:val="nil"/>
            </w:tcBorders>
            <w:noWrap w:val="0"/>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60" w:hRule="atLeast"/>
        </w:trPr>
        <w:tc>
          <w:tcPr>
            <w:vMerge w:val="continue"/>
            <w:tcBorders>
              <w:tl2br w:val="nil"/>
              <w:tr2bl w:val="nil"/>
            </w:tcBorders>
            <w:noWrap w:val="0"/>
          </w:tcPr>
          <w:p/>
        </w:tc>
        <w:tc>
          <w:tcPr>
            <w:tcW w:w="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firstLine="0"/>
              <w:jc w:val="both"/>
              <w:textAlignment w:val="auto"/>
              <w:outlineLvl w:val="9"/>
              <w:rPr>
                <w:rFonts w:eastAsia="宋体"/>
                <w:color w:val="FF0000"/>
                <w:sz w:val="21"/>
                <w:szCs w:val="22"/>
              </w:rPr>
            </w:pPr>
            <w:r>
              <w:rPr>
                <w:rFonts w:eastAsia="宋体"/>
                <w:color w:val="auto"/>
                <w:sz w:val="21"/>
                <w:szCs w:val="22"/>
              </w:rPr>
              <w:t>何厝村</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firstLine="0"/>
              <w:jc w:val="center"/>
              <w:textAlignment w:val="auto"/>
              <w:outlineLvl w:val="9"/>
              <w:rPr>
                <w:rFonts w:eastAsia="宋体"/>
                <w:color w:val="auto"/>
                <w:sz w:val="21"/>
                <w:szCs w:val="22"/>
              </w:rPr>
            </w:pPr>
            <w:r>
              <w:rPr>
                <w:rFonts w:eastAsia="宋体"/>
                <w:color w:val="auto"/>
                <w:sz w:val="21"/>
                <w:szCs w:val="22"/>
              </w:rPr>
              <w:t>后林、庄西林、岭兜</w:t>
            </w:r>
          </w:p>
        </w:tc>
        <w:tc>
          <w:tcPr>
            <w:tcW w:w="21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eastAsia" w:eastAsia="宋体"/>
                <w:color w:val="auto"/>
                <w:sz w:val="21"/>
                <w:szCs w:val="22"/>
                <w:lang w:val="en-US" w:eastAsia="zh-CN"/>
              </w:rPr>
            </w:pPr>
            <w:r>
              <w:rPr>
                <w:rFonts w:hint="default" w:ascii="Times New Roman" w:hAnsi="Times New Roman" w:eastAsia="宋体" w:cs="Times New Roman"/>
                <w:color w:val="auto"/>
                <w:sz w:val="21"/>
                <w:szCs w:val="20"/>
                <w:highlight w:val="none"/>
                <w:lang w:val="en-US" w:eastAsia="zh-CN"/>
              </w:rPr>
              <w:t>SE 1821</w:t>
            </w:r>
          </w:p>
        </w:tc>
        <w:tc>
          <w:tcPr>
            <w:tcW w:w="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eastAsia="宋体"/>
                <w:color w:val="auto"/>
                <w:sz w:val="21"/>
                <w:szCs w:val="22"/>
              </w:rPr>
            </w:pPr>
            <w:r>
              <w:rPr>
                <w:rFonts w:eastAsia="宋体"/>
                <w:color w:val="auto"/>
                <w:sz w:val="21"/>
                <w:szCs w:val="22"/>
              </w:rPr>
              <w:t>5200</w:t>
            </w:r>
          </w:p>
        </w:tc>
        <w:tc>
          <w:tcPr>
            <w:vMerge w:val="continue"/>
            <w:tcBorders>
              <w:tl2br w:val="nil"/>
              <w:tr2bl w:val="nil"/>
            </w:tcBorders>
            <w:noWrap w:val="0"/>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5" w:hRule="atLeast"/>
        </w:trPr>
        <w:tc>
          <w:tcPr>
            <w:vMerge w:val="continue"/>
            <w:tcBorders>
              <w:tl2br w:val="nil"/>
              <w:tr2bl w:val="nil"/>
            </w:tcBorders>
            <w:noWrap w:val="0"/>
          </w:tcPr>
          <w:p/>
        </w:tc>
        <w:tc>
          <w:tcPr>
            <w:tcW w:w="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eastAsia="宋体"/>
                <w:color w:val="FF0000"/>
                <w:sz w:val="21"/>
                <w:szCs w:val="22"/>
              </w:rPr>
            </w:pPr>
            <w:r>
              <w:rPr>
                <w:rFonts w:hint="default" w:ascii="Times New Roman" w:hAnsi="Times New Roman" w:eastAsia="宋体" w:cs="Times New Roman"/>
                <w:color w:val="auto"/>
                <w:sz w:val="21"/>
                <w:szCs w:val="22"/>
                <w:highlight w:val="none"/>
              </w:rPr>
              <w:t>沾泽村</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eastAsia="宋体"/>
                <w:color w:val="auto"/>
                <w:sz w:val="21"/>
                <w:szCs w:val="22"/>
              </w:rPr>
            </w:pPr>
            <w:r>
              <w:rPr>
                <w:rFonts w:eastAsia="宋体"/>
                <w:color w:val="auto"/>
                <w:sz w:val="21"/>
                <w:szCs w:val="22"/>
              </w:rPr>
              <w:t>孙卓、垄北</w:t>
            </w:r>
          </w:p>
        </w:tc>
        <w:tc>
          <w:tcPr>
            <w:tcW w:w="21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eastAsia" w:eastAsia="宋体"/>
                <w:color w:val="auto"/>
                <w:sz w:val="21"/>
                <w:szCs w:val="22"/>
                <w:lang w:val="en-US" w:eastAsia="zh-CN"/>
              </w:rPr>
            </w:pPr>
            <w:r>
              <w:rPr>
                <w:rFonts w:hint="default" w:ascii="Times New Roman" w:hAnsi="Times New Roman" w:eastAsia="宋体" w:cs="Times New Roman"/>
                <w:color w:val="auto"/>
                <w:sz w:val="21"/>
                <w:szCs w:val="20"/>
                <w:highlight w:val="none"/>
                <w:lang w:val="en-US" w:eastAsia="zh-CN"/>
              </w:rPr>
              <w:t>NE 2387</w:t>
            </w:r>
          </w:p>
        </w:tc>
        <w:tc>
          <w:tcPr>
            <w:tcW w:w="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eastAsia="宋体"/>
                <w:color w:val="auto"/>
                <w:sz w:val="21"/>
                <w:szCs w:val="22"/>
              </w:rPr>
            </w:pPr>
            <w:r>
              <w:rPr>
                <w:rFonts w:eastAsia="宋体"/>
                <w:color w:val="auto"/>
                <w:sz w:val="21"/>
                <w:szCs w:val="22"/>
              </w:rPr>
              <w:t>3300</w:t>
            </w:r>
          </w:p>
        </w:tc>
        <w:tc>
          <w:tcPr>
            <w:vMerge w:val="continue"/>
            <w:tcBorders>
              <w:tl2br w:val="nil"/>
              <w:tr2bl w:val="nil"/>
            </w:tcBorders>
            <w:noWrap w:val="0"/>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60" w:hRule="atLeast"/>
        </w:trPr>
        <w:tc>
          <w:tcPr>
            <w:vMerge w:val="continue"/>
            <w:tcBorders>
              <w:tl2br w:val="nil"/>
              <w:tr2bl w:val="nil"/>
            </w:tcBorders>
            <w:noWrap w:val="0"/>
          </w:tcPr>
          <w:p/>
        </w:tc>
        <w:tc>
          <w:tcPr>
            <w:tcW w:w="960" w:type="dxa"/>
            <w:tcBorders>
              <w:tl2br w:val="nil"/>
              <w:tr2bl w:val="nil"/>
            </w:tcBorders>
            <w:noWrap w:val="0"/>
            <w:vAlign w:val="center"/>
          </w:tcPr>
          <w:p>
            <w:pPr>
              <w:widowControl/>
              <w:adjustRightInd w:val="0"/>
              <w:snapToGrid w:val="0"/>
              <w:spacing w:line="240" w:lineRule="auto"/>
              <w:ind w:firstLine="0"/>
              <w:jc w:val="center"/>
              <w:rPr>
                <w:rFonts w:eastAsia="宋体"/>
                <w:color w:val="FF0000"/>
                <w:sz w:val="21"/>
                <w:szCs w:val="22"/>
              </w:rPr>
            </w:pPr>
            <w:r>
              <w:rPr>
                <w:rFonts w:eastAsia="宋体"/>
                <w:color w:val="auto"/>
                <w:sz w:val="21"/>
                <w:szCs w:val="22"/>
              </w:rPr>
              <w:t>潘厝村</w:t>
            </w:r>
          </w:p>
        </w:tc>
        <w:tc>
          <w:tcPr>
            <w:tcW w:w="1500" w:type="dxa"/>
            <w:tcBorders>
              <w:tl2br w:val="nil"/>
              <w:tr2bl w:val="nil"/>
            </w:tcBorders>
            <w:noWrap w:val="0"/>
            <w:vAlign w:val="center"/>
          </w:tcPr>
          <w:p>
            <w:pPr>
              <w:widowControl/>
              <w:adjustRightInd w:val="0"/>
              <w:snapToGrid w:val="0"/>
              <w:spacing w:line="240" w:lineRule="auto"/>
              <w:ind w:firstLine="0"/>
              <w:jc w:val="center"/>
              <w:rPr>
                <w:rFonts w:eastAsia="宋体"/>
                <w:color w:val="auto"/>
                <w:sz w:val="21"/>
                <w:szCs w:val="22"/>
              </w:rPr>
            </w:pPr>
            <w:r>
              <w:rPr>
                <w:rFonts w:eastAsia="宋体"/>
                <w:color w:val="auto"/>
                <w:sz w:val="21"/>
                <w:szCs w:val="22"/>
              </w:rPr>
              <w:t>楼下店、南渚头、北渚头</w:t>
            </w:r>
          </w:p>
        </w:tc>
        <w:tc>
          <w:tcPr>
            <w:tcW w:w="2110" w:type="dxa"/>
            <w:tcBorders>
              <w:tl2br w:val="nil"/>
              <w:tr2bl w:val="nil"/>
            </w:tcBorders>
            <w:noWrap w:val="0"/>
            <w:vAlign w:val="center"/>
          </w:tcPr>
          <w:p>
            <w:pPr>
              <w:widowControl/>
              <w:adjustRightInd w:val="0"/>
              <w:snapToGrid w:val="0"/>
              <w:spacing w:line="240" w:lineRule="auto"/>
              <w:ind w:firstLine="0"/>
              <w:jc w:val="center"/>
              <w:rPr>
                <w:rFonts w:eastAsia="宋体"/>
                <w:color w:val="auto"/>
                <w:sz w:val="21"/>
                <w:szCs w:val="22"/>
                <w:lang w:val="en-US"/>
              </w:rPr>
            </w:pPr>
            <w:r>
              <w:rPr>
                <w:rFonts w:hint="eastAsia" w:eastAsia="宋体"/>
                <w:color w:val="auto"/>
                <w:sz w:val="21"/>
                <w:szCs w:val="22"/>
                <w:lang w:val="en-US" w:eastAsia="zh-CN"/>
              </w:rPr>
              <w:t>N</w:t>
            </w:r>
            <w:r>
              <w:rPr>
                <w:rFonts w:hint="default" w:eastAsia="宋体"/>
                <w:color w:val="auto"/>
                <w:sz w:val="21"/>
                <w:szCs w:val="22"/>
                <w:lang w:val="en-US" w:eastAsia="zh-CN"/>
              </w:rPr>
              <w:t>E</w:t>
            </w:r>
            <w:r>
              <w:rPr>
                <w:rFonts w:hint="eastAsia" w:eastAsia="宋体"/>
                <w:color w:val="auto"/>
                <w:sz w:val="21"/>
                <w:szCs w:val="22"/>
                <w:lang w:val="en-US" w:eastAsia="zh-CN"/>
              </w:rPr>
              <w:t>2936</w:t>
            </w:r>
          </w:p>
        </w:tc>
        <w:tc>
          <w:tcPr>
            <w:tcW w:w="960" w:type="dxa"/>
            <w:tcBorders>
              <w:tl2br w:val="nil"/>
              <w:tr2bl w:val="nil"/>
            </w:tcBorders>
            <w:noWrap w:val="0"/>
            <w:vAlign w:val="center"/>
          </w:tcPr>
          <w:p>
            <w:pPr>
              <w:widowControl/>
              <w:adjustRightInd w:val="0"/>
              <w:snapToGrid w:val="0"/>
              <w:spacing w:line="240" w:lineRule="auto"/>
              <w:ind w:firstLine="0"/>
              <w:jc w:val="center"/>
              <w:rPr>
                <w:rFonts w:hint="default" w:eastAsia="宋体"/>
                <w:color w:val="auto"/>
                <w:sz w:val="21"/>
                <w:szCs w:val="22"/>
                <w:lang w:val="en-US" w:eastAsia="zh-CN"/>
              </w:rPr>
            </w:pPr>
            <w:r>
              <w:rPr>
                <w:rFonts w:eastAsia="宋体"/>
                <w:color w:val="auto"/>
                <w:sz w:val="21"/>
                <w:szCs w:val="22"/>
              </w:rPr>
              <w:t>1056</w:t>
            </w:r>
          </w:p>
        </w:tc>
        <w:tc>
          <w:tcPr>
            <w:vMerge w:val="continue"/>
            <w:tcBorders>
              <w:tl2br w:val="nil"/>
              <w:tr2bl w:val="nil"/>
            </w:tcBorders>
            <w:noWrap w:val="0"/>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60" w:hRule="atLeast"/>
        </w:trPr>
        <w:tc>
          <w:tcPr>
            <w:vMerge w:val="continue"/>
            <w:tcBorders>
              <w:tl2br w:val="nil"/>
              <w:tr2bl w:val="nil"/>
            </w:tcBorders>
            <w:noWrap w:val="0"/>
          </w:tcPr>
          <w:p/>
        </w:tc>
        <w:tc>
          <w:tcPr>
            <w:tcW w:w="960" w:type="dxa"/>
            <w:tcBorders>
              <w:tl2br w:val="nil"/>
              <w:tr2bl w:val="nil"/>
            </w:tcBorders>
            <w:noWrap w:val="0"/>
            <w:vAlign w:val="center"/>
          </w:tcPr>
          <w:p>
            <w:pPr>
              <w:widowControl/>
              <w:adjustRightInd w:val="0"/>
              <w:snapToGrid w:val="0"/>
              <w:spacing w:line="240" w:lineRule="auto"/>
              <w:ind w:firstLine="0"/>
              <w:jc w:val="center"/>
              <w:rPr>
                <w:rFonts w:eastAsia="宋体"/>
                <w:color w:val="FF0000"/>
                <w:sz w:val="21"/>
                <w:szCs w:val="22"/>
              </w:rPr>
            </w:pPr>
            <w:r>
              <w:rPr>
                <w:rFonts w:eastAsia="宋体"/>
                <w:color w:val="auto"/>
                <w:sz w:val="21"/>
                <w:szCs w:val="22"/>
              </w:rPr>
              <w:t>下石村</w:t>
            </w:r>
          </w:p>
        </w:tc>
        <w:tc>
          <w:tcPr>
            <w:tcW w:w="1500" w:type="dxa"/>
            <w:tcBorders>
              <w:tl2br w:val="nil"/>
              <w:tr2bl w:val="nil"/>
            </w:tcBorders>
            <w:noWrap w:val="0"/>
            <w:vAlign w:val="center"/>
          </w:tcPr>
          <w:p>
            <w:pPr>
              <w:widowControl/>
              <w:adjustRightInd w:val="0"/>
              <w:snapToGrid w:val="0"/>
              <w:spacing w:line="240" w:lineRule="auto"/>
              <w:ind w:firstLine="0"/>
              <w:jc w:val="center"/>
              <w:rPr>
                <w:rFonts w:eastAsia="宋体"/>
                <w:color w:val="auto"/>
                <w:sz w:val="21"/>
                <w:szCs w:val="22"/>
              </w:rPr>
            </w:pPr>
            <w:r>
              <w:rPr>
                <w:rFonts w:eastAsia="宋体"/>
                <w:color w:val="auto"/>
                <w:sz w:val="21"/>
                <w:szCs w:val="22"/>
              </w:rPr>
              <w:t>钱塘、沙塘、张厝</w:t>
            </w:r>
          </w:p>
        </w:tc>
        <w:tc>
          <w:tcPr>
            <w:tcW w:w="21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eastAsia="宋体"/>
                <w:color w:val="auto"/>
                <w:sz w:val="21"/>
                <w:szCs w:val="22"/>
                <w:lang w:val="en-US" w:eastAsia="zh-CN"/>
              </w:rPr>
            </w:pPr>
            <w:r>
              <w:rPr>
                <w:rFonts w:hint="default" w:ascii="Times New Roman" w:hAnsi="Times New Roman" w:eastAsia="宋体" w:cs="Times New Roman"/>
                <w:color w:val="auto"/>
                <w:sz w:val="21"/>
                <w:szCs w:val="20"/>
                <w:highlight w:val="none"/>
                <w:lang w:val="en-US" w:eastAsia="zh-CN"/>
              </w:rPr>
              <w:t>SE</w:t>
            </w:r>
            <w:r>
              <w:rPr>
                <w:rFonts w:hint="eastAsia" w:ascii="Times New Roman" w:hAnsi="Times New Roman" w:eastAsia="宋体" w:cs="Times New Roman"/>
                <w:color w:val="auto"/>
                <w:sz w:val="21"/>
                <w:szCs w:val="20"/>
                <w:lang w:val="en-US" w:eastAsia="zh-CN"/>
              </w:rPr>
              <w:t>2800</w:t>
            </w:r>
          </w:p>
        </w:tc>
        <w:tc>
          <w:tcPr>
            <w:tcW w:w="9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eastAsia="宋体"/>
                <w:color w:val="auto"/>
                <w:sz w:val="21"/>
                <w:szCs w:val="22"/>
              </w:rPr>
            </w:pPr>
            <w:r>
              <w:rPr>
                <w:rFonts w:eastAsia="宋体"/>
                <w:color w:val="auto"/>
                <w:sz w:val="21"/>
                <w:szCs w:val="22"/>
              </w:rPr>
              <w:t>4600</w:t>
            </w:r>
          </w:p>
        </w:tc>
        <w:tc>
          <w:tcPr>
            <w:vMerge w:val="continue"/>
            <w:tcBorders>
              <w:tl2br w:val="nil"/>
              <w:tr2bl w:val="nil"/>
            </w:tcBorders>
            <w:noWrap w:val="0"/>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atLeast"/>
        </w:trPr>
        <w:tc>
          <w:tcPr>
            <w:vMerge w:val="continue"/>
            <w:tcBorders>
              <w:tl2br w:val="nil"/>
              <w:tr2bl w:val="nil"/>
            </w:tcBorders>
            <w:noWrap w:val="0"/>
          </w:tcPr>
          <w:p/>
        </w:tc>
        <w:tc>
          <w:tcPr>
            <w:tcW w:w="960" w:type="dxa"/>
            <w:tcBorders>
              <w:tl2br w:val="nil"/>
              <w:tr2bl w:val="nil"/>
            </w:tcBorders>
            <w:noWrap w:val="0"/>
            <w:vAlign w:val="center"/>
          </w:tcPr>
          <w:p>
            <w:pPr>
              <w:widowControl/>
              <w:adjustRightInd w:val="0"/>
              <w:snapToGrid w:val="0"/>
              <w:spacing w:line="240" w:lineRule="auto"/>
              <w:ind w:firstLine="0"/>
              <w:jc w:val="center"/>
              <w:rPr>
                <w:rFonts w:eastAsia="宋体"/>
                <w:color w:val="auto"/>
                <w:sz w:val="21"/>
                <w:szCs w:val="22"/>
              </w:rPr>
            </w:pPr>
            <w:r>
              <w:rPr>
                <w:rFonts w:eastAsia="宋体"/>
                <w:color w:val="auto"/>
                <w:sz w:val="21"/>
                <w:szCs w:val="22"/>
              </w:rPr>
              <w:t>下堡村</w:t>
            </w:r>
          </w:p>
        </w:tc>
        <w:tc>
          <w:tcPr>
            <w:tcW w:w="1500" w:type="dxa"/>
            <w:tcBorders>
              <w:tl2br w:val="nil"/>
              <w:tr2bl w:val="nil"/>
            </w:tcBorders>
            <w:noWrap w:val="0"/>
            <w:vAlign w:val="center"/>
          </w:tcPr>
          <w:p>
            <w:pPr>
              <w:widowControl/>
              <w:adjustRightInd w:val="0"/>
              <w:snapToGrid w:val="0"/>
              <w:spacing w:line="240" w:lineRule="auto"/>
              <w:ind w:firstLine="0"/>
              <w:jc w:val="center"/>
              <w:rPr>
                <w:rFonts w:eastAsia="宋体"/>
                <w:color w:val="auto"/>
                <w:sz w:val="21"/>
                <w:szCs w:val="22"/>
              </w:rPr>
            </w:pPr>
            <w:r>
              <w:rPr>
                <w:rFonts w:eastAsia="宋体"/>
                <w:color w:val="auto"/>
                <w:sz w:val="21"/>
                <w:szCs w:val="22"/>
              </w:rPr>
              <w:t>上堡、沙埔外</w:t>
            </w:r>
          </w:p>
        </w:tc>
        <w:tc>
          <w:tcPr>
            <w:tcW w:w="2110" w:type="dxa"/>
            <w:tcBorders>
              <w:tl2br w:val="nil"/>
              <w:tr2bl w:val="nil"/>
            </w:tcBorders>
            <w:noWrap w:val="0"/>
            <w:vAlign w:val="center"/>
          </w:tcPr>
          <w:p>
            <w:pPr>
              <w:widowControl/>
              <w:adjustRightInd w:val="0"/>
              <w:snapToGrid w:val="0"/>
              <w:spacing w:line="240" w:lineRule="auto"/>
              <w:ind w:firstLine="0"/>
              <w:jc w:val="center"/>
              <w:rPr>
                <w:rFonts w:hint="eastAsia" w:eastAsia="宋体"/>
                <w:color w:val="auto"/>
                <w:sz w:val="21"/>
                <w:szCs w:val="22"/>
                <w:lang w:val="en-US" w:eastAsia="zh-CN"/>
              </w:rPr>
            </w:pPr>
            <w:r>
              <w:rPr>
                <w:rFonts w:hint="default" w:ascii="Times New Roman" w:hAnsi="Times New Roman" w:eastAsia="宋体" w:cs="Times New Roman"/>
                <w:color w:val="auto"/>
                <w:sz w:val="21"/>
                <w:szCs w:val="20"/>
                <w:highlight w:val="none"/>
                <w:lang w:val="en-US" w:eastAsia="zh-CN"/>
              </w:rPr>
              <w:t>SE</w:t>
            </w:r>
            <w:r>
              <w:rPr>
                <w:rFonts w:hint="eastAsia" w:eastAsia="宋体"/>
                <w:color w:val="auto"/>
                <w:sz w:val="21"/>
                <w:szCs w:val="22"/>
                <w:lang w:val="en-US" w:eastAsia="zh-CN"/>
              </w:rPr>
              <w:t>3182</w:t>
            </w:r>
          </w:p>
        </w:tc>
        <w:tc>
          <w:tcPr>
            <w:tcW w:w="960" w:type="dxa"/>
            <w:tcBorders>
              <w:tl2br w:val="nil"/>
              <w:tr2bl w:val="nil"/>
            </w:tcBorders>
            <w:noWrap w:val="0"/>
            <w:vAlign w:val="center"/>
          </w:tcPr>
          <w:p>
            <w:pPr>
              <w:widowControl/>
              <w:adjustRightInd w:val="0"/>
              <w:snapToGrid w:val="0"/>
              <w:spacing w:line="240" w:lineRule="auto"/>
              <w:ind w:firstLine="0"/>
              <w:jc w:val="center"/>
              <w:rPr>
                <w:rFonts w:eastAsia="宋体"/>
                <w:color w:val="auto"/>
                <w:sz w:val="21"/>
                <w:szCs w:val="22"/>
              </w:rPr>
            </w:pPr>
            <w:r>
              <w:rPr>
                <w:rFonts w:eastAsia="宋体"/>
                <w:color w:val="auto"/>
                <w:sz w:val="21"/>
                <w:szCs w:val="22"/>
              </w:rPr>
              <w:t>3600</w:t>
            </w:r>
          </w:p>
        </w:tc>
        <w:tc>
          <w:tcPr>
            <w:vMerge w:val="continue"/>
            <w:tcBorders>
              <w:tl2br w:val="nil"/>
              <w:tr2bl w:val="nil"/>
            </w:tcBorders>
            <w:noWrap w:val="0"/>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5" w:hRule="atLeast"/>
        </w:trPr>
        <w:tc>
          <w:tcPr>
            <w:vMerge w:val="continue"/>
            <w:tcBorders>
              <w:tl2br w:val="nil"/>
              <w:tr2bl w:val="nil"/>
            </w:tcBorders>
            <w:noWrap w:val="0"/>
          </w:tcPr>
          <w:p/>
        </w:tc>
        <w:tc>
          <w:tcPr>
            <w:tcW w:w="960" w:type="dxa"/>
            <w:tcBorders>
              <w:tl2br w:val="nil"/>
              <w:tr2bl w:val="nil"/>
            </w:tcBorders>
            <w:noWrap w:val="0"/>
            <w:vAlign w:val="center"/>
          </w:tcPr>
          <w:p>
            <w:pPr>
              <w:widowControl/>
              <w:adjustRightInd w:val="0"/>
              <w:snapToGrid w:val="0"/>
              <w:spacing w:line="240" w:lineRule="auto"/>
              <w:ind w:firstLine="0"/>
              <w:jc w:val="center"/>
              <w:rPr>
                <w:rFonts w:eastAsia="宋体"/>
                <w:color w:val="auto"/>
                <w:sz w:val="21"/>
                <w:szCs w:val="22"/>
              </w:rPr>
            </w:pPr>
            <w:r>
              <w:rPr>
                <w:rFonts w:eastAsia="宋体"/>
                <w:color w:val="auto"/>
                <w:sz w:val="21"/>
                <w:szCs w:val="22"/>
              </w:rPr>
              <w:t>田头村</w:t>
            </w:r>
          </w:p>
        </w:tc>
        <w:tc>
          <w:tcPr>
            <w:tcW w:w="1500" w:type="dxa"/>
            <w:tcBorders>
              <w:tl2br w:val="nil"/>
              <w:tr2bl w:val="nil"/>
            </w:tcBorders>
            <w:noWrap w:val="0"/>
            <w:vAlign w:val="center"/>
          </w:tcPr>
          <w:p>
            <w:pPr>
              <w:widowControl/>
              <w:adjustRightInd w:val="0"/>
              <w:snapToGrid w:val="0"/>
              <w:spacing w:line="240" w:lineRule="auto"/>
              <w:ind w:firstLine="0"/>
              <w:jc w:val="center"/>
              <w:rPr>
                <w:rFonts w:eastAsia="宋体"/>
                <w:color w:val="auto"/>
                <w:sz w:val="21"/>
                <w:szCs w:val="22"/>
              </w:rPr>
            </w:pPr>
            <w:r>
              <w:rPr>
                <w:rFonts w:eastAsia="宋体"/>
                <w:color w:val="auto"/>
                <w:sz w:val="21"/>
                <w:szCs w:val="22"/>
              </w:rPr>
              <w:t>后埔、东肖</w:t>
            </w:r>
          </w:p>
        </w:tc>
        <w:tc>
          <w:tcPr>
            <w:tcW w:w="2110" w:type="dxa"/>
            <w:tcBorders>
              <w:tl2br w:val="nil"/>
              <w:tr2bl w:val="nil"/>
            </w:tcBorders>
            <w:noWrap w:val="0"/>
            <w:vAlign w:val="center"/>
          </w:tcPr>
          <w:p>
            <w:pPr>
              <w:widowControl/>
              <w:adjustRightInd w:val="0"/>
              <w:snapToGrid w:val="0"/>
              <w:spacing w:line="240" w:lineRule="auto"/>
              <w:ind w:firstLine="0"/>
              <w:jc w:val="center"/>
              <w:rPr>
                <w:rFonts w:hint="eastAsia" w:eastAsia="宋体"/>
                <w:color w:val="auto"/>
                <w:sz w:val="21"/>
                <w:szCs w:val="22"/>
                <w:lang w:val="en-US" w:eastAsia="zh-CN"/>
              </w:rPr>
            </w:pPr>
            <w:r>
              <w:rPr>
                <w:rFonts w:hint="default" w:ascii="Times New Roman" w:hAnsi="Times New Roman" w:eastAsia="宋体" w:cs="Times New Roman"/>
                <w:color w:val="auto"/>
                <w:sz w:val="21"/>
                <w:szCs w:val="20"/>
                <w:highlight w:val="none"/>
                <w:lang w:val="en-US" w:eastAsia="zh-CN"/>
              </w:rPr>
              <w:t>SE</w:t>
            </w:r>
            <w:r>
              <w:rPr>
                <w:rFonts w:hint="eastAsia" w:ascii="Times New Roman" w:hAnsi="Times New Roman" w:eastAsia="宋体" w:cs="Times New Roman"/>
                <w:color w:val="auto"/>
                <w:sz w:val="21"/>
                <w:szCs w:val="20"/>
                <w:highlight w:val="none"/>
                <w:lang w:val="en-US" w:eastAsia="zh-CN"/>
              </w:rPr>
              <w:t>3227</w:t>
            </w:r>
          </w:p>
        </w:tc>
        <w:tc>
          <w:tcPr>
            <w:tcW w:w="960" w:type="dxa"/>
            <w:tcBorders>
              <w:tl2br w:val="nil"/>
              <w:tr2bl w:val="nil"/>
            </w:tcBorders>
            <w:noWrap w:val="0"/>
            <w:vAlign w:val="center"/>
          </w:tcPr>
          <w:p>
            <w:pPr>
              <w:widowControl/>
              <w:adjustRightInd w:val="0"/>
              <w:snapToGrid w:val="0"/>
              <w:spacing w:line="240" w:lineRule="auto"/>
              <w:ind w:firstLine="0"/>
              <w:jc w:val="center"/>
              <w:rPr>
                <w:rFonts w:eastAsia="宋体"/>
                <w:color w:val="auto"/>
                <w:sz w:val="21"/>
                <w:szCs w:val="22"/>
              </w:rPr>
            </w:pPr>
            <w:r>
              <w:rPr>
                <w:rFonts w:eastAsia="宋体"/>
                <w:color w:val="auto"/>
                <w:sz w:val="21"/>
                <w:szCs w:val="22"/>
              </w:rPr>
              <w:t>2015</w:t>
            </w:r>
          </w:p>
        </w:tc>
        <w:tc>
          <w:tcPr>
            <w:vMerge w:val="continue"/>
            <w:tcBorders>
              <w:tl2br w:val="nil"/>
              <w:tr2bl w:val="nil"/>
            </w:tcBorders>
            <w:noWrap w:val="0"/>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vMerge w:val="continue"/>
            <w:tcBorders>
              <w:tl2br w:val="nil"/>
              <w:tr2bl w:val="nil"/>
            </w:tcBorders>
            <w:noWrap w:val="0"/>
          </w:tcPr>
          <w:p/>
        </w:tc>
        <w:tc>
          <w:tcPr>
            <w:tcW w:w="960" w:type="dxa"/>
            <w:tcBorders>
              <w:tl2br w:val="nil"/>
              <w:tr2bl w:val="nil"/>
            </w:tcBorders>
            <w:noWrap w:val="0"/>
            <w:vAlign w:val="center"/>
          </w:tcPr>
          <w:p>
            <w:pPr>
              <w:widowControl/>
              <w:adjustRightInd w:val="0"/>
              <w:snapToGrid w:val="0"/>
              <w:spacing w:line="240" w:lineRule="auto"/>
              <w:ind w:firstLine="0"/>
              <w:jc w:val="center"/>
              <w:rPr>
                <w:rFonts w:eastAsia="宋体"/>
                <w:color w:val="auto"/>
                <w:sz w:val="21"/>
                <w:szCs w:val="22"/>
              </w:rPr>
            </w:pPr>
            <w:r>
              <w:rPr>
                <w:rFonts w:eastAsia="宋体"/>
                <w:color w:val="auto"/>
                <w:sz w:val="21"/>
                <w:szCs w:val="22"/>
              </w:rPr>
              <w:t>双屿村</w:t>
            </w:r>
          </w:p>
        </w:tc>
        <w:tc>
          <w:tcPr>
            <w:tcW w:w="1500" w:type="dxa"/>
            <w:tcBorders>
              <w:tl2br w:val="nil"/>
              <w:tr2bl w:val="nil"/>
            </w:tcBorders>
            <w:noWrap w:val="0"/>
            <w:vAlign w:val="center"/>
          </w:tcPr>
          <w:p>
            <w:pPr>
              <w:widowControl/>
              <w:adjustRightInd w:val="0"/>
              <w:snapToGrid w:val="0"/>
              <w:spacing w:line="240" w:lineRule="auto"/>
              <w:ind w:firstLine="0"/>
              <w:jc w:val="center"/>
              <w:rPr>
                <w:rFonts w:eastAsia="宋体"/>
                <w:color w:val="auto"/>
                <w:sz w:val="21"/>
                <w:szCs w:val="22"/>
              </w:rPr>
            </w:pPr>
            <w:r>
              <w:rPr>
                <w:rFonts w:eastAsia="宋体"/>
                <w:color w:val="auto"/>
                <w:sz w:val="21"/>
                <w:szCs w:val="22"/>
              </w:rPr>
              <w:t>塘头、何头</w:t>
            </w:r>
          </w:p>
        </w:tc>
        <w:tc>
          <w:tcPr>
            <w:tcW w:w="2110" w:type="dxa"/>
            <w:tcBorders>
              <w:tl2br w:val="nil"/>
              <w:tr2bl w:val="nil"/>
            </w:tcBorders>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NW4962</w:t>
            </w:r>
          </w:p>
        </w:tc>
        <w:tc>
          <w:tcPr>
            <w:tcW w:w="960" w:type="dxa"/>
            <w:tcBorders>
              <w:tl2br w:val="nil"/>
              <w:tr2bl w:val="nil"/>
            </w:tcBorders>
            <w:noWrap w:val="0"/>
            <w:vAlign w:val="center"/>
          </w:tcPr>
          <w:p>
            <w:pPr>
              <w:widowControl/>
              <w:adjustRightInd w:val="0"/>
              <w:snapToGrid w:val="0"/>
              <w:spacing w:line="240" w:lineRule="auto"/>
              <w:ind w:firstLine="0"/>
              <w:jc w:val="center"/>
              <w:rPr>
                <w:rFonts w:eastAsia="宋体"/>
                <w:color w:val="auto"/>
                <w:sz w:val="21"/>
                <w:szCs w:val="22"/>
              </w:rPr>
            </w:pPr>
            <w:r>
              <w:rPr>
                <w:rFonts w:eastAsia="宋体"/>
                <w:color w:val="auto"/>
                <w:sz w:val="21"/>
                <w:szCs w:val="22"/>
              </w:rPr>
              <w:t>1012</w:t>
            </w:r>
          </w:p>
        </w:tc>
        <w:tc>
          <w:tcPr>
            <w:vMerge w:val="continue"/>
            <w:tcBorders>
              <w:tl2br w:val="nil"/>
              <w:tr2bl w:val="nil"/>
            </w:tcBorders>
            <w:noWrap w:val="0"/>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vMerge w:val="continue"/>
            <w:tcBorders>
              <w:tl2br w:val="nil"/>
              <w:tr2bl w:val="nil"/>
            </w:tcBorders>
            <w:noWrap w:val="0"/>
          </w:tcPr>
          <w:p/>
        </w:tc>
        <w:tc>
          <w:tcPr>
            <w:tcW w:w="2460" w:type="dxa"/>
            <w:gridSpan w:val="2"/>
            <w:tcBorders>
              <w:tl2br w:val="nil"/>
              <w:tr2bl w:val="nil"/>
            </w:tcBorders>
            <w:noWrap w:val="0"/>
            <w:vAlign w:val="center"/>
          </w:tcPr>
          <w:p>
            <w:pPr>
              <w:widowControl/>
              <w:adjustRightInd w:val="0"/>
              <w:snapToGrid w:val="0"/>
              <w:spacing w:line="240" w:lineRule="auto"/>
              <w:ind w:firstLine="0"/>
              <w:jc w:val="center"/>
              <w:rPr>
                <w:rFonts w:eastAsia="宋体"/>
                <w:color w:val="auto"/>
                <w:sz w:val="21"/>
                <w:szCs w:val="22"/>
              </w:rPr>
            </w:pPr>
            <w:r>
              <w:rPr>
                <w:rFonts w:hint="default" w:eastAsia="宋体"/>
                <w:color w:val="auto"/>
                <w:sz w:val="21"/>
                <w:szCs w:val="22"/>
                <w:lang w:val="en-US" w:eastAsia="zh-CN"/>
              </w:rPr>
              <w:t>浔头村</w:t>
            </w:r>
          </w:p>
        </w:tc>
        <w:tc>
          <w:tcPr>
            <w:tcW w:w="2110" w:type="dxa"/>
            <w:tcBorders>
              <w:tl2br w:val="nil"/>
              <w:tr2bl w:val="nil"/>
            </w:tcBorders>
            <w:noWrap w:val="0"/>
            <w:vAlign w:val="center"/>
          </w:tcPr>
          <w:p>
            <w:pPr>
              <w:widowControl/>
              <w:adjustRightInd w:val="0"/>
              <w:snapToGrid w:val="0"/>
              <w:spacing w:line="240" w:lineRule="auto"/>
              <w:ind w:firstLine="0"/>
              <w:jc w:val="center"/>
              <w:rPr>
                <w:rFonts w:hint="eastAsia" w:eastAsia="宋体"/>
                <w:color w:val="auto"/>
                <w:sz w:val="21"/>
                <w:szCs w:val="22"/>
                <w:lang w:val="en-US" w:eastAsia="zh-CN"/>
              </w:rPr>
            </w:pPr>
            <w:r>
              <w:rPr>
                <w:rFonts w:hint="default" w:eastAsia="宋体"/>
                <w:color w:val="auto"/>
                <w:sz w:val="21"/>
                <w:szCs w:val="22"/>
                <w:lang w:val="en-US" w:eastAsia="zh-CN"/>
              </w:rPr>
              <w:t>E 2635</w:t>
            </w:r>
          </w:p>
        </w:tc>
        <w:tc>
          <w:tcPr>
            <w:tcW w:w="960" w:type="dxa"/>
            <w:tcBorders>
              <w:tl2br w:val="nil"/>
              <w:tr2bl w:val="nil"/>
            </w:tcBorders>
            <w:noWrap w:val="0"/>
            <w:vAlign w:val="center"/>
          </w:tcPr>
          <w:p>
            <w:pPr>
              <w:widowControl/>
              <w:adjustRightInd w:val="0"/>
              <w:snapToGrid w:val="0"/>
              <w:spacing w:line="240" w:lineRule="auto"/>
              <w:ind w:firstLine="0"/>
              <w:jc w:val="center"/>
              <w:rPr>
                <w:rFonts w:eastAsia="宋体"/>
                <w:color w:val="auto"/>
                <w:sz w:val="21"/>
                <w:szCs w:val="22"/>
              </w:rPr>
            </w:pPr>
            <w:r>
              <w:rPr>
                <w:rFonts w:eastAsia="宋体"/>
                <w:color w:val="auto"/>
                <w:sz w:val="21"/>
                <w:szCs w:val="22"/>
              </w:rPr>
              <w:t>2100</w:t>
            </w:r>
          </w:p>
        </w:tc>
        <w:tc>
          <w:tcPr>
            <w:vMerge w:val="continue"/>
            <w:tcBorders>
              <w:tl2br w:val="nil"/>
              <w:tr2bl w:val="nil"/>
            </w:tcBorders>
            <w:noWrap w:val="0"/>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hint="default" w:ascii="Times New Roman" w:hAnsi="Times New Roman" w:eastAsia="宋体" w:cs="Times New Roman"/>
                <w:color w:val="auto"/>
                <w:sz w:val="21"/>
                <w:szCs w:val="20"/>
              </w:rPr>
              <w:t>声环境</w:t>
            </w:r>
          </w:p>
        </w:tc>
        <w:tc>
          <w:tcPr>
            <w:tcW w:w="5530"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hint="default" w:ascii="Times New Roman" w:hAnsi="Times New Roman" w:eastAsia="宋体" w:cs="Times New Roman"/>
                <w:color w:val="auto"/>
                <w:sz w:val="21"/>
                <w:szCs w:val="20"/>
              </w:rPr>
              <w:t>厂界</w:t>
            </w:r>
            <w:r>
              <w:rPr>
                <w:rFonts w:hint="default" w:ascii="Times New Roman" w:hAnsi="Times New Roman" w:eastAsia="宋体" w:cs="Times New Roman"/>
                <w:color w:val="auto"/>
                <w:sz w:val="21"/>
                <w:szCs w:val="20"/>
                <w:lang w:eastAsia="zh-CN"/>
              </w:rPr>
              <w:t>周边</w:t>
            </w:r>
            <w:r>
              <w:rPr>
                <w:rFonts w:hint="default" w:ascii="Times New Roman" w:hAnsi="Times New Roman" w:eastAsia="宋体" w:cs="Times New Roman"/>
                <w:color w:val="auto"/>
                <w:sz w:val="21"/>
                <w:szCs w:val="20"/>
              </w:rPr>
              <w:t>200</w:t>
            </w:r>
            <w:r>
              <w:rPr>
                <w:rFonts w:hint="default" w:ascii="Times New Roman" w:hAnsi="Times New Roman" w:eastAsia="宋体" w:cs="Times New Roman"/>
                <w:color w:val="auto"/>
                <w:sz w:val="21"/>
                <w:szCs w:val="20"/>
                <w:lang w:val="en-US" w:eastAsia="zh-CN"/>
              </w:rPr>
              <w:t xml:space="preserve"> </w:t>
            </w:r>
            <w:r>
              <w:rPr>
                <w:rFonts w:hint="default" w:ascii="Times New Roman" w:hAnsi="Times New Roman" w:eastAsia="宋体" w:cs="Times New Roman"/>
                <w:color w:val="auto"/>
                <w:sz w:val="21"/>
                <w:szCs w:val="20"/>
              </w:rPr>
              <w:t>m</w:t>
            </w:r>
            <w:r>
              <w:rPr>
                <w:rFonts w:hint="default" w:ascii="Times New Roman" w:hAnsi="Times New Roman" w:eastAsia="宋体" w:cs="Times New Roman"/>
                <w:color w:val="auto"/>
                <w:sz w:val="21"/>
                <w:szCs w:val="20"/>
                <w:lang w:eastAsia="zh-CN"/>
              </w:rPr>
              <w:t>范围</w:t>
            </w:r>
            <w:r>
              <w:rPr>
                <w:rFonts w:hint="default" w:ascii="Times New Roman" w:hAnsi="Times New Roman" w:eastAsia="宋体" w:cs="Times New Roman"/>
                <w:color w:val="auto"/>
                <w:sz w:val="21"/>
                <w:szCs w:val="20"/>
              </w:rPr>
              <w:t>内无敏感目标</w:t>
            </w:r>
          </w:p>
        </w:tc>
        <w:tc>
          <w:tcPr>
            <w:tcW w:w="22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Fonts w:hint="default" w:ascii="Times New Roman" w:hAnsi="Times New Roman" w:eastAsia="宋体" w:cs="Times New Roman"/>
                <w:color w:val="auto"/>
                <w:sz w:val="21"/>
                <w:szCs w:val="20"/>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71"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lang w:val="en-US" w:eastAsia="zh-CN"/>
              </w:rPr>
            </w:pPr>
            <w:r>
              <w:rPr>
                <w:rFonts w:hint="default" w:ascii="Times New Roman" w:hAnsi="Times New Roman" w:eastAsia="宋体" w:cs="Times New Roman"/>
                <w:color w:val="auto"/>
                <w:sz w:val="21"/>
                <w:szCs w:val="20"/>
                <w:lang w:val="en-US" w:eastAsia="zh-CN"/>
              </w:rPr>
              <w:t>水环境</w:t>
            </w:r>
          </w:p>
        </w:tc>
        <w:tc>
          <w:tcPr>
            <w:tcW w:w="5530"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lang w:val="en-US" w:eastAsia="zh-CN"/>
              </w:rPr>
            </w:pPr>
            <w:r>
              <w:rPr>
                <w:rFonts w:hint="default" w:ascii="Times New Roman" w:hAnsi="Times New Roman" w:eastAsia="宋体" w:cs="Times New Roman"/>
                <w:color w:val="auto"/>
                <w:sz w:val="21"/>
                <w:szCs w:val="20"/>
                <w:lang w:val="en-US" w:eastAsia="zh-CN"/>
              </w:rPr>
              <w:t>排洪渠</w:t>
            </w:r>
          </w:p>
        </w:tc>
        <w:tc>
          <w:tcPr>
            <w:tcW w:w="22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lang w:val="en-US" w:eastAsia="zh-CN"/>
              </w:rPr>
            </w:pPr>
            <w:r>
              <w:rPr>
                <w:rFonts w:hint="default" w:ascii="Times New Roman" w:hAnsi="Times New Roman" w:eastAsia="宋体" w:cs="Times New Roman"/>
                <w:color w:val="auto"/>
                <w:sz w:val="21"/>
                <w:szCs w:val="20"/>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vMerge w:val="continue"/>
            <w:tcBorders>
              <w:tl2br w:val="nil"/>
              <w:tr2bl w:val="nil"/>
            </w:tcBorders>
            <w:noWrap w:val="0"/>
          </w:tcPr>
          <w:p/>
        </w:tc>
        <w:tc>
          <w:tcPr>
            <w:tcW w:w="5530" w:type="dxa"/>
            <w:gridSpan w:val="4"/>
            <w:tcBorders>
              <w:tl2br w:val="nil"/>
              <w:tr2bl w:val="nil"/>
            </w:tcBorders>
            <w:noWrap w:val="0"/>
            <w:vAlign w:val="center"/>
          </w:tcPr>
          <w:p>
            <w:pPr>
              <w:keepNext w:val="0"/>
              <w:keepLines w:val="0"/>
              <w:widowControl/>
              <w:suppressLineNumbers w:val="0"/>
              <w:adjustRightInd w:val="0"/>
              <w:snapToGrid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2"/>
                <w:highlight w:val="none"/>
                <w:lang w:val="en-US" w:eastAsia="zh-CN" w:bidi="ar-SA"/>
              </w:rPr>
              <w:t>兴化湾</w:t>
            </w:r>
            <w:r>
              <w:rPr>
                <w:rFonts w:hint="default" w:ascii="Times New Roman" w:hAnsi="Times New Roman" w:eastAsia="宋体" w:cs="Times New Roman"/>
                <w:color w:val="auto"/>
                <w:kern w:val="2"/>
                <w:sz w:val="21"/>
                <w:szCs w:val="22"/>
                <w:highlight w:val="none"/>
                <w:lang w:val="en-US" w:eastAsia="zh-CN" w:bidi="ar-SA"/>
              </w:rPr>
              <w:t>评价范围内滩涂、浅海养殖区</w:t>
            </w:r>
          </w:p>
        </w:tc>
        <w:tc>
          <w:tcPr>
            <w:tcW w:w="2226" w:type="dxa"/>
            <w:tcBorders>
              <w:tl2br w:val="nil"/>
              <w:tr2bl w:val="nil"/>
            </w:tcBorders>
            <w:noWrap w:val="0"/>
            <w:vAlign w:val="center"/>
          </w:tcPr>
          <w:p>
            <w:pPr>
              <w:keepNext w:val="0"/>
              <w:keepLines w:val="0"/>
              <w:widowControl/>
              <w:suppressLineNumbers w:val="0"/>
              <w:adjustRightInd w:val="0"/>
              <w:snapToGrid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GB3097-1997</w:t>
            </w:r>
          </w:p>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rPr>
            </w:pPr>
            <w:r>
              <w:rPr>
                <w:rStyle w:val="386"/>
                <w:rFonts w:hint="default" w:ascii="Times New Roman" w:hAnsi="Times New Roman" w:eastAsia="宋体" w:cs="Times New Roman"/>
                <w:color w:val="auto"/>
                <w:highlight w:val="none"/>
              </w:rPr>
              <w:t>表1中的第三类标准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lang w:val="en-US" w:eastAsia="zh-CN"/>
              </w:rPr>
            </w:pPr>
            <w:r>
              <w:rPr>
                <w:rFonts w:hint="default" w:ascii="Times New Roman" w:hAnsi="Times New Roman" w:eastAsia="宋体" w:cs="Times New Roman"/>
                <w:color w:val="auto"/>
                <w:sz w:val="21"/>
                <w:szCs w:val="20"/>
                <w:lang w:val="en-US" w:eastAsia="zh-CN"/>
              </w:rPr>
              <w:t>土壤</w:t>
            </w:r>
          </w:p>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lang w:val="en-US" w:eastAsia="zh-CN"/>
              </w:rPr>
            </w:pPr>
            <w:r>
              <w:rPr>
                <w:rFonts w:hint="default" w:ascii="Times New Roman" w:hAnsi="Times New Roman" w:eastAsia="宋体" w:cs="Times New Roman"/>
                <w:color w:val="auto"/>
                <w:sz w:val="21"/>
                <w:szCs w:val="20"/>
                <w:lang w:val="en-US" w:eastAsia="zh-CN"/>
              </w:rPr>
              <w:t>环境</w:t>
            </w:r>
          </w:p>
        </w:tc>
        <w:tc>
          <w:tcPr>
            <w:tcW w:w="5530"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lang w:eastAsia="zh-CN"/>
              </w:rPr>
            </w:pPr>
            <w:r>
              <w:rPr>
                <w:rFonts w:hint="default" w:ascii="Times New Roman" w:hAnsi="Times New Roman" w:eastAsia="宋体" w:cs="Times New Roman"/>
                <w:color w:val="auto"/>
                <w:sz w:val="21"/>
                <w:szCs w:val="20"/>
                <w:lang w:eastAsia="zh-CN"/>
              </w:rPr>
              <w:t>厂界周边</w:t>
            </w:r>
            <w:r>
              <w:rPr>
                <w:rFonts w:hint="default" w:ascii="Times New Roman" w:hAnsi="Times New Roman" w:eastAsia="宋体" w:cs="Times New Roman"/>
                <w:color w:val="auto"/>
                <w:sz w:val="21"/>
                <w:szCs w:val="20"/>
                <w:lang w:val="en-US" w:eastAsia="zh-CN"/>
              </w:rPr>
              <w:t>200 m范围内</w:t>
            </w:r>
            <w:r>
              <w:rPr>
                <w:rFonts w:hint="default" w:ascii="Times New Roman" w:hAnsi="Times New Roman" w:eastAsia="宋体" w:cs="Times New Roman"/>
                <w:color w:val="auto"/>
                <w:sz w:val="21"/>
                <w:szCs w:val="20"/>
                <w:lang w:eastAsia="zh-CN"/>
              </w:rPr>
              <w:t>无土壤环境敏感目标</w:t>
            </w:r>
          </w:p>
        </w:tc>
        <w:tc>
          <w:tcPr>
            <w:tcW w:w="22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lang w:val="en-US" w:eastAsia="zh-CN"/>
              </w:rPr>
            </w:pPr>
            <w:r>
              <w:rPr>
                <w:rFonts w:hint="default" w:ascii="Times New Roman" w:hAnsi="Times New Roman" w:eastAsia="宋体" w:cs="Times New Roman"/>
                <w:color w:val="auto"/>
                <w:sz w:val="21"/>
                <w:szCs w:val="20"/>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46" w:hRule="atLeast"/>
        </w:trPr>
        <w:tc>
          <w:tcPr>
            <w:tcW w:w="8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lang w:val="en-US" w:eastAsia="zh-CN"/>
              </w:rPr>
            </w:pPr>
            <w:r>
              <w:rPr>
                <w:rFonts w:hint="default" w:ascii="Times New Roman" w:hAnsi="Times New Roman" w:eastAsia="宋体" w:cs="Times New Roman"/>
                <w:color w:val="auto"/>
                <w:sz w:val="21"/>
                <w:szCs w:val="20"/>
                <w:lang w:eastAsia="zh-CN"/>
              </w:rPr>
              <w:t>地下水环境</w:t>
            </w:r>
          </w:p>
        </w:tc>
        <w:tc>
          <w:tcPr>
            <w:tcW w:w="5530"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lang w:eastAsia="zh-CN"/>
              </w:rPr>
            </w:pPr>
            <w:r>
              <w:rPr>
                <w:rFonts w:hint="default" w:ascii="Times New Roman" w:hAnsi="Times New Roman" w:eastAsia="宋体" w:cs="Times New Roman"/>
                <w:color w:val="auto"/>
                <w:sz w:val="21"/>
                <w:szCs w:val="20"/>
                <w:lang w:eastAsia="zh-CN"/>
              </w:rPr>
              <w:t>项目所在水文地质单元</w:t>
            </w:r>
          </w:p>
        </w:tc>
        <w:tc>
          <w:tcPr>
            <w:tcW w:w="22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0"/>
                <w:lang w:val="en-US" w:eastAsia="zh-CN"/>
              </w:rPr>
            </w:pPr>
            <w:r>
              <w:rPr>
                <w:rFonts w:hint="default" w:ascii="Times New Roman" w:hAnsi="Times New Roman" w:eastAsia="宋体" w:cs="Times New Roman"/>
                <w:color w:val="auto"/>
                <w:kern w:val="2"/>
                <w:sz w:val="21"/>
                <w:szCs w:val="21"/>
                <w:lang w:val="en-US" w:eastAsia="zh-CN" w:bidi="ar"/>
              </w:rPr>
              <w:t>水质满足《地下水质量标准》（GB/T14848-</w:t>
            </w:r>
            <w:r>
              <w:rPr>
                <w:rFonts w:hint="eastAsia" w:ascii="Times New Roman" w:hAnsi="Times New Roman" w:eastAsia="宋体" w:cs="Times New Roman"/>
                <w:color w:val="auto"/>
                <w:kern w:val="2"/>
                <w:sz w:val="21"/>
                <w:szCs w:val="21"/>
                <w:lang w:val="en-US" w:eastAsia="zh-CN" w:bidi="ar"/>
              </w:rPr>
              <w:t>2017</w:t>
            </w:r>
            <w:r>
              <w:rPr>
                <w:rFonts w:hint="default" w:ascii="Times New Roman" w:hAnsi="Times New Roman" w:eastAsia="宋体" w:cs="Times New Roman"/>
                <w:color w:val="auto"/>
                <w:kern w:val="2"/>
                <w:sz w:val="21"/>
                <w:szCs w:val="21"/>
                <w:lang w:val="en-US" w:eastAsia="zh-CN" w:bidi="ar"/>
              </w:rPr>
              <w:t>）标准</w:t>
            </w:r>
          </w:p>
        </w:tc>
      </w:tr>
    </w:tbl>
    <w:p>
      <w:pPr>
        <w:spacing w:line="360" w:lineRule="auto"/>
        <w:ind w:firstLine="480"/>
        <w:rPr>
          <w:rFonts w:hint="default" w:ascii="Times New Roman" w:hAnsi="Times New Roman" w:eastAsia="宋体" w:cs="Times New Roman"/>
          <w:color w:val="0000FF"/>
          <w:sz w:val="24"/>
          <w:szCs w:val="24"/>
          <w:lang w:val="en-GB"/>
        </w:rPr>
      </w:pPr>
    </w:p>
    <w:p>
      <w:pPr>
        <w:rPr>
          <w:rFonts w:hint="default" w:ascii="Times New Roman" w:hAnsi="Times New Roman" w:cs="Times New Roman"/>
          <w:color w:val="0000FF"/>
          <w:lang w:val="en-GB"/>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ageBreakBefore w:val="0"/>
        <w:widowControl w:val="0"/>
        <w:kinsoku/>
        <w:wordWrap/>
        <w:overflowPunct/>
        <w:topLinePunct w:val="0"/>
        <w:autoSpaceDE/>
        <w:autoSpaceDN/>
        <w:bidi w:val="0"/>
        <w:adjustRightInd/>
        <w:snapToGrid w:val="0"/>
        <w:spacing w:line="360" w:lineRule="auto"/>
        <w:ind w:firstLine="0"/>
        <w:textAlignment w:val="auto"/>
        <w:outlineLvl w:val="0"/>
        <w:rPr>
          <w:rFonts w:hint="default" w:ascii="Times New Roman" w:hAnsi="Times New Roman" w:eastAsia="黑体" w:cs="Times New Roman"/>
          <w:sz w:val="36"/>
          <w:szCs w:val="44"/>
        </w:rPr>
      </w:pPr>
      <w:bookmarkStart w:id="109" w:name="_Toc200266359"/>
      <w:bookmarkStart w:id="110" w:name="_Toc249773031"/>
      <w:bookmarkStart w:id="111" w:name="_Toc217888370"/>
      <w:bookmarkStart w:id="112" w:name="_Toc25759"/>
      <w:r>
        <w:rPr>
          <w:rFonts w:hint="default" w:ascii="Times New Roman" w:hAnsi="Times New Roman" w:eastAsia="黑体" w:cs="Times New Roman"/>
          <w:sz w:val="36"/>
          <w:szCs w:val="44"/>
        </w:rPr>
        <w:t>2 工程概况</w:t>
      </w:r>
      <w:bookmarkEnd w:id="109"/>
      <w:bookmarkEnd w:id="110"/>
      <w:bookmarkEnd w:id="111"/>
      <w:bookmarkEnd w:id="112"/>
    </w:p>
    <w:p>
      <w:pPr>
        <w:keepNext/>
        <w:keepLines/>
        <w:pageBreakBefore w:val="0"/>
        <w:widowControl w:val="0"/>
        <w:kinsoku/>
        <w:wordWrap/>
        <w:overflowPunct/>
        <w:topLinePunct w:val="0"/>
        <w:autoSpaceDE/>
        <w:autoSpaceDN/>
        <w:bidi w:val="0"/>
        <w:adjustRightInd/>
        <w:snapToGrid w:val="0"/>
        <w:spacing w:line="360" w:lineRule="auto"/>
        <w:ind w:firstLine="0"/>
        <w:textAlignment w:val="auto"/>
        <w:outlineLvl w:val="1"/>
        <w:rPr>
          <w:rFonts w:hint="default" w:ascii="Times New Roman" w:hAnsi="Times New Roman" w:eastAsia="黑体" w:cs="Times New Roman"/>
          <w:bCs/>
          <w:sz w:val="32"/>
          <w:szCs w:val="30"/>
        </w:rPr>
      </w:pPr>
      <w:bookmarkStart w:id="113" w:name="_Toc183782524"/>
      <w:bookmarkStart w:id="114" w:name="_Toc217888371"/>
      <w:bookmarkStart w:id="115" w:name="_Toc141520451"/>
      <w:bookmarkStart w:id="116" w:name="_Toc182968419"/>
      <w:bookmarkStart w:id="117" w:name="_Toc182968946"/>
      <w:bookmarkStart w:id="118" w:name="_Toc183754344"/>
      <w:bookmarkStart w:id="119" w:name="_Toc200266360"/>
      <w:bookmarkStart w:id="120" w:name="_Toc13497"/>
      <w:bookmarkStart w:id="121" w:name="_Toc249773032"/>
      <w:bookmarkStart w:id="122" w:name="_Toc94669078"/>
      <w:r>
        <w:rPr>
          <w:rFonts w:hint="default" w:ascii="Times New Roman" w:hAnsi="Times New Roman" w:eastAsia="黑体" w:cs="Times New Roman"/>
          <w:bCs/>
          <w:sz w:val="32"/>
          <w:szCs w:val="30"/>
        </w:rPr>
        <w:t>2.1基本</w:t>
      </w:r>
      <w:bookmarkEnd w:id="113"/>
      <w:bookmarkEnd w:id="114"/>
      <w:bookmarkEnd w:id="115"/>
      <w:bookmarkEnd w:id="116"/>
      <w:bookmarkEnd w:id="117"/>
      <w:bookmarkEnd w:id="118"/>
      <w:bookmarkEnd w:id="119"/>
      <w:r>
        <w:rPr>
          <w:rFonts w:hint="default" w:ascii="Times New Roman" w:hAnsi="Times New Roman" w:eastAsia="黑体" w:cs="Times New Roman"/>
          <w:bCs/>
          <w:sz w:val="32"/>
          <w:szCs w:val="30"/>
        </w:rPr>
        <w:t>概况</w:t>
      </w:r>
      <w:bookmarkEnd w:id="120"/>
      <w:bookmarkEnd w:id="121"/>
    </w:p>
    <w:bookmarkEnd w:id="122"/>
    <w:p>
      <w:pPr>
        <w:snapToGrid w:val="0"/>
        <w:spacing w:line="360" w:lineRule="auto"/>
        <w:ind w:firstLine="480"/>
        <w:rPr>
          <w:rFonts w:hint="default" w:ascii="Times New Roman" w:hAnsi="Times New Roman" w:eastAsia="宋体" w:cs="Times New Roman"/>
          <w:color w:val="000000"/>
          <w:sz w:val="24"/>
          <w:szCs w:val="28"/>
        </w:rPr>
      </w:pPr>
      <w:bookmarkStart w:id="123" w:name="_Toc182968947"/>
      <w:bookmarkStart w:id="124" w:name="_Toc182968420"/>
      <w:bookmarkStart w:id="125" w:name="_Toc183782525"/>
      <w:bookmarkStart w:id="126" w:name="_Toc141520452"/>
      <w:bookmarkStart w:id="127" w:name="_Toc183754345"/>
      <w:r>
        <w:rPr>
          <w:rFonts w:hint="default" w:ascii="Times New Roman" w:hAnsi="Times New Roman" w:eastAsia="宋体" w:cs="Times New Roman"/>
          <w:color w:val="000000"/>
          <w:sz w:val="24"/>
          <w:szCs w:val="28"/>
        </w:rPr>
        <w:t>项目名称</w:t>
      </w:r>
      <w:bookmarkEnd w:id="123"/>
      <w:bookmarkEnd w:id="124"/>
      <w:bookmarkEnd w:id="125"/>
      <w:bookmarkEnd w:id="126"/>
      <w:bookmarkEnd w:id="127"/>
      <w:r>
        <w:rPr>
          <w:rFonts w:hint="default" w:ascii="Times New Roman" w:hAnsi="Times New Roman" w:eastAsia="宋体" w:cs="Times New Roman"/>
          <w:color w:val="000000"/>
          <w:sz w:val="24"/>
          <w:szCs w:val="28"/>
        </w:rPr>
        <w:t>：</w:t>
      </w:r>
      <w:bookmarkStart w:id="128" w:name="OLE_LINK1"/>
      <w:r>
        <w:rPr>
          <w:rFonts w:hint="default" w:ascii="Times New Roman" w:hAnsi="Times New Roman" w:eastAsia="宋体" w:cs="Times New Roman"/>
          <w:color w:val="000000"/>
          <w:sz w:val="24"/>
          <w:szCs w:val="28"/>
        </w:rPr>
        <w:t>新能源纳米材料项目</w:t>
      </w:r>
      <w:bookmarkEnd w:id="128"/>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建设单位：福建富轩科技有限公司</w:t>
      </w:r>
    </w:p>
    <w:p>
      <w:pPr>
        <w:autoSpaceDE w:val="0"/>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4"/>
        </w:rPr>
        <w:t>建设地点：福建省福州市福清市江阴镇南曹村</w:t>
      </w:r>
      <w:r>
        <w:rPr>
          <w:rFonts w:hint="default" w:ascii="Times New Roman" w:hAnsi="Times New Roman" w:eastAsia="宋体" w:cs="Times New Roman"/>
          <w:color w:val="000000"/>
          <w:kern w:val="0"/>
          <w:sz w:val="24"/>
          <w:szCs w:val="24"/>
        </w:rPr>
        <w:t>（见图2.1-1项目地理位置图）</w:t>
      </w:r>
    </w:p>
    <w:p>
      <w:pPr>
        <w:snapToGri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建设性质：新建项目</w:t>
      </w:r>
    </w:p>
    <w:p>
      <w:pPr>
        <w:snapToGrid w:val="0"/>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000000"/>
          <w:sz w:val="24"/>
          <w:szCs w:val="28"/>
        </w:rPr>
        <w:t>项目总投资：</w:t>
      </w:r>
      <w:r>
        <w:rPr>
          <w:rFonts w:hint="default" w:ascii="Times New Roman" w:hAnsi="Times New Roman" w:eastAsia="宋体" w:cs="Times New Roman"/>
          <w:color w:val="000000"/>
          <w:sz w:val="24"/>
          <w:szCs w:val="28"/>
          <w:lang w:val="en-US" w:eastAsia="zh-CN"/>
        </w:rPr>
        <w:t>417</w:t>
      </w:r>
      <w:r>
        <w:rPr>
          <w:rFonts w:hint="default" w:ascii="Times New Roman" w:hAnsi="Times New Roman" w:eastAsia="宋体" w:cs="Times New Roman"/>
          <w:color w:val="auto"/>
          <w:sz w:val="24"/>
          <w:szCs w:val="28"/>
          <w:lang w:val="en-US" w:eastAsia="zh-CN"/>
        </w:rPr>
        <w:t>84.07</w:t>
      </w:r>
      <w:r>
        <w:rPr>
          <w:rFonts w:hint="default" w:ascii="Times New Roman" w:hAnsi="Times New Roman" w:eastAsia="宋体" w:cs="Times New Roman"/>
          <w:color w:val="auto"/>
          <w:sz w:val="24"/>
          <w:szCs w:val="28"/>
        </w:rPr>
        <w:t>万元</w:t>
      </w:r>
      <w:r>
        <w:rPr>
          <w:rFonts w:hint="default" w:ascii="Times New Roman" w:hAnsi="Times New Roman" w:eastAsia="宋体" w:cs="Times New Roman"/>
          <w:color w:val="auto"/>
          <w:sz w:val="24"/>
          <w:szCs w:val="24"/>
        </w:rPr>
        <w:t>，环保投资总额约为</w:t>
      </w:r>
      <w:r>
        <w:rPr>
          <w:rFonts w:hint="eastAsia" w:ascii="Times New Roman" w:hAnsi="Times New Roman" w:eastAsia="宋体" w:cs="Times New Roman"/>
          <w:color w:val="auto"/>
          <w:sz w:val="24"/>
          <w:szCs w:val="24"/>
          <w:lang w:val="en-US" w:eastAsia="zh-CN"/>
        </w:rPr>
        <w:t>2450</w:t>
      </w:r>
      <w:r>
        <w:rPr>
          <w:rFonts w:hint="default" w:ascii="Times New Roman" w:hAnsi="Times New Roman" w:eastAsia="宋体" w:cs="Times New Roman"/>
          <w:color w:val="auto"/>
          <w:sz w:val="24"/>
          <w:szCs w:val="24"/>
        </w:rPr>
        <w:t>万元，占项目总投资的</w:t>
      </w:r>
      <w:r>
        <w:rPr>
          <w:rFonts w:hint="eastAsia" w:ascii="Times New Roman" w:hAnsi="Times New Roman" w:eastAsia="宋体" w:cs="Times New Roman"/>
          <w:color w:val="auto"/>
          <w:sz w:val="24"/>
          <w:szCs w:val="24"/>
          <w:lang w:val="en-US" w:eastAsia="zh-CN"/>
        </w:rPr>
        <w:t>5.86</w:t>
      </w:r>
      <w:r>
        <w:rPr>
          <w:rFonts w:hint="default" w:ascii="Times New Roman" w:hAnsi="Times New Roman" w:eastAsia="宋体" w:cs="Times New Roman"/>
          <w:color w:val="auto"/>
          <w:sz w:val="24"/>
          <w:szCs w:val="24"/>
        </w:rPr>
        <w:t>%。</w:t>
      </w:r>
    </w:p>
    <w:p>
      <w:pPr>
        <w:snapToGrid w:val="0"/>
        <w:spacing w:line="360" w:lineRule="auto"/>
        <w:ind w:firstLine="480"/>
        <w:rPr>
          <w:rFonts w:hint="eastAsia" w:ascii="Times New Roman" w:hAnsi="Times New Roman" w:eastAsia="宋体" w:cs="Times New Roman"/>
          <w:color w:val="auto"/>
          <w:sz w:val="24"/>
          <w:szCs w:val="28"/>
          <w:lang w:eastAsia="zh-CN"/>
        </w:rPr>
      </w:pPr>
      <w:r>
        <w:rPr>
          <w:rFonts w:hint="default" w:ascii="Times New Roman" w:hAnsi="Times New Roman" w:eastAsia="宋体" w:cs="Times New Roman"/>
          <w:color w:val="auto"/>
          <w:sz w:val="24"/>
          <w:szCs w:val="28"/>
        </w:rPr>
        <w:t>建设内容：新建厂房、综合办公楼、库房等。引进硝酸银、超细银粉、硝酸提纯生产线，购置安装真空系统、纯水系统等相关附属设备。占地面积42000平方米，总建筑面积34000平方米。</w:t>
      </w:r>
      <w:r>
        <w:rPr>
          <w:rFonts w:hint="default" w:ascii="Times New Roman" w:hAnsi="Times New Roman" w:eastAsia="宋体" w:cs="Times New Roman"/>
          <w:color w:val="auto"/>
          <w:sz w:val="24"/>
          <w:szCs w:val="21"/>
        </w:rPr>
        <w:t>建设1条电子级硝酸生产线，年产5000吨电子级硝酸；建设3条硝酸银生产线，年产4000吨硝酸银；建设4条超细银粉生产线，年产1200吨超细银粉</w:t>
      </w:r>
      <w:r>
        <w:rPr>
          <w:rFonts w:hint="eastAsia" w:ascii="Times New Roman" w:hAnsi="Times New Roman" w:eastAsia="宋体" w:cs="Times New Roman"/>
          <w:color w:val="auto"/>
          <w:sz w:val="24"/>
          <w:szCs w:val="21"/>
          <w:lang w:eastAsia="zh-CN"/>
        </w:rPr>
        <w:t>。</w:t>
      </w:r>
    </w:p>
    <w:p>
      <w:pPr>
        <w:snapToGrid w:val="0"/>
        <w:spacing w:line="360" w:lineRule="auto"/>
        <w:ind w:firstLine="480"/>
        <w:rPr>
          <w:rFonts w:hint="default" w:ascii="Times New Roman" w:hAnsi="Times New Roman" w:eastAsia="宋体" w:cs="Times New Roman"/>
          <w:color w:val="auto"/>
          <w:sz w:val="24"/>
          <w:szCs w:val="28"/>
        </w:rPr>
      </w:pPr>
      <w:r>
        <w:rPr>
          <w:rFonts w:hint="default" w:ascii="Times New Roman" w:hAnsi="Times New Roman" w:eastAsia="宋体" w:cs="Times New Roman"/>
          <w:color w:val="auto"/>
          <w:sz w:val="24"/>
          <w:szCs w:val="28"/>
        </w:rPr>
        <w:t>总定员：104人</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工作制度：年工作300天，4班2倒</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建设工期：202</w:t>
      </w:r>
      <w:r>
        <w:rPr>
          <w:rFonts w:hint="eastAsia" w:ascii="Times New Roman" w:hAnsi="Times New Roman" w:eastAsia="宋体" w:cs="Times New Roman"/>
          <w:color w:val="000000"/>
          <w:sz w:val="24"/>
          <w:szCs w:val="28"/>
          <w:lang w:val="en-US" w:eastAsia="zh-CN"/>
        </w:rPr>
        <w:t>2</w:t>
      </w:r>
      <w:r>
        <w:rPr>
          <w:rFonts w:hint="default" w:ascii="Times New Roman" w:hAnsi="Times New Roman" w:eastAsia="宋体" w:cs="Times New Roman"/>
          <w:color w:val="000000"/>
          <w:sz w:val="24"/>
          <w:szCs w:val="28"/>
        </w:rPr>
        <w:t>年</w:t>
      </w:r>
      <w:r>
        <w:rPr>
          <w:rFonts w:hint="eastAsia" w:ascii="Times New Roman" w:hAnsi="Times New Roman" w:eastAsia="宋体" w:cs="Times New Roman"/>
          <w:color w:val="000000"/>
          <w:sz w:val="24"/>
          <w:szCs w:val="28"/>
          <w:lang w:val="en-US" w:eastAsia="zh-CN"/>
        </w:rPr>
        <w:t>1</w:t>
      </w:r>
      <w:r>
        <w:rPr>
          <w:rFonts w:hint="default" w:ascii="Times New Roman" w:hAnsi="Times New Roman" w:eastAsia="宋体" w:cs="Times New Roman"/>
          <w:color w:val="000000"/>
          <w:sz w:val="24"/>
          <w:szCs w:val="28"/>
        </w:rPr>
        <w:t>月开工，工期3个月。</w:t>
      </w:r>
      <w:bookmarkStart w:id="129" w:name="_Toc182968949"/>
      <w:bookmarkStart w:id="130" w:name="_Toc182968422"/>
      <w:bookmarkStart w:id="131" w:name="_Toc183782527"/>
      <w:bookmarkStart w:id="132" w:name="_Toc200266361"/>
      <w:bookmarkStart w:id="133" w:name="_Toc141520454"/>
      <w:bookmarkStart w:id="134" w:name="_Toc183754347"/>
      <w:bookmarkStart w:id="135" w:name="_Toc217888372"/>
      <w:bookmarkStart w:id="136" w:name="_Toc249773033"/>
    </w:p>
    <w:p>
      <w:pPr>
        <w:pStyle w:val="24"/>
        <w:keepNext w:val="0"/>
        <w:keepLines w:val="0"/>
        <w:pageBreakBefore w:val="0"/>
        <w:widowControl w:val="0"/>
        <w:numPr>
          <w:ilvl w:val="0"/>
          <w:numId w:val="0"/>
        </w:numPr>
        <w:kinsoku/>
        <w:wordWrap/>
        <w:overflowPunct/>
        <w:topLinePunct w:val="0"/>
        <w:bidi w:val="0"/>
        <w:adjustRightInd/>
        <w:snapToGrid w:val="0"/>
        <w:spacing w:after="0" w:line="360" w:lineRule="auto"/>
        <w:ind w:firstLine="420"/>
        <w:rPr>
          <w:rFonts w:hint="default"/>
          <w:lang w:val="en-US"/>
        </w:rPr>
      </w:pPr>
    </w:p>
    <w:p>
      <w:pPr>
        <w:pStyle w:val="26"/>
        <w:keepNext w:val="0"/>
        <w:keepLines w:val="0"/>
        <w:pageBreakBefore w:val="0"/>
        <w:widowControl w:val="0"/>
        <w:kinsoku/>
        <w:wordWrap/>
        <w:overflowPunct/>
        <w:topLinePunct w:val="0"/>
        <w:autoSpaceDE/>
        <w:autoSpaceDN/>
        <w:bidi w:val="0"/>
        <w:adjustRightInd/>
        <w:snapToGrid/>
        <w:spacing w:after="0" w:line="360" w:lineRule="auto"/>
        <w:ind w:firstLine="315"/>
        <w:textAlignment w:val="auto"/>
        <w:rPr>
          <w:rFonts w:hint="default"/>
        </w:rPr>
        <w:sectPr>
          <w:headerReference r:id="rId7" w:type="default"/>
          <w:footerReference r:id="rId8" w:type="default"/>
          <w:footerReference r:id="rId9" w:type="even"/>
          <w:pgSz w:w="11906" w:h="16838"/>
          <w:pgMar w:top="1418" w:right="1418" w:bottom="1418" w:left="1418" w:header="851" w:footer="992" w:gutter="0"/>
          <w:pgNumType w:fmt="decimal"/>
          <w:cols w:space="720" w:num="1"/>
          <w:docGrid w:type="lines" w:linePitch="381" w:charSpace="0"/>
        </w:sectPr>
      </w:pPr>
    </w:p>
    <w:p>
      <w:pPr>
        <w:spacing w:line="240" w:lineRule="auto"/>
        <w:ind w:firstLine="0"/>
        <w:jc w:val="center"/>
        <w:rPr>
          <w:rFonts w:hint="default" w:ascii="Times New Roman" w:hAnsi="Times New Roman" w:eastAsia="宋体" w:cs="Times New Roman"/>
          <w:sz w:val="21"/>
          <w:szCs w:val="22"/>
        </w:rPr>
      </w:pPr>
      <w:r>
        <mc:AlternateContent>
          <mc:Choice Requires="wps">
            <w:drawing>
              <wp:anchor distT="0" distB="0" distL="114300" distR="114300" simplePos="0" relativeHeight="251744256" behindDoc="0" locked="0" layoutInCell="1" allowOverlap="1">
                <wp:simplePos x="0" y="0"/>
                <wp:positionH relativeFrom="column">
                  <wp:posOffset>2908935</wp:posOffset>
                </wp:positionH>
                <wp:positionV relativeFrom="paragraph">
                  <wp:posOffset>6084570</wp:posOffset>
                </wp:positionV>
                <wp:extent cx="1130300" cy="317500"/>
                <wp:effectExtent l="790575" t="666115" r="22225" b="6985"/>
                <wp:wrapNone/>
                <wp:docPr id="64" name="矩形标注 65"/>
                <wp:cNvGraphicFramePr/>
                <a:graphic xmlns:a="http://schemas.openxmlformats.org/drawingml/2006/main">
                  <a:graphicData uri="http://schemas.microsoft.com/office/word/2010/wordprocessingShape">
                    <wps:wsp>
                      <wps:cNvSpPr/>
                      <wps:spPr>
                        <a:xfrm>
                          <a:off x="0" y="0"/>
                          <a:ext cx="1130300" cy="317500"/>
                        </a:xfrm>
                        <a:prstGeom prst="wedgeRectCallout">
                          <a:avLst>
                            <a:gd name="adj1" fmla="val -116963"/>
                            <a:gd name="adj2" fmla="val -252995"/>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auto"/>
                              <w:ind w:firstLine="0"/>
                              <w:rPr>
                                <w:rFonts w:hint="eastAsia" w:ascii="宋体" w:hAnsi="宋体" w:eastAsia="宋体" w:cs="宋体"/>
                                <w:sz w:val="24"/>
                                <w:szCs w:val="24"/>
                              </w:rPr>
                            </w:pPr>
                            <w:r>
                              <w:rPr>
                                <w:rFonts w:hint="eastAsia" w:ascii="宋体" w:hAnsi="宋体" w:eastAsia="宋体" w:cs="宋体"/>
                                <w:sz w:val="24"/>
                                <w:szCs w:val="24"/>
                              </w:rPr>
                              <w:t>本项目所在地</w:t>
                            </w:r>
                          </w:p>
                        </w:txbxContent>
                      </wps:txbx>
                      <wps:bodyPr vert="horz" wrap="square" lIns="0" tIns="0" rIns="0" bIns="0" anchor="t" upright="1"/>
                    </wps:wsp>
                  </a:graphicData>
                </a:graphic>
              </wp:anchor>
            </w:drawing>
          </mc:Choice>
          <mc:Fallback>
            <w:pict>
              <v:shape id="矩形标注 65" o:spid="_x0000_s1026" o:spt="61" type="#_x0000_t61" style="position:absolute;left:0pt;margin-left:229.05pt;margin-top:479.1pt;height:25pt;width:89pt;z-index:251744256;mso-width-relative:page;mso-height-relative:page;" fillcolor="#FFFFFF" filled="t" stroked="t" coordsize="21600,21600" o:gfxdata="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AwBYrrcAAAADAEAAA8AAAAAAAAAAQAgAAAAIgAAAGRycy9kb3ducmV2&#10;LnhtbFBLAQIUABQAAAAIAIdO4kBq6UnjagIAAOkEAAAOAAAAAAAAAAEAIAAAACsBAABkcnMvZTJv&#10;RG9jLnhtbFBLBQYAAAAABgAGAFkBAAAHBgAAAAA=&#10;" adj="-14464,-43847">
                <v:fill on="t" focussize="0,0"/>
                <v:stroke color="#000000" joinstyle="miter"/>
                <v:imagedata o:title=""/>
                <o:lock v:ext="edit" aspectratio="f"/>
                <v:textbox inset="0mm,0mm,0mm,0mm">
                  <w:txbxContent>
                    <w:p>
                      <w:pPr>
                        <w:spacing w:line="240" w:lineRule="auto"/>
                        <w:ind w:firstLine="0"/>
                        <w:rPr>
                          <w:rFonts w:hint="eastAsia" w:ascii="宋体" w:hAnsi="宋体" w:eastAsia="宋体" w:cs="宋体"/>
                          <w:sz w:val="24"/>
                          <w:szCs w:val="24"/>
                        </w:rPr>
                      </w:pPr>
                      <w:r>
                        <w:rPr>
                          <w:rFonts w:hint="eastAsia" w:ascii="宋体" w:hAnsi="宋体" w:eastAsia="宋体" w:cs="宋体"/>
                          <w:sz w:val="24"/>
                          <w:szCs w:val="24"/>
                        </w:rPr>
                        <w:t>本项目所在地</w:t>
                      </w:r>
                    </w:p>
                  </w:txbxContent>
                </v:textbox>
              </v:shape>
            </w:pict>
          </mc:Fallback>
        </mc:AlternateContent>
      </w:r>
      <w:r>
        <w:drawing>
          <wp:inline distT="0" distB="0" distL="114300" distR="114300">
            <wp:extent cx="5984875" cy="7669530"/>
            <wp:effectExtent l="19050" t="19050" r="34925" b="26670"/>
            <wp:docPr id="87" name="图片 124" descr="7024589361355456967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24" descr="7024589361355456967234"/>
                    <pic:cNvPicPr>
                      <a:picLocks noChangeAspect="1"/>
                    </pic:cNvPicPr>
                  </pic:nvPicPr>
                  <pic:blipFill>
                    <a:blip r:embed="rId36"/>
                    <a:stretch>
                      <a:fillRect/>
                    </a:stretch>
                  </pic:blipFill>
                  <pic:spPr>
                    <a:xfrm>
                      <a:off x="0" y="0"/>
                      <a:ext cx="5984875" cy="7669530"/>
                    </a:xfrm>
                    <a:prstGeom prst="rect">
                      <a:avLst/>
                    </a:prstGeom>
                    <a:noFill/>
                    <a:ln w="19050" cap="flat" cmpd="sng">
                      <a:solidFill>
                        <a:srgbClr val="000000"/>
                      </a:solidFill>
                      <a:prstDash val="solid"/>
                      <a:miter/>
                      <a:headEnd type="none" w="med" len="med"/>
                      <a:tailEnd type="none" w="med" len="med"/>
                    </a:ln>
                  </pic:spPr>
                </pic:pic>
              </a:graphicData>
            </a:graphic>
          </wp:inline>
        </w:drawing>
      </w:r>
    </w:p>
    <w:p>
      <w:pPr>
        <w:spacing w:after="120" w:line="360" w:lineRule="auto"/>
        <w:ind w:firstLine="0"/>
        <w:jc w:val="center"/>
        <w:outlineLvl w:val="4"/>
        <w:rPr>
          <w:rFonts w:hint="default" w:ascii="Times New Roman" w:hAnsi="Times New Roman" w:eastAsia="黑体" w:cs="Times New Roman"/>
          <w:color w:val="000000"/>
          <w:sz w:val="21"/>
          <w:szCs w:val="24"/>
        </w:rPr>
      </w:pPr>
      <w:r>
        <w:rPr>
          <w:rFonts w:hint="default" w:ascii="Times New Roman" w:hAnsi="Times New Roman" w:eastAsia="黑体" w:cs="Times New Roman"/>
          <w:b/>
          <w:color w:val="000000"/>
          <w:sz w:val="24"/>
          <w:szCs w:val="24"/>
        </w:rPr>
        <w:t>图2.1-1  项目地理位置图</w:t>
      </w:r>
    </w:p>
    <w:p>
      <w:pPr>
        <w:keepNext/>
        <w:keepLines/>
        <w:spacing w:line="360" w:lineRule="auto"/>
        <w:ind w:firstLine="0"/>
        <w:outlineLvl w:val="1"/>
        <w:rPr>
          <w:rFonts w:hint="default" w:ascii="Times New Roman" w:hAnsi="Times New Roman" w:eastAsia="黑体" w:cs="Times New Roman"/>
          <w:b/>
          <w:bCs/>
          <w:sz w:val="32"/>
          <w:szCs w:val="30"/>
        </w:rPr>
        <w:sectPr>
          <w:pgSz w:w="11906" w:h="16838"/>
          <w:pgMar w:top="1417" w:right="1304" w:bottom="1304" w:left="1304" w:header="851" w:footer="992" w:gutter="0"/>
          <w:pgNumType w:fmt="decimal"/>
          <w:cols w:space="720" w:num="1"/>
          <w:docGrid w:type="lines" w:linePitch="312" w:charSpace="0"/>
        </w:sectPr>
      </w:pPr>
    </w:p>
    <w:p>
      <w:pPr>
        <w:keepNext/>
        <w:keepLines/>
        <w:spacing w:line="360" w:lineRule="auto"/>
        <w:ind w:firstLine="0"/>
        <w:outlineLvl w:val="1"/>
        <w:rPr>
          <w:rFonts w:hint="default" w:ascii="Times New Roman" w:hAnsi="Times New Roman" w:eastAsia="黑体" w:cs="Times New Roman"/>
          <w:bCs/>
          <w:sz w:val="32"/>
          <w:szCs w:val="30"/>
        </w:rPr>
      </w:pPr>
      <w:bookmarkStart w:id="137" w:name="_Toc24506"/>
      <w:r>
        <w:rPr>
          <w:rFonts w:hint="default" w:ascii="Times New Roman" w:hAnsi="Times New Roman" w:eastAsia="黑体" w:cs="Times New Roman"/>
          <w:bCs/>
          <w:sz w:val="32"/>
          <w:szCs w:val="30"/>
        </w:rPr>
        <w:t>2.2</w:t>
      </w:r>
      <w:bookmarkEnd w:id="129"/>
      <w:bookmarkEnd w:id="130"/>
      <w:bookmarkEnd w:id="131"/>
      <w:bookmarkEnd w:id="132"/>
      <w:bookmarkEnd w:id="133"/>
      <w:bookmarkEnd w:id="134"/>
      <w:bookmarkEnd w:id="135"/>
      <w:bookmarkEnd w:id="136"/>
      <w:r>
        <w:rPr>
          <w:rFonts w:hint="default" w:ascii="Times New Roman" w:hAnsi="Times New Roman" w:eastAsia="黑体" w:cs="Times New Roman"/>
          <w:bCs/>
          <w:sz w:val="32"/>
          <w:szCs w:val="30"/>
        </w:rPr>
        <w:t>产品方案及规模</w:t>
      </w:r>
      <w:bookmarkEnd w:id="137"/>
    </w:p>
    <w:p>
      <w:pPr>
        <w:keepNext/>
        <w:keepLine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2.2.1 产品方案及规模</w:t>
      </w:r>
    </w:p>
    <w:p>
      <w:pPr>
        <w:snapToGrid w:val="0"/>
        <w:spacing w:line="360" w:lineRule="auto"/>
        <w:ind w:firstLine="482"/>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p>
      <w:pPr>
        <w:keepNext/>
        <w:keepLines/>
        <w:spacing w:line="360" w:lineRule="auto"/>
        <w:ind w:firstLine="0"/>
        <w:textAlignment w:val="baseline"/>
        <w:outlineLvl w:val="2"/>
        <w:rPr>
          <w:rFonts w:hint="default" w:ascii="Times New Roman" w:hAnsi="Times New Roman" w:eastAsia="黑体" w:cs="Times New Roman"/>
          <w:b/>
          <w:kern w:val="0"/>
          <w:sz w:val="30"/>
          <w:szCs w:val="30"/>
        </w:rPr>
      </w:pPr>
      <w:r>
        <w:rPr>
          <w:rFonts w:hint="default" w:ascii="Times New Roman" w:hAnsi="Times New Roman" w:eastAsia="黑体" w:cs="Times New Roman"/>
          <w:b/>
          <w:kern w:val="0"/>
          <w:sz w:val="30"/>
          <w:szCs w:val="30"/>
        </w:rPr>
        <w:t>2.2.2 生产规模核算</w:t>
      </w:r>
    </w:p>
    <w:p>
      <w:pPr>
        <w:snapToGrid w:val="0"/>
        <w:spacing w:line="360" w:lineRule="auto"/>
        <w:ind w:firstLine="482"/>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p>
      <w:pPr>
        <w:keepNext/>
        <w:keepLine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2.2.3产品标准</w:t>
      </w:r>
    </w:p>
    <w:p>
      <w:pPr>
        <w:snapToGrid w:val="0"/>
        <w:spacing w:line="360" w:lineRule="auto"/>
        <w:ind w:firstLine="482"/>
        <w:rPr>
          <w:rFonts w:hint="default" w:ascii="Times New Roman" w:hAnsi="Times New Roman" w:eastAsia="宋体" w:cs="Times New Roman"/>
          <w:b/>
          <w:bCs/>
          <w:i/>
          <w:iCs/>
          <w:sz w:val="24"/>
          <w:szCs w:val="28"/>
          <w:lang w:val="en-US" w:eastAsia="zh-CN"/>
        </w:rPr>
      </w:pPr>
      <w:bookmarkStart w:id="138" w:name="_Toc29752189"/>
      <w:r>
        <w:rPr>
          <w:rFonts w:hint="eastAsia" w:ascii="Times New Roman" w:hAnsi="Times New Roman" w:eastAsia="宋体" w:cs="Times New Roman"/>
          <w:b/>
          <w:bCs/>
          <w:i/>
          <w:iCs/>
          <w:sz w:val="24"/>
          <w:szCs w:val="28"/>
          <w:lang w:val="en-US" w:eastAsia="zh-CN"/>
        </w:rPr>
        <w:t>涉及商业机密，删除！</w:t>
      </w:r>
    </w:p>
    <w:bookmarkEnd w:id="138"/>
    <w:p>
      <w:pPr>
        <w:keepNext/>
        <w:keepLines/>
        <w:spacing w:line="360" w:lineRule="auto"/>
        <w:ind w:firstLine="0"/>
        <w:outlineLvl w:val="1"/>
        <w:rPr>
          <w:rFonts w:hint="default" w:ascii="Times New Roman" w:hAnsi="Times New Roman" w:eastAsia="黑体" w:cs="Times New Roman"/>
          <w:bCs/>
          <w:sz w:val="32"/>
          <w:szCs w:val="30"/>
        </w:rPr>
        <w:sectPr>
          <w:pgSz w:w="11906" w:h="16838"/>
          <w:pgMar w:top="1417" w:right="1418" w:bottom="1417" w:left="1418" w:header="851" w:footer="992" w:gutter="0"/>
          <w:pgNumType w:fmt="decimal"/>
          <w:cols w:space="720" w:num="1"/>
          <w:docGrid w:type="lines" w:linePitch="312" w:charSpace="0"/>
        </w:sectPr>
      </w:pPr>
    </w:p>
    <w:p>
      <w:pPr>
        <w:keepNext/>
        <w:keepLines/>
        <w:spacing w:line="360" w:lineRule="auto"/>
        <w:ind w:firstLine="0"/>
        <w:outlineLvl w:val="1"/>
        <w:rPr>
          <w:rFonts w:hint="default" w:ascii="Times New Roman" w:hAnsi="Times New Roman" w:eastAsia="黑体" w:cs="Times New Roman"/>
          <w:bCs/>
          <w:sz w:val="32"/>
          <w:szCs w:val="30"/>
        </w:rPr>
      </w:pPr>
      <w:bookmarkStart w:id="139" w:name="_Toc23671"/>
      <w:r>
        <w:rPr>
          <w:rFonts w:hint="default" w:ascii="Times New Roman" w:hAnsi="Times New Roman" w:eastAsia="黑体" w:cs="Times New Roman"/>
          <w:bCs/>
          <w:sz w:val="32"/>
          <w:szCs w:val="30"/>
        </w:rPr>
        <w:t>2.3建设项目工程组成</w:t>
      </w:r>
      <w:bookmarkEnd w:id="139"/>
    </w:p>
    <w:p>
      <w:pPr>
        <w:keepNext/>
        <w:keepLine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2.3.1建设项目工程组成</w:t>
      </w:r>
    </w:p>
    <w:p>
      <w:pPr>
        <w:snapToGrid w:val="0"/>
        <w:spacing w:line="360" w:lineRule="auto"/>
        <w:ind w:firstLine="482"/>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p>
      <w:pPr>
        <w:spacing w:line="240" w:lineRule="auto"/>
        <w:ind w:firstLine="0"/>
        <w:rPr>
          <w:rFonts w:hint="default" w:ascii="Times New Roman" w:hAnsi="Times New Roman" w:eastAsia="宋体" w:cs="Times New Roman"/>
          <w:color w:val="000000"/>
          <w:sz w:val="21"/>
          <w:szCs w:val="24"/>
        </w:rPr>
        <w:sectPr>
          <w:pgSz w:w="16783" w:h="11850" w:orient="landscape"/>
          <w:pgMar w:top="1417" w:right="1418" w:bottom="1417" w:left="1418" w:header="851" w:footer="992" w:gutter="0"/>
          <w:pgNumType w:fmt="decimal"/>
          <w:cols w:space="720" w:num="1"/>
          <w:docGrid w:type="lines" w:linePitch="315" w:charSpace="0"/>
        </w:sectPr>
      </w:pPr>
    </w:p>
    <w:p>
      <w:pPr>
        <w:keepNext/>
        <w:keepLines/>
        <w:spacing w:line="360" w:lineRule="auto"/>
        <w:ind w:firstLine="0"/>
        <w:textAlignment w:val="baseline"/>
        <w:outlineLvl w:val="2"/>
        <w:rPr>
          <w:rFonts w:hint="default" w:ascii="Times New Roman" w:hAnsi="Times New Roman" w:eastAsia="黑体" w:cs="Times New Roman"/>
          <w:color w:val="auto"/>
          <w:kern w:val="0"/>
          <w:sz w:val="30"/>
          <w:szCs w:val="30"/>
          <w:lang w:val="en-US" w:eastAsia="zh-CN"/>
        </w:rPr>
      </w:pPr>
      <w:r>
        <w:rPr>
          <w:rFonts w:hint="default" w:ascii="Times New Roman" w:hAnsi="Times New Roman" w:eastAsia="黑体" w:cs="Times New Roman"/>
          <w:color w:val="auto"/>
          <w:kern w:val="0"/>
          <w:sz w:val="30"/>
          <w:szCs w:val="30"/>
        </w:rPr>
        <w:t>2.3.</w:t>
      </w:r>
      <w:r>
        <w:rPr>
          <w:rFonts w:hint="eastAsia" w:ascii="Times New Roman" w:hAnsi="Times New Roman" w:eastAsia="黑体" w:cs="Times New Roman"/>
          <w:color w:val="auto"/>
          <w:kern w:val="0"/>
          <w:sz w:val="30"/>
          <w:szCs w:val="30"/>
          <w:lang w:val="en-US" w:eastAsia="zh-CN"/>
        </w:rPr>
        <w:t>2场地历史回顾</w:t>
      </w:r>
    </w:p>
    <w:p>
      <w:pPr>
        <w:snapToGrid w:val="0"/>
        <w:spacing w:line="360" w:lineRule="auto"/>
        <w:ind w:firstLine="482"/>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p>
      <w:pPr>
        <w:keepNext/>
        <w:keepLines/>
        <w:spacing w:line="360" w:lineRule="auto"/>
        <w:ind w:firstLine="0"/>
        <w:outlineLvl w:val="1"/>
        <w:rPr>
          <w:rFonts w:hint="default" w:ascii="Times New Roman" w:hAnsi="Times New Roman" w:eastAsia="黑体" w:cs="Times New Roman"/>
          <w:bCs/>
          <w:sz w:val="32"/>
          <w:szCs w:val="30"/>
        </w:rPr>
      </w:pPr>
      <w:bookmarkStart w:id="140" w:name="_Toc249773039"/>
      <w:bookmarkStart w:id="141" w:name="_Toc217888374"/>
      <w:bookmarkStart w:id="142" w:name="_Toc200266363"/>
      <w:bookmarkStart w:id="143" w:name="_Toc24472"/>
      <w:bookmarkStart w:id="144" w:name="_Toc141520455"/>
      <w:bookmarkStart w:id="145" w:name="_Toc182968423"/>
      <w:bookmarkStart w:id="146" w:name="_Toc183754348"/>
      <w:bookmarkStart w:id="147" w:name="_Toc182968950"/>
      <w:bookmarkStart w:id="148" w:name="_Toc183782528"/>
      <w:r>
        <w:rPr>
          <w:rFonts w:hint="default" w:ascii="Times New Roman" w:hAnsi="Times New Roman" w:eastAsia="黑体" w:cs="Times New Roman"/>
          <w:bCs/>
          <w:sz w:val="32"/>
          <w:szCs w:val="30"/>
        </w:rPr>
        <w:t>2.4总图布置</w:t>
      </w:r>
      <w:bookmarkEnd w:id="140"/>
      <w:bookmarkEnd w:id="141"/>
      <w:bookmarkEnd w:id="142"/>
      <w:r>
        <w:rPr>
          <w:rFonts w:hint="default" w:ascii="Times New Roman" w:hAnsi="Times New Roman" w:eastAsia="黑体" w:cs="Times New Roman"/>
          <w:bCs/>
          <w:sz w:val="32"/>
          <w:szCs w:val="30"/>
        </w:rPr>
        <w:t>及环境合理性</w:t>
      </w:r>
      <w:bookmarkEnd w:id="143"/>
    </w:p>
    <w:bookmarkEnd w:id="144"/>
    <w:bookmarkEnd w:id="145"/>
    <w:bookmarkEnd w:id="146"/>
    <w:bookmarkEnd w:id="147"/>
    <w:bookmarkEnd w:id="148"/>
    <w:p>
      <w:pPr>
        <w:keepNext/>
        <w:keepLine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2.4.1总图布置方案</w:t>
      </w:r>
    </w:p>
    <w:p>
      <w:pPr>
        <w:snapToGrid w:val="0"/>
        <w:spacing w:line="360" w:lineRule="auto"/>
        <w:ind w:firstLine="480"/>
        <w:rPr>
          <w:rFonts w:hint="default" w:ascii="Times New Roman" w:hAnsi="Times New Roman" w:eastAsia="宋体" w:cs="Times New Roman"/>
          <w:color w:val="000000"/>
          <w:kern w:val="0"/>
          <w:sz w:val="24"/>
          <w:szCs w:val="24"/>
          <w:lang w:val="en-US" w:eastAsia="zh-CN"/>
        </w:rPr>
      </w:pPr>
      <w:r>
        <w:rPr>
          <w:rFonts w:hint="default" w:ascii="Times New Roman" w:hAnsi="Times New Roman" w:eastAsia="宋体" w:cs="Times New Roman"/>
          <w:color w:val="000000"/>
          <w:kern w:val="0"/>
          <w:sz w:val="24"/>
          <w:szCs w:val="24"/>
          <w:lang w:val="en-US" w:eastAsia="zh-CN"/>
        </w:rPr>
        <w:t>项目</w:t>
      </w:r>
      <w:r>
        <w:rPr>
          <w:rFonts w:hint="default" w:ascii="Times New Roman" w:hAnsi="Times New Roman" w:eastAsia="宋体" w:cs="Times New Roman"/>
          <w:color w:val="000000"/>
          <w:kern w:val="0"/>
          <w:sz w:val="24"/>
          <w:szCs w:val="24"/>
        </w:rPr>
        <w:t>总平面布置根据功能进行分区，全厂分为厂前区、生产区、公用工程及辅助设施区、预留发展区等。</w:t>
      </w:r>
      <w:r>
        <w:rPr>
          <w:rFonts w:hint="default" w:ascii="Times New Roman" w:hAnsi="Times New Roman" w:eastAsia="宋体" w:cs="Times New Roman"/>
          <w:color w:val="000000"/>
          <w:kern w:val="0"/>
          <w:sz w:val="24"/>
          <w:szCs w:val="24"/>
          <w:lang w:val="en-US" w:eastAsia="zh-CN"/>
        </w:rPr>
        <w:t>厂区总平面图见图2.4-1。</w:t>
      </w:r>
    </w:p>
    <w:p>
      <w:pPr>
        <w:snapToGrid w:val="0"/>
        <w:spacing w:line="360" w:lineRule="auto"/>
        <w:ind w:firstLine="480"/>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000000"/>
          <w:kern w:val="0"/>
          <w:sz w:val="24"/>
          <w:szCs w:val="24"/>
        </w:rPr>
        <w:t>厂区南部由西向东布置罐区、污水处理设施；中部由西向东布置二号车间、综合仓库；厂前区位于厂区中部东面，由南向北依次布置有综合楼、综合活动楼、中控楼；厂区北部预留为后期发展。其中配电房布置在厂区东侧，靠近园区电源进线方位；循环水场、空压冷冻站靠近生产装置区负荷中心布置，减少能量损</w:t>
      </w:r>
      <w:r>
        <w:rPr>
          <w:rFonts w:hint="default" w:ascii="Times New Roman" w:hAnsi="Times New Roman" w:eastAsia="宋体" w:cs="Times New Roman"/>
          <w:color w:val="auto"/>
          <w:kern w:val="0"/>
          <w:sz w:val="24"/>
          <w:szCs w:val="24"/>
        </w:rPr>
        <w:t>失。</w:t>
      </w:r>
      <w:r>
        <w:rPr>
          <w:rFonts w:hint="default" w:ascii="Times New Roman" w:hAnsi="Times New Roman" w:eastAsia="宋体" w:cs="Times New Roman"/>
          <w:color w:val="auto"/>
          <w:kern w:val="0"/>
          <w:sz w:val="24"/>
          <w:szCs w:val="24"/>
          <w:lang w:val="en-US" w:eastAsia="zh-CN"/>
        </w:rPr>
        <w:t>二号车间共3层，一层布置主要生产设备，二层为</w:t>
      </w:r>
      <w:r>
        <w:rPr>
          <w:rFonts w:hint="eastAsia" w:ascii="Times New Roman" w:hAnsi="Times New Roman" w:eastAsia="宋体" w:cs="Times New Roman"/>
          <w:color w:val="auto"/>
          <w:kern w:val="0"/>
          <w:sz w:val="24"/>
          <w:szCs w:val="24"/>
          <w:lang w:val="en-US" w:eastAsia="zh-CN"/>
        </w:rPr>
        <w:t>化验室</w:t>
      </w:r>
      <w:r>
        <w:rPr>
          <w:rFonts w:hint="default" w:ascii="Times New Roman" w:hAnsi="Times New Roman" w:eastAsia="宋体" w:cs="Times New Roman"/>
          <w:color w:val="auto"/>
          <w:kern w:val="0"/>
          <w:sz w:val="24"/>
          <w:szCs w:val="24"/>
          <w:lang w:val="en-US" w:eastAsia="zh-CN"/>
        </w:rPr>
        <w:t>等辅助设施，三层预留后期使用。二号车间1、2层平面布置见图2.4-2，2.4-3。</w:t>
      </w:r>
    </w:p>
    <w:p>
      <w:pPr>
        <w:snapToGrid w:val="0"/>
        <w:spacing w:line="360" w:lineRule="auto"/>
        <w:ind w:firstLine="480"/>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综合仓库布置在厂区中部，有单独出入口，方便运输车辆的进出，减少人员接触。综合楼等生产管理区集中布置在厂区东侧，靠近厂区人员出入口，远离罐区。</w:t>
      </w:r>
    </w:p>
    <w:p>
      <w:pPr>
        <w:keepNext/>
        <w:keepLines/>
        <w:spacing w:line="360" w:lineRule="auto"/>
        <w:ind w:firstLine="0"/>
        <w:textAlignment w:val="baseline"/>
        <w:outlineLvl w:val="2"/>
        <w:rPr>
          <w:rFonts w:hint="default" w:ascii="Times New Roman" w:hAnsi="Times New Roman" w:eastAsia="黑体" w:cs="Times New Roman"/>
          <w:kern w:val="0"/>
          <w:sz w:val="30"/>
          <w:szCs w:val="30"/>
        </w:rPr>
      </w:pPr>
      <w:bookmarkStart w:id="149" w:name="_Toc141520456"/>
      <w:r>
        <w:rPr>
          <w:rFonts w:hint="default" w:ascii="Times New Roman" w:hAnsi="Times New Roman" w:eastAsia="黑体" w:cs="Times New Roman"/>
          <w:kern w:val="0"/>
          <w:sz w:val="30"/>
          <w:szCs w:val="30"/>
        </w:rPr>
        <w:t>2.4.2主要建、构筑物情况</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本项目总图主要经济技术指标见表</w:t>
      </w:r>
      <w:r>
        <w:rPr>
          <w:rFonts w:hint="default" w:ascii="Times New Roman" w:hAnsi="Times New Roman" w:eastAsia="宋体" w:cs="Times New Roman"/>
          <w:color w:val="000000"/>
          <w:sz w:val="24"/>
          <w:szCs w:val="24"/>
        </w:rPr>
        <w:t>2.4-1，</w:t>
      </w:r>
      <w:r>
        <w:rPr>
          <w:rFonts w:hint="default" w:ascii="Times New Roman" w:hAnsi="Times New Roman" w:eastAsia="宋体" w:cs="Times New Roman"/>
          <w:color w:val="000000"/>
          <w:sz w:val="24"/>
          <w:szCs w:val="24"/>
          <w:lang w:val="en-GB"/>
        </w:rPr>
        <w:t>主要建、构筑物情况详见表</w:t>
      </w:r>
      <w:r>
        <w:rPr>
          <w:rFonts w:hint="default" w:ascii="Times New Roman" w:hAnsi="Times New Roman" w:eastAsia="宋体" w:cs="Times New Roman"/>
          <w:color w:val="000000"/>
          <w:sz w:val="24"/>
          <w:szCs w:val="24"/>
        </w:rPr>
        <w:t>2.4</w:t>
      </w:r>
      <w:r>
        <w:rPr>
          <w:rFonts w:hint="default" w:ascii="Times New Roman" w:hAnsi="Times New Roman" w:eastAsia="宋体" w:cs="Times New Roman"/>
          <w:color w:val="000000"/>
          <w:sz w:val="24"/>
          <w:szCs w:val="24"/>
          <w:lang w:val="en-GB"/>
        </w:rPr>
        <w:t>-</w:t>
      </w:r>
      <w:r>
        <w:rPr>
          <w:rFonts w:hint="default" w:ascii="Times New Roman" w:hAnsi="Times New Roman" w:eastAsia="宋体" w:cs="Times New Roman"/>
          <w:color w:val="000000"/>
          <w:sz w:val="24"/>
          <w:szCs w:val="24"/>
        </w:rPr>
        <w:t>2。</w:t>
      </w:r>
    </w:p>
    <w:p>
      <w:pPr>
        <w:spacing w:line="360" w:lineRule="auto"/>
        <w:ind w:firstLine="0"/>
        <w:jc w:val="center"/>
        <w:outlineLvl w:val="4"/>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sz w:val="24"/>
          <w:szCs w:val="24"/>
        </w:rPr>
        <w:t>表2.4-1  主要技术经济指标</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2"/>
        <w:gridCol w:w="3398"/>
        <w:gridCol w:w="1142"/>
        <w:gridCol w:w="36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3398"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项目名称</w:t>
            </w:r>
          </w:p>
        </w:tc>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单位</w:t>
            </w:r>
          </w:p>
        </w:tc>
        <w:tc>
          <w:tcPr>
            <w:tcW w:w="3604"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3398" w:type="dxa"/>
            <w:noWrap w:val="0"/>
            <w:vAlign w:val="top"/>
          </w:tcPr>
          <w:p>
            <w:pPr>
              <w:tabs>
                <w:tab w:val="center" w:pos="884"/>
              </w:tabs>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厂区征地面积</w:t>
            </w:r>
          </w:p>
        </w:tc>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rPr>
              <w:t>m²</w:t>
            </w:r>
          </w:p>
        </w:tc>
        <w:tc>
          <w:tcPr>
            <w:tcW w:w="3604"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66665（合100亩）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3398"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建构筑物占地面积</w:t>
            </w:r>
          </w:p>
        </w:tc>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rPr>
              <w:t>m²</w:t>
            </w:r>
          </w:p>
        </w:tc>
        <w:tc>
          <w:tcPr>
            <w:tcW w:w="3604"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31628.8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3398"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建筑总面积</w:t>
            </w:r>
          </w:p>
        </w:tc>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rPr>
              <w:t>m²</w:t>
            </w:r>
          </w:p>
        </w:tc>
        <w:tc>
          <w:tcPr>
            <w:tcW w:w="3604"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81818.84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3398"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计容建筑面积</w:t>
            </w:r>
          </w:p>
        </w:tc>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rPr>
              <w:t>m²</w:t>
            </w:r>
          </w:p>
        </w:tc>
        <w:tc>
          <w:tcPr>
            <w:tcW w:w="3604"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105155.21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3398"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建筑系数</w:t>
            </w:r>
          </w:p>
        </w:tc>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3604"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47.44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3398"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容积率</w:t>
            </w:r>
          </w:p>
        </w:tc>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3604"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3398"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工厂容积率</w:t>
            </w:r>
          </w:p>
        </w:tc>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3604"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3398"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绿地占地面积</w:t>
            </w:r>
          </w:p>
        </w:tc>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rPr>
              <w:t>m²</w:t>
            </w:r>
          </w:p>
        </w:tc>
        <w:tc>
          <w:tcPr>
            <w:tcW w:w="3604"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8211.0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3398"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绿地率</w:t>
            </w:r>
          </w:p>
        </w:tc>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3604"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3398"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围墙长度</w:t>
            </w:r>
          </w:p>
        </w:tc>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w:t>
            </w:r>
          </w:p>
        </w:tc>
        <w:tc>
          <w:tcPr>
            <w:tcW w:w="3604"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w:t>
            </w:r>
          </w:p>
        </w:tc>
        <w:tc>
          <w:tcPr>
            <w:tcW w:w="3398"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办公后勤占地面积</w:t>
            </w:r>
          </w:p>
        </w:tc>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rPr>
              <w:t>m²</w:t>
            </w:r>
          </w:p>
        </w:tc>
        <w:tc>
          <w:tcPr>
            <w:tcW w:w="3604"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2338.14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w:t>
            </w:r>
          </w:p>
        </w:tc>
        <w:tc>
          <w:tcPr>
            <w:tcW w:w="3398"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办公后勤占地比例</w:t>
            </w:r>
          </w:p>
        </w:tc>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3604"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13</w:t>
            </w:r>
          </w:p>
        </w:tc>
        <w:tc>
          <w:tcPr>
            <w:tcW w:w="3398"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停泊车位</w:t>
            </w:r>
          </w:p>
        </w:tc>
        <w:tc>
          <w:tcPr>
            <w:tcW w:w="1142"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辆</w:t>
            </w:r>
          </w:p>
        </w:tc>
        <w:tc>
          <w:tcPr>
            <w:tcW w:w="3604" w:type="dxa"/>
            <w:noWrap w:val="0"/>
            <w:vAlign w:val="top"/>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164</w:t>
            </w:r>
          </w:p>
        </w:tc>
      </w:tr>
    </w:tbl>
    <w:p>
      <w:pPr>
        <w:spacing w:line="360" w:lineRule="auto"/>
        <w:ind w:firstLine="0"/>
        <w:jc w:val="center"/>
        <w:outlineLvl w:val="4"/>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sz w:val="24"/>
          <w:szCs w:val="24"/>
        </w:rPr>
        <w:t>表2.4-2  主要建筑物一览表</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9"/>
        <w:gridCol w:w="1365"/>
        <w:gridCol w:w="477"/>
        <w:gridCol w:w="861"/>
        <w:gridCol w:w="809"/>
        <w:gridCol w:w="1041"/>
        <w:gridCol w:w="1219"/>
        <w:gridCol w:w="1432"/>
        <w:gridCol w:w="678"/>
        <w:gridCol w:w="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9"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136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名称</w:t>
            </w:r>
          </w:p>
        </w:tc>
        <w:tc>
          <w:tcPr>
            <w:tcW w:w="477"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层数</w:t>
            </w:r>
          </w:p>
        </w:tc>
        <w:tc>
          <w:tcPr>
            <w:tcW w:w="86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火灾危险性类别</w:t>
            </w:r>
          </w:p>
        </w:tc>
        <w:tc>
          <w:tcPr>
            <w:tcW w:w="80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耐火等级</w:t>
            </w:r>
          </w:p>
        </w:tc>
        <w:tc>
          <w:tcPr>
            <w:tcW w:w="104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占地面积（</w:t>
            </w:r>
            <w:r>
              <w:rPr>
                <w:rFonts w:hint="default" w:ascii="Times New Roman" w:hAnsi="Times New Roman" w:eastAsia="宋体" w:cs="Times New Roman"/>
                <w:color w:val="000000"/>
                <w:kern w:val="0"/>
                <w:sz w:val="21"/>
                <w:szCs w:val="21"/>
              </w:rPr>
              <w:t>m²</w:t>
            </w:r>
            <w:r>
              <w:rPr>
                <w:rFonts w:hint="default" w:ascii="Times New Roman" w:hAnsi="Times New Roman" w:eastAsia="宋体" w:cs="Times New Roman"/>
                <w:sz w:val="21"/>
                <w:szCs w:val="21"/>
              </w:rPr>
              <w:t>）</w:t>
            </w:r>
          </w:p>
        </w:tc>
        <w:tc>
          <w:tcPr>
            <w:tcW w:w="121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建筑面积（</w:t>
            </w:r>
            <w:r>
              <w:rPr>
                <w:rFonts w:hint="default" w:ascii="Times New Roman" w:hAnsi="Times New Roman" w:eastAsia="宋体" w:cs="Times New Roman"/>
                <w:color w:val="000000"/>
                <w:kern w:val="0"/>
                <w:sz w:val="21"/>
                <w:szCs w:val="21"/>
              </w:rPr>
              <w:t>m²</w:t>
            </w:r>
            <w:r>
              <w:rPr>
                <w:rFonts w:hint="default" w:ascii="Times New Roman" w:hAnsi="Times New Roman" w:eastAsia="宋体" w:cs="Times New Roman"/>
                <w:sz w:val="21"/>
                <w:szCs w:val="21"/>
              </w:rPr>
              <w:t>）</w:t>
            </w:r>
          </w:p>
        </w:tc>
        <w:tc>
          <w:tcPr>
            <w:tcW w:w="1432"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计容建筑面积（</w:t>
            </w:r>
            <w:r>
              <w:rPr>
                <w:rFonts w:hint="default" w:ascii="Times New Roman" w:hAnsi="Times New Roman" w:eastAsia="宋体" w:cs="Times New Roman"/>
                <w:color w:val="000000"/>
                <w:kern w:val="0"/>
                <w:sz w:val="21"/>
                <w:szCs w:val="21"/>
              </w:rPr>
              <w:t>m²</w:t>
            </w:r>
            <w:r>
              <w:rPr>
                <w:rFonts w:hint="default" w:ascii="Times New Roman" w:hAnsi="Times New Roman" w:eastAsia="宋体" w:cs="Times New Roman"/>
                <w:sz w:val="21"/>
                <w:szCs w:val="21"/>
              </w:rPr>
              <w:t>）</w:t>
            </w:r>
          </w:p>
        </w:tc>
        <w:tc>
          <w:tcPr>
            <w:tcW w:w="67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高度(m)</w:t>
            </w:r>
          </w:p>
        </w:tc>
        <w:tc>
          <w:tcPr>
            <w:tcW w:w="92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9"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36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综合楼</w:t>
            </w:r>
          </w:p>
        </w:tc>
        <w:tc>
          <w:tcPr>
            <w:tcW w:w="477"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86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民用</w:t>
            </w:r>
          </w:p>
        </w:tc>
        <w:tc>
          <w:tcPr>
            <w:tcW w:w="80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二级</w:t>
            </w:r>
          </w:p>
        </w:tc>
        <w:tc>
          <w:tcPr>
            <w:tcW w:w="104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1074.1</w:t>
            </w:r>
          </w:p>
        </w:tc>
        <w:tc>
          <w:tcPr>
            <w:tcW w:w="121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4302.6</w:t>
            </w:r>
          </w:p>
        </w:tc>
        <w:tc>
          <w:tcPr>
            <w:tcW w:w="1432"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4302.6</w:t>
            </w:r>
          </w:p>
        </w:tc>
        <w:tc>
          <w:tcPr>
            <w:tcW w:w="67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22.2</w:t>
            </w:r>
          </w:p>
        </w:tc>
        <w:tc>
          <w:tcPr>
            <w:tcW w:w="925" w:type="dxa"/>
            <w:noWrap w:val="0"/>
            <w:vAlign w:val="center"/>
          </w:tcPr>
          <w:p>
            <w:pPr>
              <w:spacing w:line="300" w:lineRule="exact"/>
              <w:ind w:firstLine="0"/>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9"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136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综合活动楼</w:t>
            </w:r>
          </w:p>
        </w:tc>
        <w:tc>
          <w:tcPr>
            <w:tcW w:w="477"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86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民用</w:t>
            </w:r>
          </w:p>
        </w:tc>
        <w:tc>
          <w:tcPr>
            <w:tcW w:w="80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二级</w:t>
            </w:r>
          </w:p>
        </w:tc>
        <w:tc>
          <w:tcPr>
            <w:tcW w:w="104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1103.64</w:t>
            </w:r>
          </w:p>
        </w:tc>
        <w:tc>
          <w:tcPr>
            <w:tcW w:w="121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1103.64</w:t>
            </w:r>
          </w:p>
        </w:tc>
        <w:tc>
          <w:tcPr>
            <w:tcW w:w="1432"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1103.64</w:t>
            </w:r>
          </w:p>
        </w:tc>
        <w:tc>
          <w:tcPr>
            <w:tcW w:w="67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4.95</w:t>
            </w:r>
          </w:p>
        </w:tc>
        <w:tc>
          <w:tcPr>
            <w:tcW w:w="925" w:type="dxa"/>
            <w:noWrap w:val="0"/>
            <w:vAlign w:val="center"/>
          </w:tcPr>
          <w:p>
            <w:pPr>
              <w:spacing w:line="300" w:lineRule="exact"/>
              <w:ind w:firstLine="0"/>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79"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136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门卫1</w:t>
            </w:r>
          </w:p>
        </w:tc>
        <w:tc>
          <w:tcPr>
            <w:tcW w:w="477"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86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民用</w:t>
            </w:r>
          </w:p>
        </w:tc>
        <w:tc>
          <w:tcPr>
            <w:tcW w:w="80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二级</w:t>
            </w:r>
          </w:p>
        </w:tc>
        <w:tc>
          <w:tcPr>
            <w:tcW w:w="104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160.4</w:t>
            </w:r>
          </w:p>
        </w:tc>
        <w:tc>
          <w:tcPr>
            <w:tcW w:w="121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299.6</w:t>
            </w:r>
          </w:p>
        </w:tc>
        <w:tc>
          <w:tcPr>
            <w:tcW w:w="1432"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299.6</w:t>
            </w:r>
          </w:p>
        </w:tc>
        <w:tc>
          <w:tcPr>
            <w:tcW w:w="67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7.8</w:t>
            </w:r>
          </w:p>
        </w:tc>
        <w:tc>
          <w:tcPr>
            <w:tcW w:w="925" w:type="dxa"/>
            <w:noWrap w:val="0"/>
            <w:vAlign w:val="center"/>
          </w:tcPr>
          <w:p>
            <w:pPr>
              <w:spacing w:line="300" w:lineRule="exact"/>
              <w:ind w:firstLine="0"/>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9"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136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中控楼</w:t>
            </w:r>
          </w:p>
        </w:tc>
        <w:tc>
          <w:tcPr>
            <w:tcW w:w="477"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86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丁类</w:t>
            </w:r>
          </w:p>
        </w:tc>
        <w:tc>
          <w:tcPr>
            <w:tcW w:w="80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二级</w:t>
            </w:r>
          </w:p>
        </w:tc>
        <w:tc>
          <w:tcPr>
            <w:tcW w:w="104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763.04</w:t>
            </w:r>
          </w:p>
        </w:tc>
        <w:tc>
          <w:tcPr>
            <w:tcW w:w="121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1526.08</w:t>
            </w:r>
          </w:p>
        </w:tc>
        <w:tc>
          <w:tcPr>
            <w:tcW w:w="1432"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1526.08</w:t>
            </w:r>
          </w:p>
        </w:tc>
        <w:tc>
          <w:tcPr>
            <w:tcW w:w="67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9.45</w:t>
            </w:r>
          </w:p>
        </w:tc>
        <w:tc>
          <w:tcPr>
            <w:tcW w:w="925" w:type="dxa"/>
            <w:noWrap w:val="0"/>
            <w:vAlign w:val="center"/>
          </w:tcPr>
          <w:p>
            <w:pPr>
              <w:spacing w:line="300" w:lineRule="exact"/>
              <w:ind w:firstLine="0"/>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9"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136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一号车间</w:t>
            </w:r>
          </w:p>
        </w:tc>
        <w:tc>
          <w:tcPr>
            <w:tcW w:w="477"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86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乙类</w:t>
            </w:r>
          </w:p>
        </w:tc>
        <w:tc>
          <w:tcPr>
            <w:tcW w:w="80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二级</w:t>
            </w:r>
          </w:p>
        </w:tc>
        <w:tc>
          <w:tcPr>
            <w:tcW w:w="104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10361.84</w:t>
            </w:r>
          </w:p>
        </w:tc>
        <w:tc>
          <w:tcPr>
            <w:tcW w:w="121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31422.42</w:t>
            </w:r>
          </w:p>
        </w:tc>
        <w:tc>
          <w:tcPr>
            <w:tcW w:w="1432"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41784.26</w:t>
            </w:r>
          </w:p>
        </w:tc>
        <w:tc>
          <w:tcPr>
            <w:tcW w:w="67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23.3</w:t>
            </w:r>
          </w:p>
        </w:tc>
        <w:tc>
          <w:tcPr>
            <w:tcW w:w="925" w:type="dxa"/>
            <w:noWrap w:val="0"/>
            <w:vAlign w:val="center"/>
          </w:tcPr>
          <w:p>
            <w:pPr>
              <w:spacing w:line="300" w:lineRule="exact"/>
              <w:ind w:firstLine="0"/>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预留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9"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136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二号车间</w:t>
            </w:r>
          </w:p>
        </w:tc>
        <w:tc>
          <w:tcPr>
            <w:tcW w:w="477"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86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乙类</w:t>
            </w:r>
          </w:p>
        </w:tc>
        <w:tc>
          <w:tcPr>
            <w:tcW w:w="80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二级</w:t>
            </w:r>
          </w:p>
        </w:tc>
        <w:tc>
          <w:tcPr>
            <w:tcW w:w="104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3990.09</w:t>
            </w:r>
          </w:p>
        </w:tc>
        <w:tc>
          <w:tcPr>
            <w:tcW w:w="121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12100.71</w:t>
            </w:r>
          </w:p>
        </w:tc>
        <w:tc>
          <w:tcPr>
            <w:tcW w:w="1432"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16086.02</w:t>
            </w:r>
          </w:p>
        </w:tc>
        <w:tc>
          <w:tcPr>
            <w:tcW w:w="67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23.3</w:t>
            </w:r>
          </w:p>
        </w:tc>
        <w:tc>
          <w:tcPr>
            <w:tcW w:w="925" w:type="dxa"/>
            <w:noWrap w:val="0"/>
            <w:vAlign w:val="center"/>
          </w:tcPr>
          <w:p>
            <w:pPr>
              <w:spacing w:line="300" w:lineRule="exact"/>
              <w:ind w:firstLine="0"/>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79"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136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三号车间</w:t>
            </w:r>
          </w:p>
        </w:tc>
        <w:tc>
          <w:tcPr>
            <w:tcW w:w="477"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86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乙类</w:t>
            </w:r>
          </w:p>
        </w:tc>
        <w:tc>
          <w:tcPr>
            <w:tcW w:w="80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二级</w:t>
            </w:r>
          </w:p>
        </w:tc>
        <w:tc>
          <w:tcPr>
            <w:tcW w:w="104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3991.08</w:t>
            </w:r>
          </w:p>
        </w:tc>
        <w:tc>
          <w:tcPr>
            <w:tcW w:w="121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12032.42</w:t>
            </w:r>
          </w:p>
        </w:tc>
        <w:tc>
          <w:tcPr>
            <w:tcW w:w="1432"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16086.02</w:t>
            </w:r>
          </w:p>
        </w:tc>
        <w:tc>
          <w:tcPr>
            <w:tcW w:w="67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23.3</w:t>
            </w:r>
          </w:p>
        </w:tc>
        <w:tc>
          <w:tcPr>
            <w:tcW w:w="925" w:type="dxa"/>
            <w:noWrap w:val="0"/>
            <w:vAlign w:val="center"/>
          </w:tcPr>
          <w:p>
            <w:pPr>
              <w:spacing w:line="300" w:lineRule="exact"/>
              <w:ind w:firstLine="0"/>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预留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9"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136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四号车间</w:t>
            </w:r>
          </w:p>
        </w:tc>
        <w:tc>
          <w:tcPr>
            <w:tcW w:w="477"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86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丙类</w:t>
            </w:r>
          </w:p>
        </w:tc>
        <w:tc>
          <w:tcPr>
            <w:tcW w:w="80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二级</w:t>
            </w:r>
          </w:p>
        </w:tc>
        <w:tc>
          <w:tcPr>
            <w:tcW w:w="104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1954.74</w:t>
            </w:r>
          </w:p>
        </w:tc>
        <w:tc>
          <w:tcPr>
            <w:tcW w:w="121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5891.55</w:t>
            </w:r>
          </w:p>
        </w:tc>
        <w:tc>
          <w:tcPr>
            <w:tcW w:w="1432"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7840.17</w:t>
            </w:r>
          </w:p>
        </w:tc>
        <w:tc>
          <w:tcPr>
            <w:tcW w:w="67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23.3</w:t>
            </w:r>
          </w:p>
        </w:tc>
        <w:tc>
          <w:tcPr>
            <w:tcW w:w="925" w:type="dxa"/>
            <w:noWrap w:val="0"/>
            <w:vAlign w:val="center"/>
          </w:tcPr>
          <w:p>
            <w:pPr>
              <w:spacing w:line="300" w:lineRule="exact"/>
              <w:ind w:firstLine="0"/>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预留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9"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136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综合仓库</w:t>
            </w:r>
          </w:p>
        </w:tc>
        <w:tc>
          <w:tcPr>
            <w:tcW w:w="477"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86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丙类</w:t>
            </w:r>
          </w:p>
        </w:tc>
        <w:tc>
          <w:tcPr>
            <w:tcW w:w="80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二级</w:t>
            </w:r>
          </w:p>
        </w:tc>
        <w:tc>
          <w:tcPr>
            <w:tcW w:w="104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1620.04</w:t>
            </w:r>
          </w:p>
        </w:tc>
        <w:tc>
          <w:tcPr>
            <w:tcW w:w="121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6593.32</w:t>
            </w:r>
          </w:p>
        </w:tc>
        <w:tc>
          <w:tcPr>
            <w:tcW w:w="1432"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6593.32</w:t>
            </w:r>
          </w:p>
        </w:tc>
        <w:tc>
          <w:tcPr>
            <w:tcW w:w="67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23.3</w:t>
            </w:r>
          </w:p>
        </w:tc>
        <w:tc>
          <w:tcPr>
            <w:tcW w:w="925" w:type="dxa"/>
            <w:noWrap w:val="0"/>
            <w:vAlign w:val="center"/>
          </w:tcPr>
          <w:p>
            <w:pPr>
              <w:spacing w:line="300" w:lineRule="exact"/>
              <w:ind w:firstLine="0"/>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9"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136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丁类仓库</w:t>
            </w:r>
          </w:p>
        </w:tc>
        <w:tc>
          <w:tcPr>
            <w:tcW w:w="477"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86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丁类</w:t>
            </w:r>
          </w:p>
        </w:tc>
        <w:tc>
          <w:tcPr>
            <w:tcW w:w="80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二级</w:t>
            </w:r>
          </w:p>
        </w:tc>
        <w:tc>
          <w:tcPr>
            <w:tcW w:w="104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1219.04</w:t>
            </w:r>
          </w:p>
        </w:tc>
        <w:tc>
          <w:tcPr>
            <w:tcW w:w="121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5010.42</w:t>
            </w:r>
          </w:p>
        </w:tc>
        <w:tc>
          <w:tcPr>
            <w:tcW w:w="1432"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5010.42</w:t>
            </w:r>
          </w:p>
        </w:tc>
        <w:tc>
          <w:tcPr>
            <w:tcW w:w="67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23.3</w:t>
            </w:r>
          </w:p>
        </w:tc>
        <w:tc>
          <w:tcPr>
            <w:tcW w:w="925" w:type="dxa"/>
            <w:noWrap w:val="0"/>
            <w:vAlign w:val="center"/>
          </w:tcPr>
          <w:p>
            <w:pPr>
              <w:spacing w:line="300" w:lineRule="exact"/>
              <w:ind w:firstLine="0"/>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预留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79"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w:t>
            </w:r>
          </w:p>
        </w:tc>
        <w:tc>
          <w:tcPr>
            <w:tcW w:w="136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辅助用房</w:t>
            </w:r>
          </w:p>
        </w:tc>
        <w:tc>
          <w:tcPr>
            <w:tcW w:w="477"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86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丙类</w:t>
            </w:r>
          </w:p>
        </w:tc>
        <w:tc>
          <w:tcPr>
            <w:tcW w:w="80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二级</w:t>
            </w:r>
          </w:p>
        </w:tc>
        <w:tc>
          <w:tcPr>
            <w:tcW w:w="104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1095.64</w:t>
            </w:r>
          </w:p>
        </w:tc>
        <w:tc>
          <w:tcPr>
            <w:tcW w:w="121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1095.64</w:t>
            </w:r>
          </w:p>
        </w:tc>
        <w:tc>
          <w:tcPr>
            <w:tcW w:w="1432"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1095.64</w:t>
            </w:r>
          </w:p>
        </w:tc>
        <w:tc>
          <w:tcPr>
            <w:tcW w:w="67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7.2</w:t>
            </w:r>
          </w:p>
        </w:tc>
        <w:tc>
          <w:tcPr>
            <w:tcW w:w="925" w:type="dxa"/>
            <w:noWrap w:val="0"/>
            <w:vAlign w:val="center"/>
          </w:tcPr>
          <w:p>
            <w:pPr>
              <w:spacing w:line="300" w:lineRule="exact"/>
              <w:ind w:firstLine="0"/>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9"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w:t>
            </w:r>
          </w:p>
        </w:tc>
        <w:tc>
          <w:tcPr>
            <w:tcW w:w="136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污水处理池</w:t>
            </w:r>
          </w:p>
        </w:tc>
        <w:tc>
          <w:tcPr>
            <w:tcW w:w="477" w:type="dxa"/>
            <w:noWrap w:val="0"/>
            <w:vAlign w:val="center"/>
          </w:tcPr>
          <w:p>
            <w:pPr>
              <w:spacing w:line="300" w:lineRule="exact"/>
              <w:ind w:firstLine="0"/>
              <w:rPr>
                <w:rFonts w:hint="default" w:ascii="Times New Roman" w:hAnsi="Times New Roman" w:eastAsia="宋体" w:cs="Times New Roman"/>
                <w:sz w:val="21"/>
                <w:szCs w:val="21"/>
              </w:rPr>
            </w:pPr>
          </w:p>
        </w:tc>
        <w:tc>
          <w:tcPr>
            <w:tcW w:w="86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戊类</w:t>
            </w:r>
          </w:p>
        </w:tc>
        <w:tc>
          <w:tcPr>
            <w:tcW w:w="809" w:type="dxa"/>
            <w:tcBorders>
              <w:bottom w:val="single" w:color="auto" w:sz="4" w:space="0"/>
            </w:tcBorders>
            <w:noWrap w:val="0"/>
            <w:vAlign w:val="center"/>
          </w:tcPr>
          <w:p>
            <w:pPr>
              <w:spacing w:line="300" w:lineRule="exact"/>
              <w:ind w:firstLine="0"/>
              <w:jc w:val="center"/>
              <w:rPr>
                <w:rFonts w:hint="default" w:ascii="Times New Roman" w:hAnsi="Times New Roman" w:eastAsia="宋体" w:cs="Times New Roman"/>
                <w:sz w:val="21"/>
                <w:szCs w:val="21"/>
              </w:rPr>
            </w:pPr>
          </w:p>
        </w:tc>
        <w:tc>
          <w:tcPr>
            <w:tcW w:w="104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1000</w:t>
            </w:r>
          </w:p>
        </w:tc>
        <w:tc>
          <w:tcPr>
            <w:tcW w:w="1219" w:type="dxa"/>
            <w:tcBorders>
              <w:bottom w:val="single" w:color="auto" w:sz="4" w:space="0"/>
            </w:tcBorders>
            <w:noWrap w:val="0"/>
            <w:vAlign w:val="center"/>
          </w:tcPr>
          <w:p>
            <w:pPr>
              <w:spacing w:line="300" w:lineRule="exact"/>
              <w:ind w:firstLine="0"/>
              <w:jc w:val="center"/>
              <w:rPr>
                <w:rFonts w:hint="default" w:ascii="Times New Roman" w:hAnsi="Times New Roman" w:eastAsia="宋体" w:cs="Times New Roman"/>
                <w:sz w:val="21"/>
                <w:szCs w:val="21"/>
              </w:rPr>
            </w:pPr>
          </w:p>
        </w:tc>
        <w:tc>
          <w:tcPr>
            <w:tcW w:w="1432"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1000</w:t>
            </w:r>
          </w:p>
        </w:tc>
        <w:tc>
          <w:tcPr>
            <w:tcW w:w="678" w:type="dxa"/>
            <w:noWrap w:val="0"/>
            <w:vAlign w:val="center"/>
          </w:tcPr>
          <w:p>
            <w:pPr>
              <w:spacing w:line="300" w:lineRule="exact"/>
              <w:ind w:firstLine="0"/>
              <w:jc w:val="center"/>
              <w:rPr>
                <w:rFonts w:hint="default" w:ascii="Times New Roman" w:hAnsi="Times New Roman" w:eastAsia="宋体" w:cs="Times New Roman"/>
                <w:sz w:val="21"/>
                <w:szCs w:val="21"/>
              </w:rPr>
            </w:pPr>
          </w:p>
        </w:tc>
        <w:tc>
          <w:tcPr>
            <w:tcW w:w="925"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构筑物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9"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13</w:t>
            </w:r>
          </w:p>
        </w:tc>
        <w:tc>
          <w:tcPr>
            <w:tcW w:w="136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应急池、临时垃圾中转</w:t>
            </w:r>
          </w:p>
        </w:tc>
        <w:tc>
          <w:tcPr>
            <w:tcW w:w="477" w:type="dxa"/>
            <w:noWrap w:val="0"/>
            <w:vAlign w:val="center"/>
          </w:tcPr>
          <w:p>
            <w:pPr>
              <w:spacing w:line="300" w:lineRule="exact"/>
              <w:ind w:firstLine="0"/>
              <w:rPr>
                <w:rFonts w:hint="default" w:ascii="Times New Roman" w:hAnsi="Times New Roman" w:eastAsia="宋体" w:cs="Times New Roman"/>
                <w:sz w:val="21"/>
                <w:szCs w:val="21"/>
              </w:rPr>
            </w:pPr>
          </w:p>
        </w:tc>
        <w:tc>
          <w:tcPr>
            <w:tcW w:w="86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戊类</w:t>
            </w:r>
          </w:p>
        </w:tc>
        <w:tc>
          <w:tcPr>
            <w:tcW w:w="809" w:type="dxa"/>
            <w:tcBorders>
              <w:tr2bl w:val="single" w:color="auto" w:sz="4" w:space="0"/>
            </w:tcBorders>
            <w:noWrap w:val="0"/>
            <w:vAlign w:val="center"/>
          </w:tcPr>
          <w:p>
            <w:pPr>
              <w:spacing w:line="300" w:lineRule="exact"/>
              <w:ind w:firstLine="0"/>
              <w:jc w:val="center"/>
              <w:rPr>
                <w:rFonts w:hint="default" w:ascii="Times New Roman" w:hAnsi="Times New Roman" w:eastAsia="宋体" w:cs="Times New Roman"/>
                <w:sz w:val="21"/>
                <w:szCs w:val="21"/>
              </w:rPr>
            </w:pPr>
          </w:p>
        </w:tc>
        <w:tc>
          <w:tcPr>
            <w:tcW w:w="104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1600</w:t>
            </w:r>
          </w:p>
        </w:tc>
        <w:tc>
          <w:tcPr>
            <w:tcW w:w="1219" w:type="dxa"/>
            <w:tcBorders>
              <w:tr2bl w:val="single" w:color="auto" w:sz="4" w:space="0"/>
            </w:tcBorders>
            <w:noWrap w:val="0"/>
            <w:vAlign w:val="center"/>
          </w:tcPr>
          <w:p>
            <w:pPr>
              <w:spacing w:line="300" w:lineRule="exact"/>
              <w:ind w:firstLine="0"/>
              <w:jc w:val="center"/>
              <w:rPr>
                <w:rFonts w:hint="default" w:ascii="Times New Roman" w:hAnsi="Times New Roman" w:eastAsia="宋体" w:cs="Times New Roman"/>
                <w:sz w:val="21"/>
                <w:szCs w:val="21"/>
              </w:rPr>
            </w:pPr>
          </w:p>
        </w:tc>
        <w:tc>
          <w:tcPr>
            <w:tcW w:w="1432"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1600</w:t>
            </w:r>
          </w:p>
        </w:tc>
        <w:tc>
          <w:tcPr>
            <w:tcW w:w="678" w:type="dxa"/>
            <w:noWrap w:val="0"/>
            <w:vAlign w:val="center"/>
          </w:tcPr>
          <w:p>
            <w:pPr>
              <w:spacing w:line="300" w:lineRule="exact"/>
              <w:ind w:firstLine="0"/>
              <w:jc w:val="center"/>
              <w:rPr>
                <w:rFonts w:hint="default" w:ascii="Times New Roman" w:hAnsi="Times New Roman" w:eastAsia="宋体" w:cs="Times New Roman"/>
                <w:sz w:val="21"/>
                <w:szCs w:val="21"/>
              </w:rPr>
            </w:pPr>
          </w:p>
        </w:tc>
        <w:tc>
          <w:tcPr>
            <w:tcW w:w="925"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构筑物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9"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14</w:t>
            </w:r>
          </w:p>
        </w:tc>
        <w:tc>
          <w:tcPr>
            <w:tcW w:w="136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消防水罐</w:t>
            </w:r>
          </w:p>
        </w:tc>
        <w:tc>
          <w:tcPr>
            <w:tcW w:w="477" w:type="dxa"/>
            <w:noWrap w:val="0"/>
            <w:vAlign w:val="center"/>
          </w:tcPr>
          <w:p>
            <w:pPr>
              <w:spacing w:line="300" w:lineRule="exact"/>
              <w:ind w:firstLine="0"/>
              <w:rPr>
                <w:rFonts w:hint="default" w:ascii="Times New Roman" w:hAnsi="Times New Roman" w:eastAsia="宋体" w:cs="Times New Roman"/>
                <w:sz w:val="21"/>
                <w:szCs w:val="21"/>
              </w:rPr>
            </w:pPr>
          </w:p>
        </w:tc>
        <w:tc>
          <w:tcPr>
            <w:tcW w:w="861" w:type="dxa"/>
            <w:noWrap w:val="0"/>
            <w:vAlign w:val="center"/>
          </w:tcPr>
          <w:p>
            <w:pPr>
              <w:spacing w:line="300" w:lineRule="exact"/>
              <w:ind w:firstLine="0"/>
              <w:jc w:val="center"/>
              <w:rPr>
                <w:rFonts w:hint="default" w:ascii="Times New Roman" w:hAnsi="Times New Roman" w:eastAsia="宋体" w:cs="Times New Roman"/>
                <w:sz w:val="21"/>
                <w:szCs w:val="21"/>
              </w:rPr>
            </w:pPr>
          </w:p>
        </w:tc>
        <w:tc>
          <w:tcPr>
            <w:tcW w:w="809" w:type="dxa"/>
            <w:tcBorders>
              <w:tr2bl w:val="single" w:color="auto" w:sz="4" w:space="0"/>
            </w:tcBorders>
            <w:noWrap w:val="0"/>
            <w:vAlign w:val="center"/>
          </w:tcPr>
          <w:p>
            <w:pPr>
              <w:spacing w:line="300" w:lineRule="exact"/>
              <w:ind w:firstLine="0"/>
              <w:jc w:val="center"/>
              <w:rPr>
                <w:rFonts w:hint="default" w:ascii="Times New Roman" w:hAnsi="Times New Roman" w:eastAsia="宋体" w:cs="Times New Roman"/>
                <w:sz w:val="21"/>
                <w:szCs w:val="21"/>
              </w:rPr>
            </w:pPr>
          </w:p>
        </w:tc>
        <w:tc>
          <w:tcPr>
            <w:tcW w:w="104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135</w:t>
            </w:r>
          </w:p>
        </w:tc>
        <w:tc>
          <w:tcPr>
            <w:tcW w:w="1219" w:type="dxa"/>
            <w:tcBorders>
              <w:tr2bl w:val="single" w:color="auto" w:sz="4" w:space="0"/>
            </w:tcBorders>
            <w:noWrap w:val="0"/>
            <w:vAlign w:val="center"/>
          </w:tcPr>
          <w:p>
            <w:pPr>
              <w:spacing w:line="300" w:lineRule="exact"/>
              <w:ind w:firstLine="0"/>
              <w:jc w:val="center"/>
              <w:rPr>
                <w:rFonts w:hint="default" w:ascii="Times New Roman" w:hAnsi="Times New Roman" w:eastAsia="宋体" w:cs="Times New Roman"/>
                <w:sz w:val="21"/>
                <w:szCs w:val="21"/>
              </w:rPr>
            </w:pPr>
          </w:p>
        </w:tc>
        <w:tc>
          <w:tcPr>
            <w:tcW w:w="1432"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135</w:t>
            </w:r>
          </w:p>
        </w:tc>
        <w:tc>
          <w:tcPr>
            <w:tcW w:w="678" w:type="dxa"/>
            <w:noWrap w:val="0"/>
            <w:vAlign w:val="center"/>
          </w:tcPr>
          <w:p>
            <w:pPr>
              <w:spacing w:line="300" w:lineRule="exact"/>
              <w:ind w:firstLine="0"/>
              <w:jc w:val="center"/>
              <w:rPr>
                <w:rFonts w:hint="default" w:ascii="Times New Roman" w:hAnsi="Times New Roman" w:eastAsia="宋体" w:cs="Times New Roman"/>
                <w:sz w:val="21"/>
                <w:szCs w:val="21"/>
              </w:rPr>
            </w:pPr>
          </w:p>
        </w:tc>
        <w:tc>
          <w:tcPr>
            <w:tcW w:w="925"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构筑物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79"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136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储罐</w:t>
            </w:r>
          </w:p>
        </w:tc>
        <w:tc>
          <w:tcPr>
            <w:tcW w:w="477" w:type="dxa"/>
            <w:noWrap w:val="0"/>
            <w:vAlign w:val="center"/>
          </w:tcPr>
          <w:p>
            <w:pPr>
              <w:spacing w:line="300" w:lineRule="exact"/>
              <w:ind w:firstLine="0"/>
              <w:rPr>
                <w:rFonts w:hint="default" w:ascii="Times New Roman" w:hAnsi="Times New Roman" w:eastAsia="宋体" w:cs="Times New Roman"/>
                <w:sz w:val="21"/>
                <w:szCs w:val="21"/>
              </w:rPr>
            </w:pPr>
          </w:p>
        </w:tc>
        <w:tc>
          <w:tcPr>
            <w:tcW w:w="86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戊类</w:t>
            </w:r>
          </w:p>
        </w:tc>
        <w:tc>
          <w:tcPr>
            <w:tcW w:w="809" w:type="dxa"/>
            <w:tcBorders>
              <w:tr2bl w:val="single" w:color="auto" w:sz="4" w:space="0"/>
            </w:tcBorders>
            <w:noWrap w:val="0"/>
            <w:vAlign w:val="center"/>
          </w:tcPr>
          <w:p>
            <w:pPr>
              <w:spacing w:line="300" w:lineRule="exact"/>
              <w:ind w:firstLine="0"/>
              <w:jc w:val="center"/>
              <w:rPr>
                <w:rFonts w:hint="default" w:ascii="Times New Roman" w:hAnsi="Times New Roman" w:eastAsia="宋体" w:cs="Times New Roman"/>
                <w:sz w:val="21"/>
                <w:szCs w:val="21"/>
              </w:rPr>
            </w:pPr>
          </w:p>
        </w:tc>
        <w:tc>
          <w:tcPr>
            <w:tcW w:w="104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126</w:t>
            </w:r>
          </w:p>
        </w:tc>
        <w:tc>
          <w:tcPr>
            <w:tcW w:w="1219" w:type="dxa"/>
            <w:tcBorders>
              <w:tr2bl w:val="single" w:color="auto" w:sz="4" w:space="0"/>
            </w:tcBorders>
            <w:noWrap w:val="0"/>
            <w:vAlign w:val="center"/>
          </w:tcPr>
          <w:p>
            <w:pPr>
              <w:spacing w:line="300" w:lineRule="exact"/>
              <w:ind w:firstLine="0"/>
              <w:jc w:val="center"/>
              <w:rPr>
                <w:rFonts w:hint="default" w:ascii="Times New Roman" w:hAnsi="Times New Roman" w:eastAsia="宋体" w:cs="Times New Roman"/>
                <w:sz w:val="21"/>
                <w:szCs w:val="21"/>
              </w:rPr>
            </w:pPr>
          </w:p>
        </w:tc>
        <w:tc>
          <w:tcPr>
            <w:tcW w:w="1432"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126</w:t>
            </w:r>
          </w:p>
        </w:tc>
        <w:tc>
          <w:tcPr>
            <w:tcW w:w="678" w:type="dxa"/>
            <w:noWrap w:val="0"/>
            <w:vAlign w:val="center"/>
          </w:tcPr>
          <w:p>
            <w:pPr>
              <w:spacing w:line="300" w:lineRule="exact"/>
              <w:ind w:firstLine="0"/>
              <w:jc w:val="center"/>
              <w:rPr>
                <w:rFonts w:hint="default" w:ascii="Times New Roman" w:hAnsi="Times New Roman" w:eastAsia="宋体" w:cs="Times New Roman"/>
                <w:sz w:val="21"/>
                <w:szCs w:val="21"/>
              </w:rPr>
            </w:pPr>
          </w:p>
        </w:tc>
        <w:tc>
          <w:tcPr>
            <w:tcW w:w="925"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构筑物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9"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w:t>
            </w:r>
          </w:p>
        </w:tc>
        <w:tc>
          <w:tcPr>
            <w:tcW w:w="136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硝酸储罐</w:t>
            </w:r>
          </w:p>
        </w:tc>
        <w:tc>
          <w:tcPr>
            <w:tcW w:w="477" w:type="dxa"/>
            <w:noWrap w:val="0"/>
            <w:vAlign w:val="center"/>
          </w:tcPr>
          <w:p>
            <w:pPr>
              <w:spacing w:line="300" w:lineRule="exact"/>
              <w:ind w:firstLine="0"/>
              <w:rPr>
                <w:rFonts w:hint="default" w:ascii="Times New Roman" w:hAnsi="Times New Roman" w:eastAsia="宋体" w:cs="Times New Roman"/>
                <w:sz w:val="21"/>
                <w:szCs w:val="21"/>
              </w:rPr>
            </w:pPr>
          </w:p>
        </w:tc>
        <w:tc>
          <w:tcPr>
            <w:tcW w:w="86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乙类</w:t>
            </w:r>
          </w:p>
        </w:tc>
        <w:tc>
          <w:tcPr>
            <w:tcW w:w="809" w:type="dxa"/>
            <w:tcBorders>
              <w:tr2bl w:val="single" w:color="auto" w:sz="4" w:space="0"/>
            </w:tcBorders>
            <w:noWrap w:val="0"/>
            <w:vAlign w:val="center"/>
          </w:tcPr>
          <w:p>
            <w:pPr>
              <w:spacing w:line="300" w:lineRule="exact"/>
              <w:ind w:firstLine="0"/>
              <w:jc w:val="center"/>
              <w:rPr>
                <w:rFonts w:hint="default" w:ascii="Times New Roman" w:hAnsi="Times New Roman" w:eastAsia="宋体" w:cs="Times New Roman"/>
                <w:sz w:val="21"/>
                <w:szCs w:val="21"/>
              </w:rPr>
            </w:pPr>
          </w:p>
        </w:tc>
        <w:tc>
          <w:tcPr>
            <w:tcW w:w="104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126</w:t>
            </w:r>
          </w:p>
        </w:tc>
        <w:tc>
          <w:tcPr>
            <w:tcW w:w="1219" w:type="dxa"/>
            <w:tcBorders>
              <w:tr2bl w:val="single" w:color="auto" w:sz="4" w:space="0"/>
            </w:tcBorders>
            <w:noWrap w:val="0"/>
            <w:vAlign w:val="center"/>
          </w:tcPr>
          <w:p>
            <w:pPr>
              <w:spacing w:line="300" w:lineRule="exact"/>
              <w:ind w:firstLine="0"/>
              <w:jc w:val="center"/>
              <w:rPr>
                <w:rFonts w:hint="default" w:ascii="Times New Roman" w:hAnsi="Times New Roman" w:eastAsia="宋体" w:cs="Times New Roman"/>
                <w:sz w:val="21"/>
                <w:szCs w:val="21"/>
              </w:rPr>
            </w:pPr>
          </w:p>
        </w:tc>
        <w:tc>
          <w:tcPr>
            <w:tcW w:w="1432"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126</w:t>
            </w:r>
          </w:p>
        </w:tc>
        <w:tc>
          <w:tcPr>
            <w:tcW w:w="678" w:type="dxa"/>
            <w:noWrap w:val="0"/>
            <w:vAlign w:val="center"/>
          </w:tcPr>
          <w:p>
            <w:pPr>
              <w:spacing w:line="300" w:lineRule="exact"/>
              <w:ind w:firstLine="0"/>
              <w:jc w:val="center"/>
              <w:rPr>
                <w:rFonts w:hint="default" w:ascii="Times New Roman" w:hAnsi="Times New Roman" w:eastAsia="宋体" w:cs="Times New Roman"/>
                <w:sz w:val="21"/>
                <w:szCs w:val="21"/>
              </w:rPr>
            </w:pPr>
          </w:p>
        </w:tc>
        <w:tc>
          <w:tcPr>
            <w:tcW w:w="925"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构筑物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9" w:type="dxa"/>
            <w:noWrap w:val="0"/>
            <w:vAlign w:val="center"/>
          </w:tcPr>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17</w:t>
            </w:r>
          </w:p>
        </w:tc>
        <w:tc>
          <w:tcPr>
            <w:tcW w:w="136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外管、设备及其它铺砌场地</w:t>
            </w:r>
          </w:p>
        </w:tc>
        <w:tc>
          <w:tcPr>
            <w:tcW w:w="477" w:type="dxa"/>
            <w:noWrap w:val="0"/>
            <w:vAlign w:val="center"/>
          </w:tcPr>
          <w:p>
            <w:pPr>
              <w:spacing w:line="300" w:lineRule="exact"/>
              <w:ind w:firstLine="0"/>
              <w:rPr>
                <w:rFonts w:hint="default" w:ascii="Times New Roman" w:hAnsi="Times New Roman" w:eastAsia="宋体" w:cs="Times New Roman"/>
                <w:sz w:val="21"/>
                <w:szCs w:val="21"/>
              </w:rPr>
            </w:pPr>
          </w:p>
        </w:tc>
        <w:tc>
          <w:tcPr>
            <w:tcW w:w="861" w:type="dxa"/>
            <w:noWrap w:val="0"/>
            <w:vAlign w:val="center"/>
          </w:tcPr>
          <w:p>
            <w:pPr>
              <w:spacing w:line="300" w:lineRule="exact"/>
              <w:ind w:firstLine="0"/>
              <w:jc w:val="center"/>
              <w:rPr>
                <w:rFonts w:hint="default" w:ascii="Times New Roman" w:hAnsi="Times New Roman" w:eastAsia="宋体" w:cs="Times New Roman"/>
                <w:sz w:val="21"/>
                <w:szCs w:val="21"/>
              </w:rPr>
            </w:pPr>
          </w:p>
        </w:tc>
        <w:tc>
          <w:tcPr>
            <w:tcW w:w="809" w:type="dxa"/>
            <w:tcBorders>
              <w:tr2bl w:val="single" w:color="auto" w:sz="4" w:space="0"/>
            </w:tcBorders>
            <w:noWrap w:val="0"/>
            <w:vAlign w:val="center"/>
          </w:tcPr>
          <w:p>
            <w:pPr>
              <w:spacing w:line="300" w:lineRule="exact"/>
              <w:ind w:firstLine="0"/>
              <w:jc w:val="center"/>
              <w:rPr>
                <w:rFonts w:hint="default" w:ascii="Times New Roman" w:hAnsi="Times New Roman" w:eastAsia="宋体" w:cs="Times New Roman"/>
                <w:sz w:val="21"/>
                <w:szCs w:val="21"/>
              </w:rPr>
            </w:pPr>
          </w:p>
        </w:tc>
        <w:tc>
          <w:tcPr>
            <w:tcW w:w="104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866.9</w:t>
            </w:r>
          </w:p>
        </w:tc>
        <w:tc>
          <w:tcPr>
            <w:tcW w:w="1219" w:type="dxa"/>
            <w:tcBorders>
              <w:tr2bl w:val="single" w:color="auto" w:sz="4" w:space="0"/>
            </w:tcBorders>
            <w:noWrap w:val="0"/>
            <w:vAlign w:val="center"/>
          </w:tcPr>
          <w:p>
            <w:pPr>
              <w:spacing w:line="300" w:lineRule="exact"/>
              <w:ind w:firstLine="0"/>
              <w:jc w:val="center"/>
              <w:rPr>
                <w:rFonts w:hint="default" w:ascii="Times New Roman" w:hAnsi="Times New Roman" w:eastAsia="宋体" w:cs="Times New Roman"/>
                <w:sz w:val="21"/>
                <w:szCs w:val="21"/>
              </w:rPr>
            </w:pPr>
          </w:p>
        </w:tc>
        <w:tc>
          <w:tcPr>
            <w:tcW w:w="1432" w:type="dxa"/>
            <w:noWrap w:val="0"/>
            <w:vAlign w:val="center"/>
          </w:tcPr>
          <w:p>
            <w:pPr>
              <w:spacing w:line="300" w:lineRule="exact"/>
              <w:ind w:firstLine="0"/>
              <w:jc w:val="center"/>
              <w:rPr>
                <w:rFonts w:hint="default" w:ascii="Times New Roman" w:hAnsi="Times New Roman" w:eastAsia="宋体" w:cs="Times New Roman"/>
                <w:sz w:val="21"/>
                <w:szCs w:val="21"/>
              </w:rPr>
            </w:pPr>
          </w:p>
        </w:tc>
        <w:tc>
          <w:tcPr>
            <w:tcW w:w="678" w:type="dxa"/>
            <w:noWrap w:val="0"/>
            <w:vAlign w:val="center"/>
          </w:tcPr>
          <w:p>
            <w:pPr>
              <w:spacing w:line="300" w:lineRule="exact"/>
              <w:ind w:firstLine="0"/>
              <w:jc w:val="center"/>
              <w:rPr>
                <w:rFonts w:hint="default" w:ascii="Times New Roman" w:hAnsi="Times New Roman" w:eastAsia="宋体" w:cs="Times New Roman"/>
                <w:sz w:val="21"/>
                <w:szCs w:val="21"/>
              </w:rPr>
            </w:pPr>
          </w:p>
        </w:tc>
        <w:tc>
          <w:tcPr>
            <w:tcW w:w="925" w:type="dxa"/>
            <w:noWrap w:val="0"/>
            <w:vAlign w:val="center"/>
          </w:tcPr>
          <w:p>
            <w:pPr>
              <w:spacing w:line="300" w:lineRule="exact"/>
              <w:ind w:firstLine="0"/>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9" w:type="dxa"/>
            <w:noWrap w:val="0"/>
            <w:vAlign w:val="center"/>
          </w:tcPr>
          <w:p>
            <w:pPr>
              <w:spacing w:line="300" w:lineRule="exact"/>
              <w:ind w:firstLine="0"/>
              <w:jc w:val="center"/>
              <w:rPr>
                <w:rFonts w:hint="default" w:ascii="Times New Roman" w:hAnsi="Times New Roman" w:eastAsia="宋体" w:cs="Times New Roman"/>
                <w:sz w:val="21"/>
                <w:szCs w:val="21"/>
              </w:rPr>
            </w:pPr>
          </w:p>
        </w:tc>
        <w:tc>
          <w:tcPr>
            <w:tcW w:w="136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合计</w:t>
            </w:r>
          </w:p>
        </w:tc>
        <w:tc>
          <w:tcPr>
            <w:tcW w:w="477" w:type="dxa"/>
            <w:noWrap w:val="0"/>
            <w:vAlign w:val="center"/>
          </w:tcPr>
          <w:p>
            <w:pPr>
              <w:spacing w:line="300" w:lineRule="exact"/>
              <w:ind w:firstLine="0"/>
              <w:jc w:val="center"/>
              <w:rPr>
                <w:rFonts w:hint="default" w:ascii="Times New Roman" w:hAnsi="Times New Roman" w:eastAsia="宋体" w:cs="Times New Roman"/>
                <w:sz w:val="21"/>
                <w:szCs w:val="21"/>
              </w:rPr>
            </w:pPr>
          </w:p>
        </w:tc>
        <w:tc>
          <w:tcPr>
            <w:tcW w:w="861" w:type="dxa"/>
            <w:noWrap w:val="0"/>
            <w:vAlign w:val="center"/>
          </w:tcPr>
          <w:p>
            <w:pPr>
              <w:spacing w:line="300" w:lineRule="exact"/>
              <w:ind w:firstLine="0"/>
              <w:jc w:val="center"/>
              <w:rPr>
                <w:rFonts w:hint="default" w:ascii="Times New Roman" w:hAnsi="Times New Roman" w:eastAsia="宋体" w:cs="Times New Roman"/>
                <w:sz w:val="21"/>
                <w:szCs w:val="21"/>
              </w:rPr>
            </w:pPr>
          </w:p>
        </w:tc>
        <w:tc>
          <w:tcPr>
            <w:tcW w:w="809" w:type="dxa"/>
            <w:noWrap w:val="0"/>
            <w:vAlign w:val="center"/>
          </w:tcPr>
          <w:p>
            <w:pPr>
              <w:spacing w:line="300" w:lineRule="exact"/>
              <w:ind w:firstLine="0"/>
              <w:jc w:val="center"/>
              <w:rPr>
                <w:rFonts w:hint="default" w:ascii="Times New Roman" w:hAnsi="Times New Roman" w:eastAsia="宋体" w:cs="Times New Roman"/>
                <w:sz w:val="21"/>
                <w:szCs w:val="21"/>
              </w:rPr>
            </w:pPr>
          </w:p>
        </w:tc>
        <w:tc>
          <w:tcPr>
            <w:tcW w:w="104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31628.8</w:t>
            </w:r>
          </w:p>
        </w:tc>
        <w:tc>
          <w:tcPr>
            <w:tcW w:w="1219"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81818.84</w:t>
            </w:r>
          </w:p>
        </w:tc>
        <w:tc>
          <w:tcPr>
            <w:tcW w:w="1432"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105155.21</w:t>
            </w:r>
          </w:p>
        </w:tc>
        <w:tc>
          <w:tcPr>
            <w:tcW w:w="678" w:type="dxa"/>
            <w:noWrap w:val="0"/>
            <w:vAlign w:val="center"/>
          </w:tcPr>
          <w:p>
            <w:pPr>
              <w:spacing w:line="300" w:lineRule="exact"/>
              <w:ind w:firstLine="0"/>
              <w:rPr>
                <w:rFonts w:hint="default" w:ascii="Times New Roman" w:hAnsi="Times New Roman" w:eastAsia="宋体" w:cs="Times New Roman"/>
                <w:sz w:val="21"/>
                <w:szCs w:val="21"/>
              </w:rPr>
            </w:pPr>
          </w:p>
        </w:tc>
        <w:tc>
          <w:tcPr>
            <w:tcW w:w="925" w:type="dxa"/>
            <w:noWrap w:val="0"/>
            <w:vAlign w:val="center"/>
          </w:tcPr>
          <w:p>
            <w:pPr>
              <w:spacing w:line="300" w:lineRule="exact"/>
              <w:ind w:firstLine="0"/>
              <w:rPr>
                <w:rFonts w:hint="default" w:ascii="Times New Roman" w:hAnsi="Times New Roman" w:eastAsia="宋体" w:cs="Times New Roman"/>
                <w:sz w:val="21"/>
                <w:szCs w:val="21"/>
              </w:rPr>
            </w:pPr>
          </w:p>
        </w:tc>
      </w:tr>
    </w:tbl>
    <w:p>
      <w:pPr>
        <w:keepNext/>
        <w:keepLine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2.4.3总图布置</w:t>
      </w:r>
      <w:bookmarkStart w:id="150" w:name="_Toc272759254"/>
      <w:r>
        <w:rPr>
          <w:rFonts w:hint="default" w:ascii="Times New Roman" w:hAnsi="Times New Roman" w:eastAsia="黑体" w:cs="Times New Roman"/>
          <w:kern w:val="0"/>
          <w:sz w:val="30"/>
          <w:szCs w:val="30"/>
        </w:rPr>
        <w:t>的环境合理性分析</w:t>
      </w:r>
      <w:bookmarkEnd w:id="150"/>
    </w:p>
    <w:p>
      <w:pPr>
        <w:snapToGrid w:val="0"/>
        <w:spacing w:line="360" w:lineRule="auto"/>
        <w:ind w:firstLine="480"/>
        <w:rPr>
          <w:rFonts w:hint="default" w:ascii="Times New Roman" w:hAnsi="Times New Roman" w:eastAsia="宋体" w:cs="Times New Roman"/>
          <w:sz w:val="24"/>
          <w:szCs w:val="28"/>
        </w:rPr>
      </w:pPr>
      <w:r>
        <w:rPr>
          <w:rFonts w:hint="default" w:ascii="Times New Roman" w:hAnsi="Times New Roman" w:eastAsia="宋体" w:cs="Times New Roman"/>
          <w:sz w:val="24"/>
          <w:szCs w:val="28"/>
        </w:rPr>
        <w:t>（1）从工程角度上看，整个总平面布置功能分区基本明确、布置紧凑、生产流程顺畅、管线短捷，便于管理。</w:t>
      </w:r>
      <w:r>
        <w:rPr>
          <w:rFonts w:hint="default" w:ascii="Times New Roman" w:hAnsi="Times New Roman" w:eastAsia="宋体" w:cs="Times New Roman"/>
          <w:color w:val="000000"/>
          <w:kern w:val="0"/>
          <w:sz w:val="24"/>
          <w:szCs w:val="24"/>
        </w:rPr>
        <w:t>厂区内各设施之间的防火间距均满足《石油化工企业设计防火标准》GB 50160-2008 （2018 年版）的要求</w:t>
      </w:r>
      <w:r>
        <w:rPr>
          <w:rFonts w:hint="default" w:ascii="Times New Roman" w:hAnsi="Times New Roman" w:eastAsia="宋体" w:cs="Times New Roman"/>
          <w:sz w:val="24"/>
          <w:szCs w:val="28"/>
        </w:rPr>
        <w:t>，以确保工厂安全生产。</w:t>
      </w:r>
    </w:p>
    <w:p>
      <w:pPr>
        <w:snapToGrid w:val="0"/>
        <w:spacing w:line="360" w:lineRule="auto"/>
        <w:ind w:firstLine="480"/>
        <w:rPr>
          <w:rFonts w:hint="default" w:ascii="Times New Roman" w:hAnsi="Times New Roman" w:eastAsia="宋体" w:cs="Times New Roman"/>
          <w:sz w:val="24"/>
          <w:szCs w:val="28"/>
        </w:rPr>
      </w:pPr>
      <w:r>
        <w:rPr>
          <w:rFonts w:hint="default" w:ascii="Times New Roman" w:hAnsi="Times New Roman" w:eastAsia="宋体" w:cs="Times New Roman"/>
          <w:sz w:val="24"/>
          <w:szCs w:val="28"/>
        </w:rPr>
        <w:t>（2）从厂区内部环境角度上分析，综合楼、中控室等拟建于厂区中部东侧，远离车间高噪声设备和南侧的污水处理站，处于主导风向上风向，受本项目的大气污染影响的较小，同时相互之间的干扰也较小，具有环境合理性。</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（3）从与外部环境的协调性角度分析，结合主导风向将废水、废气处理区及原料罐区集中布置在厂区南侧，本项目的综合办公楼位于主导风向上风向。高噪声设备布置在原理办公区。</w:t>
      </w:r>
    </w:p>
    <w:p>
      <w:pPr>
        <w:snapToGrid w:val="0"/>
        <w:spacing w:line="360" w:lineRule="auto"/>
        <w:ind w:firstLine="480"/>
        <w:rPr>
          <w:rFonts w:hint="default" w:ascii="Times New Roman" w:hAnsi="Times New Roman" w:eastAsia="宋体" w:cs="Times New Roman"/>
          <w:sz w:val="24"/>
          <w:szCs w:val="28"/>
        </w:rPr>
        <w:sectPr>
          <w:pgSz w:w="11906" w:h="16838"/>
          <w:pgMar w:top="1417" w:right="1418" w:bottom="1417" w:left="1418" w:header="851" w:footer="992" w:gutter="0"/>
          <w:pgNumType w:fmt="decimal"/>
          <w:cols w:space="720" w:num="1"/>
          <w:docGrid w:type="lines" w:linePitch="312" w:charSpace="0"/>
        </w:sectPr>
      </w:pPr>
      <w:r>
        <w:rPr>
          <w:rFonts w:hint="default" w:ascii="Times New Roman" w:hAnsi="Times New Roman" w:eastAsia="宋体" w:cs="Times New Roman"/>
          <w:sz w:val="24"/>
          <w:szCs w:val="28"/>
        </w:rPr>
        <w:t>综上所述，本项目总平面布置合理。</w:t>
      </w:r>
    </w:p>
    <w:bookmarkEnd w:id="149"/>
    <w:p>
      <w:pPr>
        <w:keepNext/>
        <w:keepLines/>
        <w:spacing w:line="360" w:lineRule="auto"/>
        <w:ind w:firstLine="0"/>
        <w:outlineLvl w:val="1"/>
        <w:rPr>
          <w:rFonts w:hint="default" w:ascii="Times New Roman" w:hAnsi="Times New Roman" w:eastAsia="黑体" w:cs="Times New Roman"/>
          <w:bCs/>
          <w:sz w:val="32"/>
          <w:szCs w:val="30"/>
        </w:rPr>
      </w:pPr>
      <w:bookmarkStart w:id="151" w:name="_Toc199"/>
      <w:bookmarkStart w:id="152" w:name="_Toc200266365"/>
      <w:bookmarkStart w:id="153" w:name="_Toc217888382"/>
      <w:bookmarkStart w:id="154" w:name="_Toc249773040"/>
      <w:r>
        <w:rPr>
          <w:rFonts w:hint="default" w:ascii="Times New Roman" w:hAnsi="Times New Roman" w:eastAsia="黑体" w:cs="Times New Roman"/>
          <w:bCs/>
          <w:sz w:val="32"/>
          <w:szCs w:val="30"/>
        </w:rPr>
        <w:t>2.5全厂原辅材料用量</w:t>
      </w:r>
      <w:bookmarkEnd w:id="151"/>
    </w:p>
    <w:p>
      <w:pPr>
        <w:snapToGrid w:val="0"/>
        <w:spacing w:line="360" w:lineRule="auto"/>
        <w:ind w:firstLine="482"/>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p>
      <w:pPr>
        <w:keepNext/>
        <w:keepLines/>
        <w:spacing w:line="360" w:lineRule="auto"/>
        <w:ind w:firstLine="0"/>
        <w:outlineLvl w:val="1"/>
        <w:rPr>
          <w:rFonts w:hint="default" w:ascii="Times New Roman" w:hAnsi="Times New Roman" w:eastAsia="黑体" w:cs="Times New Roman"/>
          <w:b/>
          <w:bCs/>
          <w:sz w:val="32"/>
          <w:szCs w:val="30"/>
        </w:rPr>
      </w:pPr>
      <w:bookmarkStart w:id="155" w:name="_Toc16786"/>
      <w:r>
        <w:rPr>
          <w:rFonts w:hint="default" w:ascii="Times New Roman" w:hAnsi="Times New Roman" w:eastAsia="黑体" w:cs="Times New Roman"/>
          <w:b/>
          <w:bCs/>
          <w:sz w:val="32"/>
          <w:szCs w:val="30"/>
        </w:rPr>
        <w:t>2.6全厂设备</w:t>
      </w:r>
      <w:bookmarkEnd w:id="155"/>
    </w:p>
    <w:p>
      <w:pPr>
        <w:snapToGrid w:val="0"/>
        <w:spacing w:line="360" w:lineRule="auto"/>
        <w:ind w:firstLine="482"/>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p>
      <w:pPr>
        <w:keepNext/>
        <w:keepLines/>
        <w:spacing w:line="360" w:lineRule="auto"/>
        <w:ind w:firstLine="0"/>
        <w:outlineLvl w:val="1"/>
        <w:rPr>
          <w:rFonts w:hint="default" w:ascii="Times New Roman" w:hAnsi="Times New Roman" w:eastAsia="黑体" w:cs="Times New Roman"/>
          <w:b/>
          <w:bCs/>
          <w:sz w:val="32"/>
          <w:szCs w:val="30"/>
        </w:rPr>
      </w:pPr>
      <w:bookmarkStart w:id="156" w:name="_Toc11805"/>
      <w:r>
        <w:rPr>
          <w:rFonts w:hint="default" w:ascii="Times New Roman" w:hAnsi="Times New Roman" w:eastAsia="黑体" w:cs="Times New Roman"/>
          <w:b/>
          <w:bCs/>
          <w:sz w:val="32"/>
          <w:szCs w:val="30"/>
        </w:rPr>
        <w:t>2.7物料储运系统情况</w:t>
      </w:r>
      <w:bookmarkEnd w:id="156"/>
    </w:p>
    <w:p>
      <w:pPr>
        <w:keepNext/>
        <w:keepLines/>
        <w:spacing w:line="360" w:lineRule="auto"/>
        <w:ind w:firstLine="0"/>
        <w:textAlignment w:val="baseline"/>
        <w:outlineLvl w:val="2"/>
        <w:rPr>
          <w:rFonts w:hint="default" w:ascii="Times New Roman" w:hAnsi="Times New Roman" w:eastAsia="黑体" w:cs="Times New Roman"/>
          <w:b/>
          <w:kern w:val="0"/>
          <w:sz w:val="30"/>
          <w:szCs w:val="30"/>
        </w:rPr>
      </w:pPr>
      <w:r>
        <w:rPr>
          <w:rFonts w:hint="default" w:ascii="Times New Roman" w:hAnsi="Times New Roman" w:eastAsia="黑体" w:cs="Times New Roman"/>
          <w:b/>
          <w:kern w:val="0"/>
          <w:sz w:val="30"/>
          <w:szCs w:val="30"/>
        </w:rPr>
        <w:t>2.7.1原辅料运输及运量</w:t>
      </w:r>
    </w:p>
    <w:p>
      <w:pPr>
        <w:snapToGrid w:val="0"/>
        <w:spacing w:line="360" w:lineRule="auto"/>
        <w:ind w:firstLine="480"/>
        <w:rPr>
          <w:rFonts w:hint="default" w:ascii="Times New Roman" w:hAnsi="Times New Roman" w:eastAsia="宋体" w:cs="Times New Roman"/>
          <w:sz w:val="24"/>
          <w:szCs w:val="28"/>
        </w:rPr>
      </w:pPr>
      <w:r>
        <w:rPr>
          <w:rFonts w:hint="default" w:ascii="Times New Roman" w:hAnsi="Times New Roman" w:eastAsia="宋体" w:cs="Times New Roman"/>
          <w:sz w:val="24"/>
          <w:szCs w:val="28"/>
        </w:rPr>
        <w:t>本项目所需的主要原料运输主要采用公路运输方式。</w:t>
      </w:r>
    </w:p>
    <w:p>
      <w:pPr>
        <w:snapToGrid w:val="0"/>
        <w:spacing w:line="360" w:lineRule="auto"/>
        <w:ind w:firstLine="480"/>
        <w:rPr>
          <w:rFonts w:hint="default" w:ascii="Times New Roman" w:hAnsi="Times New Roman" w:eastAsia="宋体" w:cs="Times New Roman"/>
          <w:sz w:val="24"/>
          <w:szCs w:val="28"/>
        </w:rPr>
      </w:pPr>
      <w:r>
        <w:rPr>
          <w:rFonts w:hint="default" w:ascii="Times New Roman" w:hAnsi="Times New Roman" w:eastAsia="宋体" w:cs="Times New Roman"/>
          <w:sz w:val="24"/>
          <w:szCs w:val="28"/>
        </w:rPr>
        <w:t>（1）公路运输</w:t>
      </w:r>
    </w:p>
    <w:p>
      <w:pPr>
        <w:snapToGrid w:val="0"/>
        <w:spacing w:line="360" w:lineRule="auto"/>
        <w:ind w:firstLine="480"/>
        <w:rPr>
          <w:rFonts w:hint="default" w:ascii="Times New Roman" w:hAnsi="Times New Roman" w:eastAsia="宋体" w:cs="Times New Roman"/>
          <w:sz w:val="24"/>
          <w:szCs w:val="28"/>
        </w:rPr>
      </w:pPr>
      <w:r>
        <w:rPr>
          <w:rFonts w:hint="default" w:ascii="Times New Roman" w:hAnsi="Times New Roman" w:eastAsia="宋体" w:cs="Times New Roman"/>
          <w:sz w:val="24"/>
          <w:szCs w:val="28"/>
        </w:rPr>
        <w:t>本项目生产所需的原料等通过公路运入厂内，产品及其它副产品经公路运输出厂。</w:t>
      </w:r>
    </w:p>
    <w:p>
      <w:pPr>
        <w:snapToGrid w:val="0"/>
        <w:spacing w:line="360" w:lineRule="auto"/>
        <w:ind w:firstLine="480"/>
        <w:rPr>
          <w:rFonts w:hint="default" w:ascii="Times New Roman" w:hAnsi="Times New Roman" w:eastAsia="宋体" w:cs="Times New Roman"/>
          <w:sz w:val="24"/>
          <w:szCs w:val="28"/>
        </w:rPr>
      </w:pPr>
      <w:r>
        <w:rPr>
          <w:rFonts w:hint="default" w:ascii="Times New Roman" w:hAnsi="Times New Roman" w:eastAsia="宋体" w:cs="Times New Roman"/>
          <w:sz w:val="24"/>
          <w:szCs w:val="28"/>
        </w:rPr>
        <w:t>（2）运输设施</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sz w:val="24"/>
          <w:szCs w:val="28"/>
        </w:rPr>
        <w:t>本项目的运输完全依托社会专业运输公司，不再配置运输车辆。</w:t>
      </w:r>
    </w:p>
    <w:p>
      <w:pPr>
        <w:keepNext/>
        <w:keepLines/>
        <w:spacing w:line="360" w:lineRule="auto"/>
        <w:ind w:firstLine="0"/>
        <w:textAlignment w:val="baseline"/>
        <w:outlineLvl w:val="2"/>
        <w:rPr>
          <w:rFonts w:hint="default" w:ascii="Times New Roman" w:hAnsi="Times New Roman" w:eastAsia="黑体" w:cs="Times New Roman"/>
          <w:b/>
          <w:kern w:val="0"/>
          <w:sz w:val="30"/>
          <w:szCs w:val="30"/>
        </w:rPr>
      </w:pPr>
      <w:r>
        <w:rPr>
          <w:rFonts w:hint="default" w:ascii="Times New Roman" w:hAnsi="Times New Roman" w:eastAsia="黑体" w:cs="Times New Roman"/>
          <w:b/>
          <w:kern w:val="0"/>
          <w:sz w:val="30"/>
          <w:szCs w:val="30"/>
        </w:rPr>
        <w:t>2.7.2原辅料储罐</w:t>
      </w:r>
    </w:p>
    <w:p>
      <w:pPr>
        <w:snapToGrid w:val="0"/>
        <w:spacing w:line="360" w:lineRule="auto"/>
        <w:ind w:firstLine="482"/>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p>
      <w:pPr>
        <w:keepNext/>
        <w:keepLine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2.7.3仓库储存</w:t>
      </w:r>
    </w:p>
    <w:p>
      <w:pPr>
        <w:snapToGrid w:val="0"/>
        <w:spacing w:line="360" w:lineRule="auto"/>
        <w:ind w:firstLine="482"/>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p>
      <w:pPr>
        <w:keepNext/>
        <w:keepLines/>
        <w:spacing w:line="360" w:lineRule="auto"/>
        <w:ind w:firstLine="0"/>
        <w:outlineLvl w:val="1"/>
        <w:rPr>
          <w:rFonts w:hint="default" w:ascii="Times New Roman" w:hAnsi="Times New Roman" w:eastAsia="黑体" w:cs="Times New Roman"/>
          <w:bCs/>
          <w:sz w:val="32"/>
          <w:szCs w:val="30"/>
        </w:rPr>
      </w:pPr>
      <w:bookmarkStart w:id="157" w:name="_Toc18404"/>
      <w:r>
        <w:rPr>
          <w:rFonts w:hint="default" w:ascii="Times New Roman" w:hAnsi="Times New Roman" w:eastAsia="黑体" w:cs="Times New Roman"/>
          <w:bCs/>
          <w:sz w:val="32"/>
          <w:szCs w:val="30"/>
        </w:rPr>
        <w:t>2.8公用</w:t>
      </w:r>
      <w:bookmarkEnd w:id="152"/>
      <w:bookmarkEnd w:id="153"/>
      <w:bookmarkEnd w:id="154"/>
      <w:r>
        <w:rPr>
          <w:rFonts w:hint="default" w:ascii="Times New Roman" w:hAnsi="Times New Roman" w:eastAsia="黑体" w:cs="Times New Roman"/>
          <w:bCs/>
          <w:sz w:val="32"/>
          <w:szCs w:val="30"/>
        </w:rPr>
        <w:t>及辅助工程</w:t>
      </w:r>
      <w:bookmarkEnd w:id="157"/>
    </w:p>
    <w:p>
      <w:pPr>
        <w:keepNext/>
        <w:keepLines/>
        <w:spacing w:line="360" w:lineRule="auto"/>
        <w:ind w:firstLine="0"/>
        <w:textAlignment w:val="baseline"/>
        <w:outlineLvl w:val="2"/>
        <w:rPr>
          <w:rFonts w:hint="default" w:ascii="Times New Roman" w:hAnsi="Times New Roman" w:eastAsia="黑体" w:cs="Times New Roman"/>
          <w:kern w:val="0"/>
          <w:sz w:val="30"/>
          <w:szCs w:val="30"/>
        </w:rPr>
      </w:pPr>
      <w:bookmarkStart w:id="158" w:name="_Toc217888383"/>
      <w:bookmarkStart w:id="159" w:name="_Toc249773041"/>
      <w:r>
        <w:rPr>
          <w:rFonts w:hint="default" w:ascii="Times New Roman" w:hAnsi="Times New Roman" w:eastAsia="黑体" w:cs="Times New Roman"/>
          <w:kern w:val="0"/>
          <w:sz w:val="30"/>
          <w:szCs w:val="30"/>
        </w:rPr>
        <w:t>2.8.1给排水</w:t>
      </w:r>
      <w:bookmarkEnd w:id="158"/>
      <w:bookmarkEnd w:id="159"/>
    </w:p>
    <w:p>
      <w:pPr>
        <w:spacing w:line="36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2.8.1.1给水系统</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（1）给水水源</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本工程由工业园区生活用水管网直接提供，由生活给水管网引给水管道进入厂区，其水质符合国家《生活饮用水卫生标准》GB 5749-2006要求。供水压力0.3MPa，满足本项目用水要求。</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（2）全厂给水系统划分</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厂区给水系统分为：生活给水系统、生产给水系统、消防给水系统、循环水系统、泡沫混合液管道系统。</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①生产给水系统</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主要供给各生产设施、去离子水站、消防罐补水、循环水补水等生产用水</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分析化验用水</w:t>
      </w:r>
      <w:r>
        <w:rPr>
          <w:rFonts w:hint="default" w:ascii="Times New Roman" w:hAnsi="Times New Roman" w:eastAsia="宋体" w:cs="Times New Roman"/>
          <w:color w:val="000000"/>
          <w:sz w:val="24"/>
          <w:szCs w:val="24"/>
        </w:rPr>
        <w:t>。供水压力为0.3MPa。厂区工业给水系统管道埋地敷设。</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②生活给水系统</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为厂区提供生活用水。生活给水主要供操作人员生活用水、厂前区办公楼宿舍生活用水等。供水压力为0.3MPa。厂区工业给水系统管道埋地敷设。</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③循环水场</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厂区设置循环水场区，提供循环冷却水，设计规模为200m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/h。设置</w:t>
      </w:r>
      <w:r>
        <w:rPr>
          <w:rFonts w:hint="eastAsia" w:ascii="Times New Roman" w:hAnsi="Times New Roman" w:eastAsia="宋体" w:cs="Times New Roman"/>
          <w:color w:val="000000"/>
          <w:sz w:val="24"/>
          <w:szCs w:val="24"/>
          <w:lang w:val="en-US" w:eastAsia="zh-CN"/>
        </w:rPr>
        <w:t>其中单塔处理能力200吨/时及单塔处理能力600吨/时</w:t>
      </w:r>
      <w:r>
        <w:rPr>
          <w:rFonts w:hint="default" w:ascii="Times New Roman" w:hAnsi="Times New Roman" w:eastAsia="宋体" w:cs="Times New Roman"/>
          <w:color w:val="000000"/>
          <w:sz w:val="24"/>
          <w:szCs w:val="24"/>
        </w:rPr>
        <w:t>冷却水塔</w:t>
      </w:r>
      <w:r>
        <w:rPr>
          <w:rFonts w:hint="eastAsia" w:ascii="Times New Roman" w:hAnsi="Times New Roman" w:eastAsia="宋体" w:cs="Times New Roman"/>
          <w:color w:val="000000"/>
          <w:sz w:val="24"/>
          <w:szCs w:val="24"/>
          <w:lang w:val="en-US" w:eastAsia="zh-CN"/>
        </w:rPr>
        <w:t>各一台</w:t>
      </w:r>
      <w:r>
        <w:rPr>
          <w:rFonts w:hint="default" w:ascii="Times New Roman" w:hAnsi="Times New Roman" w:eastAsia="宋体" w:cs="Times New Roman"/>
          <w:color w:val="000000"/>
          <w:sz w:val="24"/>
          <w:szCs w:val="24"/>
        </w:rPr>
        <w:t>。拟采用钢筋混凝土结构逆流式机力通风冷却塔。</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厂内冷却水塔区由循环水冷却加压系统、水质处理系统（包括加药、加次氯酸钠、旁流水处理系统）和循环水排污水系统组成，各装置所用循环水靠余压经管道回至冷却塔，冷却后的水汇入冷水池，经渠道流入吸水池，由循环水泵通过吸水管道将吸水池的水加压送至各装置使用。水质处理系统包括加药系统、加氯系统和旁流水处理系统。加药系统主要为防止设备结垢腐蚀，由药剂罐、计量泵、管道和控制盘等组成；加氯系统为了有效地控制循环水系统中的菌藻和生物粘泥，采用次氯酸钠系统和非氧化杀菌剂，并设有余氯分析报警设施；旁流水处理系统为降低循环水浊度，减少循环水中生物粘泥量的增加，采用旁流水处理设施，本工程采用自动过滤罐。循环水排污水系统主要收集循环水排污水、过滤器排污水、水池溢流和放净水。经管道收集后自流至废水池，再经泵提升送至生产废水系统。</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④消防给水系统</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根据项目可研，本项目消防给水采用稳高压消防给水系统，本厂同一时间内的火灾次数按一次考虑。室外消火栓：35L/S，室内消火栓：10L/S。变配电房配置自动喷水灭火系统，按仓库危险性</w:t>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 2 \* ROMAN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t>II</w:t>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t>级设计，喷水强度8.0L/min.m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，最不利点工作压力大于0.10Mpa。</w:t>
      </w:r>
    </w:p>
    <w:p>
      <w:pPr>
        <w:spacing w:line="36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2.8.1.2排水系统</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厂区排水系统划分为：生产污水系统、生活污水系统、清净雨水排水系统、初期雨水系统、清净下水排水系统。本项目采用雨、污分流排水体制。</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（1）生产废水系统</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4"/>
          <w:szCs w:val="20"/>
          <w:lang w:val="en-US" w:eastAsia="zh-CN" w:bidi="ar-SA"/>
        </w:rPr>
        <w:t>本项目</w:t>
      </w:r>
      <w:r>
        <w:rPr>
          <w:rFonts w:hint="eastAsia" w:ascii="Times New Roman" w:hAnsi="Times New Roman" w:eastAsia="宋体" w:cs="Times New Roman"/>
          <w:color w:val="auto"/>
          <w:kern w:val="2"/>
          <w:sz w:val="24"/>
          <w:szCs w:val="20"/>
          <w:lang w:val="en-US" w:eastAsia="zh-CN" w:bidi="ar-SA"/>
        </w:rPr>
        <w:t>生产</w:t>
      </w:r>
      <w:r>
        <w:rPr>
          <w:rFonts w:hint="default" w:ascii="Times New Roman" w:hAnsi="Times New Roman" w:eastAsia="宋体" w:cs="Times New Roman"/>
          <w:color w:val="auto"/>
          <w:kern w:val="2"/>
          <w:sz w:val="24"/>
          <w:szCs w:val="20"/>
          <w:lang w:val="en-US" w:eastAsia="zh-CN" w:bidi="ar-SA"/>
        </w:rPr>
        <w:t>含银废水</w:t>
      </w:r>
      <w:r>
        <w:rPr>
          <w:rFonts w:hint="eastAsia" w:ascii="Times New Roman" w:hAnsi="Times New Roman" w:eastAsia="宋体" w:cs="Times New Roman"/>
          <w:color w:val="auto"/>
          <w:kern w:val="2"/>
          <w:sz w:val="24"/>
          <w:szCs w:val="20"/>
          <w:lang w:val="en-US" w:eastAsia="zh-CN" w:bidi="ar-SA"/>
        </w:rPr>
        <w:t>、</w:t>
      </w:r>
      <w:r>
        <w:rPr>
          <w:rFonts w:hint="default" w:ascii="Times New Roman" w:hAnsi="Times New Roman" w:eastAsia="宋体" w:cs="Times New Roman"/>
          <w:color w:val="auto"/>
          <w:sz w:val="24"/>
          <w:szCs w:val="28"/>
          <w:lang w:val="en-US" w:eastAsia="zh-CN"/>
        </w:rPr>
        <w:t>各废气处理塔排水、水环真空泵废水、化验室废水</w:t>
      </w:r>
      <w:r>
        <w:rPr>
          <w:rFonts w:hint="eastAsia" w:ascii="Times New Roman" w:hAnsi="Times New Roman" w:eastAsia="宋体" w:cs="Times New Roman"/>
          <w:color w:val="auto"/>
          <w:kern w:val="2"/>
          <w:sz w:val="24"/>
          <w:szCs w:val="20"/>
          <w:lang w:val="en-US" w:eastAsia="zh-CN" w:bidi="ar-SA"/>
        </w:rPr>
        <w:t>等</w:t>
      </w:r>
      <w:r>
        <w:rPr>
          <w:rFonts w:hint="eastAsia" w:ascii="Times New Roman" w:hAnsi="Times New Roman" w:eastAsia="宋体" w:cs="Times New Roman"/>
          <w:color w:val="auto"/>
          <w:sz w:val="24"/>
          <w:szCs w:val="24"/>
          <w:lang w:val="en-US" w:eastAsia="zh-CN"/>
        </w:rPr>
        <w:t>经厂内污水站处理后回用。</w:t>
      </w:r>
      <w:r>
        <w:rPr>
          <w:rFonts w:hint="default" w:ascii="Times New Roman" w:hAnsi="Times New Roman" w:eastAsia="宋体" w:cs="Times New Roman"/>
          <w:color w:val="auto"/>
          <w:sz w:val="24"/>
          <w:szCs w:val="24"/>
        </w:rPr>
        <w:t>循环水站</w:t>
      </w:r>
      <w:r>
        <w:rPr>
          <w:rFonts w:hint="eastAsia" w:ascii="Times New Roman" w:hAnsi="Times New Roman" w:eastAsia="宋体" w:cs="Times New Roman"/>
          <w:color w:val="auto"/>
          <w:sz w:val="24"/>
          <w:szCs w:val="24"/>
          <w:lang w:val="en-US" w:eastAsia="zh-CN"/>
        </w:rPr>
        <w:t>间接冷却</w:t>
      </w:r>
      <w:r>
        <w:rPr>
          <w:rFonts w:hint="default" w:ascii="Times New Roman" w:hAnsi="Times New Roman" w:eastAsia="宋体" w:cs="Times New Roman"/>
          <w:color w:val="auto"/>
          <w:sz w:val="24"/>
          <w:szCs w:val="24"/>
        </w:rPr>
        <w:t>排水</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去离子水站排水进入沉淀池处理</w:t>
      </w:r>
      <w:r>
        <w:rPr>
          <w:rFonts w:hint="default" w:ascii="Times New Roman" w:hAnsi="Times New Roman" w:eastAsia="宋体" w:cs="Times New Roman"/>
          <w:color w:val="auto"/>
          <w:sz w:val="24"/>
          <w:szCs w:val="24"/>
        </w:rPr>
        <w:t>达到</w:t>
      </w:r>
      <w:r>
        <w:rPr>
          <w:rFonts w:hint="eastAsia" w:ascii="Times New Roman" w:hAnsi="Times New Roman" w:eastAsia="宋体" w:cs="Times New Roman"/>
          <w:color w:val="auto"/>
          <w:sz w:val="24"/>
          <w:szCs w:val="24"/>
          <w:lang w:val="en-US" w:eastAsia="zh-CN"/>
        </w:rPr>
        <w:t>江阴</w:t>
      </w:r>
      <w:r>
        <w:rPr>
          <w:rFonts w:hint="default" w:ascii="Times New Roman" w:hAnsi="Times New Roman" w:eastAsia="宋体" w:cs="Times New Roman"/>
          <w:color w:val="auto"/>
          <w:sz w:val="24"/>
          <w:szCs w:val="24"/>
        </w:rPr>
        <w:t>污水处理厂进厂水质标准后经</w:t>
      </w:r>
      <w:r>
        <w:rPr>
          <w:rFonts w:hint="eastAsia" w:ascii="Times New Roman" w:hAnsi="Times New Roman" w:eastAsia="宋体" w:cs="Times New Roman"/>
          <w:color w:val="auto"/>
          <w:sz w:val="24"/>
          <w:szCs w:val="24"/>
          <w:lang w:val="en-US" w:eastAsia="zh-CN"/>
        </w:rPr>
        <w:t>监控池监控pH、COD、氨氮后通过工业污水排污口</w:t>
      </w:r>
      <w:r>
        <w:rPr>
          <w:rFonts w:hint="default" w:ascii="Times New Roman" w:hAnsi="Times New Roman" w:eastAsia="宋体" w:cs="Times New Roman"/>
          <w:color w:val="auto"/>
          <w:sz w:val="24"/>
          <w:szCs w:val="24"/>
        </w:rPr>
        <w:t>排入</w:t>
      </w:r>
      <w:r>
        <w:rPr>
          <w:rFonts w:hint="eastAsia" w:ascii="Times New Roman" w:hAnsi="Times New Roman" w:eastAsia="宋体" w:cs="Times New Roman"/>
          <w:color w:val="auto"/>
          <w:sz w:val="24"/>
          <w:szCs w:val="24"/>
          <w:lang w:val="en-US" w:eastAsia="zh-CN"/>
        </w:rPr>
        <w:t>江阴</w:t>
      </w:r>
      <w:r>
        <w:rPr>
          <w:rFonts w:hint="default" w:ascii="Times New Roman" w:hAnsi="Times New Roman" w:eastAsia="宋体" w:cs="Times New Roman"/>
          <w:color w:val="auto"/>
          <w:sz w:val="24"/>
          <w:szCs w:val="24"/>
        </w:rPr>
        <w:t>污水处理厂。</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（2）生活污水系统</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来自界区内生活污水经化粪池收集</w:t>
      </w:r>
      <w:r>
        <w:rPr>
          <w:rFonts w:hint="eastAsia" w:ascii="Times New Roman" w:hAnsi="Times New Roman" w:eastAsia="宋体" w:cs="Times New Roman"/>
          <w:color w:val="auto"/>
          <w:sz w:val="24"/>
          <w:szCs w:val="24"/>
          <w:lang w:val="en-US" w:eastAsia="zh-CN"/>
        </w:rPr>
        <w:t>处理</w:t>
      </w:r>
      <w:r>
        <w:rPr>
          <w:rFonts w:hint="default" w:ascii="Times New Roman" w:hAnsi="Times New Roman" w:eastAsia="宋体" w:cs="Times New Roman"/>
          <w:color w:val="auto"/>
          <w:sz w:val="24"/>
          <w:szCs w:val="24"/>
        </w:rPr>
        <w:t>后，</w:t>
      </w:r>
      <w:r>
        <w:rPr>
          <w:rFonts w:hint="eastAsia" w:ascii="Times New Roman" w:hAnsi="Times New Roman" w:eastAsia="宋体" w:cs="Times New Roman"/>
          <w:color w:val="auto"/>
          <w:sz w:val="24"/>
          <w:szCs w:val="24"/>
          <w:lang w:val="en-US" w:eastAsia="zh-CN"/>
        </w:rPr>
        <w:t>通过生活污水排污口</w:t>
      </w:r>
      <w:r>
        <w:rPr>
          <w:rFonts w:hint="default" w:ascii="Times New Roman" w:hAnsi="Times New Roman" w:eastAsia="宋体" w:cs="Times New Roman"/>
          <w:color w:val="auto"/>
          <w:sz w:val="24"/>
          <w:szCs w:val="24"/>
        </w:rPr>
        <w:t>排入</w:t>
      </w:r>
      <w:r>
        <w:rPr>
          <w:rFonts w:hint="eastAsia" w:ascii="Times New Roman" w:hAnsi="Times New Roman" w:eastAsia="宋体" w:cs="Times New Roman"/>
          <w:color w:val="auto"/>
          <w:sz w:val="24"/>
          <w:szCs w:val="24"/>
          <w:lang w:val="en-US" w:eastAsia="zh-CN"/>
        </w:rPr>
        <w:t>江阴</w:t>
      </w:r>
      <w:r>
        <w:rPr>
          <w:rFonts w:hint="default" w:ascii="Times New Roman" w:hAnsi="Times New Roman" w:eastAsia="宋体" w:cs="Times New Roman"/>
          <w:color w:val="auto"/>
          <w:sz w:val="24"/>
          <w:szCs w:val="24"/>
        </w:rPr>
        <w:t>污水处理厂。</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（3）初期雨水系统</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本系统主要用于收集污染区域地面初期雨水，场地内设1个</w:t>
      </w: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00m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的初期雨水池</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1座雨水监控池，有效容积为500m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，配套雨水收集管网、初期雨水切换阀门，初期雨水通过重力流收集在初期雨水池，经</w:t>
      </w:r>
      <w:r>
        <w:rPr>
          <w:rFonts w:hint="eastAsia" w:ascii="Times New Roman" w:hAnsi="Times New Roman" w:eastAsia="宋体" w:cs="Times New Roman"/>
          <w:color w:val="auto"/>
          <w:sz w:val="24"/>
          <w:szCs w:val="24"/>
          <w:lang w:val="en-US" w:eastAsia="zh-CN"/>
        </w:rPr>
        <w:t>沉淀处理、</w:t>
      </w:r>
      <w:r>
        <w:rPr>
          <w:rFonts w:hint="default" w:ascii="Times New Roman" w:hAnsi="Times New Roman" w:eastAsia="宋体" w:cs="Times New Roman"/>
          <w:color w:val="auto"/>
          <w:sz w:val="24"/>
          <w:szCs w:val="24"/>
        </w:rPr>
        <w:t>监控达标后</w:t>
      </w:r>
      <w:r>
        <w:rPr>
          <w:rFonts w:hint="eastAsia" w:ascii="Times New Roman" w:hAnsi="Times New Roman" w:eastAsia="宋体" w:cs="Times New Roman"/>
          <w:color w:val="auto"/>
          <w:sz w:val="24"/>
          <w:szCs w:val="24"/>
          <w:lang w:val="en-US" w:eastAsia="zh-CN"/>
        </w:rPr>
        <w:t>通过工业废水排污口</w:t>
      </w:r>
      <w:r>
        <w:rPr>
          <w:rFonts w:hint="default" w:ascii="Times New Roman" w:hAnsi="Times New Roman" w:eastAsia="宋体" w:cs="Times New Roman"/>
          <w:color w:val="auto"/>
          <w:sz w:val="24"/>
          <w:szCs w:val="24"/>
        </w:rPr>
        <w:t>排入园区污水处理厂</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后续清净雨水通过电动切换转换阀门，排入园区雨水管网。初期雨水切换事宜图见图2.8-1。</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）清净雨水系统</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rPr>
      </w:pPr>
      <w:r>
        <w:rPr>
          <w:rFonts w:hint="default" w:ascii="Times New Roman" w:hAnsi="Times New Roman" w:eastAsia="宋体" w:cs="Times New Roman"/>
          <w:color w:val="auto"/>
          <w:sz w:val="24"/>
          <w:szCs w:val="24"/>
        </w:rPr>
        <w:t>清净雨水管网采用重力流系统，埋地（明沟）敷设，排至厂区外市政雨水管网，接入市政管网前设置雨水监测池（全厂设置一座500m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的雨水监测池），经</w:t>
      </w:r>
      <w:r>
        <w:rPr>
          <w:rFonts w:hint="eastAsia" w:ascii="Times New Roman" w:hAnsi="Times New Roman" w:eastAsia="宋体" w:cs="Times New Roman"/>
          <w:color w:val="auto"/>
          <w:sz w:val="24"/>
          <w:szCs w:val="24"/>
          <w:lang w:val="en-US" w:eastAsia="zh-CN"/>
        </w:rPr>
        <w:t>pH、COD</w:t>
      </w:r>
      <w:r>
        <w:rPr>
          <w:rFonts w:hint="default" w:ascii="Times New Roman" w:hAnsi="Times New Roman" w:eastAsia="宋体" w:cs="Times New Roman"/>
          <w:color w:val="auto"/>
          <w:sz w:val="24"/>
          <w:szCs w:val="24"/>
        </w:rPr>
        <w:t>在线分析仪分析达标后排入厂外市政雨水管网；如分析不达标，经泵提升后输送至</w:t>
      </w:r>
      <w:r>
        <w:rPr>
          <w:rFonts w:hint="eastAsia" w:ascii="Times New Roman" w:hAnsi="Times New Roman" w:eastAsia="宋体" w:cs="Times New Roman"/>
          <w:color w:val="auto"/>
          <w:sz w:val="24"/>
          <w:szCs w:val="24"/>
          <w:lang w:val="en-US" w:eastAsia="zh-CN"/>
        </w:rPr>
        <w:t>沉淀池</w:t>
      </w:r>
      <w:r>
        <w:rPr>
          <w:rFonts w:hint="default" w:ascii="Times New Roman" w:hAnsi="Times New Roman" w:eastAsia="宋体" w:cs="Times New Roman"/>
          <w:color w:val="auto"/>
          <w:sz w:val="24"/>
          <w:szCs w:val="24"/>
        </w:rPr>
        <w:t>处理达标后排入市政污水管网</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见图2.8-1</w:t>
      </w:r>
      <w:r>
        <w:rPr>
          <w:rFonts w:hint="default" w:ascii="Times New Roman" w:hAnsi="Times New Roman" w:eastAsia="宋体" w:cs="Times New Roman"/>
          <w:color w:val="auto"/>
          <w:sz w:val="24"/>
          <w:szCs w:val="24"/>
        </w:rPr>
        <w:t>。雨水管网出厂区时设置消防废水可切换至事故池的设施，阀门切换控制在界区控制室</w:t>
      </w:r>
      <w:r>
        <w:rPr>
          <w:rFonts w:hint="default" w:ascii="Times New Roman" w:hAnsi="Times New Roman" w:eastAsia="宋体" w:cs="Times New Roman"/>
          <w:color w:val="000000"/>
          <w:sz w:val="24"/>
          <w:szCs w:val="24"/>
        </w:rPr>
        <w:t>进行。</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5</w:t>
      </w:r>
      <w:r>
        <w:rPr>
          <w:rFonts w:hint="default" w:ascii="Times New Roman" w:hAnsi="Times New Roman" w:eastAsia="宋体" w:cs="Times New Roman"/>
          <w:color w:val="000000"/>
          <w:sz w:val="24"/>
          <w:szCs w:val="24"/>
        </w:rPr>
        <w:t>）事故污水收集系统</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项目拟设置1座事故水池，有效池容1</w:t>
      </w:r>
      <w:r>
        <w:rPr>
          <w:rFonts w:hint="default" w:ascii="Times New Roman" w:hAnsi="Times New Roman" w:eastAsia="宋体" w:cs="Times New Roman"/>
          <w:color w:val="000000"/>
          <w:sz w:val="24"/>
          <w:szCs w:val="24"/>
          <w:lang w:val="en-US" w:eastAsia="zh-CN"/>
        </w:rPr>
        <w:t>4</w:t>
      </w:r>
      <w:r>
        <w:rPr>
          <w:rFonts w:hint="default" w:ascii="Times New Roman" w:hAnsi="Times New Roman" w:eastAsia="宋体" w:cs="Times New Roman"/>
          <w:color w:val="000000"/>
          <w:sz w:val="24"/>
          <w:szCs w:val="24"/>
        </w:rPr>
        <w:t>00m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。事故水池设置2台强自吸提升泵，1用1备（其中一台为柴油机备用泵），事故废水提升送污水处理站处理。</w:t>
      </w:r>
    </w:p>
    <w:p>
      <w:pPr>
        <w:keepNext/>
        <w:keepLine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2.8.2供热</w:t>
      </w:r>
    </w:p>
    <w:p>
      <w:pPr>
        <w:spacing w:line="360" w:lineRule="auto"/>
        <w:ind w:firstLine="480"/>
        <w:rPr>
          <w:rFonts w:hint="default" w:ascii="Times New Roman" w:hAnsi="Times New Roman" w:eastAsia="宋体" w:cs="Times New Roman"/>
          <w:color w:val="FF0000"/>
          <w:kern w:val="0"/>
          <w:sz w:val="24"/>
          <w:szCs w:val="24"/>
        </w:rPr>
      </w:pPr>
      <w:r>
        <w:rPr>
          <w:rFonts w:hint="default" w:ascii="Times New Roman" w:hAnsi="Times New Roman" w:eastAsia="宋体" w:cs="Times New Roman"/>
          <w:color w:val="auto"/>
          <w:kern w:val="0"/>
          <w:sz w:val="24"/>
          <w:szCs w:val="24"/>
        </w:rPr>
        <w:t>本项目蒸汽由园区蒸汽管网提供，全厂需要蒸汽</w:t>
      </w:r>
      <w:r>
        <w:rPr>
          <w:rFonts w:hint="eastAsia" w:ascii="Times New Roman" w:hAnsi="Times New Roman" w:eastAsia="宋体" w:cs="Times New Roman"/>
          <w:color w:val="auto"/>
          <w:kern w:val="0"/>
          <w:sz w:val="24"/>
          <w:szCs w:val="24"/>
          <w:lang w:val="en-US" w:eastAsia="zh-CN"/>
        </w:rPr>
        <w:t>28</w:t>
      </w:r>
      <w:r>
        <w:rPr>
          <w:rFonts w:hint="default" w:ascii="Times New Roman" w:hAnsi="Times New Roman" w:eastAsia="宋体" w:cs="Times New Roman"/>
          <w:color w:val="auto"/>
          <w:kern w:val="0"/>
          <w:sz w:val="24"/>
          <w:szCs w:val="24"/>
        </w:rPr>
        <w:t>000t/a。蒸汽平衡见工程分析章节“全厂蒸汽平衡一览表”。</w:t>
      </w:r>
      <w:r>
        <w:rPr>
          <w:rFonts w:hint="default" w:ascii="Times New Roman" w:hAnsi="Times New Roman" w:eastAsia="宋体" w:cs="Times New Roman"/>
          <w:color w:val="auto"/>
          <w:sz w:val="24"/>
          <w:szCs w:val="24"/>
        </w:rPr>
        <w:t>目前国能(福州)热电有限公司单台机组(一用一备)具备高压供热(42MPa/420℃)能力100t/h，中压供热(2.1MPa/300℃)能力200t/h，中排低压供热(0.9MPa/300℃)能力290t/h，合计供热能力590t/h。江阴港城经济区热负荷以生产热负荷为主，主要集中在西部临港产业区、东部临港产业区和新厝先进制造业基地。国能(福州)热由有限公司已对规划范围内的大部分企业集中供热，个别企业(如东南电化、耀隆化工)建设了自备电站。目前电厂外的供热管网由和特能源(福建)股份有限公司建设运营。现有四条供热(高中低压)母管对外供热，国能(福州)热电有限公司现阶段给47家用热企业供热。国能(福州)热电有限公司提供了2020年供汽平均热负荷为265.5t/h</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富余蒸汽能够供应本项目使用</w:t>
      </w:r>
      <w:r>
        <w:rPr>
          <w:rFonts w:hint="default" w:ascii="Times New Roman" w:hAnsi="Times New Roman" w:eastAsia="宋体" w:cs="Times New Roman"/>
          <w:color w:val="auto"/>
          <w:sz w:val="24"/>
          <w:szCs w:val="24"/>
        </w:rPr>
        <w:t>。</w:t>
      </w:r>
    </w:p>
    <w:p>
      <w:pPr>
        <w:keepNext/>
        <w:keepLines/>
        <w:spacing w:line="360" w:lineRule="auto"/>
        <w:ind w:firstLine="0"/>
        <w:textAlignment w:val="baseline"/>
        <w:outlineLvl w:val="2"/>
        <w:rPr>
          <w:rFonts w:hint="default" w:ascii="Times New Roman" w:hAnsi="Times New Roman" w:eastAsia="黑体" w:cs="Times New Roman"/>
          <w:kern w:val="0"/>
          <w:sz w:val="30"/>
          <w:szCs w:val="30"/>
        </w:rPr>
      </w:pPr>
      <w:bookmarkStart w:id="160" w:name="_Toc249773044"/>
      <w:bookmarkStart w:id="161" w:name="_Toc217888386"/>
      <w:r>
        <w:rPr>
          <w:rFonts w:hint="default" w:ascii="Times New Roman" w:hAnsi="Times New Roman" w:eastAsia="黑体" w:cs="Times New Roman"/>
          <w:kern w:val="0"/>
          <w:sz w:val="30"/>
          <w:szCs w:val="30"/>
        </w:rPr>
        <w:t>2.8.</w:t>
      </w:r>
      <w:bookmarkEnd w:id="160"/>
      <w:r>
        <w:rPr>
          <w:rFonts w:hint="default" w:ascii="Times New Roman" w:hAnsi="Times New Roman" w:eastAsia="黑体" w:cs="Times New Roman"/>
          <w:kern w:val="0"/>
          <w:sz w:val="30"/>
          <w:szCs w:val="30"/>
        </w:rPr>
        <w:t>3空压机房</w:t>
      </w:r>
    </w:p>
    <w:p>
      <w:pPr>
        <w:snapToGrid w:val="0"/>
        <w:spacing w:line="360" w:lineRule="auto"/>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本项目空压站负责向生产装置及辅助生产装置提供装置空气与仪表空气，本项目设置空压机2台，均为风冷螺杆式空气压缩机空气，经空气过滤系统除尘后进入空压机，经压缩后使用。</w:t>
      </w:r>
    </w:p>
    <w:p>
      <w:pPr>
        <w:keepNext/>
        <w:keepLine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2.8.4空压冷冻站</w:t>
      </w:r>
    </w:p>
    <w:p>
      <w:pPr>
        <w:snapToGrid w:val="0"/>
        <w:spacing w:line="360" w:lineRule="auto"/>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设1台电制冷机组，冷冻水制水量20</w:t>
      </w:r>
      <w:r>
        <w:rPr>
          <w:rFonts w:hint="default" w:ascii="Times New Roman" w:hAnsi="Times New Roman" w:eastAsia="宋体" w:cs="Times New Roman"/>
          <w:color w:val="000000"/>
          <w:sz w:val="24"/>
          <w:szCs w:val="28"/>
        </w:rPr>
        <w:t>m</w:t>
      </w:r>
      <w:r>
        <w:rPr>
          <w:rFonts w:hint="default" w:ascii="Times New Roman" w:hAnsi="Times New Roman" w:eastAsia="宋体" w:cs="Times New Roman"/>
          <w:color w:val="000000"/>
          <w:sz w:val="24"/>
          <w:szCs w:val="28"/>
          <w:vertAlign w:val="superscript"/>
        </w:rPr>
        <w:t>3</w:t>
      </w:r>
      <w:r>
        <w:rPr>
          <w:rFonts w:hint="default" w:ascii="Times New Roman" w:hAnsi="Times New Roman" w:eastAsia="宋体" w:cs="Times New Roman"/>
          <w:kern w:val="0"/>
          <w:sz w:val="24"/>
          <w:szCs w:val="24"/>
        </w:rPr>
        <w:t>/h，冷冻机组电机210kW。工艺装置共需要冷冻水7℃的20 t/h。</w:t>
      </w:r>
    </w:p>
    <w:p>
      <w:pPr>
        <w:snapToGrid w:val="0"/>
        <w:spacing w:line="360" w:lineRule="auto"/>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制冷工艺一期采用：常规机组10→5℃，采用溴化锂机组（热水驱动）和电制冷机组。</w:t>
      </w:r>
    </w:p>
    <w:p>
      <w:pPr>
        <w:keepNext/>
        <w:keepLine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2.8.5去离子水站</w:t>
      </w:r>
    </w:p>
    <w:p>
      <w:pPr>
        <w:snapToGrid w:val="0"/>
        <w:spacing w:line="360" w:lineRule="auto"/>
        <w:ind w:firstLine="480"/>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color w:val="000000"/>
          <w:sz w:val="24"/>
          <w:szCs w:val="28"/>
        </w:rPr>
        <w:t>项目去离子水站位于纯水间内，</w:t>
      </w:r>
      <w:r>
        <w:rPr>
          <w:rFonts w:hint="default" w:ascii="Times New Roman" w:hAnsi="Times New Roman" w:eastAsia="宋体" w:cs="Times New Roman"/>
          <w:color w:val="000000"/>
          <w:sz w:val="24"/>
          <w:szCs w:val="24"/>
        </w:rPr>
        <w:t>采用二级反渗透处理工艺（RO-MB反渗透）制备纯水，纯水得率约75%</w:t>
      </w:r>
      <w:r>
        <w:rPr>
          <w:rFonts w:hint="default" w:ascii="Times New Roman" w:hAnsi="Times New Roman" w:eastAsia="宋体" w:cs="Times New Roman"/>
          <w:color w:val="auto"/>
          <w:sz w:val="24"/>
          <w:szCs w:val="28"/>
        </w:rPr>
        <w:t>。</w:t>
      </w:r>
      <w:r>
        <w:rPr>
          <w:rFonts w:hint="eastAsia" w:ascii="Times New Roman" w:hAnsi="Times New Roman" w:eastAsia="宋体" w:cs="Times New Roman"/>
          <w:color w:val="auto"/>
          <w:sz w:val="24"/>
          <w:szCs w:val="28"/>
          <w:lang w:val="en-US" w:eastAsia="zh-CN"/>
        </w:rPr>
        <w:t>去离子水站进水为普通工业用水，电导率低于100us/cm，出水要求电导率低于0.1us/cm。去离子水站</w:t>
      </w:r>
      <w:r>
        <w:rPr>
          <w:rFonts w:hint="default" w:ascii="Times New Roman" w:hAnsi="Times New Roman" w:eastAsia="宋体" w:cs="Times New Roman"/>
          <w:color w:val="auto"/>
          <w:sz w:val="24"/>
          <w:szCs w:val="28"/>
        </w:rPr>
        <w:t>工</w:t>
      </w:r>
      <w:r>
        <w:rPr>
          <w:rFonts w:hint="default" w:ascii="Times New Roman" w:hAnsi="Times New Roman" w:eastAsia="宋体" w:cs="Times New Roman"/>
          <w:color w:val="000000"/>
          <w:sz w:val="24"/>
          <w:szCs w:val="28"/>
        </w:rPr>
        <w:t>艺简介如下：为满足工艺生产对水质的要求，需去除原水中的盐类、颗粒、胶体、微生物等杂质，纯水系统采用RO-MB工艺，主要包括预处理系统、RO系统、MB系统、管件和电控五大部分。其主体部分、管路系统选用SUS、UPVC等材质制作。具有无毒、耐腐蚀、污染系数小等优点。电器控制部分采用自动、手动方式，具有易操作、易管理等特点。</w:t>
      </w:r>
    </w:p>
    <w:p>
      <w:pPr>
        <w:keepNext/>
        <w:keepLine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2.8.6供电</w:t>
      </w:r>
    </w:p>
    <w:p>
      <w:pPr>
        <w:snapToGrid w:val="0"/>
        <w:spacing w:line="360" w:lineRule="auto"/>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由当地供电部门各引一路10KV高压电源进入厂区，以电缆埋地敷设引至变配电房，经变压器转换后，由低压配电柜引出三相五线380/220V电源向各用电车间。本工程高压系统电压等级为10KV，低压系统电压等级为～220/380V。</w:t>
      </w:r>
    </w:p>
    <w:p>
      <w:pPr>
        <w:snapToGrid w:val="0"/>
        <w:spacing w:line="360" w:lineRule="auto"/>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在地面一层设置一变配电房，所内设置一套高、低压配电系统，设置6台1600kVA干式变压器。同时设2台1000kW柴油发电机组作为二级负荷电源。</w:t>
      </w:r>
    </w:p>
    <w:p>
      <w:pPr>
        <w:keepNext/>
        <w:keepLine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2.8.7环保工程</w:t>
      </w:r>
    </w:p>
    <w:p>
      <w:pPr>
        <w:spacing w:line="36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2.8.7.1污水处理</w:t>
      </w:r>
    </w:p>
    <w:p>
      <w:pPr>
        <w:snapToGrid w:val="0"/>
        <w:spacing w:line="360" w:lineRule="auto"/>
        <w:ind w:firstLine="480"/>
        <w:rPr>
          <w:rFonts w:hint="default"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w:t>
      </w:r>
      <w:r>
        <w:rPr>
          <w:rFonts w:hint="default" w:ascii="Times New Roman" w:hAnsi="Times New Roman" w:eastAsia="宋体" w:cs="Times New Roman"/>
          <w:color w:val="auto"/>
          <w:sz w:val="24"/>
          <w:szCs w:val="28"/>
          <w:lang w:val="en-US" w:eastAsia="zh-CN"/>
        </w:rPr>
        <w:t>1）超细银粉一道洗涤废水去含银废液三效（处理能力3t/h）蒸发，冷凝液去污水站处理。</w:t>
      </w:r>
    </w:p>
    <w:p>
      <w:pPr>
        <w:snapToGrid w:val="0"/>
        <w:spacing w:line="360" w:lineRule="auto"/>
        <w:ind w:firstLine="480"/>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（2）硝酸</w:t>
      </w:r>
      <w:r>
        <w:rPr>
          <w:rFonts w:hint="eastAsia" w:ascii="Times New Roman" w:hAnsi="Times New Roman" w:eastAsia="宋体" w:cs="Times New Roman"/>
          <w:color w:val="auto"/>
          <w:sz w:val="24"/>
          <w:szCs w:val="28"/>
          <w:lang w:val="en-US" w:eastAsia="zh-CN"/>
        </w:rPr>
        <w:t>银</w:t>
      </w:r>
      <w:r>
        <w:rPr>
          <w:rFonts w:hint="default" w:ascii="Times New Roman" w:hAnsi="Times New Roman" w:eastAsia="宋体" w:cs="Times New Roman"/>
          <w:color w:val="auto"/>
          <w:sz w:val="24"/>
          <w:szCs w:val="28"/>
          <w:lang w:val="en-US" w:eastAsia="zh-CN"/>
        </w:rPr>
        <w:t>生产线蒸馏冷凝液、超细银粉二、三道洗涤废水去含银废水预处理系统处理后再去污水站处理。</w:t>
      </w:r>
    </w:p>
    <w:p>
      <w:pPr>
        <w:snapToGrid w:val="0"/>
        <w:spacing w:line="360" w:lineRule="auto"/>
        <w:ind w:firstLine="480"/>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（3）各废气处理塔排水、水环真空泵废水、化验室废水</w:t>
      </w:r>
      <w:r>
        <w:rPr>
          <w:rFonts w:hint="eastAsia" w:ascii="Times New Roman" w:hAnsi="Times New Roman" w:eastAsia="宋体" w:cs="Times New Roman"/>
          <w:color w:val="auto"/>
          <w:sz w:val="24"/>
          <w:szCs w:val="28"/>
          <w:lang w:val="en-US" w:eastAsia="zh-CN"/>
        </w:rPr>
        <w:t>及预处理后的含银废水</w:t>
      </w:r>
      <w:r>
        <w:rPr>
          <w:rFonts w:hint="default" w:ascii="Times New Roman" w:hAnsi="Times New Roman" w:eastAsia="宋体" w:cs="Times New Roman"/>
          <w:color w:val="auto"/>
          <w:sz w:val="24"/>
          <w:szCs w:val="28"/>
          <w:lang w:val="en-US" w:eastAsia="zh-CN"/>
        </w:rPr>
        <w:t>进入污水站处理，污水站生化处理系统处理能力15t/h，生化出水进入UF+</w:t>
      </w:r>
      <w:r>
        <w:rPr>
          <w:rFonts w:hint="eastAsia" w:ascii="Times New Roman" w:hAnsi="Times New Roman" w:eastAsia="宋体" w:cs="Times New Roman"/>
          <w:color w:val="auto"/>
          <w:sz w:val="24"/>
          <w:szCs w:val="28"/>
          <w:lang w:val="en-US" w:eastAsia="zh-CN"/>
        </w:rPr>
        <w:t>二级</w:t>
      </w:r>
      <w:r>
        <w:rPr>
          <w:rFonts w:hint="default" w:ascii="Times New Roman" w:hAnsi="Times New Roman" w:eastAsia="宋体" w:cs="Times New Roman"/>
          <w:color w:val="auto"/>
          <w:sz w:val="24"/>
          <w:szCs w:val="28"/>
          <w:lang w:val="en-US" w:eastAsia="zh-CN"/>
        </w:rPr>
        <w:t>RO系统处理，浓水进入污水站配套的三效蒸发器（处理能力3t/h）蒸发处理，产水回用；</w:t>
      </w:r>
    </w:p>
    <w:p>
      <w:pPr>
        <w:pageBreakBefore w:val="0"/>
        <w:widowControl w:val="0"/>
        <w:kinsoku/>
        <w:wordWrap/>
        <w:overflowPunct/>
        <w:topLinePunct w:val="0"/>
        <w:bidi w:val="0"/>
        <w:adjustRightInd/>
        <w:snapToGrid/>
        <w:spacing w:line="360" w:lineRule="auto"/>
        <w:ind w:firstLine="480"/>
        <w:textAlignment w:val="auto"/>
        <w:rPr>
          <w:rFonts w:hint="eastAsia" w:ascii="Times New Roman" w:hAnsi="Times New Roman" w:eastAsia="宋体" w:cs="Times New Roman"/>
          <w:b w:val="0"/>
          <w:bCs w:val="0"/>
          <w:color w:val="auto"/>
          <w:kern w:val="0"/>
          <w:sz w:val="24"/>
          <w:szCs w:val="24"/>
          <w:lang w:eastAsia="zh-CN"/>
        </w:rPr>
      </w:pP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b w:val="0"/>
          <w:bCs w:val="0"/>
          <w:color w:val="auto"/>
          <w:kern w:val="0"/>
          <w:sz w:val="24"/>
          <w:szCs w:val="24"/>
          <w:lang w:val="en-US" w:eastAsia="zh-CN" w:bidi="ar-SA"/>
        </w:rPr>
        <w:t>经化粪池处理后的生活污水</w:t>
      </w:r>
      <w:r>
        <w:rPr>
          <w:rFonts w:hint="eastAsia" w:ascii="Times New Roman" w:hAnsi="Times New Roman" w:eastAsia="宋体" w:cs="Times New Roman"/>
          <w:b w:val="0"/>
          <w:bCs w:val="0"/>
          <w:color w:val="auto"/>
          <w:kern w:val="0"/>
          <w:sz w:val="24"/>
          <w:szCs w:val="24"/>
          <w:lang w:val="en-US" w:eastAsia="zh-CN" w:bidi="ar-SA"/>
        </w:rPr>
        <w:t>经过生活污水排放口排入</w:t>
      </w:r>
      <w:r>
        <w:rPr>
          <w:rFonts w:hint="eastAsia" w:ascii="Times New Roman" w:hAnsi="Times New Roman" w:eastAsia="宋体" w:cs="Times New Roman"/>
          <w:b w:val="0"/>
          <w:bCs w:val="0"/>
          <w:color w:val="auto"/>
          <w:kern w:val="0"/>
          <w:sz w:val="24"/>
          <w:szCs w:val="24"/>
          <w:lang w:val="en-US" w:eastAsia="zh-CN"/>
        </w:rPr>
        <w:t>江阴</w:t>
      </w:r>
      <w:r>
        <w:rPr>
          <w:rFonts w:hint="default" w:ascii="Times New Roman" w:hAnsi="Times New Roman" w:eastAsia="宋体" w:cs="Times New Roman"/>
          <w:b w:val="0"/>
          <w:bCs w:val="0"/>
          <w:color w:val="auto"/>
          <w:kern w:val="0"/>
          <w:sz w:val="24"/>
          <w:szCs w:val="24"/>
        </w:rPr>
        <w:t>污水处理厂</w:t>
      </w:r>
      <w:r>
        <w:rPr>
          <w:rFonts w:hint="eastAsia" w:ascii="Times New Roman" w:hAnsi="Times New Roman" w:eastAsia="宋体" w:cs="Times New Roman"/>
          <w:b w:val="0"/>
          <w:bCs w:val="0"/>
          <w:color w:val="auto"/>
          <w:kern w:val="0"/>
          <w:sz w:val="24"/>
          <w:szCs w:val="24"/>
          <w:lang w:eastAsia="zh-CN"/>
        </w:rPr>
        <w:t>；</w:t>
      </w:r>
    </w:p>
    <w:p>
      <w:pPr>
        <w:pStyle w:val="417"/>
        <w:pageBreakBefore w:val="0"/>
        <w:widowControl w:val="0"/>
        <w:kinsoku/>
        <w:wordWrap/>
        <w:overflowPunct/>
        <w:topLinePunct w:val="0"/>
        <w:bidi w:val="0"/>
        <w:adjustRightInd/>
        <w:snapToGrid/>
        <w:spacing w:line="360" w:lineRule="auto"/>
        <w:ind w:firstLine="480"/>
        <w:textAlignment w:val="auto"/>
        <w:rPr>
          <w:rFonts w:hint="eastAsia" w:ascii="Times New Roman" w:hAnsi="Times New Roman" w:eastAsia="宋体" w:cs="Times New Roman"/>
          <w:b w:val="0"/>
          <w:bCs w:val="0"/>
          <w:color w:val="auto"/>
          <w:kern w:val="0"/>
          <w:sz w:val="24"/>
          <w:szCs w:val="24"/>
          <w:lang w:val="en-US" w:eastAsia="zh-CN"/>
        </w:rPr>
      </w:pPr>
      <w:r>
        <w:rPr>
          <w:rFonts w:hint="eastAsia" w:ascii="Times New Roman" w:hAnsi="Times New Roman" w:eastAsia="宋体" w:cs="Times New Roman"/>
          <w:b w:val="0"/>
          <w:bCs w:val="0"/>
          <w:color w:val="auto"/>
          <w:kern w:val="0"/>
          <w:sz w:val="24"/>
          <w:szCs w:val="24"/>
          <w:lang w:val="en-US" w:eastAsia="zh-CN"/>
        </w:rPr>
        <w:t>（5）</w:t>
      </w:r>
      <w:r>
        <w:rPr>
          <w:rFonts w:hint="default" w:ascii="Times New Roman" w:hAnsi="Times New Roman" w:eastAsia="宋体" w:cs="Times New Roman"/>
          <w:b w:val="0"/>
          <w:bCs w:val="0"/>
          <w:color w:val="auto"/>
          <w:kern w:val="0"/>
          <w:sz w:val="24"/>
          <w:szCs w:val="24"/>
          <w:lang w:val="en-US" w:eastAsia="zh-CN"/>
        </w:rPr>
        <w:t>全厂设置1座初期雨水池，有效容积为</w:t>
      </w:r>
      <w:r>
        <w:rPr>
          <w:rFonts w:hint="eastAsia" w:ascii="Times New Roman" w:hAnsi="Times New Roman" w:eastAsia="宋体" w:cs="Times New Roman"/>
          <w:b w:val="0"/>
          <w:bCs w:val="0"/>
          <w:color w:val="auto"/>
          <w:kern w:val="0"/>
          <w:sz w:val="24"/>
          <w:szCs w:val="24"/>
          <w:lang w:val="en-US" w:eastAsia="zh-CN"/>
        </w:rPr>
        <w:t>4</w:t>
      </w:r>
      <w:r>
        <w:rPr>
          <w:rFonts w:hint="default" w:ascii="Times New Roman" w:hAnsi="Times New Roman" w:eastAsia="宋体" w:cs="Times New Roman"/>
          <w:b w:val="0"/>
          <w:bCs w:val="0"/>
          <w:color w:val="auto"/>
          <w:kern w:val="0"/>
          <w:sz w:val="24"/>
          <w:szCs w:val="24"/>
          <w:lang w:val="en-US" w:eastAsia="zh-CN"/>
        </w:rPr>
        <w:t>00m</w:t>
      </w:r>
      <w:r>
        <w:rPr>
          <w:rFonts w:hint="default" w:ascii="Times New Roman" w:hAnsi="Times New Roman" w:eastAsia="宋体" w:cs="Times New Roman"/>
          <w:b w:val="0"/>
          <w:bCs w:val="0"/>
          <w:color w:val="auto"/>
          <w:kern w:val="0"/>
          <w:sz w:val="24"/>
          <w:szCs w:val="24"/>
          <w:vertAlign w:val="superscript"/>
          <w:lang w:val="en-US" w:eastAsia="zh-CN"/>
        </w:rPr>
        <w:t>3</w:t>
      </w:r>
      <w:r>
        <w:rPr>
          <w:rFonts w:hint="eastAsia" w:ascii="Times New Roman" w:hAnsi="Times New Roman" w:eastAsia="宋体" w:cs="Times New Roman"/>
          <w:b w:val="0"/>
          <w:bCs w:val="0"/>
          <w:color w:val="auto"/>
          <w:kern w:val="0"/>
          <w:sz w:val="24"/>
          <w:szCs w:val="24"/>
          <w:lang w:val="en-US" w:eastAsia="zh-CN"/>
        </w:rPr>
        <w:t>，</w:t>
      </w:r>
      <w:r>
        <w:rPr>
          <w:rFonts w:hint="default" w:ascii="Times New Roman" w:hAnsi="Times New Roman" w:eastAsia="宋体" w:cs="Times New Roman"/>
          <w:b w:val="0"/>
          <w:bCs w:val="0"/>
          <w:color w:val="auto"/>
          <w:kern w:val="0"/>
          <w:sz w:val="24"/>
          <w:szCs w:val="24"/>
          <w:lang w:val="en-US" w:eastAsia="zh-CN"/>
        </w:rPr>
        <w:t>设置1座雨水监控池，有效容积为</w:t>
      </w:r>
      <w:r>
        <w:rPr>
          <w:rFonts w:hint="eastAsia" w:ascii="Times New Roman" w:hAnsi="Times New Roman" w:eastAsia="宋体" w:cs="Times New Roman"/>
          <w:b w:val="0"/>
          <w:bCs w:val="0"/>
          <w:color w:val="auto"/>
          <w:kern w:val="0"/>
          <w:sz w:val="24"/>
          <w:szCs w:val="24"/>
          <w:lang w:val="en-US" w:eastAsia="zh-CN"/>
        </w:rPr>
        <w:t>5</w:t>
      </w:r>
      <w:r>
        <w:rPr>
          <w:rFonts w:hint="default" w:ascii="Times New Roman" w:hAnsi="Times New Roman" w:eastAsia="宋体" w:cs="Times New Roman"/>
          <w:b w:val="0"/>
          <w:bCs w:val="0"/>
          <w:color w:val="auto"/>
          <w:kern w:val="0"/>
          <w:sz w:val="24"/>
          <w:szCs w:val="24"/>
          <w:lang w:val="en-US" w:eastAsia="zh-CN"/>
        </w:rPr>
        <w:t>00m</w:t>
      </w:r>
      <w:r>
        <w:rPr>
          <w:rFonts w:hint="default" w:ascii="Times New Roman" w:hAnsi="Times New Roman" w:eastAsia="宋体" w:cs="Times New Roman"/>
          <w:b w:val="0"/>
          <w:bCs w:val="0"/>
          <w:color w:val="auto"/>
          <w:kern w:val="0"/>
          <w:sz w:val="24"/>
          <w:szCs w:val="24"/>
          <w:vertAlign w:val="superscript"/>
          <w:lang w:val="en-US" w:eastAsia="zh-CN"/>
        </w:rPr>
        <w:t>3</w:t>
      </w:r>
      <w:r>
        <w:rPr>
          <w:rFonts w:hint="eastAsia" w:ascii="Times New Roman" w:hAnsi="Times New Roman" w:eastAsia="宋体" w:cs="Times New Roman"/>
          <w:b w:val="0"/>
          <w:bCs w:val="0"/>
          <w:color w:val="auto"/>
          <w:kern w:val="0"/>
          <w:sz w:val="24"/>
          <w:szCs w:val="24"/>
          <w:lang w:val="en-US" w:eastAsia="zh-CN"/>
        </w:rPr>
        <w:t>；</w:t>
      </w:r>
    </w:p>
    <w:p>
      <w:pPr>
        <w:pStyle w:val="417"/>
        <w:pageBreakBefore w:val="0"/>
        <w:widowControl w:val="0"/>
        <w:kinsoku/>
        <w:wordWrap/>
        <w:overflowPunct/>
        <w:topLinePunct w:val="0"/>
        <w:bidi w:val="0"/>
        <w:adjustRightInd/>
        <w:snapToGrid/>
        <w:spacing w:line="360" w:lineRule="auto"/>
        <w:ind w:firstLine="480"/>
        <w:textAlignment w:val="auto"/>
        <w:rPr>
          <w:rFonts w:hint="default"/>
          <w:color w:val="auto"/>
          <w:sz w:val="24"/>
          <w:szCs w:val="24"/>
          <w:lang w:val="en-US" w:eastAsia="zh-CN"/>
        </w:rPr>
      </w:pPr>
      <w:r>
        <w:rPr>
          <w:rFonts w:hint="eastAsia" w:ascii="Times New Roman" w:hAnsi="Times New Roman" w:eastAsia="宋体" w:cs="Times New Roman"/>
          <w:b w:val="0"/>
          <w:bCs w:val="0"/>
          <w:color w:val="auto"/>
          <w:kern w:val="0"/>
          <w:sz w:val="24"/>
          <w:szCs w:val="24"/>
          <w:lang w:val="en-US" w:eastAsia="zh-CN"/>
        </w:rPr>
        <w:t>（6）</w:t>
      </w:r>
      <w:r>
        <w:rPr>
          <w:rFonts w:hint="default" w:ascii="Times New Roman" w:hAnsi="Times New Roman" w:eastAsia="宋体" w:cs="Times New Roman"/>
          <w:b w:val="0"/>
          <w:bCs w:val="0"/>
          <w:color w:val="auto"/>
          <w:kern w:val="0"/>
          <w:sz w:val="24"/>
          <w:szCs w:val="24"/>
          <w:lang w:val="en-US" w:eastAsia="zh-CN" w:bidi="ar-SA"/>
        </w:rPr>
        <w:t>循环冷却水站</w:t>
      </w:r>
      <w:r>
        <w:rPr>
          <w:rFonts w:hint="eastAsia" w:ascii="Times New Roman" w:hAnsi="Times New Roman" w:eastAsia="宋体" w:cs="Times New Roman"/>
          <w:b w:val="0"/>
          <w:bCs w:val="0"/>
          <w:color w:val="auto"/>
          <w:kern w:val="0"/>
          <w:sz w:val="24"/>
          <w:szCs w:val="24"/>
          <w:lang w:val="en-US" w:eastAsia="zh-CN" w:bidi="ar-SA"/>
        </w:rPr>
        <w:t>间接冷却</w:t>
      </w:r>
      <w:r>
        <w:rPr>
          <w:rFonts w:hint="default" w:ascii="Times New Roman" w:hAnsi="Times New Roman" w:eastAsia="宋体" w:cs="Times New Roman"/>
          <w:b w:val="0"/>
          <w:bCs w:val="0"/>
          <w:color w:val="auto"/>
          <w:kern w:val="0"/>
          <w:sz w:val="24"/>
          <w:szCs w:val="24"/>
          <w:lang w:val="en-US" w:eastAsia="zh-CN" w:bidi="ar-SA"/>
        </w:rPr>
        <w:t>排水、去离子水站排水</w:t>
      </w:r>
      <w:r>
        <w:rPr>
          <w:rFonts w:hint="eastAsia" w:ascii="Times New Roman" w:hAnsi="Times New Roman" w:eastAsia="宋体" w:cs="Times New Roman"/>
          <w:b w:val="0"/>
          <w:bCs w:val="0"/>
          <w:color w:val="auto"/>
          <w:kern w:val="0"/>
          <w:sz w:val="24"/>
          <w:szCs w:val="24"/>
          <w:lang w:val="en-US" w:eastAsia="zh-CN" w:bidi="ar-SA"/>
        </w:rPr>
        <w:t>及收集的初期雨水进入沉淀池处理后经监控池监控达标后通过工业废水排污口排入江阴</w:t>
      </w:r>
      <w:r>
        <w:rPr>
          <w:rFonts w:hint="default" w:ascii="Times New Roman" w:hAnsi="Times New Roman" w:eastAsia="宋体" w:cs="Times New Roman"/>
          <w:b w:val="0"/>
          <w:bCs w:val="0"/>
          <w:color w:val="auto"/>
          <w:kern w:val="0"/>
          <w:sz w:val="24"/>
          <w:szCs w:val="24"/>
          <w:lang w:val="en-US" w:eastAsia="zh-CN" w:bidi="ar-SA"/>
        </w:rPr>
        <w:t>污水处理厂</w:t>
      </w:r>
      <w:r>
        <w:rPr>
          <w:rFonts w:hint="eastAsia" w:ascii="Times New Roman" w:hAnsi="Times New Roman" w:eastAsia="宋体" w:cs="Times New Roman"/>
          <w:b w:val="0"/>
          <w:bCs w:val="0"/>
          <w:color w:val="auto"/>
          <w:kern w:val="0"/>
          <w:sz w:val="24"/>
          <w:szCs w:val="24"/>
          <w:lang w:val="en-US" w:eastAsia="zh-CN" w:bidi="ar-SA"/>
        </w:rPr>
        <w:t>。</w:t>
      </w:r>
    </w:p>
    <w:p>
      <w:pPr>
        <w:spacing w:line="36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2.8.7.2废气处理</w:t>
      </w:r>
    </w:p>
    <w:p>
      <w:pPr>
        <w:snapToGrid w:val="0"/>
        <w:spacing w:line="360" w:lineRule="auto"/>
        <w:ind w:firstLine="48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全厂设</w:t>
      </w:r>
      <w:r>
        <w:rPr>
          <w:rFonts w:hint="eastAsia" w:ascii="Times New Roman" w:hAnsi="Times New Roman" w:eastAsia="宋体" w:cs="Times New Roman"/>
          <w:color w:val="auto"/>
          <w:sz w:val="24"/>
          <w:szCs w:val="22"/>
          <w:lang w:val="en-US" w:eastAsia="zh-CN"/>
        </w:rPr>
        <w:t>5</w:t>
      </w:r>
      <w:r>
        <w:rPr>
          <w:rFonts w:hint="default" w:ascii="Times New Roman" w:hAnsi="Times New Roman" w:eastAsia="宋体" w:cs="Times New Roman"/>
          <w:color w:val="auto"/>
          <w:sz w:val="24"/>
          <w:szCs w:val="22"/>
        </w:rPr>
        <w:t>个排气筒。</w:t>
      </w:r>
    </w:p>
    <w:p>
      <w:pPr>
        <w:snapToGrid w:val="0"/>
        <w:spacing w:line="360" w:lineRule="auto"/>
        <w:ind w:firstLine="48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①DA001</w:t>
      </w:r>
    </w:p>
    <w:p>
      <w:pPr>
        <w:snapToGrid w:val="0"/>
        <w:spacing w:line="360" w:lineRule="auto"/>
        <w:ind w:firstLine="48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电子级硝酸生产废气经二级水吸收+强氧化吸收+二级碱吸收处理后由1根25m高排气筒（DA001）排放；硝酸银溶银废气经双氧水预洗塔后的尾气经二级水吸收+强氧化吸收+二级碱吸收后DA001排放。</w:t>
      </w:r>
    </w:p>
    <w:p>
      <w:pPr>
        <w:snapToGrid w:val="0"/>
        <w:spacing w:line="360" w:lineRule="auto"/>
        <w:ind w:firstLine="48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②DA002</w:t>
      </w:r>
    </w:p>
    <w:p>
      <w:pPr>
        <w:snapToGrid w:val="0"/>
        <w:spacing w:line="360" w:lineRule="auto"/>
        <w:ind w:firstLine="48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含银废液三效蒸发器不凝气、超细银粉反应废气先经氨回收塔回收氨气后再经二级水吸收+二级水洗+高效除雾装置+活性炭吸附处理后由25m高排气筒（DA002）排放；分散废气、乙醇精馏不凝气、干燥废气经二级水洗+高效除雾装置+活性炭吸附处理后由DA002排放。</w:t>
      </w:r>
    </w:p>
    <w:p>
      <w:pPr>
        <w:snapToGrid w:val="0"/>
        <w:spacing w:line="360" w:lineRule="auto"/>
        <w:ind w:firstLine="48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③DA003</w:t>
      </w:r>
    </w:p>
    <w:p>
      <w:pPr>
        <w:snapToGrid w:val="0"/>
        <w:spacing w:line="360" w:lineRule="auto"/>
        <w:ind w:firstLine="48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罐区废气、污水站生化系统废气</w:t>
      </w:r>
      <w:r>
        <w:rPr>
          <w:rFonts w:hint="eastAsia" w:ascii="Times New Roman" w:hAnsi="Times New Roman" w:eastAsia="宋体" w:cs="Times New Roman"/>
          <w:color w:val="auto"/>
          <w:sz w:val="24"/>
          <w:szCs w:val="22"/>
          <w:lang w:eastAsia="zh-CN"/>
        </w:rPr>
        <w:t>、</w:t>
      </w:r>
      <w:r>
        <w:rPr>
          <w:rFonts w:hint="eastAsia" w:ascii="Times New Roman" w:hAnsi="Times New Roman" w:eastAsia="宋体" w:cs="Times New Roman"/>
          <w:color w:val="auto"/>
          <w:sz w:val="24"/>
          <w:szCs w:val="22"/>
          <w:lang w:val="en-US" w:eastAsia="zh-CN"/>
        </w:rPr>
        <w:t>危废间废气</w:t>
      </w:r>
      <w:r>
        <w:rPr>
          <w:rFonts w:hint="default" w:ascii="Times New Roman" w:hAnsi="Times New Roman" w:eastAsia="宋体" w:cs="Times New Roman"/>
          <w:color w:val="auto"/>
          <w:sz w:val="24"/>
          <w:szCs w:val="22"/>
        </w:rPr>
        <w:t>经集气收集后进入氧化吸收+碱吸收+生物除臭处理由15m高排气筒（DA003）排放。</w:t>
      </w:r>
    </w:p>
    <w:p>
      <w:pPr>
        <w:snapToGrid w:val="0"/>
        <w:spacing w:line="360" w:lineRule="auto"/>
        <w:ind w:firstLine="48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④DA004</w:t>
      </w:r>
    </w:p>
    <w:p>
      <w:pPr>
        <w:snapToGrid w:val="0"/>
        <w:spacing w:line="360" w:lineRule="auto"/>
        <w:ind w:firstLine="48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超细银粉抗坏血酸投料废气、破碎、包装废气经</w:t>
      </w:r>
      <w:r>
        <w:rPr>
          <w:rFonts w:hint="eastAsia" w:ascii="Times New Roman" w:hAnsi="Times New Roman" w:eastAsia="宋体" w:cs="Times New Roman"/>
          <w:color w:val="auto"/>
          <w:sz w:val="24"/>
          <w:szCs w:val="22"/>
          <w:lang w:val="en-US" w:eastAsia="zh-CN"/>
        </w:rPr>
        <w:t>相应</w:t>
      </w:r>
      <w:r>
        <w:rPr>
          <w:rFonts w:hint="default" w:ascii="Times New Roman" w:hAnsi="Times New Roman" w:eastAsia="宋体" w:cs="Times New Roman"/>
          <w:color w:val="auto"/>
          <w:sz w:val="24"/>
          <w:szCs w:val="22"/>
        </w:rPr>
        <w:t>的布袋除尘器处理后由25m高排气筒（DA004）排放。</w:t>
      </w:r>
    </w:p>
    <w:p>
      <w:pPr>
        <w:snapToGrid w:val="0"/>
        <w:spacing w:line="360" w:lineRule="auto"/>
        <w:ind w:firstLine="480"/>
        <w:rPr>
          <w:rFonts w:hint="default" w:ascii="Times New Roman" w:hAnsi="Times New Roman" w:eastAsia="宋体" w:cs="Times New Roman"/>
          <w:color w:val="auto"/>
          <w:sz w:val="24"/>
          <w:szCs w:val="22"/>
        </w:rPr>
      </w:pPr>
      <w:r>
        <w:rPr>
          <w:rFonts w:hint="eastAsia" w:ascii="Times New Roman" w:hAnsi="Times New Roman" w:eastAsia="宋体" w:cs="Times New Roman"/>
          <w:color w:val="auto"/>
          <w:sz w:val="24"/>
          <w:szCs w:val="22"/>
          <w:lang w:val="en-US" w:eastAsia="zh-CN"/>
        </w:rPr>
        <w:t>⑤DA005 污水站配套的三效蒸发器蒸发气通过15m高排气筒（DA005）排放。</w:t>
      </w:r>
    </w:p>
    <w:p>
      <w:pPr>
        <w:pStyle w:val="24"/>
        <w:keepNext w:val="0"/>
        <w:keepLines w:val="0"/>
        <w:pageBreakBefore w:val="0"/>
        <w:widowControl w:val="0"/>
        <w:kinsoku/>
        <w:wordWrap/>
        <w:overflowPunct/>
        <w:topLinePunct w:val="0"/>
        <w:autoSpaceDE/>
        <w:autoSpaceDN/>
        <w:bidi w:val="0"/>
        <w:adjustRightInd/>
        <w:snapToGrid/>
        <w:spacing w:after="0" w:line="360" w:lineRule="auto"/>
        <w:ind w:left="0"/>
        <w:textAlignment w:val="auto"/>
        <w:outlineLvl w:val="9"/>
        <w:rPr>
          <w:rFonts w:hint="default" w:ascii="Times New Roman" w:hAnsi="Times New Roman" w:eastAsia="宋体" w:cs="Times New Roman"/>
          <w:color w:val="auto"/>
          <w:kern w:val="2"/>
          <w:sz w:val="24"/>
          <w:szCs w:val="22"/>
          <w:lang w:val="en-US" w:eastAsia="zh-CN" w:bidi="ar-SA"/>
        </w:rPr>
      </w:pPr>
      <w:r>
        <w:rPr>
          <w:rFonts w:hint="eastAsia" w:ascii="Times New Roman" w:hAnsi="Times New Roman" w:eastAsia="宋体" w:cs="Times New Roman"/>
          <w:color w:val="auto"/>
          <w:kern w:val="2"/>
          <w:sz w:val="24"/>
          <w:szCs w:val="22"/>
          <w:lang w:val="en-US" w:eastAsia="zh-CN" w:bidi="ar-SA"/>
        </w:rPr>
        <w:t>废气分类治理方案见图7.3-1。</w:t>
      </w:r>
    </w:p>
    <w:p>
      <w:pPr>
        <w:spacing w:line="360" w:lineRule="auto"/>
        <w:ind w:firstLine="0"/>
        <w:textAlignment w:val="baseline"/>
        <w:outlineLvl w:val="3"/>
        <w:rPr>
          <w:rFonts w:hint="default" w:ascii="Times New Roman" w:hAnsi="Times New Roman" w:eastAsia="黑体" w:cs="Times New Roman"/>
          <w:color w:val="auto"/>
          <w:kern w:val="0"/>
          <w:szCs w:val="22"/>
        </w:rPr>
      </w:pPr>
      <w:r>
        <w:rPr>
          <w:rFonts w:hint="default" w:ascii="Times New Roman" w:hAnsi="Times New Roman" w:eastAsia="黑体" w:cs="Times New Roman"/>
          <w:color w:val="auto"/>
          <w:kern w:val="0"/>
          <w:szCs w:val="22"/>
        </w:rPr>
        <w:t>2.8.7.3固废处理</w:t>
      </w:r>
    </w:p>
    <w:p>
      <w:pPr>
        <w:snapToGrid w:val="0"/>
        <w:spacing w:line="360" w:lineRule="auto"/>
        <w:ind w:firstLine="480"/>
        <w:rPr>
          <w:rFonts w:hint="default" w:ascii="Times New Roman" w:hAnsi="Times New Roman" w:eastAsia="宋体" w:cs="Times New Roman"/>
          <w:color w:val="auto"/>
          <w:kern w:val="0"/>
          <w:sz w:val="24"/>
          <w:szCs w:val="28"/>
        </w:rPr>
      </w:pPr>
      <w:r>
        <w:rPr>
          <w:rFonts w:hint="default" w:ascii="Times New Roman" w:hAnsi="Times New Roman" w:eastAsia="宋体" w:cs="Times New Roman"/>
          <w:color w:val="auto"/>
          <w:kern w:val="0"/>
          <w:sz w:val="24"/>
          <w:szCs w:val="28"/>
        </w:rPr>
        <w:t>①建设一般固废</w:t>
      </w:r>
      <w:r>
        <w:rPr>
          <w:rFonts w:hint="eastAsia" w:ascii="Times New Roman" w:hAnsi="Times New Roman" w:eastAsia="宋体" w:cs="Times New Roman"/>
          <w:color w:val="auto"/>
          <w:kern w:val="0"/>
          <w:sz w:val="24"/>
          <w:szCs w:val="28"/>
          <w:lang w:val="en-US" w:eastAsia="zh-CN"/>
        </w:rPr>
        <w:t>暂存间</w:t>
      </w:r>
      <w:r>
        <w:rPr>
          <w:rFonts w:hint="default" w:ascii="Times New Roman" w:hAnsi="Times New Roman" w:eastAsia="宋体" w:cs="Times New Roman"/>
          <w:color w:val="auto"/>
          <w:kern w:val="0"/>
          <w:sz w:val="24"/>
          <w:szCs w:val="28"/>
        </w:rPr>
        <w:t>一座，占地面积约50</w:t>
      </w:r>
      <w:r>
        <w:rPr>
          <w:rFonts w:hint="default" w:ascii="Times New Roman" w:hAnsi="Times New Roman" w:eastAsia="宋体" w:cs="Times New Roman"/>
          <w:color w:val="auto"/>
          <w:sz w:val="24"/>
          <w:szCs w:val="28"/>
        </w:rPr>
        <w:t>m</w:t>
      </w:r>
      <w:r>
        <w:rPr>
          <w:rFonts w:hint="default" w:ascii="Times New Roman" w:hAnsi="Times New Roman" w:eastAsia="宋体" w:cs="Times New Roman"/>
          <w:color w:val="auto"/>
          <w:sz w:val="24"/>
          <w:szCs w:val="28"/>
          <w:vertAlign w:val="superscript"/>
        </w:rPr>
        <w:t>2</w:t>
      </w:r>
      <w:r>
        <w:rPr>
          <w:rFonts w:hint="default" w:ascii="Times New Roman" w:hAnsi="Times New Roman" w:eastAsia="宋体" w:cs="Times New Roman"/>
          <w:color w:val="auto"/>
          <w:kern w:val="0"/>
          <w:sz w:val="24"/>
          <w:szCs w:val="28"/>
        </w:rPr>
        <w:t>，用于临时储存一般固废；</w:t>
      </w:r>
    </w:p>
    <w:p>
      <w:pPr>
        <w:snapToGrid w:val="0"/>
        <w:spacing w:line="360" w:lineRule="auto"/>
        <w:ind w:firstLine="480"/>
        <w:rPr>
          <w:rFonts w:hint="default" w:ascii="Times New Roman" w:hAnsi="Times New Roman" w:eastAsia="宋体" w:cs="Times New Roman"/>
          <w:kern w:val="0"/>
          <w:sz w:val="24"/>
          <w:szCs w:val="28"/>
        </w:rPr>
      </w:pPr>
      <w:r>
        <w:rPr>
          <w:rFonts w:hint="default" w:ascii="Times New Roman" w:hAnsi="Times New Roman" w:eastAsia="宋体" w:cs="Times New Roman"/>
          <w:color w:val="auto"/>
          <w:kern w:val="0"/>
          <w:sz w:val="24"/>
          <w:szCs w:val="28"/>
        </w:rPr>
        <w:t>②建设危险废物</w:t>
      </w:r>
      <w:r>
        <w:rPr>
          <w:rFonts w:hint="eastAsia" w:ascii="Times New Roman" w:hAnsi="Times New Roman" w:eastAsia="宋体" w:cs="Times New Roman"/>
          <w:color w:val="auto"/>
          <w:kern w:val="0"/>
          <w:sz w:val="24"/>
          <w:szCs w:val="28"/>
          <w:lang w:val="en-US" w:eastAsia="zh-CN"/>
        </w:rPr>
        <w:t>暂存间</w:t>
      </w:r>
      <w:r>
        <w:rPr>
          <w:rFonts w:hint="default" w:ascii="Times New Roman" w:hAnsi="Times New Roman" w:eastAsia="宋体" w:cs="Times New Roman"/>
          <w:color w:val="auto"/>
          <w:kern w:val="0"/>
          <w:sz w:val="24"/>
          <w:szCs w:val="28"/>
        </w:rPr>
        <w:t>一</w:t>
      </w:r>
      <w:r>
        <w:rPr>
          <w:rFonts w:hint="default" w:ascii="Times New Roman" w:hAnsi="Times New Roman" w:eastAsia="宋体" w:cs="Times New Roman"/>
          <w:kern w:val="0"/>
          <w:sz w:val="24"/>
          <w:szCs w:val="28"/>
        </w:rPr>
        <w:t>座，占地面积约300</w:t>
      </w:r>
      <w:r>
        <w:rPr>
          <w:rFonts w:hint="default" w:ascii="Times New Roman" w:hAnsi="Times New Roman" w:eastAsia="宋体" w:cs="Times New Roman"/>
          <w:color w:val="000000"/>
          <w:sz w:val="24"/>
          <w:szCs w:val="28"/>
        </w:rPr>
        <w:t>m</w:t>
      </w:r>
      <w:r>
        <w:rPr>
          <w:rFonts w:hint="default" w:ascii="Times New Roman" w:hAnsi="Times New Roman" w:eastAsia="宋体" w:cs="Times New Roman"/>
          <w:color w:val="000000"/>
          <w:sz w:val="24"/>
          <w:szCs w:val="28"/>
          <w:vertAlign w:val="superscript"/>
        </w:rPr>
        <w:t>2</w:t>
      </w:r>
      <w:r>
        <w:rPr>
          <w:rFonts w:hint="default" w:ascii="Times New Roman" w:hAnsi="Times New Roman" w:eastAsia="宋体" w:cs="Times New Roman"/>
          <w:kern w:val="0"/>
          <w:sz w:val="24"/>
          <w:szCs w:val="28"/>
        </w:rPr>
        <w:t>，用于临时储存危险废物，定期委托有做资质单位处置；</w:t>
      </w:r>
    </w:p>
    <w:p>
      <w:pPr>
        <w:snapToGrid w:val="0"/>
        <w:spacing w:line="360" w:lineRule="auto"/>
        <w:ind w:firstLine="480"/>
        <w:rPr>
          <w:rFonts w:hint="default" w:ascii="Times New Roman" w:hAnsi="Times New Roman" w:eastAsia="宋体" w:cs="Times New Roman"/>
          <w:kern w:val="0"/>
          <w:sz w:val="24"/>
          <w:szCs w:val="28"/>
        </w:rPr>
      </w:pPr>
      <w:r>
        <w:rPr>
          <w:rFonts w:hint="default" w:ascii="Times New Roman" w:hAnsi="Times New Roman" w:eastAsia="宋体" w:cs="Times New Roman"/>
          <w:kern w:val="0"/>
          <w:sz w:val="24"/>
          <w:szCs w:val="28"/>
        </w:rPr>
        <w:t>③全厂设有生活垃圾分类箱，生活垃圾经分类收集后定期委托环卫部门处置。</w:t>
      </w:r>
    </w:p>
    <w:p>
      <w:pPr>
        <w:spacing w:line="36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2.8.7.4噪声控制</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主机设备选用国内外先进设备，设备在运行转动时所产生的噪音较低。设备安装时保证精度并加减振垫等措施，减少振动、噪声。对噪声比较大的空压机等设备，采取消声、减振、隔声等降噪措施。</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在总图布置上，结合功能分区和工艺分区，将高噪声厂房和低噪声厂房分开布置，将高噪声设备尽量布置于密闭车间内。</w:t>
      </w:r>
    </w:p>
    <w:bookmarkEnd w:id="161"/>
    <w:p>
      <w:pPr>
        <w:snapToGrid w:val="0"/>
        <w:spacing w:line="360" w:lineRule="auto"/>
        <w:ind w:firstLine="480"/>
        <w:rPr>
          <w:rFonts w:hint="default" w:ascii="Times New Roman" w:hAnsi="Times New Roman" w:eastAsia="宋体" w:cs="Times New Roman"/>
          <w:color w:val="000000"/>
          <w:sz w:val="24"/>
          <w:szCs w:val="28"/>
        </w:rPr>
        <w:sectPr>
          <w:footerReference r:id="rId10" w:type="default"/>
          <w:pgSz w:w="11907" w:h="16840"/>
          <w:pgMar w:top="1418" w:right="1418" w:bottom="1418" w:left="1418" w:header="851" w:footer="992" w:gutter="0"/>
          <w:pgNumType w:fmt="decimal"/>
          <w:cols w:space="720" w:num="1"/>
          <w:docGrid w:linePitch="389" w:charSpace="0"/>
        </w:sectPr>
      </w:pPr>
      <w:r>
        <w:rPr>
          <w:rFonts w:hint="default" w:ascii="Times New Roman" w:hAnsi="Times New Roman" w:eastAsia="宋体" w:cs="Times New Roman"/>
          <w:color w:val="000000"/>
          <w:sz w:val="24"/>
          <w:szCs w:val="28"/>
        </w:rPr>
        <w:t>项目环保工程见图2.4-1。</w:t>
      </w:r>
    </w:p>
    <w:p>
      <w:pPr>
        <w:spacing w:line="360" w:lineRule="auto"/>
        <w:ind w:firstLine="0"/>
        <w:outlineLvl w:val="0"/>
        <w:rPr>
          <w:rFonts w:hint="default" w:ascii="Times New Roman" w:hAnsi="Times New Roman" w:eastAsia="黑体" w:cs="Times New Roman"/>
          <w:sz w:val="36"/>
          <w:szCs w:val="44"/>
        </w:rPr>
      </w:pPr>
      <w:bookmarkStart w:id="162" w:name="_Toc249773131"/>
      <w:bookmarkStart w:id="163" w:name="_Toc22472"/>
      <w:bookmarkStart w:id="164" w:name="_Toc211225797"/>
      <w:r>
        <w:rPr>
          <w:rFonts w:hint="default" w:ascii="Times New Roman" w:hAnsi="Times New Roman" w:eastAsia="黑体" w:cs="Times New Roman"/>
          <w:sz w:val="36"/>
          <w:szCs w:val="44"/>
        </w:rPr>
        <w:t>3 工程分析</w:t>
      </w:r>
      <w:bookmarkEnd w:id="162"/>
      <w:bookmarkEnd w:id="163"/>
      <w:bookmarkEnd w:id="164"/>
    </w:p>
    <w:p>
      <w:pPr>
        <w:snapToGrid w:val="0"/>
        <w:spacing w:line="360" w:lineRule="auto"/>
        <w:ind w:firstLine="482"/>
        <w:rPr>
          <w:rFonts w:hint="default" w:ascii="Times New Roman" w:hAnsi="Times New Roman" w:eastAsia="宋体" w:cs="Times New Roman"/>
          <w:b/>
          <w:bCs/>
          <w:i/>
          <w:iCs/>
          <w:sz w:val="24"/>
          <w:szCs w:val="28"/>
          <w:lang w:val="en-US" w:eastAsia="zh-CN"/>
        </w:rPr>
      </w:pPr>
      <w:bookmarkStart w:id="165" w:name="_Toc182968955"/>
      <w:bookmarkStart w:id="166" w:name="_Toc24102"/>
      <w:bookmarkStart w:id="167" w:name="_Toc183754352"/>
      <w:bookmarkStart w:id="168" w:name="_Toc211225822"/>
      <w:bookmarkStart w:id="169" w:name="_Toc183782532"/>
      <w:bookmarkStart w:id="170" w:name="_Toc200984915"/>
      <w:bookmarkStart w:id="171" w:name="_Toc182968428"/>
      <w:bookmarkStart w:id="172" w:name="_Toc249773136"/>
      <w:bookmarkStart w:id="173" w:name="_Toc200266366"/>
      <w:r>
        <w:rPr>
          <w:rFonts w:hint="eastAsia" w:ascii="Times New Roman" w:hAnsi="Times New Roman" w:eastAsia="宋体" w:cs="Times New Roman"/>
          <w:b/>
          <w:bCs/>
          <w:i/>
          <w:iCs/>
          <w:sz w:val="24"/>
          <w:szCs w:val="28"/>
          <w:lang w:val="en-US" w:eastAsia="zh-CN"/>
        </w:rPr>
        <w:t>涉及商业机密，删除！</w:t>
      </w:r>
    </w:p>
    <w:bookmarkEnd w:id="165"/>
    <w:bookmarkEnd w:id="166"/>
    <w:bookmarkEnd w:id="167"/>
    <w:bookmarkEnd w:id="168"/>
    <w:bookmarkEnd w:id="169"/>
    <w:bookmarkEnd w:id="170"/>
    <w:bookmarkEnd w:id="171"/>
    <w:bookmarkEnd w:id="172"/>
    <w:bookmarkEnd w:id="173"/>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lang w:val="en-GB"/>
        </w:rPr>
      </w:pPr>
      <w:bookmarkStart w:id="174" w:name="_Toc200984965"/>
      <w:bookmarkStart w:id="175" w:name="_Toc211225825"/>
      <w:bookmarkStart w:id="176" w:name="_Toc78771755"/>
      <w:r>
        <w:rPr>
          <w:rFonts w:hint="default" w:ascii="Times New Roman" w:hAnsi="Times New Roman" w:eastAsia="黑体" w:cs="Times New Roman"/>
          <w:kern w:val="0"/>
          <w:sz w:val="30"/>
          <w:szCs w:val="30"/>
          <w:lang w:val="en-GB"/>
        </w:rPr>
        <w:t>3.6.5项目污染物排放统计汇总</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本项目污染物排放汇总情况见表3.6-7。</w:t>
      </w:r>
    </w:p>
    <w:p>
      <w:pPr>
        <w:snapToGrid w:val="0"/>
        <w:spacing w:line="360" w:lineRule="auto"/>
        <w:ind w:firstLine="0"/>
        <w:jc w:val="center"/>
        <w:outlineLvl w:val="4"/>
        <w:rPr>
          <w:rFonts w:hint="default" w:ascii="Times New Roman" w:hAnsi="Times New Roman" w:eastAsia="黑体" w:cs="Times New Roman"/>
          <w:bCs/>
          <w:sz w:val="24"/>
          <w:szCs w:val="24"/>
          <w:lang w:val="en-GB"/>
        </w:rPr>
      </w:pPr>
      <w:r>
        <w:rPr>
          <w:rFonts w:hint="default" w:ascii="Times New Roman" w:hAnsi="Times New Roman" w:eastAsia="黑体" w:cs="Times New Roman"/>
          <w:bCs/>
          <w:sz w:val="24"/>
          <w:szCs w:val="24"/>
          <w:lang w:val="en-GB"/>
        </w:rPr>
        <w:t>表3.6-7  项目主要污染物排放统计汇总</w:t>
      </w:r>
    </w:p>
    <w:tbl>
      <w:tblPr>
        <w:tblStyle w:val="90"/>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40" w:type="dxa"/>
          <w:bottom w:w="0" w:type="dxa"/>
          <w:right w:w="40" w:type="dxa"/>
        </w:tblCellMar>
      </w:tblPr>
      <w:tblGrid>
        <w:gridCol w:w="2369"/>
        <w:gridCol w:w="3264"/>
        <w:gridCol w:w="1565"/>
        <w:gridCol w:w="195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trHeight w:val="529" w:hRule="atLeast"/>
          <w:jc w:val="center"/>
        </w:trPr>
        <w:tc>
          <w:tcPr>
            <w:tcW w:w="2369"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bookmarkStart w:id="177" w:name="OLE_LINK53"/>
            <w:bookmarkStart w:id="178" w:name="OLE_LINK40"/>
            <w:r>
              <w:rPr>
                <w:rFonts w:hint="default" w:ascii="Times New Roman" w:hAnsi="Times New Roman" w:eastAsia="宋体" w:cs="Times New Roman"/>
                <w:color w:val="auto"/>
                <w:kern w:val="0"/>
                <w:sz w:val="21"/>
                <w:szCs w:val="21"/>
              </w:rPr>
              <w:t>种类</w:t>
            </w:r>
          </w:p>
        </w:tc>
        <w:tc>
          <w:tcPr>
            <w:tcW w:w="3264"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污染物名称</w:t>
            </w:r>
          </w:p>
        </w:tc>
        <w:tc>
          <w:tcPr>
            <w:tcW w:w="1565"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单位</w:t>
            </w:r>
          </w:p>
        </w:tc>
        <w:tc>
          <w:tcPr>
            <w:tcW w:w="1953"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排放量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jc w:val="center"/>
        </w:trPr>
        <w:tc>
          <w:tcPr>
            <w:tcW w:w="2369" w:type="dxa"/>
            <w:vMerge w:val="restart"/>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bookmarkStart w:id="179" w:name="OLE_LINK24" w:colFirst="3" w:colLast="5"/>
            <w:bookmarkStart w:id="180" w:name="OLE_LINK25" w:colFirst="3" w:colLast="5"/>
            <w:bookmarkStart w:id="181" w:name="_Hlk319102544"/>
            <w:bookmarkStart w:id="182" w:name="OLE_LINK36" w:colFirst="3" w:colLast="5"/>
            <w:bookmarkStart w:id="183" w:name="OLE_LINK35" w:colFirst="3" w:colLast="5"/>
            <w:bookmarkStart w:id="184" w:name="_Hlk322982149"/>
            <w:bookmarkStart w:id="185" w:name="OLE_LINK34" w:colFirst="3" w:colLast="5"/>
            <w:bookmarkStart w:id="186" w:name="OLE_LINK4" w:colFirst="4" w:colLast="5"/>
            <w:bookmarkStart w:id="187" w:name="_Hlk328317723"/>
            <w:bookmarkStart w:id="188" w:name="OLE_LINK6" w:colFirst="4" w:colLast="5"/>
            <w:bookmarkStart w:id="189" w:name="OLE_LINK21" w:colFirst="3" w:colLast="5"/>
            <w:r>
              <w:rPr>
                <w:rFonts w:hint="default" w:ascii="Times New Roman" w:hAnsi="Times New Roman" w:eastAsia="宋体" w:cs="Times New Roman"/>
                <w:color w:val="auto"/>
                <w:kern w:val="0"/>
                <w:sz w:val="21"/>
                <w:szCs w:val="21"/>
              </w:rPr>
              <w:t>大气污染物（含无组织）</w:t>
            </w:r>
          </w:p>
        </w:tc>
        <w:tc>
          <w:tcPr>
            <w:tcW w:w="3264" w:type="dxa"/>
            <w:noWrap w:val="0"/>
            <w:vAlign w:val="bottom"/>
          </w:tcPr>
          <w:p>
            <w:pPr>
              <w:widowControl/>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氮氧化物</w:t>
            </w:r>
          </w:p>
        </w:tc>
        <w:tc>
          <w:tcPr>
            <w:tcW w:w="1565"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t/a</w:t>
            </w:r>
          </w:p>
        </w:tc>
        <w:tc>
          <w:tcPr>
            <w:tcW w:w="1953"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2.415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trHeight w:val="201" w:hRule="atLeast"/>
          <w:jc w:val="center"/>
        </w:trPr>
        <w:tc>
          <w:tcPr>
            <w:vMerge w:val="continue"/>
            <w:noWrap w:val="0"/>
          </w:tcPr>
          <w:p/>
        </w:tc>
        <w:tc>
          <w:tcPr>
            <w:tcW w:w="3264" w:type="dxa"/>
            <w:noWrap w:val="0"/>
            <w:vAlign w:val="bottom"/>
          </w:tcPr>
          <w:p>
            <w:pPr>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氨</w:t>
            </w:r>
          </w:p>
        </w:tc>
        <w:tc>
          <w:tcPr>
            <w:tcW w:w="1565"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t/a</w:t>
            </w:r>
          </w:p>
        </w:tc>
        <w:tc>
          <w:tcPr>
            <w:tcW w:w="1953"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0.5</w:t>
            </w:r>
            <w:r>
              <w:rPr>
                <w:rFonts w:hint="eastAsia" w:ascii="Times New Roman" w:hAnsi="Times New Roman" w:eastAsia="宋体" w:cs="Times New Roman"/>
                <w:color w:val="auto"/>
                <w:kern w:val="0"/>
                <w:sz w:val="21"/>
                <w:szCs w:val="21"/>
                <w:lang w:val="en-US" w:eastAsia="zh-CN" w:bidi="ar"/>
              </w:rPr>
              <w:t>25</w:t>
            </w:r>
          </w:p>
        </w:tc>
      </w:tr>
      <w:bookmarkEnd w:id="179"/>
      <w:bookmarkEnd w:id="180"/>
      <w:bookmarkEnd w:id="181"/>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jc w:val="center"/>
        </w:trPr>
        <w:tc>
          <w:tcPr>
            <w:vMerge w:val="continue"/>
            <w:noWrap w:val="0"/>
          </w:tcPr>
          <w:p/>
        </w:tc>
        <w:tc>
          <w:tcPr>
            <w:tcW w:w="3264" w:type="dxa"/>
            <w:noWrap w:val="0"/>
            <w:vAlign w:val="bottom"/>
          </w:tcPr>
          <w:p>
            <w:pPr>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甲醛</w:t>
            </w:r>
          </w:p>
        </w:tc>
        <w:tc>
          <w:tcPr>
            <w:tcW w:w="1565"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t/a</w:t>
            </w:r>
          </w:p>
        </w:tc>
        <w:tc>
          <w:tcPr>
            <w:tcW w:w="1953"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0.003</w:t>
            </w:r>
          </w:p>
        </w:tc>
      </w:tr>
      <w:bookmarkEnd w:id="182"/>
      <w:bookmarkEnd w:id="183"/>
      <w:bookmarkEnd w:id="184"/>
      <w:bookmarkEnd w:id="185"/>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jc w:val="center"/>
        </w:trPr>
        <w:tc>
          <w:tcPr>
            <w:vMerge w:val="continue"/>
            <w:noWrap w:val="0"/>
          </w:tcPr>
          <w:p/>
        </w:tc>
        <w:tc>
          <w:tcPr>
            <w:tcW w:w="3264" w:type="dxa"/>
            <w:noWrap w:val="0"/>
            <w:vAlign w:val="bottom"/>
          </w:tcPr>
          <w:p>
            <w:pPr>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非甲烷总烃</w:t>
            </w:r>
            <w:r>
              <w:rPr>
                <w:rFonts w:hint="eastAsia" w:ascii="Times New Roman" w:hAnsi="Times New Roman" w:eastAsia="宋体" w:cs="Times New Roman"/>
                <w:color w:val="auto"/>
                <w:kern w:val="0"/>
                <w:sz w:val="21"/>
                <w:szCs w:val="21"/>
                <w:vertAlign w:val="superscript"/>
                <w:lang w:val="en-US" w:eastAsia="zh-CN"/>
              </w:rPr>
              <w:t>a</w:t>
            </w:r>
          </w:p>
        </w:tc>
        <w:tc>
          <w:tcPr>
            <w:tcW w:w="1565"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t/a</w:t>
            </w:r>
          </w:p>
        </w:tc>
        <w:tc>
          <w:tcPr>
            <w:tcW w:w="1953"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1.92</w:t>
            </w:r>
            <w:r>
              <w:rPr>
                <w:rFonts w:hint="eastAsia" w:ascii="Times New Roman" w:hAnsi="Times New Roman" w:eastAsia="宋体" w:cs="Times New Roman"/>
                <w:color w:val="auto"/>
                <w:kern w:val="0"/>
                <w:sz w:val="21"/>
                <w:szCs w:val="21"/>
                <w:lang w:val="en-US" w:eastAsia="zh-CN" w:bidi="ar"/>
              </w:rPr>
              <w:t>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jc w:val="center"/>
        </w:trPr>
        <w:tc>
          <w:tcPr>
            <w:vMerge w:val="continue"/>
            <w:noWrap w:val="0"/>
          </w:tcPr>
          <w:p/>
        </w:tc>
        <w:tc>
          <w:tcPr>
            <w:tcW w:w="3264" w:type="dxa"/>
            <w:noWrap w:val="0"/>
            <w:vAlign w:val="bottom"/>
          </w:tcPr>
          <w:p>
            <w:pPr>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颗粒物</w:t>
            </w:r>
          </w:p>
        </w:tc>
        <w:tc>
          <w:tcPr>
            <w:tcW w:w="1565"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t/a</w:t>
            </w:r>
          </w:p>
        </w:tc>
        <w:tc>
          <w:tcPr>
            <w:tcW w:w="1953"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0.198</w:t>
            </w:r>
          </w:p>
        </w:tc>
      </w:tr>
      <w:bookmarkEnd w:id="186"/>
      <w:bookmarkEnd w:id="187"/>
      <w:bookmarkEnd w:id="188"/>
      <w:bookmarkEnd w:id="189"/>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jc w:val="center"/>
        </w:trPr>
        <w:tc>
          <w:tcPr>
            <w:tcW w:w="2369" w:type="dxa"/>
            <w:vMerge w:val="restart"/>
            <w:noWrap w:val="0"/>
            <w:vAlign w:val="center"/>
          </w:tcPr>
          <w:p>
            <w:pPr>
              <w:widowControl/>
              <w:snapToGrid w:val="0"/>
              <w:spacing w:line="300" w:lineRule="exact"/>
              <w:ind w:firstLine="0"/>
              <w:jc w:val="center"/>
              <w:rPr>
                <w:rFonts w:hint="eastAsia" w:ascii="Times New Roman" w:hAnsi="Times New Roman" w:eastAsia="宋体" w:cs="Times New Roman"/>
                <w:color w:val="auto"/>
                <w:kern w:val="0"/>
                <w:sz w:val="21"/>
                <w:szCs w:val="21"/>
                <w:vertAlign w:val="superscript"/>
                <w:lang w:val="en-US" w:eastAsia="zh-CN"/>
              </w:rPr>
            </w:pPr>
            <w:bookmarkStart w:id="190" w:name="OLE_LINK19" w:colFirst="3" w:colLast="5"/>
            <w:bookmarkStart w:id="191" w:name="_Hlk319306812"/>
            <w:bookmarkStart w:id="192" w:name="OLE_LINK12" w:colFirst="3" w:colLast="5"/>
            <w:r>
              <w:rPr>
                <w:rFonts w:hint="default" w:ascii="Times New Roman" w:hAnsi="Times New Roman" w:eastAsia="宋体" w:cs="Times New Roman"/>
                <w:color w:val="auto"/>
                <w:kern w:val="0"/>
                <w:sz w:val="21"/>
                <w:szCs w:val="21"/>
              </w:rPr>
              <w:t>水污染物</w:t>
            </w:r>
            <w:r>
              <w:rPr>
                <w:rFonts w:hint="eastAsia" w:ascii="Times New Roman" w:hAnsi="Times New Roman" w:eastAsia="宋体" w:cs="Times New Roman"/>
                <w:color w:val="auto"/>
                <w:kern w:val="0"/>
                <w:sz w:val="21"/>
                <w:szCs w:val="21"/>
                <w:vertAlign w:val="superscript"/>
                <w:lang w:val="en-US" w:eastAsia="zh-CN"/>
              </w:rPr>
              <w:t>b</w:t>
            </w:r>
          </w:p>
        </w:tc>
        <w:tc>
          <w:tcPr>
            <w:tcW w:w="3264"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废(污)水量（外排至外环境）</w:t>
            </w:r>
          </w:p>
        </w:tc>
        <w:tc>
          <w:tcPr>
            <w:tcW w:w="1565"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t/a</w:t>
            </w:r>
          </w:p>
        </w:tc>
        <w:tc>
          <w:tcPr>
            <w:tcW w:w="1953"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36276</w:t>
            </w:r>
          </w:p>
        </w:tc>
      </w:tr>
      <w:bookmarkEnd w:id="190"/>
      <w:bookmarkEnd w:id="191"/>
      <w:bookmarkEnd w:id="192"/>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trHeight w:val="90" w:hRule="atLeast"/>
          <w:jc w:val="center"/>
        </w:trPr>
        <w:tc>
          <w:tcPr>
            <w:vMerge w:val="continue"/>
            <w:noWrap w:val="0"/>
          </w:tcPr>
          <w:p/>
        </w:tc>
        <w:tc>
          <w:tcPr>
            <w:tcW w:w="3264"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COD</w:t>
            </w:r>
          </w:p>
        </w:tc>
        <w:tc>
          <w:tcPr>
            <w:tcW w:w="1565"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t/a</w:t>
            </w:r>
          </w:p>
        </w:tc>
        <w:tc>
          <w:tcPr>
            <w:tcW w:w="1953"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1.814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trHeight w:val="150" w:hRule="atLeast"/>
          <w:jc w:val="center"/>
        </w:trPr>
        <w:tc>
          <w:tcPr>
            <w:vMerge w:val="continue"/>
            <w:noWrap w:val="0"/>
          </w:tcPr>
          <w:p/>
        </w:tc>
        <w:tc>
          <w:tcPr>
            <w:tcW w:w="3264"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氨氮</w:t>
            </w:r>
          </w:p>
        </w:tc>
        <w:tc>
          <w:tcPr>
            <w:tcW w:w="1565"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t/a</w:t>
            </w:r>
          </w:p>
        </w:tc>
        <w:tc>
          <w:tcPr>
            <w:tcW w:w="1953"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0.181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jc w:val="center"/>
        </w:trPr>
        <w:tc>
          <w:tcPr>
            <w:tcW w:w="2369" w:type="dxa"/>
            <w:vMerge w:val="restart"/>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固体废物</w:t>
            </w:r>
          </w:p>
        </w:tc>
        <w:tc>
          <w:tcPr>
            <w:tcW w:w="3264"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一般固体废物</w:t>
            </w:r>
          </w:p>
        </w:tc>
        <w:tc>
          <w:tcPr>
            <w:tcW w:w="1565"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t/a</w:t>
            </w:r>
          </w:p>
        </w:tc>
        <w:tc>
          <w:tcPr>
            <w:tcW w:w="1953"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bidi="ar"/>
              </w:rPr>
              <w:t>0.2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jc w:val="center"/>
        </w:trPr>
        <w:tc>
          <w:tcPr>
            <w:vMerge w:val="continue"/>
            <w:noWrap w:val="0"/>
          </w:tcPr>
          <w:p/>
        </w:tc>
        <w:tc>
          <w:tcPr>
            <w:tcW w:w="3264"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危险废物</w:t>
            </w:r>
          </w:p>
        </w:tc>
        <w:tc>
          <w:tcPr>
            <w:tcW w:w="1565"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t/a</w:t>
            </w:r>
          </w:p>
        </w:tc>
        <w:tc>
          <w:tcPr>
            <w:tcW w:w="1953"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bidi="ar"/>
              </w:rPr>
              <w:t>1422.319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jc w:val="center"/>
        </w:trPr>
        <w:tc>
          <w:tcPr>
            <w:vMerge w:val="continue"/>
            <w:noWrap w:val="0"/>
          </w:tcPr>
          <w:p/>
        </w:tc>
        <w:tc>
          <w:tcPr>
            <w:tcW w:w="3264"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生活垃圾</w:t>
            </w:r>
          </w:p>
        </w:tc>
        <w:tc>
          <w:tcPr>
            <w:tcW w:w="1565"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t/a</w:t>
            </w:r>
          </w:p>
        </w:tc>
        <w:tc>
          <w:tcPr>
            <w:tcW w:w="1953" w:type="dxa"/>
            <w:noWrap w:val="0"/>
            <w:vAlign w:val="center"/>
          </w:tcPr>
          <w:p>
            <w:pPr>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31.2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jc w:val="center"/>
        </w:trPr>
        <w:tc>
          <w:tcPr>
            <w:vMerge w:val="continue"/>
            <w:noWrap w:val="0"/>
          </w:tcPr>
          <w:p/>
        </w:tc>
        <w:tc>
          <w:tcPr>
            <w:tcW w:w="3264"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待鉴定固废</w:t>
            </w:r>
          </w:p>
        </w:tc>
        <w:tc>
          <w:tcPr>
            <w:tcW w:w="1565" w:type="dxa"/>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t/a</w:t>
            </w:r>
          </w:p>
        </w:tc>
        <w:tc>
          <w:tcPr>
            <w:tcW w:w="1953" w:type="dxa"/>
            <w:noWrap w:val="0"/>
            <w:vAlign w:val="center"/>
          </w:tcPr>
          <w:p>
            <w:pPr>
              <w:spacing w:line="300" w:lineRule="exact"/>
              <w:ind w:firstLine="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jc w:val="center"/>
        </w:trPr>
        <w:tc>
          <w:tcPr>
            <w:tcW w:w="9151" w:type="dxa"/>
            <w:gridSpan w:val="4"/>
            <w:noWrap w:val="0"/>
            <w:vAlign w:val="center"/>
          </w:tcPr>
          <w:p>
            <w:pPr>
              <w:widowControl/>
              <w:snapToGrid w:val="0"/>
              <w:spacing w:line="300" w:lineRule="exact"/>
              <w:ind w:firstLine="0"/>
              <w:jc w:val="both"/>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a：非甲烷总烃含甲醛、乙醇。</w:t>
            </w:r>
          </w:p>
          <w:p>
            <w:pPr>
              <w:widowControl/>
              <w:snapToGrid w:val="0"/>
              <w:spacing w:line="300" w:lineRule="exact"/>
              <w:ind w:firstLine="0"/>
              <w:jc w:val="both"/>
              <w:rPr>
                <w:rFonts w:hint="default"/>
                <w:color w:val="auto"/>
                <w:lang w:val="en-US" w:eastAsia="zh-CN"/>
              </w:rPr>
            </w:pPr>
            <w:r>
              <w:rPr>
                <w:rFonts w:hint="eastAsia" w:ascii="Times New Roman" w:hAnsi="Times New Roman" w:eastAsia="宋体" w:cs="Times New Roman"/>
                <w:color w:val="auto"/>
                <w:kern w:val="0"/>
                <w:sz w:val="21"/>
                <w:szCs w:val="21"/>
                <w:lang w:val="en-US" w:eastAsia="zh-CN"/>
              </w:rPr>
              <w:t>b</w:t>
            </w:r>
            <w:r>
              <w:rPr>
                <w:rFonts w:hint="default" w:ascii="Times New Roman" w:hAnsi="Times New Roman" w:eastAsia="宋体" w:cs="Times New Roman"/>
                <w:color w:val="auto"/>
                <w:kern w:val="0"/>
                <w:sz w:val="21"/>
                <w:szCs w:val="21"/>
              </w:rPr>
              <w:t>：</w:t>
            </w:r>
            <w:r>
              <w:rPr>
                <w:rFonts w:hint="eastAsia" w:ascii="Times New Roman" w:hAnsi="Times New Roman" w:eastAsia="宋体" w:cs="Times New Roman"/>
                <w:color w:val="auto"/>
                <w:kern w:val="0"/>
                <w:sz w:val="21"/>
                <w:szCs w:val="21"/>
                <w:lang w:val="en-US" w:eastAsia="zh-CN"/>
              </w:rPr>
              <w:t>以</w:t>
            </w:r>
            <w:r>
              <w:rPr>
                <w:rFonts w:hint="default" w:ascii="Times New Roman" w:hAnsi="Times New Roman" w:eastAsia="宋体" w:cs="Times New Roman"/>
                <w:color w:val="auto"/>
                <w:kern w:val="0"/>
                <w:sz w:val="21"/>
                <w:szCs w:val="21"/>
              </w:rPr>
              <w:t>江阴污水处理厂尾水COD排放限值50mg/L，氨氮排放限值5mg/L</w:t>
            </w:r>
            <w:r>
              <w:rPr>
                <w:rFonts w:hint="eastAsia" w:ascii="Times New Roman" w:hAnsi="Times New Roman" w:eastAsia="宋体" w:cs="Times New Roman"/>
                <w:color w:val="auto"/>
                <w:kern w:val="0"/>
                <w:sz w:val="21"/>
                <w:szCs w:val="21"/>
                <w:lang w:val="en-US" w:eastAsia="zh-CN"/>
              </w:rPr>
              <w:t>核算废水排入外环境的总量。</w:t>
            </w:r>
          </w:p>
        </w:tc>
      </w:tr>
      <w:bookmarkEnd w:id="177"/>
      <w:bookmarkEnd w:id="178"/>
    </w:tbl>
    <w:p>
      <w:pPr>
        <w:keepNext/>
        <w:keepLines/>
        <w:spacing w:line="360" w:lineRule="auto"/>
        <w:ind w:firstLine="0"/>
        <w:outlineLvl w:val="1"/>
        <w:rPr>
          <w:rFonts w:hint="default" w:ascii="Times New Roman" w:hAnsi="Times New Roman" w:eastAsia="黑体" w:cs="Times New Roman"/>
          <w:bCs/>
          <w:sz w:val="32"/>
          <w:szCs w:val="30"/>
        </w:rPr>
      </w:pPr>
      <w:bookmarkStart w:id="193" w:name="_Toc16905"/>
      <w:r>
        <w:rPr>
          <w:rFonts w:hint="default" w:ascii="Times New Roman" w:hAnsi="Times New Roman" w:eastAsia="黑体" w:cs="Times New Roman"/>
          <w:bCs/>
          <w:sz w:val="32"/>
          <w:szCs w:val="30"/>
        </w:rPr>
        <w:t>3.7施工期污染源分析</w:t>
      </w:r>
      <w:bookmarkEnd w:id="193"/>
    </w:p>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lang w:val="en-GB"/>
        </w:rPr>
      </w:pPr>
      <w:r>
        <w:rPr>
          <w:rFonts w:hint="default" w:ascii="Times New Roman" w:hAnsi="Times New Roman" w:eastAsia="黑体" w:cs="Times New Roman"/>
          <w:kern w:val="0"/>
          <w:sz w:val="30"/>
          <w:szCs w:val="30"/>
          <w:lang w:val="en-GB"/>
        </w:rPr>
        <w:t>3.7.1施工期废气</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本项目施工期大气环境污染源主要有：</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（1）场地平整阶段，渣土清运过程和混凝土搅拌引起的扬尘；</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（2）施工车辆、施工机械排出的含NO</w:t>
      </w:r>
      <w:r>
        <w:rPr>
          <w:rFonts w:hint="default" w:ascii="Times New Roman" w:hAnsi="Times New Roman" w:eastAsia="宋体" w:cs="Times New Roman"/>
          <w:color w:val="000000"/>
          <w:sz w:val="24"/>
          <w:szCs w:val="28"/>
          <w:vertAlign w:val="subscript"/>
        </w:rPr>
        <w:t>2</w:t>
      </w:r>
      <w:r>
        <w:rPr>
          <w:rFonts w:hint="default" w:ascii="Times New Roman" w:hAnsi="Times New Roman" w:eastAsia="宋体" w:cs="Times New Roman"/>
          <w:color w:val="000000"/>
          <w:sz w:val="24"/>
          <w:szCs w:val="28"/>
        </w:rPr>
        <w:t>、CO、THC等尾气；</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（3）设备焊接烟气；</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（4）设备油漆产生的有机废气。</w:t>
      </w:r>
    </w:p>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lang w:val="en-GB"/>
        </w:rPr>
      </w:pPr>
      <w:r>
        <w:rPr>
          <w:rFonts w:hint="default" w:ascii="Times New Roman" w:hAnsi="Times New Roman" w:eastAsia="黑体" w:cs="Times New Roman"/>
          <w:kern w:val="0"/>
          <w:sz w:val="30"/>
          <w:szCs w:val="30"/>
          <w:lang w:val="en-GB"/>
        </w:rPr>
        <w:t>3.7.2施工废水</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施工期废水主要为：</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①施工生活污水：按施工高峰期现场人员为100人，废水产生量0.1t/人•日算，施工生活污水最大产生量为5t/d。拟在施工营地设简易化粪池，处理后进入园区污水管网。</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②施工机械、车辆清洗废水，按每天清洗10辆次，每辆次用水1.0t算，施工机械清洗废水产生量约10t/d，拟在车辆进出口设置隔油沉淀一座，清洗废水经处理后回用，多余的用于周边</w:t>
      </w:r>
      <w:r>
        <w:rPr>
          <w:rFonts w:hint="default" w:ascii="Times New Roman" w:hAnsi="Times New Roman" w:eastAsia="宋体" w:cs="Times New Roman"/>
          <w:sz w:val="24"/>
          <w:szCs w:val="28"/>
        </w:rPr>
        <w:t>运输道路需洒水抑尘</w:t>
      </w:r>
      <w:r>
        <w:rPr>
          <w:rFonts w:hint="default" w:ascii="Times New Roman" w:hAnsi="Times New Roman" w:eastAsia="宋体" w:cs="Times New Roman"/>
          <w:color w:val="000000"/>
          <w:sz w:val="24"/>
          <w:szCs w:val="28"/>
        </w:rPr>
        <w:t>。</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③土建施工泥浆水，包括混凝土养护水，通常直接渗入地下，不易收集处理。</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以上这些污染源和污染物均可能对项目周围环境造成影响，随着施工期的结束，上述影响也将结束。</w:t>
      </w:r>
      <w:bookmarkStart w:id="194" w:name="_Toc397602687"/>
    </w:p>
    <w:bookmarkEnd w:id="194"/>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lang w:val="en-GB"/>
        </w:rPr>
      </w:pPr>
      <w:r>
        <w:rPr>
          <w:rFonts w:hint="default" w:ascii="Times New Roman" w:hAnsi="Times New Roman" w:eastAsia="黑体" w:cs="Times New Roman"/>
          <w:kern w:val="0"/>
          <w:sz w:val="30"/>
          <w:szCs w:val="30"/>
          <w:lang w:val="en-GB"/>
        </w:rPr>
        <w:t>3.7.3施工噪声</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主要为各种施工材料运输车辆噪声以及其它施工电动机械噪声等。这些施工机械作业时在距声源15m处的噪声级见表3.7.1。</w:t>
      </w:r>
    </w:p>
    <w:p>
      <w:pPr>
        <w:snapToGrid w:val="0"/>
        <w:spacing w:line="360" w:lineRule="auto"/>
        <w:ind w:firstLine="0"/>
        <w:jc w:val="center"/>
        <w:outlineLvl w:val="4"/>
        <w:rPr>
          <w:rFonts w:hint="default" w:ascii="Times New Roman" w:hAnsi="Times New Roman" w:eastAsia="黑体" w:cs="Times New Roman"/>
          <w:bCs/>
          <w:sz w:val="24"/>
          <w:szCs w:val="24"/>
          <w:lang w:val="en-GB"/>
        </w:rPr>
      </w:pPr>
      <w:r>
        <w:rPr>
          <w:rFonts w:hint="default" w:ascii="Times New Roman" w:hAnsi="Times New Roman" w:eastAsia="黑体" w:cs="Times New Roman"/>
          <w:bCs/>
          <w:sz w:val="24"/>
          <w:szCs w:val="24"/>
          <w:lang w:val="en-GB"/>
        </w:rPr>
        <w:t>表3.7.1  距离典型施工设备15m处的A计权噪声级</w:t>
      </w:r>
    </w:p>
    <w:tbl>
      <w:tblPr>
        <w:tblStyle w:val="90"/>
        <w:tblW w:w="0" w:type="auto"/>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910"/>
        <w:gridCol w:w="2537"/>
        <w:gridCol w:w="2305"/>
        <w:gridCol w:w="253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910"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设备</w:t>
            </w:r>
          </w:p>
        </w:tc>
        <w:tc>
          <w:tcPr>
            <w:tcW w:w="2537"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A计权声级范围(分贝)</w:t>
            </w:r>
          </w:p>
        </w:tc>
        <w:tc>
          <w:tcPr>
            <w:tcW w:w="2305"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设备</w:t>
            </w:r>
          </w:p>
        </w:tc>
        <w:tc>
          <w:tcPr>
            <w:tcW w:w="2535"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A计权声级范围(分贝)</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910"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装载车</w:t>
            </w:r>
          </w:p>
        </w:tc>
        <w:tc>
          <w:tcPr>
            <w:tcW w:w="2537"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72-84</w:t>
            </w:r>
          </w:p>
        </w:tc>
        <w:tc>
          <w:tcPr>
            <w:tcW w:w="2305"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起重机(可移动的)</w:t>
            </w:r>
          </w:p>
        </w:tc>
        <w:tc>
          <w:tcPr>
            <w:tcW w:w="2535"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75-86</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910"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后铲车</w:t>
            </w:r>
          </w:p>
        </w:tc>
        <w:tc>
          <w:tcPr>
            <w:tcW w:w="2537"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72-93</w:t>
            </w:r>
          </w:p>
        </w:tc>
        <w:tc>
          <w:tcPr>
            <w:tcW w:w="2305"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起重机(悬臂吊杆的)</w:t>
            </w:r>
          </w:p>
        </w:tc>
        <w:tc>
          <w:tcPr>
            <w:tcW w:w="2535"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86-88</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jc w:val="center"/>
        </w:trPr>
        <w:tc>
          <w:tcPr>
            <w:tcW w:w="1910"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牵引车</w:t>
            </w:r>
          </w:p>
        </w:tc>
        <w:tc>
          <w:tcPr>
            <w:tcW w:w="2537"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76-96</w:t>
            </w:r>
          </w:p>
        </w:tc>
        <w:tc>
          <w:tcPr>
            <w:tcW w:w="2305"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泵</w:t>
            </w:r>
          </w:p>
        </w:tc>
        <w:tc>
          <w:tcPr>
            <w:tcW w:w="2535"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69-71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910"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铲运机、推土机</w:t>
            </w:r>
          </w:p>
        </w:tc>
        <w:tc>
          <w:tcPr>
            <w:tcW w:w="2537"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80-93</w:t>
            </w:r>
          </w:p>
        </w:tc>
        <w:tc>
          <w:tcPr>
            <w:tcW w:w="2305"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柴油发电机</w:t>
            </w:r>
          </w:p>
        </w:tc>
        <w:tc>
          <w:tcPr>
            <w:tcW w:w="2535"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71-82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910"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铺料机</w:t>
            </w:r>
          </w:p>
        </w:tc>
        <w:tc>
          <w:tcPr>
            <w:tcW w:w="2537"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86-88</w:t>
            </w:r>
          </w:p>
        </w:tc>
        <w:tc>
          <w:tcPr>
            <w:tcW w:w="2305"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压气机</w:t>
            </w:r>
          </w:p>
        </w:tc>
        <w:tc>
          <w:tcPr>
            <w:tcW w:w="2535"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74-86</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910"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卡车</w:t>
            </w:r>
          </w:p>
        </w:tc>
        <w:tc>
          <w:tcPr>
            <w:tcW w:w="2537"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82-94</w:t>
            </w:r>
          </w:p>
        </w:tc>
        <w:tc>
          <w:tcPr>
            <w:tcW w:w="2305"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气板手</w:t>
            </w:r>
          </w:p>
        </w:tc>
        <w:tc>
          <w:tcPr>
            <w:tcW w:w="2535"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83-88</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jc w:val="center"/>
        </w:trPr>
        <w:tc>
          <w:tcPr>
            <w:tcW w:w="1910"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混凝土搅拌机</w:t>
            </w:r>
          </w:p>
        </w:tc>
        <w:tc>
          <w:tcPr>
            <w:tcW w:w="2537"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75-88</w:t>
            </w:r>
          </w:p>
        </w:tc>
        <w:tc>
          <w:tcPr>
            <w:tcW w:w="2305"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风镐和风钻</w:t>
            </w:r>
          </w:p>
        </w:tc>
        <w:tc>
          <w:tcPr>
            <w:tcW w:w="2535"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81-88</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910"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混凝土泵</w:t>
            </w:r>
          </w:p>
        </w:tc>
        <w:tc>
          <w:tcPr>
            <w:tcW w:w="2537"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81-83</w:t>
            </w:r>
          </w:p>
        </w:tc>
        <w:tc>
          <w:tcPr>
            <w:tcW w:w="2305"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p>
        </w:tc>
        <w:tc>
          <w:tcPr>
            <w:tcW w:w="2535" w:type="dxa"/>
            <w:noWrap w:val="0"/>
            <w:vAlign w:val="center"/>
          </w:tcPr>
          <w:p>
            <w:pPr>
              <w:widowControl/>
              <w:snapToGrid w:val="0"/>
              <w:spacing w:line="300" w:lineRule="exact"/>
              <w:ind w:firstLine="0"/>
              <w:jc w:val="center"/>
              <w:rPr>
                <w:rFonts w:hint="default" w:ascii="Times New Roman" w:hAnsi="Times New Roman" w:eastAsia="宋体" w:cs="Times New Roman"/>
                <w:color w:val="000000"/>
                <w:kern w:val="0"/>
                <w:sz w:val="21"/>
                <w:szCs w:val="21"/>
              </w:rPr>
            </w:pPr>
          </w:p>
        </w:tc>
      </w:tr>
    </w:tbl>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lang w:val="en-GB"/>
        </w:rPr>
      </w:pPr>
      <w:r>
        <w:rPr>
          <w:rFonts w:hint="default" w:ascii="Times New Roman" w:hAnsi="Times New Roman" w:eastAsia="黑体" w:cs="Times New Roman"/>
          <w:kern w:val="0"/>
          <w:sz w:val="30"/>
          <w:szCs w:val="30"/>
          <w:lang w:val="en-GB"/>
        </w:rPr>
        <w:t>3.7.4施工固体废物</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（1）施工生活垃圾，最大产生量约100kg/d。</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（2）建筑废物：在土建安装工程产生有建筑垃圾，主要包括废钢筋、废包装袋、建筑边角料、废砖等。根据本项目工程量，建筑垃圾产生总量估计约为10t。</w:t>
      </w:r>
    </w:p>
    <w:p>
      <w:pPr>
        <w:spacing w:line="360" w:lineRule="auto"/>
        <w:ind w:firstLine="0"/>
        <w:outlineLvl w:val="1"/>
        <w:rPr>
          <w:rFonts w:hint="default" w:ascii="Times New Roman" w:hAnsi="Times New Roman" w:eastAsia="黑体" w:cs="Times New Roman"/>
          <w:kern w:val="0"/>
          <w:sz w:val="30"/>
          <w:szCs w:val="30"/>
        </w:rPr>
      </w:pPr>
      <w:bookmarkStart w:id="195" w:name="_Toc14884"/>
      <w:bookmarkStart w:id="196" w:name="_Toc27659"/>
      <w:r>
        <w:rPr>
          <w:rFonts w:hint="default" w:ascii="Times New Roman" w:hAnsi="Times New Roman" w:eastAsia="黑体" w:cs="Times New Roman"/>
          <w:kern w:val="0"/>
          <w:sz w:val="30"/>
          <w:szCs w:val="30"/>
        </w:rPr>
        <w:t>3.8总量分析</w:t>
      </w:r>
      <w:bookmarkEnd w:id="195"/>
      <w:bookmarkEnd w:id="196"/>
    </w:p>
    <w:p>
      <w:pPr>
        <w:spacing w:line="360" w:lineRule="auto"/>
        <w:ind w:firstLine="0"/>
        <w:outlineLvl w:val="2"/>
        <w:rPr>
          <w:rFonts w:hint="default" w:ascii="Times New Roman" w:hAnsi="Times New Roman" w:eastAsia="黑体" w:cs="Times New Roman"/>
          <w:kern w:val="0"/>
          <w:szCs w:val="28"/>
        </w:rPr>
      </w:pPr>
      <w:r>
        <w:rPr>
          <w:rFonts w:hint="default" w:ascii="Times New Roman" w:hAnsi="Times New Roman" w:eastAsia="黑体" w:cs="Times New Roman"/>
          <w:kern w:val="0"/>
          <w:szCs w:val="28"/>
        </w:rPr>
        <w:t>3.8.1 总量控制因子</w:t>
      </w:r>
    </w:p>
    <w:p>
      <w:pPr>
        <w:tabs>
          <w:tab w:val="left" w:pos="420"/>
          <w:tab w:val="left" w:pos="870"/>
          <w:tab w:val="left" w:pos="3150"/>
        </w:tabs>
        <w:autoSpaceDE w:val="0"/>
        <w:autoSpaceDN w:val="0"/>
        <w:adjustRightInd w:val="0"/>
        <w:snapToGrid w:val="0"/>
        <w:spacing w:line="336" w:lineRule="auto"/>
        <w:ind w:firstLine="480"/>
        <w:textAlignment w:val="baseline"/>
        <w:rPr>
          <w:rFonts w:hint="default" w:ascii="Times New Roman" w:hAnsi="Times New Roman" w:eastAsia="宋体" w:cs="Times New Roman"/>
          <w:kern w:val="0"/>
          <w:sz w:val="24"/>
          <w:szCs w:val="18"/>
        </w:rPr>
      </w:pPr>
      <w:r>
        <w:rPr>
          <w:rFonts w:hint="default" w:ascii="Times New Roman" w:hAnsi="Times New Roman" w:eastAsia="宋体" w:cs="Times New Roman"/>
          <w:kern w:val="0"/>
          <w:sz w:val="24"/>
          <w:szCs w:val="18"/>
          <w:lang w:val="zh-CN"/>
        </w:rPr>
        <w:t>根据国家“十三五”对污染物总量控制的要求，结合本项目的特征污染物，确定本次项目新增污染物总量控制的有：水污染物：COD</w:t>
      </w:r>
      <w:r>
        <w:rPr>
          <w:rFonts w:hint="default" w:ascii="Times New Roman" w:hAnsi="Times New Roman" w:eastAsia="宋体" w:cs="Times New Roman"/>
          <w:kern w:val="0"/>
          <w:sz w:val="24"/>
          <w:szCs w:val="18"/>
        </w:rPr>
        <w:t>、氨氮</w:t>
      </w:r>
      <w:r>
        <w:rPr>
          <w:rFonts w:hint="default" w:ascii="Times New Roman" w:hAnsi="Times New Roman" w:eastAsia="宋体" w:cs="Times New Roman"/>
          <w:kern w:val="0"/>
          <w:sz w:val="24"/>
          <w:szCs w:val="18"/>
          <w:lang w:val="zh-CN"/>
        </w:rPr>
        <w:t>；</w:t>
      </w:r>
      <w:r>
        <w:rPr>
          <w:rFonts w:hint="default" w:ascii="Times New Roman" w:hAnsi="Times New Roman" w:eastAsia="宋体" w:cs="Times New Roman"/>
          <w:kern w:val="0"/>
          <w:sz w:val="24"/>
          <w:szCs w:val="18"/>
        </w:rPr>
        <w:t>废气污染物：氮氧化物、</w:t>
      </w:r>
      <w:r>
        <w:rPr>
          <w:rFonts w:hint="default" w:ascii="Times New Roman" w:hAnsi="Times New Roman" w:eastAsia="宋体" w:cs="Times New Roman"/>
          <w:kern w:val="0"/>
          <w:sz w:val="24"/>
          <w:szCs w:val="18"/>
          <w:lang w:val="zh-CN"/>
        </w:rPr>
        <w:t>VOC</w:t>
      </w:r>
      <w:r>
        <w:rPr>
          <w:rFonts w:hint="default" w:ascii="Times New Roman" w:hAnsi="Times New Roman" w:eastAsia="宋体" w:cs="Times New Roman"/>
          <w:kern w:val="0"/>
          <w:sz w:val="24"/>
          <w:szCs w:val="18"/>
          <w:vertAlign w:val="subscript"/>
          <w:lang w:val="zh-CN"/>
        </w:rPr>
        <w:t>S</w:t>
      </w:r>
      <w:r>
        <w:rPr>
          <w:rFonts w:hint="default" w:ascii="Times New Roman" w:hAnsi="Times New Roman" w:eastAsia="宋体" w:cs="Times New Roman"/>
          <w:kern w:val="0"/>
          <w:sz w:val="24"/>
          <w:szCs w:val="18"/>
          <w:lang w:val="zh-CN"/>
        </w:rPr>
        <w:t>（以</w:t>
      </w:r>
      <w:r>
        <w:rPr>
          <w:rFonts w:hint="default" w:ascii="Times New Roman" w:hAnsi="Times New Roman" w:eastAsia="宋体" w:cs="Times New Roman"/>
          <w:kern w:val="0"/>
          <w:sz w:val="24"/>
          <w:szCs w:val="18"/>
        </w:rPr>
        <w:t>非甲烷总烃计</w:t>
      </w:r>
      <w:r>
        <w:rPr>
          <w:rFonts w:hint="default" w:ascii="Times New Roman" w:hAnsi="Times New Roman" w:eastAsia="宋体" w:cs="Times New Roman"/>
          <w:kern w:val="0"/>
          <w:sz w:val="24"/>
          <w:szCs w:val="18"/>
          <w:lang w:val="zh-CN"/>
        </w:rPr>
        <w:t>）</w:t>
      </w:r>
      <w:r>
        <w:rPr>
          <w:rFonts w:hint="default" w:ascii="Times New Roman" w:hAnsi="Times New Roman" w:eastAsia="宋体" w:cs="Times New Roman"/>
          <w:kern w:val="0"/>
          <w:sz w:val="24"/>
          <w:szCs w:val="18"/>
        </w:rPr>
        <w:t>。</w:t>
      </w:r>
    </w:p>
    <w:p>
      <w:pPr>
        <w:tabs>
          <w:tab w:val="left" w:pos="420"/>
          <w:tab w:val="left" w:pos="870"/>
          <w:tab w:val="left" w:pos="3150"/>
        </w:tabs>
        <w:autoSpaceDE w:val="0"/>
        <w:autoSpaceDN w:val="0"/>
        <w:adjustRightInd w:val="0"/>
        <w:snapToGrid w:val="0"/>
        <w:spacing w:line="336" w:lineRule="auto"/>
        <w:ind w:firstLine="480"/>
        <w:textAlignment w:val="baseline"/>
        <w:rPr>
          <w:rFonts w:hint="default" w:ascii="Times New Roman" w:hAnsi="Times New Roman" w:eastAsia="宋体" w:cs="Times New Roman"/>
          <w:kern w:val="0"/>
          <w:sz w:val="24"/>
          <w:szCs w:val="18"/>
        </w:rPr>
      </w:pPr>
      <w:r>
        <w:rPr>
          <w:rFonts w:hint="default" w:ascii="Times New Roman" w:hAnsi="Times New Roman" w:eastAsia="宋体" w:cs="Times New Roman"/>
          <w:kern w:val="0"/>
          <w:sz w:val="24"/>
          <w:szCs w:val="28"/>
        </w:rPr>
        <w:t>根据《福建省环保厅关于进一步加快推进排污权有偿使用和交易工作的意见》（闽环发[2015]6号），排污权交易的水污染物仅核定工业废水部分，工业排污单位污水由集中式水污染治理单位处理的，初始排污权仍归该工业排污单位，核算其污染物绩效排放量时，水污染物排放浓度限值按行业排放标准和集中式水污染治理单位的排放标准，取小值确定。</w:t>
      </w:r>
    </w:p>
    <w:p>
      <w:pPr>
        <w:spacing w:line="360" w:lineRule="auto"/>
        <w:ind w:firstLine="0"/>
        <w:outlineLvl w:val="2"/>
        <w:rPr>
          <w:rFonts w:hint="default" w:ascii="Times New Roman" w:hAnsi="Times New Roman" w:eastAsia="黑体" w:cs="Times New Roman"/>
          <w:kern w:val="0"/>
          <w:szCs w:val="28"/>
        </w:rPr>
      </w:pPr>
      <w:r>
        <w:rPr>
          <w:rFonts w:hint="default" w:ascii="Times New Roman" w:hAnsi="Times New Roman" w:eastAsia="黑体" w:cs="Times New Roman"/>
          <w:kern w:val="0"/>
          <w:szCs w:val="28"/>
        </w:rPr>
        <w:t>3.8.2总量控制方案</w:t>
      </w:r>
    </w:p>
    <w:p>
      <w:pPr>
        <w:snapToGrid w:val="0"/>
        <w:spacing w:line="360" w:lineRule="auto"/>
        <w:ind w:firstLine="480"/>
        <w:rPr>
          <w:rFonts w:hint="default" w:ascii="Times New Roman" w:hAnsi="Times New Roman" w:eastAsia="宋体" w:cs="Times New Roman"/>
          <w:sz w:val="24"/>
          <w:szCs w:val="28"/>
        </w:rPr>
      </w:pPr>
      <w:r>
        <w:rPr>
          <w:rFonts w:hint="default" w:ascii="Times New Roman" w:hAnsi="Times New Roman" w:eastAsia="宋体" w:cs="Times New Roman"/>
          <w:sz w:val="24"/>
          <w:szCs w:val="28"/>
        </w:rPr>
        <w:t>根据工程分析，</w:t>
      </w:r>
      <w:r>
        <w:rPr>
          <w:rFonts w:hint="eastAsia" w:ascii="Times New Roman" w:hAnsi="Times New Roman" w:eastAsia="宋体" w:cs="Times New Roman"/>
          <w:sz w:val="24"/>
          <w:szCs w:val="28"/>
          <w:lang w:val="en-US" w:eastAsia="zh-CN"/>
        </w:rPr>
        <w:t>项目外排废水为去离子水站排水、循环水站间接冷却排水、初期雨水及生活污水，排放</w:t>
      </w:r>
      <w:r>
        <w:rPr>
          <w:rFonts w:hint="default" w:ascii="Times New Roman" w:hAnsi="Times New Roman" w:eastAsia="宋体" w:cs="Times New Roman"/>
          <w:sz w:val="24"/>
          <w:szCs w:val="28"/>
        </w:rPr>
        <w:t>总量控制指标见表3.8-1。</w:t>
      </w:r>
    </w:p>
    <w:p>
      <w:pPr>
        <w:snapToGrid w:val="0"/>
        <w:spacing w:line="240" w:lineRule="auto"/>
        <w:ind w:firstLine="0"/>
        <w:jc w:val="center"/>
        <w:outlineLvl w:val="4"/>
        <w:rPr>
          <w:rFonts w:hint="default" w:ascii="Times New Roman" w:hAnsi="Times New Roman" w:eastAsia="黑体" w:cs="Times New Roman"/>
          <w:kern w:val="0"/>
          <w:sz w:val="24"/>
          <w:szCs w:val="24"/>
        </w:rPr>
      </w:pPr>
      <w:r>
        <w:rPr>
          <w:rFonts w:hint="default" w:ascii="Times New Roman" w:hAnsi="Times New Roman" w:eastAsia="黑体" w:cs="Times New Roman"/>
          <w:kern w:val="0"/>
          <w:sz w:val="24"/>
          <w:szCs w:val="24"/>
        </w:rPr>
        <w:t>表3.8-1  总量控制指标</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40" w:type="dxa"/>
          <w:bottom w:w="0" w:type="dxa"/>
          <w:right w:w="40" w:type="dxa"/>
        </w:tblCellMar>
      </w:tblPr>
      <w:tblGrid>
        <w:gridCol w:w="838"/>
        <w:gridCol w:w="838"/>
        <w:gridCol w:w="1"/>
        <w:gridCol w:w="1203"/>
        <w:gridCol w:w="1"/>
        <w:gridCol w:w="768"/>
        <w:gridCol w:w="1"/>
        <w:gridCol w:w="1869"/>
        <w:gridCol w:w="1"/>
        <w:gridCol w:w="1861"/>
        <w:gridCol w:w="1"/>
        <w:gridCol w:w="1"/>
        <w:gridCol w:w="2042"/>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40" w:type="dxa"/>
            <w:bottom w:w="0" w:type="dxa"/>
            <w:right w:w="40" w:type="dxa"/>
          </w:tblCellMar>
        </w:tblPrEx>
        <w:trPr>
          <w:jc w:val="center"/>
        </w:trPr>
        <w:tc>
          <w:tcPr>
            <w:tcW w:w="1677" w:type="dxa"/>
            <w:gridSpan w:val="3"/>
            <w:noWrap w:val="0"/>
            <w:vAlign w:val="center"/>
          </w:tcPr>
          <w:p>
            <w:pPr>
              <w:widowControl/>
              <w:snapToGrid w:val="0"/>
              <w:spacing w:line="240" w:lineRule="auto"/>
              <w:ind w:firstLine="0"/>
              <w:jc w:val="center"/>
              <w:rPr>
                <w:rFonts w:hint="eastAsia" w:ascii="Times New Roman" w:hAnsi="Times New Roman" w:eastAsia="宋体" w:cs="Times New Roman"/>
                <w:kern w:val="0"/>
                <w:sz w:val="21"/>
                <w:szCs w:val="21"/>
                <w:lang w:eastAsia="zh-CN"/>
              </w:rPr>
            </w:pPr>
            <w:r>
              <w:rPr>
                <w:rFonts w:hint="eastAsia" w:ascii="Times New Roman" w:hAnsi="Times New Roman" w:eastAsia="宋体" w:cs="Times New Roman"/>
                <w:kern w:val="0"/>
                <w:sz w:val="21"/>
                <w:szCs w:val="21"/>
                <w:lang w:val="en-US" w:eastAsia="zh-CN"/>
              </w:rPr>
              <w:t>类别</w:t>
            </w:r>
          </w:p>
        </w:tc>
        <w:tc>
          <w:tcPr>
            <w:tcW w:w="1204" w:type="dxa"/>
            <w:gridSpan w:val="2"/>
            <w:noWrap w:val="0"/>
            <w:vAlign w:val="center"/>
          </w:tcPr>
          <w:p>
            <w:pPr>
              <w:widowControl/>
              <w:snapToGrid w:val="0"/>
              <w:spacing w:line="240" w:lineRule="auto"/>
              <w:ind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污染物名称</w:t>
            </w:r>
          </w:p>
        </w:tc>
        <w:tc>
          <w:tcPr>
            <w:tcW w:w="769" w:type="dxa"/>
            <w:gridSpan w:val="2"/>
            <w:noWrap w:val="0"/>
            <w:vAlign w:val="center"/>
          </w:tcPr>
          <w:p>
            <w:pPr>
              <w:widowControl/>
              <w:snapToGrid w:val="0"/>
              <w:spacing w:line="240" w:lineRule="auto"/>
              <w:ind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单位</w:t>
            </w:r>
          </w:p>
        </w:tc>
        <w:tc>
          <w:tcPr>
            <w:tcW w:w="1870" w:type="dxa"/>
            <w:gridSpan w:val="2"/>
            <w:tcBorders>
              <w:left w:val="single" w:color="auto" w:sz="4" w:space="0"/>
            </w:tcBorders>
            <w:noWrap w:val="0"/>
            <w:vAlign w:val="center"/>
          </w:tcPr>
          <w:p>
            <w:pPr>
              <w:widowControl/>
              <w:snapToGrid w:val="0"/>
              <w:spacing w:line="240" w:lineRule="auto"/>
              <w:ind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排放量</w:t>
            </w:r>
          </w:p>
        </w:tc>
        <w:tc>
          <w:tcPr>
            <w:tcW w:w="1862" w:type="dxa"/>
            <w:gridSpan w:val="2"/>
            <w:tcBorders>
              <w:left w:val="single" w:color="auto" w:sz="4" w:space="0"/>
            </w:tcBorders>
            <w:noWrap w:val="0"/>
            <w:vAlign w:val="center"/>
          </w:tcPr>
          <w:p>
            <w:pPr>
              <w:widowControl/>
              <w:snapToGrid w:val="0"/>
              <w:spacing w:line="240" w:lineRule="auto"/>
              <w:ind w:firstLine="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总量申报量</w:t>
            </w:r>
          </w:p>
        </w:tc>
        <w:tc>
          <w:tcPr>
            <w:tcW w:w="2043" w:type="dxa"/>
            <w:gridSpan w:val="2"/>
            <w:tcBorders>
              <w:left w:val="single" w:color="auto" w:sz="4" w:space="0"/>
            </w:tcBorders>
            <w:noWrap w:val="0"/>
            <w:vAlign w:val="center"/>
          </w:tcPr>
          <w:p>
            <w:pPr>
              <w:widowControl/>
              <w:snapToGrid w:val="0"/>
              <w:spacing w:line="240" w:lineRule="auto"/>
              <w:ind w:firstLine="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40" w:type="dxa"/>
            <w:bottom w:w="0" w:type="dxa"/>
            <w:right w:w="40" w:type="dxa"/>
          </w:tblCellMar>
        </w:tblPrEx>
        <w:trPr>
          <w:jc w:val="center"/>
        </w:trPr>
        <w:tc>
          <w:tcPr>
            <w:tcW w:w="838" w:type="dxa"/>
            <w:vMerge w:val="restart"/>
            <w:noWrap w:val="0"/>
            <w:vAlign w:val="center"/>
          </w:tcPr>
          <w:p>
            <w:pPr>
              <w:widowControl/>
              <w:snapToGrid w:val="0"/>
              <w:spacing w:line="240" w:lineRule="auto"/>
              <w:ind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废水污染物</w:t>
            </w:r>
            <w:r>
              <w:rPr>
                <w:rFonts w:hint="default" w:ascii="Times New Roman" w:hAnsi="Times New Roman" w:eastAsia="宋体" w:cs="Times New Roman"/>
                <w:kern w:val="0"/>
                <w:sz w:val="21"/>
                <w:szCs w:val="21"/>
                <w:vertAlign w:val="superscript"/>
              </w:rPr>
              <w:t>a</w:t>
            </w:r>
          </w:p>
        </w:tc>
        <w:tc>
          <w:tcPr>
            <w:tcW w:w="838" w:type="dxa"/>
            <w:vMerge w:val="restart"/>
            <w:noWrap w:val="0"/>
            <w:vAlign w:val="center"/>
          </w:tcPr>
          <w:p>
            <w:pPr>
              <w:widowControl/>
              <w:snapToGrid w:val="0"/>
              <w:spacing w:line="240" w:lineRule="auto"/>
              <w:ind w:firstLine="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工业废水</w:t>
            </w:r>
          </w:p>
        </w:tc>
        <w:tc>
          <w:tcPr>
            <w:tcW w:w="1204" w:type="dxa"/>
            <w:gridSpan w:val="2"/>
            <w:noWrap w:val="0"/>
            <w:vAlign w:val="center"/>
          </w:tcPr>
          <w:p>
            <w:pPr>
              <w:widowControl/>
              <w:snapToGrid w:val="0"/>
              <w:spacing w:line="240" w:lineRule="auto"/>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废(污)水量</w:t>
            </w:r>
          </w:p>
        </w:tc>
        <w:tc>
          <w:tcPr>
            <w:tcW w:w="769" w:type="dxa"/>
            <w:gridSpan w:val="2"/>
            <w:noWrap w:val="0"/>
            <w:vAlign w:val="center"/>
          </w:tcPr>
          <w:p>
            <w:pPr>
              <w:widowControl/>
              <w:snapToGrid w:val="0"/>
              <w:spacing w:line="240" w:lineRule="auto"/>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t/a</w:t>
            </w:r>
          </w:p>
        </w:tc>
        <w:tc>
          <w:tcPr>
            <w:tcW w:w="1870" w:type="dxa"/>
            <w:gridSpan w:val="2"/>
            <w:tcBorders>
              <w:left w:val="single" w:color="auto" w:sz="4" w:space="0"/>
            </w:tcBorders>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bidi="ar"/>
              </w:rPr>
              <w:t>33780</w:t>
            </w:r>
          </w:p>
        </w:tc>
        <w:tc>
          <w:tcPr>
            <w:tcW w:w="1862" w:type="dxa"/>
            <w:gridSpan w:val="2"/>
            <w:tcBorders>
              <w:left w:val="single" w:color="auto" w:sz="4" w:space="0"/>
            </w:tcBorders>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w:t>
            </w:r>
          </w:p>
        </w:tc>
        <w:tc>
          <w:tcPr>
            <w:tcW w:w="2044" w:type="dxa"/>
            <w:gridSpan w:val="3"/>
            <w:vMerge w:val="restart"/>
            <w:tcBorders>
              <w:left w:val="single" w:color="auto" w:sz="4" w:space="0"/>
            </w:tcBorders>
            <w:noWrap w:val="0"/>
            <w:vAlign w:val="center"/>
          </w:tcPr>
          <w:p>
            <w:pPr>
              <w:widowControl/>
              <w:spacing w:line="240" w:lineRule="auto"/>
              <w:ind w:firstLine="0"/>
              <w:jc w:val="center"/>
              <w:textAlignment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为去离子水站排水、循环水站间接冷却排水、初期雨水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40" w:type="dxa"/>
            <w:bottom w:w="0" w:type="dxa"/>
            <w:right w:w="40" w:type="dxa"/>
          </w:tblCellMar>
        </w:tblPrEx>
        <w:trPr>
          <w:jc w:val="center"/>
        </w:trPr>
        <w:tc>
          <w:tcPr>
            <w:vMerge w:val="continue"/>
            <w:noWrap w:val="0"/>
          </w:tcPr>
          <w:p/>
        </w:tc>
        <w:tc>
          <w:tcPr>
            <w:vMerge w:val="continue"/>
            <w:noWrap w:val="0"/>
          </w:tcPr>
          <w:p/>
        </w:tc>
        <w:tc>
          <w:tcPr>
            <w:tcW w:w="1204" w:type="dxa"/>
            <w:gridSpan w:val="2"/>
            <w:noWrap w:val="0"/>
            <w:vAlign w:val="center"/>
          </w:tcPr>
          <w:p>
            <w:pPr>
              <w:widowControl/>
              <w:snapToGrid w:val="0"/>
              <w:spacing w:line="240" w:lineRule="auto"/>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COD</w:t>
            </w:r>
          </w:p>
        </w:tc>
        <w:tc>
          <w:tcPr>
            <w:tcW w:w="769" w:type="dxa"/>
            <w:gridSpan w:val="2"/>
            <w:noWrap w:val="0"/>
            <w:vAlign w:val="center"/>
          </w:tcPr>
          <w:p>
            <w:pPr>
              <w:widowControl/>
              <w:snapToGrid w:val="0"/>
              <w:spacing w:line="240" w:lineRule="auto"/>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t/a</w:t>
            </w:r>
          </w:p>
        </w:tc>
        <w:tc>
          <w:tcPr>
            <w:tcW w:w="1870" w:type="dxa"/>
            <w:gridSpan w:val="2"/>
            <w:tcBorders>
              <w:left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1.814</w:t>
            </w:r>
          </w:p>
        </w:tc>
        <w:tc>
          <w:tcPr>
            <w:tcW w:w="1862" w:type="dxa"/>
            <w:gridSpan w:val="2"/>
            <w:tcBorders>
              <w:left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+1.689</w:t>
            </w:r>
          </w:p>
        </w:tc>
        <w:tc>
          <w:tcPr>
            <w:gridSpan w:val="3"/>
            <w:vMerge w:val="continue"/>
            <w:tcBorders>
              <w:left w:val="single" w:color="auto" w:sz="4" w:space="0"/>
            </w:tcBorders>
            <w:noWrap w:val="0"/>
          </w:tc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40" w:type="dxa"/>
            <w:bottom w:w="0" w:type="dxa"/>
            <w:right w:w="40" w:type="dxa"/>
          </w:tblCellMar>
        </w:tblPrEx>
        <w:trPr>
          <w:jc w:val="center"/>
        </w:trPr>
        <w:tc>
          <w:tcPr>
            <w:vMerge w:val="continue"/>
            <w:noWrap w:val="0"/>
          </w:tcPr>
          <w:p/>
        </w:tc>
        <w:tc>
          <w:tcPr>
            <w:vMerge w:val="continue"/>
            <w:noWrap w:val="0"/>
          </w:tcPr>
          <w:p/>
        </w:tc>
        <w:tc>
          <w:tcPr>
            <w:tcW w:w="1204" w:type="dxa"/>
            <w:gridSpan w:val="2"/>
            <w:noWrap w:val="0"/>
            <w:vAlign w:val="center"/>
          </w:tcPr>
          <w:p>
            <w:pPr>
              <w:widowControl/>
              <w:snapToGrid w:val="0"/>
              <w:spacing w:line="240" w:lineRule="auto"/>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氨氮</w:t>
            </w:r>
          </w:p>
        </w:tc>
        <w:tc>
          <w:tcPr>
            <w:tcW w:w="769" w:type="dxa"/>
            <w:gridSpan w:val="2"/>
            <w:noWrap w:val="0"/>
            <w:vAlign w:val="center"/>
          </w:tcPr>
          <w:p>
            <w:pPr>
              <w:widowControl/>
              <w:snapToGrid w:val="0"/>
              <w:spacing w:line="240" w:lineRule="auto"/>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t/a</w:t>
            </w:r>
          </w:p>
        </w:tc>
        <w:tc>
          <w:tcPr>
            <w:tcW w:w="1870" w:type="dxa"/>
            <w:gridSpan w:val="2"/>
            <w:tcBorders>
              <w:left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0.181</w:t>
            </w:r>
          </w:p>
        </w:tc>
        <w:tc>
          <w:tcPr>
            <w:tcW w:w="1862" w:type="dxa"/>
            <w:gridSpan w:val="2"/>
            <w:tcBorders>
              <w:left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+0.169</w:t>
            </w:r>
          </w:p>
        </w:tc>
        <w:tc>
          <w:tcPr>
            <w:gridSpan w:val="3"/>
            <w:vMerge w:val="continue"/>
            <w:tcBorders>
              <w:left w:val="single" w:color="auto" w:sz="4" w:space="0"/>
            </w:tcBorders>
            <w:noWrap w:val="0"/>
          </w:tc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40" w:type="dxa"/>
            <w:bottom w:w="0" w:type="dxa"/>
            <w:right w:w="40" w:type="dxa"/>
          </w:tblCellMar>
        </w:tblPrEx>
        <w:trPr>
          <w:jc w:val="center"/>
        </w:trPr>
        <w:tc>
          <w:tcPr>
            <w:vMerge w:val="continue"/>
            <w:noWrap w:val="0"/>
          </w:tcPr>
          <w:p/>
        </w:tc>
        <w:tc>
          <w:tcPr>
            <w:tcW w:w="838" w:type="dxa"/>
            <w:vMerge w:val="restart"/>
            <w:noWrap w:val="0"/>
            <w:vAlign w:val="center"/>
          </w:tcPr>
          <w:p>
            <w:pPr>
              <w:widowControl/>
              <w:snapToGrid w:val="0"/>
              <w:spacing w:line="240" w:lineRule="auto"/>
              <w:ind w:firstLine="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生活污水</w:t>
            </w:r>
          </w:p>
        </w:tc>
        <w:tc>
          <w:tcPr>
            <w:tcW w:w="1204" w:type="dxa"/>
            <w:gridSpan w:val="2"/>
            <w:noWrap w:val="0"/>
            <w:vAlign w:val="center"/>
          </w:tcPr>
          <w:p>
            <w:pPr>
              <w:widowControl/>
              <w:snapToGrid w:val="0"/>
              <w:spacing w:line="240" w:lineRule="auto"/>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废(污)水量</w:t>
            </w:r>
          </w:p>
        </w:tc>
        <w:tc>
          <w:tcPr>
            <w:tcW w:w="769" w:type="dxa"/>
            <w:gridSpan w:val="2"/>
            <w:noWrap w:val="0"/>
            <w:vAlign w:val="center"/>
          </w:tcPr>
          <w:p>
            <w:pPr>
              <w:widowControl/>
              <w:snapToGrid w:val="0"/>
              <w:spacing w:line="240" w:lineRule="auto"/>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t/a</w:t>
            </w:r>
          </w:p>
        </w:tc>
        <w:tc>
          <w:tcPr>
            <w:tcW w:w="1870" w:type="dxa"/>
            <w:gridSpan w:val="2"/>
            <w:tcBorders>
              <w:left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2496</w:t>
            </w:r>
          </w:p>
        </w:tc>
        <w:tc>
          <w:tcPr>
            <w:tcW w:w="1862" w:type="dxa"/>
            <w:gridSpan w:val="2"/>
            <w:tcBorders>
              <w:left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2044" w:type="dxa"/>
            <w:gridSpan w:val="3"/>
            <w:tcBorders>
              <w:left w:val="single" w:color="auto" w:sz="4" w:space="0"/>
            </w:tcBorders>
            <w:noWrap w:val="0"/>
            <w:vAlign w:val="center"/>
          </w:tcPr>
          <w:p>
            <w:pPr>
              <w:spacing w:line="240" w:lineRule="auto"/>
              <w:ind w:firstLine="0"/>
              <w:jc w:val="center"/>
              <w:rPr>
                <w:rFonts w:hint="eastAsia" w:ascii="Times New Roman" w:hAnsi="Times New Roman" w:eastAsia="宋体"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40" w:type="dxa"/>
            <w:bottom w:w="0" w:type="dxa"/>
            <w:right w:w="40" w:type="dxa"/>
          </w:tblCellMar>
        </w:tblPrEx>
        <w:trPr>
          <w:jc w:val="center"/>
        </w:trPr>
        <w:tc>
          <w:tcPr>
            <w:vMerge w:val="continue"/>
            <w:noWrap w:val="0"/>
          </w:tcPr>
          <w:p/>
        </w:tc>
        <w:tc>
          <w:tcPr>
            <w:vMerge w:val="continue"/>
            <w:noWrap w:val="0"/>
          </w:tcPr>
          <w:p/>
        </w:tc>
        <w:tc>
          <w:tcPr>
            <w:tcW w:w="1204" w:type="dxa"/>
            <w:gridSpan w:val="2"/>
            <w:noWrap w:val="0"/>
            <w:vAlign w:val="center"/>
          </w:tcPr>
          <w:p>
            <w:pPr>
              <w:widowControl/>
              <w:snapToGrid w:val="0"/>
              <w:spacing w:line="240" w:lineRule="auto"/>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COD</w:t>
            </w:r>
          </w:p>
        </w:tc>
        <w:tc>
          <w:tcPr>
            <w:tcW w:w="769" w:type="dxa"/>
            <w:gridSpan w:val="2"/>
            <w:noWrap w:val="0"/>
            <w:vAlign w:val="center"/>
          </w:tcPr>
          <w:p>
            <w:pPr>
              <w:widowControl/>
              <w:snapToGrid w:val="0"/>
              <w:spacing w:line="240" w:lineRule="auto"/>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t/a</w:t>
            </w:r>
          </w:p>
        </w:tc>
        <w:tc>
          <w:tcPr>
            <w:tcW w:w="1870" w:type="dxa"/>
            <w:gridSpan w:val="2"/>
            <w:tcBorders>
              <w:left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0.125</w:t>
            </w:r>
          </w:p>
        </w:tc>
        <w:tc>
          <w:tcPr>
            <w:tcW w:w="1862" w:type="dxa"/>
            <w:gridSpan w:val="2"/>
            <w:tcBorders>
              <w:left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2044" w:type="dxa"/>
            <w:gridSpan w:val="3"/>
            <w:tcBorders>
              <w:left w:val="single" w:color="auto" w:sz="4" w:space="0"/>
            </w:tcBorders>
            <w:noWrap w:val="0"/>
            <w:vAlign w:val="center"/>
          </w:tcPr>
          <w:p>
            <w:pPr>
              <w:spacing w:line="240" w:lineRule="auto"/>
              <w:ind w:firstLine="0"/>
              <w:jc w:val="center"/>
              <w:rPr>
                <w:rFonts w:hint="eastAsia" w:ascii="Times New Roman" w:hAnsi="Times New Roman" w:eastAsia="宋体"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40" w:type="dxa"/>
            <w:bottom w:w="0" w:type="dxa"/>
            <w:right w:w="40" w:type="dxa"/>
          </w:tblCellMar>
        </w:tblPrEx>
        <w:trPr>
          <w:jc w:val="center"/>
        </w:trPr>
        <w:tc>
          <w:tcPr>
            <w:vMerge w:val="continue"/>
            <w:noWrap w:val="0"/>
          </w:tcPr>
          <w:p/>
        </w:tc>
        <w:tc>
          <w:tcPr>
            <w:vMerge w:val="continue"/>
            <w:noWrap w:val="0"/>
          </w:tcPr>
          <w:p/>
        </w:tc>
        <w:tc>
          <w:tcPr>
            <w:tcW w:w="1204" w:type="dxa"/>
            <w:gridSpan w:val="2"/>
            <w:noWrap w:val="0"/>
            <w:vAlign w:val="center"/>
          </w:tcPr>
          <w:p>
            <w:pPr>
              <w:widowControl/>
              <w:snapToGrid w:val="0"/>
              <w:spacing w:line="240" w:lineRule="auto"/>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氨氮</w:t>
            </w:r>
          </w:p>
        </w:tc>
        <w:tc>
          <w:tcPr>
            <w:tcW w:w="769" w:type="dxa"/>
            <w:gridSpan w:val="2"/>
            <w:noWrap w:val="0"/>
            <w:vAlign w:val="center"/>
          </w:tcPr>
          <w:p>
            <w:pPr>
              <w:widowControl/>
              <w:snapToGrid w:val="0"/>
              <w:spacing w:line="240" w:lineRule="auto"/>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t/a</w:t>
            </w:r>
          </w:p>
        </w:tc>
        <w:tc>
          <w:tcPr>
            <w:tcW w:w="1870" w:type="dxa"/>
            <w:gridSpan w:val="2"/>
            <w:tcBorders>
              <w:left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0.012</w:t>
            </w:r>
          </w:p>
        </w:tc>
        <w:tc>
          <w:tcPr>
            <w:tcW w:w="1862" w:type="dxa"/>
            <w:gridSpan w:val="2"/>
            <w:tcBorders>
              <w:left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2044" w:type="dxa"/>
            <w:gridSpan w:val="3"/>
            <w:tcBorders>
              <w:left w:val="single" w:color="auto" w:sz="4" w:space="0"/>
            </w:tcBorders>
            <w:noWrap w:val="0"/>
            <w:vAlign w:val="center"/>
          </w:tcPr>
          <w:p>
            <w:pPr>
              <w:spacing w:line="240" w:lineRule="auto"/>
              <w:ind w:firstLine="0"/>
              <w:jc w:val="center"/>
              <w:rPr>
                <w:rFonts w:hint="eastAsia" w:ascii="Times New Roman" w:hAnsi="Times New Roman" w:eastAsia="宋体"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40" w:type="dxa"/>
            <w:bottom w:w="0" w:type="dxa"/>
            <w:right w:w="40" w:type="dxa"/>
          </w:tblCellMar>
        </w:tblPrEx>
        <w:trPr>
          <w:jc w:val="center"/>
        </w:trPr>
        <w:tc>
          <w:tcPr>
            <w:tcW w:w="1677" w:type="dxa"/>
            <w:gridSpan w:val="3"/>
            <w:noWrap w:val="0"/>
            <w:vAlign w:val="center"/>
          </w:tcPr>
          <w:p>
            <w:pPr>
              <w:widowControl/>
              <w:snapToGrid w:val="0"/>
              <w:spacing w:line="240" w:lineRule="auto"/>
              <w:ind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废气污染物</w:t>
            </w:r>
          </w:p>
        </w:tc>
        <w:tc>
          <w:tcPr>
            <w:tcW w:w="1204" w:type="dxa"/>
            <w:gridSpan w:val="2"/>
            <w:noWrap w:val="0"/>
            <w:vAlign w:val="center"/>
          </w:tcPr>
          <w:p>
            <w:pPr>
              <w:widowControl/>
              <w:snapToGrid w:val="0"/>
              <w:spacing w:line="240" w:lineRule="auto"/>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氮氧化物</w:t>
            </w:r>
          </w:p>
        </w:tc>
        <w:tc>
          <w:tcPr>
            <w:tcW w:w="769" w:type="dxa"/>
            <w:gridSpan w:val="2"/>
            <w:noWrap w:val="0"/>
            <w:vAlign w:val="center"/>
          </w:tcPr>
          <w:p>
            <w:pPr>
              <w:widowControl/>
              <w:snapToGrid w:val="0"/>
              <w:spacing w:line="240" w:lineRule="auto"/>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t/a</w:t>
            </w:r>
          </w:p>
        </w:tc>
        <w:tc>
          <w:tcPr>
            <w:tcW w:w="1870" w:type="dxa"/>
            <w:gridSpan w:val="2"/>
            <w:tcBorders>
              <w:left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2.415</w:t>
            </w:r>
          </w:p>
        </w:tc>
        <w:tc>
          <w:tcPr>
            <w:tcW w:w="1862" w:type="dxa"/>
            <w:gridSpan w:val="2"/>
            <w:tcBorders>
              <w:left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+2.415</w:t>
            </w:r>
          </w:p>
        </w:tc>
        <w:tc>
          <w:tcPr>
            <w:tcW w:w="2043" w:type="dxa"/>
            <w:gridSpan w:val="2"/>
            <w:tcBorders>
              <w:left w:val="single" w:color="auto" w:sz="4" w:space="0"/>
            </w:tcBorders>
            <w:noWrap w:val="0"/>
            <w:vAlign w:val="center"/>
          </w:tcPr>
          <w:p>
            <w:pPr>
              <w:spacing w:line="240" w:lineRule="auto"/>
              <w:ind w:firstLine="0"/>
              <w:jc w:val="center"/>
              <w:rPr>
                <w:rFonts w:hint="eastAsia" w:ascii="Times New Roman" w:hAnsi="Times New Roman" w:eastAsia="宋体"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40" w:type="dxa"/>
            <w:bottom w:w="0" w:type="dxa"/>
            <w:right w:w="40" w:type="dxa"/>
          </w:tblCellMar>
        </w:tblPrEx>
        <w:trPr>
          <w:jc w:val="center"/>
        </w:trPr>
        <w:tc>
          <w:tcPr>
            <w:tcW w:w="7383" w:type="dxa"/>
            <w:gridSpan w:val="12"/>
            <w:noWrap w:val="0"/>
            <w:vAlign w:val="center"/>
          </w:tcPr>
          <w:p>
            <w:pPr>
              <w:spacing w:line="240" w:lineRule="auto"/>
              <w:ind w:firstLine="0"/>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a：江阴污水处理厂尾水COD排放限值为50mg/L，氨氮排放限值为5mg/L</w:t>
            </w:r>
          </w:p>
        </w:tc>
        <w:tc>
          <w:tcPr>
            <w:tcW w:w="2042" w:type="dxa"/>
            <w:noWrap w:val="0"/>
            <w:vAlign w:val="center"/>
          </w:tcPr>
          <w:p>
            <w:pPr>
              <w:spacing w:line="240" w:lineRule="auto"/>
              <w:ind w:firstLine="0"/>
              <w:rPr>
                <w:rFonts w:hint="default" w:ascii="Times New Roman" w:hAnsi="Times New Roman" w:eastAsia="宋体" w:cs="Times New Roman"/>
                <w:kern w:val="0"/>
                <w:sz w:val="21"/>
                <w:szCs w:val="21"/>
              </w:rPr>
            </w:pPr>
          </w:p>
        </w:tc>
      </w:tr>
    </w:tbl>
    <w:p>
      <w:pPr>
        <w:snapToGrid w:val="0"/>
        <w:spacing w:line="360" w:lineRule="auto"/>
        <w:ind w:firstLine="480"/>
        <w:rPr>
          <w:rFonts w:hint="default" w:ascii="Times New Roman" w:hAnsi="Times New Roman" w:eastAsia="宋体" w:cs="Times New Roman"/>
          <w:color w:val="000000"/>
          <w:sz w:val="24"/>
          <w:szCs w:val="28"/>
        </w:rPr>
      </w:pPr>
      <w:r>
        <w:rPr>
          <w:rFonts w:hint="eastAsia" w:ascii="Times New Roman" w:hAnsi="Times New Roman" w:eastAsia="宋体" w:cs="Times New Roman"/>
          <w:sz w:val="24"/>
          <w:szCs w:val="28"/>
          <w:lang w:val="en-US" w:eastAsia="zh-CN"/>
        </w:rPr>
        <w:t>项目循环水站排水与生活污水未混合排放，</w:t>
      </w:r>
      <w:r>
        <w:rPr>
          <w:rFonts w:hint="default" w:ascii="Times New Roman" w:hAnsi="Times New Roman" w:eastAsia="宋体" w:cs="Times New Roman"/>
          <w:sz w:val="24"/>
          <w:szCs w:val="28"/>
        </w:rPr>
        <w:t>本项目</w:t>
      </w:r>
      <w:r>
        <w:rPr>
          <w:rFonts w:hint="eastAsia" w:ascii="Times New Roman" w:hAnsi="Times New Roman" w:eastAsia="宋体" w:cs="Times New Roman"/>
          <w:sz w:val="24"/>
          <w:szCs w:val="28"/>
          <w:lang w:val="en-US" w:eastAsia="zh-CN"/>
        </w:rPr>
        <w:t>仅核算工业废水排放总量，</w:t>
      </w:r>
      <w:r>
        <w:rPr>
          <w:rFonts w:hint="default" w:ascii="Times New Roman" w:hAnsi="Times New Roman" w:eastAsia="宋体" w:cs="Times New Roman"/>
          <w:sz w:val="24"/>
          <w:szCs w:val="28"/>
        </w:rPr>
        <w:t>项目所需申购的</w:t>
      </w:r>
      <w:r>
        <w:rPr>
          <w:rFonts w:hint="default" w:ascii="Times New Roman" w:hAnsi="Times New Roman" w:eastAsia="宋体" w:cs="Times New Roman"/>
          <w:sz w:val="24"/>
          <w:szCs w:val="18"/>
        </w:rPr>
        <w:t>COD、氨氮、氮氧化物</w:t>
      </w:r>
      <w:r>
        <w:rPr>
          <w:rFonts w:hint="default" w:ascii="Times New Roman" w:hAnsi="Times New Roman" w:eastAsia="宋体" w:cs="Times New Roman"/>
          <w:sz w:val="24"/>
          <w:szCs w:val="28"/>
        </w:rPr>
        <w:t>排放总量指标应通过排污权交易获得的。建设单位应尽快自行向排污权交易机构申购所需总量指标，并按照环保行政主管部门出具的排污权交易来源限制条件进行</w:t>
      </w:r>
      <w:r>
        <w:rPr>
          <w:rFonts w:hint="default" w:ascii="Times New Roman" w:hAnsi="Times New Roman" w:eastAsia="宋体" w:cs="Times New Roman"/>
          <w:color w:val="000000"/>
          <w:sz w:val="24"/>
          <w:szCs w:val="28"/>
        </w:rPr>
        <w:t>交易。</w:t>
      </w:r>
    </w:p>
    <w:p>
      <w:pPr>
        <w:snapToGrid w:val="0"/>
        <w:spacing w:line="360" w:lineRule="auto"/>
        <w:ind w:firstLine="480"/>
        <w:rPr>
          <w:rFonts w:hint="default" w:ascii="Times New Roman" w:hAnsi="Times New Roman" w:eastAsia="宋体" w:cs="Times New Roman"/>
          <w:color w:val="auto"/>
          <w:sz w:val="24"/>
          <w:szCs w:val="28"/>
        </w:rPr>
      </w:pPr>
      <w:r>
        <w:rPr>
          <w:rFonts w:hint="default" w:ascii="Times New Roman" w:hAnsi="Times New Roman" w:eastAsia="宋体" w:cs="Times New Roman"/>
          <w:color w:val="auto"/>
          <w:sz w:val="24"/>
          <w:szCs w:val="28"/>
        </w:rPr>
        <w:t>根据《福州市环境保护局关于印发福州市大气污染联防联控联治工作方案的通知》（榕环保综[2018]386号），挥发性有机物排放实行区域内倍量替代，项目为涉挥发性有机物排放项目，VOCs排放量为</w:t>
      </w:r>
      <w:r>
        <w:rPr>
          <w:rFonts w:hint="eastAsia" w:ascii="Times New Roman" w:hAnsi="Times New Roman" w:eastAsia="宋体" w:cs="Times New Roman"/>
          <w:color w:val="auto"/>
          <w:sz w:val="24"/>
          <w:szCs w:val="28"/>
          <w:lang w:val="en-US" w:eastAsia="zh-CN"/>
        </w:rPr>
        <w:t>1.924</w:t>
      </w:r>
      <w:r>
        <w:rPr>
          <w:rFonts w:hint="default" w:ascii="Times New Roman" w:hAnsi="Times New Roman" w:eastAsia="宋体" w:cs="Times New Roman"/>
          <w:color w:val="auto"/>
          <w:sz w:val="24"/>
          <w:szCs w:val="28"/>
        </w:rPr>
        <w:t>t/a，应从源头加强控制，使用低（无）挥发性有机物含量的原辅材料，加强废气收集、安装高效治理设施。</w:t>
      </w:r>
    </w:p>
    <w:p>
      <w:pPr>
        <w:keepNext/>
        <w:keepLines/>
        <w:spacing w:line="360" w:lineRule="auto"/>
        <w:ind w:firstLine="0"/>
        <w:outlineLvl w:val="1"/>
        <w:rPr>
          <w:rFonts w:hint="default" w:ascii="Times New Roman" w:hAnsi="Times New Roman" w:eastAsia="黑体" w:cs="Times New Roman"/>
          <w:bCs/>
          <w:sz w:val="32"/>
          <w:szCs w:val="30"/>
        </w:rPr>
      </w:pPr>
      <w:bookmarkStart w:id="197" w:name="_Toc10183"/>
      <w:r>
        <w:rPr>
          <w:rFonts w:hint="default" w:ascii="Times New Roman" w:hAnsi="Times New Roman" w:eastAsia="黑体" w:cs="Times New Roman"/>
          <w:bCs/>
          <w:sz w:val="32"/>
          <w:szCs w:val="30"/>
        </w:rPr>
        <w:t>3.</w:t>
      </w:r>
      <w:r>
        <w:rPr>
          <w:rFonts w:hint="eastAsia" w:ascii="Times New Roman" w:hAnsi="Times New Roman" w:eastAsia="黑体" w:cs="Times New Roman"/>
          <w:bCs/>
          <w:sz w:val="32"/>
          <w:szCs w:val="30"/>
          <w:lang w:val="en-US" w:eastAsia="zh-CN"/>
        </w:rPr>
        <w:t>9清洁生产</w:t>
      </w:r>
      <w:r>
        <w:rPr>
          <w:rFonts w:hint="default" w:ascii="Times New Roman" w:hAnsi="Times New Roman" w:eastAsia="黑体" w:cs="Times New Roman"/>
          <w:bCs/>
          <w:sz w:val="32"/>
          <w:szCs w:val="30"/>
        </w:rPr>
        <w:t>分析</w:t>
      </w:r>
      <w:bookmarkEnd w:id="197"/>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本项目采用自主研发的技术，以</w:t>
      </w:r>
      <w:r>
        <w:rPr>
          <w:rFonts w:hint="eastAsia" w:ascii="Times New Roman" w:hAnsi="Times New Roman" w:eastAsia="宋体" w:cs="Times New Roman"/>
          <w:color w:val="000000"/>
          <w:sz w:val="24"/>
          <w:szCs w:val="28"/>
          <w:lang w:val="en-US" w:eastAsia="zh-CN"/>
        </w:rPr>
        <w:t>硝酸、银</w:t>
      </w:r>
      <w:r>
        <w:rPr>
          <w:rFonts w:hint="default" w:ascii="Times New Roman" w:hAnsi="Times New Roman" w:eastAsia="宋体" w:cs="Times New Roman"/>
          <w:color w:val="000000"/>
          <w:sz w:val="24"/>
          <w:szCs w:val="28"/>
        </w:rPr>
        <w:t>为原料，生产</w:t>
      </w:r>
      <w:r>
        <w:rPr>
          <w:rFonts w:hint="eastAsia" w:ascii="Times New Roman" w:hAnsi="Times New Roman" w:eastAsia="宋体" w:cs="Times New Roman"/>
          <w:color w:val="000000"/>
          <w:sz w:val="24"/>
          <w:szCs w:val="28"/>
          <w:lang w:val="en-US" w:eastAsia="zh-CN"/>
        </w:rPr>
        <w:t>硝酸银和超细银粉</w:t>
      </w:r>
      <w:r>
        <w:rPr>
          <w:rFonts w:hint="default" w:ascii="Times New Roman" w:hAnsi="Times New Roman" w:eastAsia="宋体" w:cs="Times New Roman"/>
          <w:color w:val="000000"/>
          <w:sz w:val="24"/>
          <w:szCs w:val="28"/>
        </w:rPr>
        <w:t>，国家尚未发布相关的清洁生产指标。本评价根据国家有关政策和清洁生产基本理论，从原辅材料、生产工艺、污染物的控制等方面进行分析，反映企业的清洁生产水平。</w:t>
      </w:r>
    </w:p>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lang w:val="en-GB"/>
        </w:rPr>
      </w:pPr>
      <w:r>
        <w:rPr>
          <w:rFonts w:hint="default" w:ascii="Times New Roman" w:hAnsi="Times New Roman" w:eastAsia="黑体" w:cs="Times New Roman"/>
          <w:kern w:val="0"/>
          <w:sz w:val="30"/>
          <w:szCs w:val="30"/>
          <w:lang w:val="en-GB"/>
        </w:rPr>
        <w:t>3.</w:t>
      </w:r>
      <w:r>
        <w:rPr>
          <w:rFonts w:hint="eastAsia" w:ascii="Times New Roman" w:hAnsi="Times New Roman" w:eastAsia="黑体" w:cs="Times New Roman"/>
          <w:kern w:val="0"/>
          <w:sz w:val="30"/>
          <w:szCs w:val="30"/>
          <w:lang w:val="en-US" w:eastAsia="zh-CN"/>
        </w:rPr>
        <w:t>9</w:t>
      </w:r>
      <w:r>
        <w:rPr>
          <w:rFonts w:hint="default" w:ascii="Times New Roman" w:hAnsi="Times New Roman" w:eastAsia="黑体" w:cs="Times New Roman"/>
          <w:kern w:val="0"/>
          <w:sz w:val="30"/>
          <w:szCs w:val="30"/>
          <w:lang w:val="en-GB"/>
        </w:rPr>
        <w:t>.1</w:t>
      </w:r>
      <w:r>
        <w:rPr>
          <w:rFonts w:hint="default" w:ascii="Times New Roman" w:hAnsi="Times New Roman" w:eastAsia="黑体" w:cs="Times New Roman"/>
          <w:kern w:val="0"/>
          <w:sz w:val="30"/>
          <w:szCs w:val="30"/>
          <w:lang w:val="en-GB" w:eastAsia="zh-CN"/>
        </w:rPr>
        <w:t>原材料的清洁性分析</w:t>
      </w:r>
    </w:p>
    <w:p>
      <w:pPr>
        <w:snapToGrid w:val="0"/>
        <w:spacing w:line="360" w:lineRule="auto"/>
        <w:ind w:firstLine="480"/>
        <w:rPr>
          <w:rFonts w:hint="eastAsia" w:ascii="Times New Roman" w:hAnsi="Times New Roman" w:eastAsia="宋体" w:cs="Times New Roman"/>
          <w:color w:val="000000"/>
          <w:sz w:val="24"/>
          <w:szCs w:val="28"/>
        </w:rPr>
      </w:pPr>
      <w:r>
        <w:rPr>
          <w:rFonts w:hint="eastAsia" w:ascii="Times New Roman" w:hAnsi="Times New Roman" w:eastAsia="宋体" w:cs="Times New Roman"/>
          <w:color w:val="000000"/>
          <w:sz w:val="24"/>
          <w:szCs w:val="28"/>
        </w:rPr>
        <w:t>原辅材料本身所具有的特性，在一定程度上决定了产品对环境的危害程度，因而原辅材料的选择是清洁生产必须考虑的一个方面。本项目原料包括：</w:t>
      </w:r>
      <w:r>
        <w:rPr>
          <w:rFonts w:hint="eastAsia" w:ascii="Times New Roman" w:hAnsi="Times New Roman" w:eastAsia="宋体" w:cs="Times New Roman"/>
          <w:color w:val="000000"/>
          <w:sz w:val="24"/>
          <w:szCs w:val="28"/>
          <w:lang w:val="en-US" w:eastAsia="zh-CN"/>
        </w:rPr>
        <w:t>工业级硝酸、银板、双氧水、维生素C、甲醛、氢氧化钠、乙醇、氨水等</w:t>
      </w:r>
      <w:r>
        <w:rPr>
          <w:rFonts w:hint="eastAsia" w:ascii="Times New Roman" w:hAnsi="Times New Roman" w:eastAsia="宋体" w:cs="Times New Roman"/>
          <w:color w:val="000000"/>
          <w:sz w:val="24"/>
          <w:szCs w:val="28"/>
        </w:rPr>
        <w:t>，</w:t>
      </w:r>
      <w:r>
        <w:rPr>
          <w:rFonts w:hint="eastAsia" w:ascii="Times New Roman" w:hAnsi="Times New Roman" w:eastAsia="宋体" w:cs="Times New Roman"/>
          <w:color w:val="000000"/>
          <w:sz w:val="24"/>
          <w:szCs w:val="28"/>
          <w:lang w:val="en-US" w:eastAsia="zh-CN"/>
        </w:rPr>
        <w:t>不含剧毒原料</w:t>
      </w:r>
      <w:r>
        <w:rPr>
          <w:rFonts w:hint="eastAsia" w:ascii="Times New Roman" w:hAnsi="Times New Roman" w:eastAsia="宋体" w:cs="Times New Roman"/>
          <w:color w:val="000000"/>
          <w:sz w:val="24"/>
          <w:szCs w:val="28"/>
        </w:rPr>
        <w:t>。</w:t>
      </w:r>
      <w:r>
        <w:rPr>
          <w:rFonts w:hint="eastAsia" w:ascii="Times New Roman" w:hAnsi="Times New Roman" w:eastAsia="宋体" w:cs="Times New Roman"/>
          <w:color w:val="000000"/>
          <w:sz w:val="24"/>
          <w:szCs w:val="28"/>
          <w:lang w:val="en-US" w:eastAsia="zh-CN"/>
        </w:rPr>
        <w:t>项目使用电能及园区蒸汽，</w:t>
      </w:r>
      <w:r>
        <w:rPr>
          <w:rFonts w:hint="eastAsia" w:ascii="Times New Roman" w:hAnsi="Times New Roman" w:eastAsia="宋体" w:cs="Times New Roman"/>
          <w:color w:val="000000"/>
          <w:sz w:val="24"/>
          <w:szCs w:val="28"/>
        </w:rPr>
        <w:t>属于清洁能源</w:t>
      </w:r>
      <w:r>
        <w:rPr>
          <w:rFonts w:hint="eastAsia" w:ascii="Times New Roman" w:hAnsi="Times New Roman" w:eastAsia="宋体" w:cs="Times New Roman"/>
          <w:color w:val="000000"/>
          <w:sz w:val="24"/>
          <w:szCs w:val="28"/>
          <w:lang w:eastAsia="zh-CN"/>
        </w:rPr>
        <w:t>。</w:t>
      </w:r>
      <w:r>
        <w:rPr>
          <w:rFonts w:hint="eastAsia" w:ascii="Times New Roman" w:hAnsi="Times New Roman" w:eastAsia="宋体" w:cs="Times New Roman"/>
          <w:color w:val="000000"/>
          <w:sz w:val="24"/>
          <w:szCs w:val="28"/>
        </w:rPr>
        <w:t>因此，项目原辅材料符合清洁生产要求。</w:t>
      </w:r>
    </w:p>
    <w:p>
      <w:pPr>
        <w:keepNext/>
        <w:keepLines/>
        <w:tabs>
          <w:tab w:val="left" w:pos="680"/>
        </w:tabs>
        <w:spacing w:line="360" w:lineRule="auto"/>
        <w:ind w:firstLine="0"/>
        <w:textAlignment w:val="baseline"/>
        <w:outlineLvl w:val="2"/>
        <w:rPr>
          <w:rFonts w:hint="eastAsia" w:ascii="Times New Roman" w:hAnsi="Times New Roman" w:eastAsia="黑体" w:cs="Times New Roman"/>
          <w:kern w:val="0"/>
          <w:sz w:val="30"/>
          <w:szCs w:val="30"/>
          <w:lang w:val="en-US" w:eastAsia="zh-CN"/>
        </w:rPr>
      </w:pPr>
      <w:r>
        <w:rPr>
          <w:rFonts w:hint="default" w:ascii="Times New Roman" w:hAnsi="Times New Roman" w:eastAsia="黑体" w:cs="Times New Roman"/>
          <w:kern w:val="0"/>
          <w:sz w:val="30"/>
          <w:szCs w:val="30"/>
          <w:lang w:val="en-GB"/>
        </w:rPr>
        <w:t>3.</w:t>
      </w:r>
      <w:r>
        <w:rPr>
          <w:rFonts w:hint="eastAsia" w:ascii="Times New Roman" w:hAnsi="Times New Roman" w:eastAsia="黑体" w:cs="Times New Roman"/>
          <w:kern w:val="0"/>
          <w:sz w:val="30"/>
          <w:szCs w:val="30"/>
          <w:lang w:val="en-US" w:eastAsia="zh-CN"/>
        </w:rPr>
        <w:t>9</w:t>
      </w:r>
      <w:r>
        <w:rPr>
          <w:rFonts w:hint="default" w:ascii="Times New Roman" w:hAnsi="Times New Roman" w:eastAsia="黑体" w:cs="Times New Roman"/>
          <w:kern w:val="0"/>
          <w:sz w:val="30"/>
          <w:szCs w:val="30"/>
          <w:lang w:val="en-GB"/>
        </w:rPr>
        <w:t>.</w:t>
      </w:r>
      <w:r>
        <w:rPr>
          <w:rFonts w:hint="eastAsia" w:ascii="Times New Roman" w:hAnsi="Times New Roman" w:eastAsia="黑体" w:cs="Times New Roman"/>
          <w:kern w:val="0"/>
          <w:sz w:val="30"/>
          <w:szCs w:val="30"/>
          <w:lang w:val="en-US" w:eastAsia="zh-CN"/>
        </w:rPr>
        <w:t>2生产工艺与装备先进性分析</w:t>
      </w:r>
    </w:p>
    <w:p>
      <w:pPr>
        <w:keepNext w:val="0"/>
        <w:keepLines w:val="0"/>
        <w:pageBreakBefore w:val="0"/>
        <w:widowControl w:val="0"/>
        <w:kinsoku/>
        <w:wordWrap/>
        <w:overflowPunct/>
        <w:topLinePunct w:val="0"/>
        <w:autoSpaceDE/>
        <w:autoSpaceDN/>
        <w:bidi w:val="0"/>
        <w:adjustRightInd/>
        <w:snapToGrid w:val="0"/>
        <w:spacing w:line="360" w:lineRule="auto"/>
        <w:ind w:firstLine="567"/>
        <w:textAlignment w:val="auto"/>
        <w:outlineLvl w:val="9"/>
        <w:rPr>
          <w:rFonts w:hint="eastAsia" w:ascii="宋体" w:hAnsi="宋体" w:eastAsia="宋体" w:cs="宋体"/>
          <w:sz w:val="24"/>
          <w:szCs w:val="18"/>
          <w:lang w:val="en-GB"/>
        </w:rPr>
      </w:pPr>
      <w:r>
        <w:rPr>
          <w:rFonts w:hint="eastAsia" w:ascii="宋体" w:hAnsi="宋体" w:eastAsia="宋体" w:cs="宋体"/>
          <w:sz w:val="24"/>
          <w:szCs w:val="18"/>
          <w:lang w:val="en-GB"/>
        </w:rPr>
        <w:t>本项目优先采用“国家重点行业清洁生产技术导向目录”规定的内容，未使用“淘汰落后生产能力、工艺和产品的目录”规定的内容。</w:t>
      </w:r>
    </w:p>
    <w:p>
      <w:pPr>
        <w:keepNext w:val="0"/>
        <w:keepLines w:val="0"/>
        <w:pageBreakBefore w:val="0"/>
        <w:widowControl w:val="0"/>
        <w:kinsoku/>
        <w:wordWrap/>
        <w:overflowPunct/>
        <w:topLinePunct w:val="0"/>
        <w:autoSpaceDE/>
        <w:autoSpaceDN/>
        <w:bidi w:val="0"/>
        <w:adjustRightInd/>
        <w:snapToGrid w:val="0"/>
        <w:spacing w:line="360" w:lineRule="auto"/>
        <w:ind w:firstLine="567"/>
        <w:textAlignment w:val="auto"/>
        <w:outlineLvl w:val="9"/>
        <w:rPr>
          <w:rFonts w:hint="eastAsia" w:ascii="宋体" w:hAnsi="宋体" w:eastAsia="宋体" w:cs="宋体"/>
          <w:sz w:val="24"/>
          <w:szCs w:val="18"/>
          <w:lang w:val="en-GB"/>
        </w:rPr>
      </w:pPr>
      <w:r>
        <w:rPr>
          <w:rFonts w:hint="eastAsia" w:ascii="宋体" w:hAnsi="宋体" w:eastAsia="宋体" w:cs="宋体"/>
          <w:sz w:val="24"/>
          <w:szCs w:val="18"/>
          <w:lang w:val="en-GB"/>
        </w:rPr>
        <w:t>（1）工艺先进性</w:t>
      </w:r>
    </w:p>
    <w:p>
      <w:pPr>
        <w:keepNext w:val="0"/>
        <w:keepLines w:val="0"/>
        <w:pageBreakBefore w:val="0"/>
        <w:widowControl w:val="0"/>
        <w:kinsoku/>
        <w:wordWrap/>
        <w:overflowPunct/>
        <w:topLinePunct w:val="0"/>
        <w:autoSpaceDE/>
        <w:autoSpaceDN/>
        <w:bidi w:val="0"/>
        <w:adjustRightInd/>
        <w:snapToGrid w:val="0"/>
        <w:spacing w:line="360" w:lineRule="auto"/>
        <w:ind w:firstLine="567"/>
        <w:textAlignment w:val="auto"/>
        <w:outlineLvl w:val="9"/>
        <w:rPr>
          <w:rFonts w:hint="eastAsia" w:ascii="宋体" w:hAnsi="宋体" w:eastAsia="宋体" w:cs="宋体"/>
          <w:sz w:val="24"/>
          <w:szCs w:val="18"/>
          <w:lang w:val="en-GB"/>
        </w:rPr>
      </w:pPr>
      <w:r>
        <w:rPr>
          <w:rFonts w:hint="eastAsia" w:ascii="宋体" w:hAnsi="宋体" w:eastAsia="宋体" w:cs="宋体"/>
          <w:sz w:val="24"/>
          <w:szCs w:val="18"/>
          <w:lang w:val="en-GB"/>
        </w:rPr>
        <w:t>项目</w:t>
      </w:r>
      <w:r>
        <w:rPr>
          <w:rFonts w:hint="eastAsia" w:ascii="宋体" w:hAnsi="宋体" w:eastAsia="宋体" w:cs="宋体"/>
          <w:sz w:val="24"/>
          <w:szCs w:val="18"/>
          <w:lang w:val="en-US" w:eastAsia="zh-CN"/>
        </w:rPr>
        <w:t>电子级硝酸、硝酸银</w:t>
      </w:r>
      <w:r>
        <w:rPr>
          <w:rFonts w:hint="eastAsia" w:ascii="宋体" w:hAnsi="宋体" w:eastAsia="宋体" w:cs="宋体"/>
          <w:sz w:val="24"/>
          <w:szCs w:val="18"/>
          <w:lang w:val="en-GB"/>
        </w:rPr>
        <w:t>生产采用</w:t>
      </w:r>
      <w:r>
        <w:rPr>
          <w:rFonts w:hint="eastAsia" w:ascii="宋体" w:hAnsi="宋体" w:eastAsia="宋体" w:cs="宋体"/>
          <w:sz w:val="24"/>
          <w:szCs w:val="18"/>
          <w:lang w:val="en-US" w:eastAsia="zh-CN"/>
        </w:rPr>
        <w:t>国内</w:t>
      </w:r>
      <w:r>
        <w:rPr>
          <w:rFonts w:hint="eastAsia" w:ascii="宋体" w:hAnsi="宋体" w:eastAsia="宋体" w:cs="宋体"/>
          <w:sz w:val="24"/>
          <w:szCs w:val="18"/>
          <w:lang w:val="en-GB"/>
        </w:rPr>
        <w:t>成熟的</w:t>
      </w:r>
      <w:r>
        <w:rPr>
          <w:rFonts w:hint="eastAsia" w:ascii="宋体" w:hAnsi="宋体" w:eastAsia="宋体" w:cs="宋体"/>
          <w:sz w:val="24"/>
          <w:szCs w:val="18"/>
          <w:lang w:val="en-US" w:eastAsia="zh-CN"/>
        </w:rPr>
        <w:t>工艺</w:t>
      </w:r>
      <w:r>
        <w:rPr>
          <w:rFonts w:hint="eastAsia" w:ascii="宋体" w:hAnsi="宋体" w:eastAsia="宋体" w:cs="宋体"/>
          <w:sz w:val="24"/>
          <w:szCs w:val="18"/>
          <w:lang w:val="en-GB" w:eastAsia="zh-CN"/>
        </w:rPr>
        <w:t>。</w:t>
      </w:r>
      <w:r>
        <w:rPr>
          <w:rFonts w:hint="eastAsia" w:ascii="宋体" w:hAnsi="宋体" w:eastAsia="宋体" w:cs="宋体"/>
          <w:sz w:val="24"/>
          <w:szCs w:val="18"/>
          <w:lang w:val="en-US" w:eastAsia="zh-CN"/>
        </w:rPr>
        <w:t>超细银粉采用</w:t>
      </w:r>
      <w:r>
        <w:rPr>
          <w:rFonts w:hint="default" w:ascii="Times New Roman" w:hAnsi="Times New Roman" w:eastAsia="宋体" w:cs="Times New Roman"/>
          <w:kern w:val="0"/>
          <w:sz w:val="24"/>
          <w:szCs w:val="22"/>
        </w:rPr>
        <w:t>抗坏血酸、甲醛、双氧水</w:t>
      </w:r>
      <w:r>
        <w:rPr>
          <w:rFonts w:hint="eastAsia" w:ascii="Times New Roman" w:hAnsi="Times New Roman" w:eastAsia="宋体" w:cs="Times New Roman"/>
          <w:kern w:val="0"/>
          <w:sz w:val="24"/>
          <w:szCs w:val="22"/>
          <w:lang w:val="en-US" w:eastAsia="zh-CN"/>
        </w:rPr>
        <w:t>还原</w:t>
      </w:r>
      <w:r>
        <w:rPr>
          <w:rFonts w:hint="default" w:ascii="Times New Roman" w:hAnsi="Times New Roman" w:eastAsia="宋体" w:cs="Times New Roman"/>
          <w:kern w:val="0"/>
          <w:sz w:val="24"/>
          <w:szCs w:val="22"/>
        </w:rPr>
        <w:t>体系</w:t>
      </w:r>
      <w:r>
        <w:rPr>
          <w:rFonts w:hint="eastAsia" w:ascii="Times New Roman" w:hAnsi="Times New Roman" w:eastAsia="宋体" w:cs="Times New Roman"/>
          <w:kern w:val="0"/>
          <w:sz w:val="24"/>
          <w:szCs w:val="22"/>
          <w:lang w:val="en-US" w:eastAsia="zh-CN"/>
        </w:rPr>
        <w:t>与银氨溶液反应，</w:t>
      </w:r>
      <w:r>
        <w:rPr>
          <w:rFonts w:hint="default" w:ascii="Times New Roman" w:hAnsi="Times New Roman" w:eastAsia="宋体" w:cs="Times New Roman"/>
          <w:kern w:val="0"/>
          <w:sz w:val="24"/>
          <w:szCs w:val="22"/>
        </w:rPr>
        <w:t>采用银氨溶液进行反应主要是因为氨水与银离子发生络合反应降低并稳定银离子的浓度，控制了溶液体系中银离子的氧化性，从而达到控制反应速率、平稳反应进程的目的。根据能斯特方程，当反应溶液的pH＞7.72时，方能保证溶液中的银离子得到充分的还原。所以通过添加过量的氨水保证反应中的碱性环境，可以保证银离子的充分还原。同时银氨配合溶液中加入双氧水，利用双氧水的气体产物的产生在反应过程中起到了局部搅拌和分散作用，常温下无需分散剂的加入，即可制备出符合国家标准的球形银粉。</w:t>
      </w:r>
      <w:r>
        <w:rPr>
          <w:rFonts w:hint="eastAsia" w:ascii="Times New Roman" w:hAnsi="Times New Roman" w:eastAsia="宋体" w:cs="Times New Roman"/>
          <w:kern w:val="0"/>
          <w:sz w:val="24"/>
          <w:szCs w:val="22"/>
          <w:lang w:val="en-US" w:eastAsia="zh-CN"/>
        </w:rPr>
        <w:t>超细银粉采用四级逆流漂洗以节约用水。</w:t>
      </w:r>
      <w:r>
        <w:rPr>
          <w:rFonts w:hint="eastAsia" w:ascii="宋体" w:hAnsi="宋体" w:eastAsia="宋体" w:cs="宋体"/>
          <w:sz w:val="24"/>
          <w:szCs w:val="18"/>
          <w:lang w:val="en-GB"/>
        </w:rPr>
        <w:t>公司整个化学品的配制流程封闭化，对使用的高纯化学试剂，在化学品库采用统一配置，采用密闭管道输送，以杜绝料液的跑、冒、滴、漏，提高物料的利用率，也相应减少了污染物的排放，从而降低了废水、废气的处理费用，是实施清洁生产的良好举措。</w:t>
      </w:r>
    </w:p>
    <w:p>
      <w:pPr>
        <w:keepNext w:val="0"/>
        <w:keepLines w:val="0"/>
        <w:pageBreakBefore w:val="0"/>
        <w:widowControl w:val="0"/>
        <w:kinsoku/>
        <w:wordWrap/>
        <w:overflowPunct/>
        <w:topLinePunct w:val="0"/>
        <w:autoSpaceDE/>
        <w:autoSpaceDN/>
        <w:bidi w:val="0"/>
        <w:adjustRightInd/>
        <w:snapToGrid w:val="0"/>
        <w:spacing w:line="360" w:lineRule="auto"/>
        <w:ind w:firstLine="567"/>
        <w:textAlignment w:val="auto"/>
        <w:outlineLvl w:val="9"/>
        <w:rPr>
          <w:rFonts w:hint="eastAsia" w:ascii="宋体" w:hAnsi="宋体" w:eastAsia="宋体" w:cs="宋体"/>
          <w:sz w:val="24"/>
          <w:szCs w:val="18"/>
          <w:lang w:val="en-GB"/>
        </w:rPr>
      </w:pPr>
      <w:r>
        <w:rPr>
          <w:rFonts w:hint="eastAsia" w:ascii="宋体" w:hAnsi="宋体" w:eastAsia="宋体" w:cs="宋体"/>
          <w:sz w:val="24"/>
          <w:szCs w:val="18"/>
          <w:lang w:val="en-GB"/>
        </w:rPr>
        <w:t>（2）设备先进性</w:t>
      </w:r>
    </w:p>
    <w:p>
      <w:pPr>
        <w:keepNext w:val="0"/>
        <w:keepLines w:val="0"/>
        <w:pageBreakBefore w:val="0"/>
        <w:widowControl w:val="0"/>
        <w:kinsoku/>
        <w:wordWrap/>
        <w:overflowPunct/>
        <w:topLinePunct w:val="0"/>
        <w:autoSpaceDE/>
        <w:autoSpaceDN/>
        <w:bidi w:val="0"/>
        <w:adjustRightInd/>
        <w:snapToGrid w:val="0"/>
        <w:spacing w:line="360" w:lineRule="auto"/>
        <w:ind w:firstLine="567"/>
        <w:textAlignment w:val="auto"/>
        <w:outlineLvl w:val="9"/>
        <w:rPr>
          <w:rFonts w:hint="eastAsia" w:ascii="宋体" w:hAnsi="宋体" w:eastAsia="宋体" w:cs="宋体"/>
          <w:sz w:val="24"/>
          <w:szCs w:val="18"/>
          <w:lang w:val="en-GB"/>
        </w:rPr>
      </w:pPr>
      <w:r>
        <w:rPr>
          <w:rFonts w:hint="eastAsia" w:ascii="宋体" w:hAnsi="宋体" w:eastAsia="宋体" w:cs="宋体"/>
          <w:sz w:val="24"/>
          <w:szCs w:val="18"/>
          <w:lang w:val="en-GB"/>
        </w:rPr>
        <w:t>项目选用的设备自动化及机械化程度较高，根据工艺生产流程进行设备的合理布局，使工艺流程顺畅，运距短捷，节约能源。</w:t>
      </w:r>
    </w:p>
    <w:p>
      <w:pPr>
        <w:keepNext w:val="0"/>
        <w:keepLines w:val="0"/>
        <w:pageBreakBefore w:val="0"/>
        <w:widowControl w:val="0"/>
        <w:kinsoku/>
        <w:wordWrap/>
        <w:overflowPunct/>
        <w:topLinePunct w:val="0"/>
        <w:autoSpaceDE/>
        <w:autoSpaceDN/>
        <w:bidi w:val="0"/>
        <w:adjustRightInd/>
        <w:snapToGrid w:val="0"/>
        <w:spacing w:line="360" w:lineRule="auto"/>
        <w:ind w:firstLine="567"/>
        <w:textAlignment w:val="auto"/>
        <w:outlineLvl w:val="9"/>
        <w:rPr>
          <w:rFonts w:hint="eastAsia" w:ascii="宋体" w:hAnsi="宋体" w:eastAsia="宋体" w:cs="宋体"/>
          <w:sz w:val="24"/>
          <w:szCs w:val="18"/>
          <w:lang w:val="en-GB"/>
        </w:rPr>
      </w:pPr>
      <w:r>
        <w:rPr>
          <w:rFonts w:hint="eastAsia" w:ascii="宋体" w:hAnsi="宋体" w:eastAsia="宋体" w:cs="宋体"/>
          <w:sz w:val="24"/>
          <w:szCs w:val="18"/>
          <w:lang w:val="en-GB"/>
        </w:rPr>
        <w:t>综上，项目生产工艺及装备符合清洁生产要求。</w:t>
      </w:r>
    </w:p>
    <w:p>
      <w:pPr>
        <w:keepNext/>
        <w:keepLines/>
        <w:tabs>
          <w:tab w:val="left" w:pos="680"/>
        </w:tabs>
        <w:spacing w:line="360" w:lineRule="auto"/>
        <w:ind w:firstLine="0"/>
        <w:textAlignment w:val="baseline"/>
        <w:outlineLvl w:val="2"/>
        <w:rPr>
          <w:rFonts w:hint="eastAsia" w:ascii="Times New Roman" w:hAnsi="Times New Roman" w:eastAsia="黑体" w:cs="Times New Roman"/>
          <w:kern w:val="0"/>
          <w:sz w:val="30"/>
          <w:szCs w:val="30"/>
          <w:lang w:val="en-US" w:eastAsia="zh-CN"/>
        </w:rPr>
      </w:pPr>
      <w:r>
        <w:rPr>
          <w:rFonts w:hint="default" w:ascii="Times New Roman" w:hAnsi="Times New Roman" w:eastAsia="黑体" w:cs="Times New Roman"/>
          <w:kern w:val="0"/>
          <w:sz w:val="30"/>
          <w:szCs w:val="30"/>
          <w:lang w:val="en-GB"/>
        </w:rPr>
        <w:t>3.</w:t>
      </w:r>
      <w:r>
        <w:rPr>
          <w:rFonts w:hint="eastAsia" w:ascii="Times New Roman" w:hAnsi="Times New Roman" w:eastAsia="黑体" w:cs="Times New Roman"/>
          <w:kern w:val="0"/>
          <w:sz w:val="30"/>
          <w:szCs w:val="30"/>
          <w:lang w:val="en-US" w:eastAsia="zh-CN"/>
        </w:rPr>
        <w:t>9</w:t>
      </w:r>
      <w:r>
        <w:rPr>
          <w:rFonts w:hint="default" w:ascii="Times New Roman" w:hAnsi="Times New Roman" w:eastAsia="黑体" w:cs="Times New Roman"/>
          <w:kern w:val="0"/>
          <w:sz w:val="30"/>
          <w:szCs w:val="30"/>
          <w:lang w:val="en-GB"/>
        </w:rPr>
        <w:t>.</w:t>
      </w:r>
      <w:r>
        <w:rPr>
          <w:rFonts w:hint="eastAsia" w:ascii="Times New Roman" w:hAnsi="Times New Roman" w:eastAsia="黑体" w:cs="Times New Roman"/>
          <w:kern w:val="0"/>
          <w:sz w:val="30"/>
          <w:szCs w:val="30"/>
          <w:lang w:val="en-US" w:eastAsia="zh-CN"/>
        </w:rPr>
        <w:t>3产品指标分析</w:t>
      </w:r>
    </w:p>
    <w:p>
      <w:pPr>
        <w:keepNext w:val="0"/>
        <w:keepLines w:val="0"/>
        <w:pageBreakBefore w:val="0"/>
        <w:widowControl w:val="0"/>
        <w:kinsoku/>
        <w:wordWrap/>
        <w:overflowPunct/>
        <w:topLinePunct w:val="0"/>
        <w:autoSpaceDE/>
        <w:autoSpaceDN/>
        <w:bidi w:val="0"/>
        <w:adjustRightInd/>
        <w:snapToGrid w:val="0"/>
        <w:spacing w:line="360" w:lineRule="auto"/>
        <w:ind w:firstLine="567"/>
        <w:textAlignment w:val="auto"/>
        <w:outlineLvl w:val="9"/>
        <w:rPr>
          <w:rFonts w:hint="eastAsia" w:ascii="宋体" w:hAnsi="宋体" w:eastAsia="宋体" w:cs="宋体"/>
          <w:sz w:val="24"/>
          <w:szCs w:val="18"/>
          <w:lang w:eastAsia="zh-CN"/>
        </w:rPr>
      </w:pPr>
      <w:r>
        <w:rPr>
          <w:rFonts w:hint="eastAsia" w:ascii="宋体" w:hAnsi="宋体" w:eastAsia="宋体" w:cs="宋体"/>
          <w:sz w:val="24"/>
          <w:szCs w:val="18"/>
          <w:lang w:val="en-US" w:eastAsia="zh-CN"/>
        </w:rPr>
        <w:t>项目电子级硝酸、硝酸银、超细银粉</w:t>
      </w:r>
      <w:r>
        <w:rPr>
          <w:rFonts w:hint="eastAsia" w:ascii="宋体" w:hAnsi="宋体" w:eastAsia="宋体" w:cs="宋体"/>
          <w:sz w:val="24"/>
          <w:szCs w:val="18"/>
          <w:lang w:eastAsia="zh-CN"/>
        </w:rPr>
        <w:t>都满足相应的标准，</w:t>
      </w:r>
      <w:r>
        <w:rPr>
          <w:rFonts w:hint="eastAsia" w:ascii="宋体" w:hAnsi="宋体" w:eastAsia="宋体" w:cs="宋体"/>
          <w:sz w:val="24"/>
          <w:szCs w:val="18"/>
          <w:lang w:val="en-US" w:eastAsia="zh-CN"/>
        </w:rPr>
        <w:t>用于</w:t>
      </w:r>
      <w:r>
        <w:rPr>
          <w:rFonts w:hint="default" w:ascii="Times New Roman" w:hAnsi="Times New Roman" w:eastAsia="宋体" w:cs="Times New Roman"/>
          <w:sz w:val="24"/>
          <w:szCs w:val="28"/>
        </w:rPr>
        <w:t>半导体、光电子器件、新型电子元器件等电子产品用材料</w:t>
      </w:r>
      <w:r>
        <w:rPr>
          <w:rFonts w:hint="eastAsia" w:ascii="Times New Roman" w:hAnsi="Times New Roman" w:eastAsia="宋体" w:cs="Times New Roman"/>
          <w:sz w:val="24"/>
          <w:szCs w:val="28"/>
          <w:lang w:eastAsia="zh-CN"/>
        </w:rPr>
        <w:t>，</w:t>
      </w:r>
      <w:r>
        <w:rPr>
          <w:rFonts w:hint="default" w:ascii="Times New Roman" w:hAnsi="Times New Roman" w:eastAsia="宋体" w:cs="Times New Roman"/>
          <w:sz w:val="24"/>
          <w:szCs w:val="28"/>
        </w:rPr>
        <w:t>属于《产业结构调整指导目录（2019年本）》鼓励类</w:t>
      </w:r>
      <w:r>
        <w:rPr>
          <w:rFonts w:hint="eastAsia" w:ascii="Times New Roman" w:hAnsi="Times New Roman" w:eastAsia="宋体" w:cs="Times New Roman"/>
          <w:sz w:val="24"/>
          <w:szCs w:val="28"/>
          <w:lang w:eastAsia="zh-CN"/>
        </w:rPr>
        <w:t>，</w:t>
      </w:r>
      <w:r>
        <w:rPr>
          <w:rFonts w:hint="eastAsia" w:ascii="Times New Roman" w:hAnsi="Times New Roman" w:eastAsia="宋体" w:cs="Times New Roman"/>
          <w:sz w:val="24"/>
          <w:szCs w:val="28"/>
          <w:lang w:val="en-US" w:eastAsia="zh-CN"/>
        </w:rPr>
        <w:t>项目产品符合清洁生产要求</w:t>
      </w:r>
      <w:r>
        <w:rPr>
          <w:rFonts w:hint="eastAsia" w:ascii="宋体" w:hAnsi="宋体" w:eastAsia="宋体" w:cs="宋体"/>
          <w:sz w:val="24"/>
          <w:szCs w:val="18"/>
          <w:lang w:eastAsia="zh-CN"/>
        </w:rPr>
        <w:t>。</w:t>
      </w:r>
    </w:p>
    <w:p>
      <w:pPr>
        <w:keepNext/>
        <w:keepLines/>
        <w:tabs>
          <w:tab w:val="left" w:pos="680"/>
        </w:tabs>
        <w:spacing w:line="360" w:lineRule="auto"/>
        <w:ind w:firstLine="0"/>
        <w:textAlignment w:val="baseline"/>
        <w:outlineLvl w:val="2"/>
        <w:rPr>
          <w:rFonts w:hint="default" w:ascii="Times New Roman" w:hAnsi="Times New Roman" w:eastAsia="黑体" w:cs="Times New Roman"/>
          <w:color w:val="auto"/>
          <w:kern w:val="0"/>
          <w:sz w:val="30"/>
          <w:szCs w:val="30"/>
          <w:lang w:val="en-US" w:eastAsia="zh-CN"/>
        </w:rPr>
      </w:pPr>
      <w:r>
        <w:rPr>
          <w:rFonts w:hint="default" w:ascii="Times New Roman" w:hAnsi="Times New Roman" w:eastAsia="黑体" w:cs="Times New Roman"/>
          <w:color w:val="auto"/>
          <w:kern w:val="0"/>
          <w:sz w:val="30"/>
          <w:szCs w:val="30"/>
          <w:lang w:val="en-GB"/>
        </w:rPr>
        <w:t>3.</w:t>
      </w:r>
      <w:r>
        <w:rPr>
          <w:rFonts w:hint="eastAsia" w:ascii="Times New Roman" w:hAnsi="Times New Roman" w:eastAsia="黑体" w:cs="Times New Roman"/>
          <w:color w:val="auto"/>
          <w:kern w:val="0"/>
          <w:sz w:val="30"/>
          <w:szCs w:val="30"/>
          <w:lang w:val="en-US" w:eastAsia="zh-CN"/>
        </w:rPr>
        <w:t>9</w:t>
      </w:r>
      <w:r>
        <w:rPr>
          <w:rFonts w:hint="default" w:ascii="Times New Roman" w:hAnsi="Times New Roman" w:eastAsia="黑体" w:cs="Times New Roman"/>
          <w:color w:val="auto"/>
          <w:kern w:val="0"/>
          <w:sz w:val="30"/>
          <w:szCs w:val="30"/>
          <w:lang w:val="en-GB"/>
        </w:rPr>
        <w:t>.</w:t>
      </w:r>
      <w:r>
        <w:rPr>
          <w:rFonts w:hint="eastAsia" w:ascii="Times New Roman" w:hAnsi="Times New Roman" w:eastAsia="黑体" w:cs="Times New Roman"/>
          <w:color w:val="auto"/>
          <w:kern w:val="0"/>
          <w:sz w:val="30"/>
          <w:szCs w:val="30"/>
          <w:lang w:val="en-US" w:eastAsia="zh-CN"/>
        </w:rPr>
        <w:t>4资源、能耗指标分析</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default" w:ascii="Times New Roman" w:hAnsi="Times New Roman" w:eastAsia="宋体" w:cs="Times New Roman"/>
          <w:color w:val="auto"/>
          <w:sz w:val="24"/>
          <w:szCs w:val="18"/>
          <w:lang w:val="en-US" w:eastAsia="zh-CN"/>
        </w:rPr>
      </w:pPr>
      <w:r>
        <w:rPr>
          <w:rFonts w:hint="default" w:ascii="Times New Roman" w:hAnsi="Times New Roman" w:eastAsia="宋体" w:cs="Times New Roman"/>
          <w:color w:val="auto"/>
          <w:sz w:val="24"/>
          <w:szCs w:val="18"/>
          <w:lang w:val="en-US" w:eastAsia="zh-CN"/>
        </w:rPr>
        <w:t>项目资源能源消耗引用《福建富轩科技有限公司新能源纳米材料项目节能报告》中相关资料，见表3.</w:t>
      </w:r>
      <w:r>
        <w:rPr>
          <w:rFonts w:hint="eastAsia" w:ascii="Times New Roman" w:hAnsi="Times New Roman" w:eastAsia="宋体" w:cs="Times New Roman"/>
          <w:color w:val="auto"/>
          <w:sz w:val="24"/>
          <w:szCs w:val="18"/>
          <w:lang w:val="en-US" w:eastAsia="zh-CN"/>
        </w:rPr>
        <w:t>9</w:t>
      </w:r>
      <w:r>
        <w:rPr>
          <w:rFonts w:hint="default" w:ascii="Times New Roman" w:hAnsi="Times New Roman" w:eastAsia="宋体" w:cs="Times New Roman"/>
          <w:color w:val="auto"/>
          <w:sz w:val="24"/>
          <w:szCs w:val="18"/>
          <w:lang w:val="en-US" w:eastAsia="zh-CN"/>
        </w:rPr>
        <w:t>-1。</w:t>
      </w:r>
    </w:p>
    <w:p>
      <w:pPr>
        <w:snapToGrid w:val="0"/>
        <w:spacing w:line="240" w:lineRule="auto"/>
        <w:ind w:firstLine="0"/>
        <w:jc w:val="center"/>
        <w:outlineLvl w:val="4"/>
        <w:rPr>
          <w:rFonts w:hint="default" w:ascii="Times New Roman" w:hAnsi="Times New Roman" w:eastAsia="宋体" w:cs="Times New Roman"/>
          <w:bCs/>
          <w:color w:val="auto"/>
          <w:sz w:val="24"/>
          <w:szCs w:val="24"/>
          <w:lang w:val="en-US" w:eastAsia="zh-CN"/>
        </w:rPr>
      </w:pPr>
      <w:r>
        <w:rPr>
          <w:rFonts w:ascii="Times New Roman" w:hAnsi="Times New Roman" w:eastAsia="宋体" w:cs="Times New Roman"/>
          <w:b/>
          <w:color w:val="auto"/>
          <w:sz w:val="24"/>
          <w:szCs w:val="24"/>
        </w:rPr>
        <w:t>表</w:t>
      </w:r>
      <w:r>
        <w:rPr>
          <w:rFonts w:hint="eastAsia" w:ascii="Times New Roman" w:hAnsi="Times New Roman" w:eastAsia="宋体" w:cs="Times New Roman"/>
          <w:b/>
          <w:color w:val="auto"/>
          <w:sz w:val="24"/>
          <w:szCs w:val="24"/>
          <w:lang w:val="en-US" w:eastAsia="zh-CN"/>
        </w:rPr>
        <w:t>3.9-1</w:t>
      </w:r>
      <w:r>
        <w:rPr>
          <w:rFonts w:ascii="Times New Roman" w:hAnsi="Times New Roman" w:eastAsia="宋体" w:cs="Times New Roman"/>
          <w:b/>
          <w:color w:val="auto"/>
          <w:sz w:val="24"/>
          <w:szCs w:val="24"/>
        </w:rPr>
        <w:t xml:space="preserve">  项目</w:t>
      </w:r>
      <w:r>
        <w:rPr>
          <w:rFonts w:hint="eastAsia" w:ascii="Times New Roman" w:hAnsi="Times New Roman" w:eastAsia="宋体" w:cs="Times New Roman"/>
          <w:b/>
          <w:color w:val="auto"/>
          <w:sz w:val="24"/>
          <w:szCs w:val="24"/>
          <w:lang w:val="en-US" w:eastAsia="zh-CN"/>
        </w:rPr>
        <w:t>资源能源消耗情况表</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8"/>
        <w:gridCol w:w="883"/>
        <w:gridCol w:w="978"/>
        <w:gridCol w:w="971"/>
        <w:gridCol w:w="1344"/>
        <w:gridCol w:w="1"/>
        <w:gridCol w:w="803"/>
        <w:gridCol w:w="936"/>
        <w:gridCol w:w="744"/>
        <w:gridCol w:w="1336"/>
        <w:gridCol w:w="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30" w:hRule="atLeast"/>
          <w:jc w:val="center"/>
        </w:trPr>
        <w:tc>
          <w:tcPr>
            <w:tcW w:w="1238" w:type="dxa"/>
            <w:vMerge w:val="restart"/>
            <w:noWrap w:val="0"/>
            <w:vAlign w:val="center"/>
          </w:tcPr>
          <w:p>
            <w:pPr>
              <w:spacing w:line="240" w:lineRule="auto"/>
              <w:ind w:firstLine="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生产线</w:t>
            </w:r>
          </w:p>
        </w:tc>
        <w:tc>
          <w:tcPr>
            <w:tcW w:w="1861" w:type="dxa"/>
            <w:gridSpan w:val="2"/>
            <w:noWrap w:val="0"/>
            <w:vAlign w:val="center"/>
          </w:tcPr>
          <w:p>
            <w:pPr>
              <w:spacing w:line="240" w:lineRule="auto"/>
              <w:ind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水耗</w:t>
            </w:r>
          </w:p>
        </w:tc>
        <w:tc>
          <w:tcPr>
            <w:tcW w:w="2316" w:type="dxa"/>
            <w:gridSpan w:val="3"/>
            <w:noWrap w:val="0"/>
            <w:vAlign w:val="center"/>
          </w:tcPr>
          <w:p>
            <w:pPr>
              <w:spacing w:line="240" w:lineRule="auto"/>
              <w:ind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电耗</w:t>
            </w:r>
          </w:p>
        </w:tc>
        <w:tc>
          <w:tcPr>
            <w:tcW w:w="1739" w:type="dxa"/>
            <w:gridSpan w:val="2"/>
            <w:noWrap w:val="0"/>
            <w:vAlign w:val="center"/>
          </w:tcPr>
          <w:p>
            <w:pPr>
              <w:spacing w:line="240" w:lineRule="auto"/>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蒸汽消耗</w:t>
            </w:r>
          </w:p>
        </w:tc>
        <w:tc>
          <w:tcPr>
            <w:tcW w:w="2080" w:type="dxa"/>
            <w:gridSpan w:val="2"/>
            <w:noWrap w:val="0"/>
            <w:vAlign w:val="center"/>
          </w:tcPr>
          <w:p>
            <w:pPr>
              <w:spacing w:line="240" w:lineRule="auto"/>
              <w:ind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能耗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30" w:hRule="atLeast"/>
          <w:jc w:val="center"/>
        </w:trPr>
        <w:tc>
          <w:tcPr>
            <w:vMerge w:val="continue"/>
            <w:noWrap w:val="0"/>
          </w:tcPr>
          <w:p/>
        </w:tc>
        <w:tc>
          <w:tcPr>
            <w:tcW w:w="883" w:type="dxa"/>
            <w:noWrap w:val="0"/>
            <w:vAlign w:val="center"/>
          </w:tcPr>
          <w:p>
            <w:pPr>
              <w:keepNext w:val="0"/>
              <w:keepLines w:val="0"/>
              <w:widowControl/>
              <w:suppressLineNumbers w:val="0"/>
              <w:spacing w:line="240" w:lineRule="auto"/>
              <w:ind w:firstLine="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t/a</w:t>
            </w:r>
          </w:p>
        </w:tc>
        <w:tc>
          <w:tcPr>
            <w:tcW w:w="978" w:type="dxa"/>
            <w:noWrap w:val="0"/>
            <w:vAlign w:val="center"/>
          </w:tcPr>
          <w:p>
            <w:pPr>
              <w:keepNext w:val="0"/>
              <w:keepLines w:val="0"/>
              <w:widowControl/>
              <w:suppressLineNumbers w:val="0"/>
              <w:spacing w:line="240" w:lineRule="auto"/>
              <w:ind w:firstLine="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t/t产品</w:t>
            </w:r>
          </w:p>
        </w:tc>
        <w:tc>
          <w:tcPr>
            <w:tcW w:w="971" w:type="dxa"/>
            <w:noWrap w:val="0"/>
            <w:vAlign w:val="center"/>
          </w:tcPr>
          <w:p>
            <w:pPr>
              <w:keepNext w:val="0"/>
              <w:keepLines w:val="0"/>
              <w:widowControl/>
              <w:suppressLineNumbers w:val="0"/>
              <w:spacing w:line="240" w:lineRule="auto"/>
              <w:ind w:firstLine="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万Kw·h</w:t>
            </w:r>
          </w:p>
        </w:tc>
        <w:tc>
          <w:tcPr>
            <w:tcW w:w="1344" w:type="dxa"/>
            <w:noWrap w:val="0"/>
            <w:vAlign w:val="center"/>
          </w:tcPr>
          <w:p>
            <w:pPr>
              <w:keepNext w:val="0"/>
              <w:keepLines w:val="0"/>
              <w:widowControl/>
              <w:suppressLineNumbers w:val="0"/>
              <w:spacing w:line="240" w:lineRule="auto"/>
              <w:ind w:firstLine="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Kw·h/t产品</w:t>
            </w:r>
          </w:p>
        </w:tc>
        <w:tc>
          <w:tcPr>
            <w:tcW w:w="804" w:type="dxa"/>
            <w:gridSpan w:val="2"/>
            <w:noWrap w:val="0"/>
            <w:vAlign w:val="center"/>
          </w:tcPr>
          <w:p>
            <w:pPr>
              <w:keepNext w:val="0"/>
              <w:keepLines w:val="0"/>
              <w:widowControl/>
              <w:suppressLineNumbers w:val="0"/>
              <w:spacing w:line="240" w:lineRule="auto"/>
              <w:ind w:firstLine="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t/a</w:t>
            </w:r>
          </w:p>
        </w:tc>
        <w:tc>
          <w:tcPr>
            <w:tcW w:w="936" w:type="dxa"/>
            <w:noWrap w:val="0"/>
            <w:vAlign w:val="center"/>
          </w:tcPr>
          <w:p>
            <w:pPr>
              <w:keepNext w:val="0"/>
              <w:keepLines w:val="0"/>
              <w:widowControl/>
              <w:suppressLineNumbers w:val="0"/>
              <w:spacing w:line="240" w:lineRule="auto"/>
              <w:ind w:firstLine="0"/>
              <w:jc w:val="center"/>
              <w:textAlignment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i w:val="0"/>
                <w:color w:val="auto"/>
                <w:kern w:val="0"/>
                <w:sz w:val="21"/>
                <w:szCs w:val="21"/>
                <w:u w:val="none"/>
                <w:lang w:val="en-US" w:eastAsia="zh-CN" w:bidi="ar"/>
              </w:rPr>
              <w:t>t/t产品</w:t>
            </w:r>
          </w:p>
        </w:tc>
        <w:tc>
          <w:tcPr>
            <w:tcW w:w="744" w:type="dxa"/>
            <w:noWrap w:val="0"/>
            <w:vAlign w:val="center"/>
          </w:tcPr>
          <w:p>
            <w:pPr>
              <w:spacing w:line="240" w:lineRule="auto"/>
              <w:ind w:firstLine="0"/>
              <w:jc w:val="center"/>
              <w:rPr>
                <w:color w:val="auto"/>
              </w:rPr>
            </w:pPr>
            <w:r>
              <w:rPr>
                <w:rFonts w:hint="default" w:ascii="Times New Roman" w:hAnsi="Times New Roman" w:eastAsia="宋体" w:cs="Times New Roman"/>
                <w:color w:val="auto"/>
                <w:kern w:val="0"/>
                <w:sz w:val="21"/>
                <w:szCs w:val="21"/>
                <w:lang w:val="en-US" w:eastAsia="zh-CN" w:bidi="ar"/>
              </w:rPr>
              <w:t>tce/a</w:t>
            </w:r>
          </w:p>
        </w:tc>
        <w:tc>
          <w:tcPr>
            <w:tcW w:w="1336" w:type="dxa"/>
            <w:noWrap w:val="0"/>
            <w:vAlign w:val="center"/>
          </w:tcPr>
          <w:p>
            <w:pPr>
              <w:spacing w:line="240" w:lineRule="auto"/>
              <w:ind w:firstLine="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kgce/t产品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8" w:type="dxa"/>
            <w:noWrap w:val="0"/>
            <w:vAlign w:val="center"/>
          </w:tcPr>
          <w:p>
            <w:pPr>
              <w:spacing w:line="240" w:lineRule="auto"/>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电子级硝酸生产线</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2333.333</w:t>
            </w:r>
          </w:p>
        </w:tc>
        <w:tc>
          <w:tcPr>
            <w:tcW w:w="978"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0.467</w:t>
            </w:r>
          </w:p>
        </w:tc>
        <w:tc>
          <w:tcPr>
            <w:tcW w:w="971"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 xml:space="preserve">491.93 </w:t>
            </w:r>
          </w:p>
        </w:tc>
        <w:tc>
          <w:tcPr>
            <w:tcW w:w="1344"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 xml:space="preserve">983.86 </w:t>
            </w:r>
          </w:p>
        </w:tc>
        <w:tc>
          <w:tcPr>
            <w:tcW w:w="804"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w:t>
            </w:r>
          </w:p>
        </w:tc>
        <w:tc>
          <w:tcPr>
            <w:tcW w:w="936"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w:t>
            </w:r>
          </w:p>
        </w:tc>
        <w:tc>
          <w:tcPr>
            <w:tcW w:w="744"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 xml:space="preserve">604.58 </w:t>
            </w:r>
          </w:p>
        </w:tc>
        <w:tc>
          <w:tcPr>
            <w:tcW w:w="1337"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 xml:space="preserve">120.92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8" w:type="dxa"/>
            <w:noWrap w:val="0"/>
            <w:vAlign w:val="center"/>
          </w:tcPr>
          <w:p>
            <w:pPr>
              <w:spacing w:line="240" w:lineRule="auto"/>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硝酸银生产线</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108.4</w:t>
            </w:r>
          </w:p>
        </w:tc>
        <w:tc>
          <w:tcPr>
            <w:tcW w:w="978"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0.027</w:t>
            </w:r>
          </w:p>
        </w:tc>
        <w:tc>
          <w:tcPr>
            <w:tcW w:w="971"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 xml:space="preserve">398.13 </w:t>
            </w:r>
          </w:p>
        </w:tc>
        <w:tc>
          <w:tcPr>
            <w:tcW w:w="1344"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 xml:space="preserve">995.32 </w:t>
            </w:r>
          </w:p>
        </w:tc>
        <w:tc>
          <w:tcPr>
            <w:tcW w:w="804"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7500</w:t>
            </w:r>
          </w:p>
        </w:tc>
        <w:tc>
          <w:tcPr>
            <w:tcW w:w="936"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 xml:space="preserve">1.88 </w:t>
            </w:r>
          </w:p>
        </w:tc>
        <w:tc>
          <w:tcPr>
            <w:tcW w:w="744"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 xml:space="preserve">1194.30 </w:t>
            </w:r>
          </w:p>
        </w:tc>
        <w:tc>
          <w:tcPr>
            <w:tcW w:w="1337"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 xml:space="preserve">298.57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8" w:type="dxa"/>
            <w:noWrap w:val="0"/>
            <w:vAlign w:val="center"/>
          </w:tcPr>
          <w:p>
            <w:pPr>
              <w:spacing w:line="240" w:lineRule="auto"/>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超细银粉生产线</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20516</w:t>
            </w:r>
          </w:p>
        </w:tc>
        <w:tc>
          <w:tcPr>
            <w:tcW w:w="978"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17.097</w:t>
            </w:r>
          </w:p>
        </w:tc>
        <w:tc>
          <w:tcPr>
            <w:tcW w:w="971"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 xml:space="preserve">227.70 </w:t>
            </w:r>
          </w:p>
        </w:tc>
        <w:tc>
          <w:tcPr>
            <w:tcW w:w="1344"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 xml:space="preserve">1897.53 </w:t>
            </w:r>
          </w:p>
        </w:tc>
        <w:tc>
          <w:tcPr>
            <w:tcW w:w="804"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20500</w:t>
            </w:r>
          </w:p>
        </w:tc>
        <w:tc>
          <w:tcPr>
            <w:tcW w:w="936"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 xml:space="preserve">17.08 </w:t>
            </w:r>
          </w:p>
        </w:tc>
        <w:tc>
          <w:tcPr>
            <w:tcW w:w="744"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2206.85</w:t>
            </w:r>
          </w:p>
        </w:tc>
        <w:tc>
          <w:tcPr>
            <w:tcW w:w="1337"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1839.04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35" w:type="dxa"/>
            <w:gridSpan w:val="11"/>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both"/>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备注：因蒸发器主要处理超细银粉生产线废水，其消耗蒸汽归入超细银粉生产线中</w:t>
            </w:r>
          </w:p>
        </w:tc>
      </w:tr>
    </w:tbl>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eastAsia" w:ascii="Times New Roman" w:hAnsi="Times New Roman" w:eastAsia="宋体" w:cs="Times New Roman"/>
          <w:color w:val="auto"/>
          <w:sz w:val="24"/>
          <w:szCs w:val="18"/>
          <w:lang w:val="en-US" w:eastAsia="zh-CN"/>
        </w:rPr>
      </w:pPr>
      <w:r>
        <w:rPr>
          <w:rFonts w:hint="eastAsia" w:ascii="Times New Roman" w:hAnsi="Times New Roman" w:eastAsia="宋体" w:cs="Times New Roman"/>
          <w:color w:val="auto"/>
          <w:sz w:val="24"/>
          <w:szCs w:val="18"/>
          <w:lang w:val="en-US" w:eastAsia="zh-CN"/>
        </w:rPr>
        <w:t>本项目与同类企业平均能耗对比如下表。</w:t>
      </w:r>
    </w:p>
    <w:p>
      <w:pPr>
        <w:snapToGrid w:val="0"/>
        <w:spacing w:line="240" w:lineRule="auto"/>
        <w:ind w:firstLine="0"/>
        <w:jc w:val="center"/>
        <w:outlineLvl w:val="4"/>
        <w:rPr>
          <w:rFonts w:ascii="Times New Roman" w:hAnsi="Times New Roman" w:eastAsia="宋体" w:cs="Times New Roman"/>
          <w:b/>
          <w:color w:val="auto"/>
          <w:sz w:val="24"/>
          <w:szCs w:val="24"/>
        </w:rPr>
      </w:pPr>
      <w:r>
        <w:rPr>
          <w:rFonts w:ascii="Times New Roman" w:hAnsi="Times New Roman" w:eastAsia="宋体" w:cs="Times New Roman"/>
          <w:b/>
          <w:color w:val="auto"/>
          <w:sz w:val="24"/>
          <w:szCs w:val="24"/>
        </w:rPr>
        <w:t>表</w:t>
      </w:r>
      <w:r>
        <w:rPr>
          <w:rFonts w:hint="eastAsia" w:ascii="Times New Roman" w:hAnsi="Times New Roman" w:eastAsia="宋体" w:cs="Times New Roman"/>
          <w:b/>
          <w:color w:val="auto"/>
          <w:sz w:val="24"/>
          <w:szCs w:val="24"/>
          <w:lang w:val="en-US" w:eastAsia="zh-CN"/>
        </w:rPr>
        <w:t>3.9-2</w:t>
      </w:r>
      <w:r>
        <w:rPr>
          <w:rFonts w:ascii="Times New Roman" w:hAnsi="Times New Roman" w:eastAsia="宋体" w:cs="Times New Roman"/>
          <w:b/>
          <w:color w:val="auto"/>
          <w:sz w:val="24"/>
          <w:szCs w:val="24"/>
        </w:rPr>
        <w:t xml:space="preserve">  项目能耗指标与同类行业对比表</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
      <w:tblGrid>
        <w:gridCol w:w="592"/>
        <w:gridCol w:w="2509"/>
        <w:gridCol w:w="2556"/>
        <w:gridCol w:w="3582"/>
      </w:tblGrid>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592" w:type="dxa"/>
            <w:tcBorders>
              <w:bottom w:val="single" w:color="auto" w:sz="4" w:space="0"/>
              <w:right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2509" w:type="dxa"/>
            <w:tcBorders>
              <w:left w:val="single" w:color="auto" w:sz="4" w:space="0"/>
              <w:bottom w:val="single" w:color="auto" w:sz="4" w:space="0"/>
              <w:right w:val="single" w:color="auto" w:sz="4" w:space="0"/>
            </w:tcBorders>
            <w:noWrap w:val="0"/>
            <w:vAlign w:val="center"/>
          </w:tcPr>
          <w:p>
            <w:pPr>
              <w:spacing w:line="240" w:lineRule="auto"/>
              <w:ind w:firstLine="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生产线</w:t>
            </w:r>
          </w:p>
        </w:tc>
        <w:tc>
          <w:tcPr>
            <w:tcW w:w="2556" w:type="dxa"/>
            <w:tcBorders>
              <w:left w:val="single" w:color="auto" w:sz="4" w:space="0"/>
              <w:bottom w:val="single" w:color="auto" w:sz="4" w:space="0"/>
              <w:right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单位产品能耗(</w:t>
            </w:r>
            <w:r>
              <w:rPr>
                <w:rFonts w:hint="eastAsia" w:ascii="Times New Roman" w:hAnsi="Times New Roman" w:eastAsia="宋体" w:cs="Times New Roman"/>
                <w:color w:val="auto"/>
                <w:sz w:val="21"/>
                <w:szCs w:val="21"/>
                <w:lang w:val="en-US" w:eastAsia="zh-CN"/>
              </w:rPr>
              <w:t>kg</w:t>
            </w:r>
            <w:r>
              <w:rPr>
                <w:rFonts w:hint="default" w:ascii="Times New Roman" w:hAnsi="Times New Roman" w:eastAsia="宋体" w:cs="Times New Roman"/>
                <w:color w:val="auto"/>
                <w:sz w:val="21"/>
                <w:szCs w:val="21"/>
              </w:rPr>
              <w:t>ce／t)</w:t>
            </w:r>
          </w:p>
        </w:tc>
        <w:tc>
          <w:tcPr>
            <w:tcW w:w="3582" w:type="dxa"/>
            <w:tcBorders>
              <w:left w:val="single" w:color="auto" w:sz="4" w:space="0"/>
              <w:bottom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同类企业平均</w:t>
            </w:r>
            <w:r>
              <w:rPr>
                <w:rFonts w:hint="default" w:ascii="Times New Roman" w:hAnsi="Times New Roman" w:eastAsia="宋体" w:cs="Times New Roman"/>
                <w:color w:val="auto"/>
                <w:sz w:val="21"/>
                <w:szCs w:val="21"/>
              </w:rPr>
              <w:t>单位产品能耗(</w:t>
            </w:r>
            <w:r>
              <w:rPr>
                <w:rFonts w:hint="eastAsia" w:ascii="Times New Roman" w:hAnsi="Times New Roman" w:eastAsia="宋体" w:cs="Times New Roman"/>
                <w:color w:val="auto"/>
                <w:sz w:val="21"/>
                <w:szCs w:val="21"/>
                <w:lang w:val="en-US" w:eastAsia="zh-CN"/>
              </w:rPr>
              <w:t>kg</w:t>
            </w:r>
            <w:r>
              <w:rPr>
                <w:rFonts w:hint="default" w:ascii="Times New Roman" w:hAnsi="Times New Roman" w:eastAsia="宋体" w:cs="Times New Roman"/>
                <w:color w:val="auto"/>
                <w:sz w:val="21"/>
                <w:szCs w:val="21"/>
              </w:rPr>
              <w:t>ce／t)</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83" w:hRule="atLeast"/>
          <w:jc w:val="center"/>
        </w:trPr>
        <w:tc>
          <w:tcPr>
            <w:tcW w:w="592" w:type="dxa"/>
            <w:tcBorders>
              <w:top w:val="single" w:color="auto" w:sz="4" w:space="0"/>
              <w:bottom w:val="single" w:color="auto" w:sz="4" w:space="0"/>
              <w:right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509"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电子级硝酸生产线</w:t>
            </w:r>
          </w:p>
        </w:tc>
        <w:tc>
          <w:tcPr>
            <w:tcW w:w="255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i w:val="0"/>
                <w:color w:val="auto"/>
                <w:kern w:val="0"/>
                <w:sz w:val="21"/>
                <w:szCs w:val="21"/>
                <w:u w:val="none"/>
                <w:lang w:val="en-US" w:eastAsia="zh-CN" w:bidi="ar"/>
              </w:rPr>
              <w:t xml:space="preserve">120.92 </w:t>
            </w:r>
          </w:p>
        </w:tc>
        <w:tc>
          <w:tcPr>
            <w:tcW w:w="3582" w:type="dxa"/>
            <w:tcBorders>
              <w:top w:val="single" w:color="auto" w:sz="4" w:space="0"/>
              <w:left w:val="single" w:color="auto" w:sz="4" w:space="0"/>
              <w:bottom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123.84</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64" w:hRule="atLeast"/>
          <w:jc w:val="center"/>
        </w:trPr>
        <w:tc>
          <w:tcPr>
            <w:tcW w:w="592" w:type="dxa"/>
            <w:tcBorders>
              <w:top w:val="single" w:color="auto" w:sz="4" w:space="0"/>
              <w:bottom w:val="single" w:color="auto" w:sz="4" w:space="0"/>
              <w:right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509"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硝酸银生产线</w:t>
            </w:r>
          </w:p>
        </w:tc>
        <w:tc>
          <w:tcPr>
            <w:tcW w:w="255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i w:val="0"/>
                <w:color w:val="auto"/>
                <w:kern w:val="0"/>
                <w:sz w:val="21"/>
                <w:szCs w:val="21"/>
                <w:u w:val="none"/>
                <w:lang w:val="en-US" w:eastAsia="zh-CN" w:bidi="ar"/>
              </w:rPr>
              <w:t xml:space="preserve">298.57 </w:t>
            </w:r>
          </w:p>
        </w:tc>
        <w:tc>
          <w:tcPr>
            <w:tcW w:w="3582" w:type="dxa"/>
            <w:tcBorders>
              <w:top w:val="single" w:color="auto" w:sz="4" w:space="0"/>
              <w:left w:val="single" w:color="auto" w:sz="4" w:space="0"/>
              <w:bottom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301.68</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64" w:hRule="atLeast"/>
          <w:jc w:val="center"/>
        </w:trPr>
        <w:tc>
          <w:tcPr>
            <w:tcW w:w="592" w:type="dxa"/>
            <w:tcBorders>
              <w:top w:val="single" w:color="auto" w:sz="4" w:space="0"/>
              <w:right w:val="single" w:color="auto" w:sz="4" w:space="0"/>
            </w:tcBorders>
            <w:noWrap w:val="0"/>
            <w:vAlign w:val="center"/>
          </w:tcPr>
          <w:p>
            <w:pPr>
              <w:spacing w:line="240" w:lineRule="auto"/>
              <w:ind w:firstLine="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2509" w:type="dxa"/>
            <w:tcBorders>
              <w:top w:val="single" w:color="auto" w:sz="4" w:space="0"/>
              <w:left w:val="single" w:color="auto" w:sz="4" w:space="0"/>
              <w:right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超细银粉生产线</w:t>
            </w:r>
          </w:p>
        </w:tc>
        <w:tc>
          <w:tcPr>
            <w:tcW w:w="2556" w:type="dxa"/>
            <w:tcBorders>
              <w:top w:val="single" w:color="auto" w:sz="4" w:space="0"/>
              <w:left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i w:val="0"/>
                <w:color w:val="auto"/>
                <w:kern w:val="0"/>
                <w:sz w:val="21"/>
                <w:szCs w:val="21"/>
                <w:u w:val="none"/>
                <w:lang w:val="en-US" w:eastAsia="zh-CN" w:bidi="ar"/>
              </w:rPr>
              <w:t xml:space="preserve">1839.04 </w:t>
            </w:r>
          </w:p>
        </w:tc>
        <w:tc>
          <w:tcPr>
            <w:tcW w:w="3582" w:type="dxa"/>
            <w:tcBorders>
              <w:top w:val="single" w:color="auto" w:sz="4" w:space="0"/>
              <w:left w:val="single" w:color="auto" w:sz="4" w:space="0"/>
            </w:tcBorders>
            <w:noWrap w:val="0"/>
            <w:vAlign w:val="center"/>
          </w:tcPr>
          <w:p>
            <w:pPr>
              <w:spacing w:line="240" w:lineRule="auto"/>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1850.72</w:t>
            </w:r>
          </w:p>
        </w:tc>
      </w:tr>
    </w:tbl>
    <w:p>
      <w:pPr>
        <w:keepNext w:val="0"/>
        <w:keepLines w:val="0"/>
        <w:pageBreakBefore w:val="0"/>
        <w:widowControl w:val="0"/>
        <w:kinsoku/>
        <w:wordWrap/>
        <w:overflowPunct/>
        <w:topLinePunct w:val="0"/>
        <w:autoSpaceDE/>
        <w:autoSpaceDN/>
        <w:bidi w:val="0"/>
        <w:adjustRightInd/>
        <w:snapToGrid w:val="0"/>
        <w:spacing w:line="360" w:lineRule="auto"/>
        <w:ind w:left="0" w:firstLine="480"/>
        <w:textAlignment w:val="auto"/>
        <w:outlineLvl w:val="9"/>
        <w:rPr>
          <w:rFonts w:hint="eastAsia" w:ascii="Times New Roman" w:hAnsi="Times New Roman" w:eastAsia="宋体" w:cs="Times New Roman"/>
          <w:color w:val="auto"/>
          <w:sz w:val="24"/>
          <w:szCs w:val="18"/>
          <w:lang w:val="en-US" w:eastAsia="zh-CN"/>
        </w:rPr>
      </w:pPr>
      <w:r>
        <w:rPr>
          <w:rFonts w:hint="eastAsia" w:ascii="Times New Roman" w:hAnsi="Times New Roman" w:eastAsia="宋体" w:cs="Times New Roman"/>
          <w:color w:val="auto"/>
          <w:sz w:val="24"/>
          <w:szCs w:val="18"/>
          <w:lang w:val="en-US" w:eastAsia="zh-CN"/>
        </w:rPr>
        <w:t>本项目能评后项目单位产品能耗低于国内同类型企业的先进能耗值。</w:t>
      </w:r>
    </w:p>
    <w:p>
      <w:pPr>
        <w:pStyle w:val="24"/>
        <w:keepNext w:val="0"/>
        <w:keepLines w:val="0"/>
        <w:pageBreakBefore w:val="0"/>
        <w:widowControl w:val="0"/>
        <w:kinsoku/>
        <w:wordWrap/>
        <w:overflowPunct/>
        <w:topLinePunct w:val="0"/>
        <w:autoSpaceDE/>
        <w:autoSpaceDN/>
        <w:bidi w:val="0"/>
        <w:adjustRightInd/>
        <w:snapToGrid w:val="0"/>
        <w:spacing w:after="0" w:line="360" w:lineRule="auto"/>
        <w:ind w:left="0"/>
        <w:textAlignment w:val="auto"/>
        <w:rPr>
          <w:rFonts w:hint="eastAsia" w:ascii="宋体" w:hAnsi="宋体" w:eastAsia="宋体" w:cs="宋体"/>
          <w:color w:val="auto"/>
          <w:sz w:val="24"/>
          <w:szCs w:val="18"/>
          <w:lang w:eastAsia="zh-CN"/>
        </w:rPr>
      </w:pPr>
      <w:r>
        <w:rPr>
          <w:rFonts w:hint="eastAsia" w:ascii="Times New Roman" w:hAnsi="Times New Roman" w:eastAsia="宋体" w:cs="Times New Roman"/>
          <w:color w:val="auto"/>
          <w:sz w:val="24"/>
          <w:szCs w:val="18"/>
          <w:lang w:val="en-US" w:eastAsia="zh-CN"/>
        </w:rPr>
        <w:t>综上所述，本项目产品能耗指标（能评后）低于国内同类型先进装置能耗值和国家标准规定的能耗值，</w:t>
      </w:r>
      <w:r>
        <w:rPr>
          <w:rFonts w:hint="eastAsia" w:ascii="Calibri" w:hAnsi="Calibri" w:eastAsia="宋体" w:cs="Times New Roman"/>
          <w:color w:val="auto"/>
          <w:sz w:val="24"/>
          <w:szCs w:val="24"/>
          <w:lang w:val="en-US" w:eastAsia="zh-CN"/>
        </w:rPr>
        <w:t>符合《生态环境部关于加强高耗能、高排放建设项目生态环境源头防控的指导意见》（环环评〔2021〕45号）相关要求，</w:t>
      </w:r>
      <w:r>
        <w:rPr>
          <w:rFonts w:hint="eastAsia" w:ascii="Times New Roman" w:hAnsi="Times New Roman" w:eastAsia="宋体" w:cs="Times New Roman"/>
          <w:color w:val="auto"/>
          <w:sz w:val="24"/>
          <w:szCs w:val="18"/>
          <w:lang w:val="en-US" w:eastAsia="zh-CN"/>
        </w:rPr>
        <w:t>符合清洁生产要求。</w:t>
      </w:r>
    </w:p>
    <w:p>
      <w:pPr>
        <w:keepNext/>
        <w:keepLines/>
        <w:tabs>
          <w:tab w:val="left" w:pos="680"/>
        </w:tabs>
        <w:spacing w:line="360" w:lineRule="auto"/>
        <w:ind w:firstLine="0"/>
        <w:textAlignment w:val="baseline"/>
        <w:outlineLvl w:val="2"/>
        <w:rPr>
          <w:rFonts w:hint="default" w:ascii="Times New Roman" w:hAnsi="Times New Roman" w:eastAsia="黑体" w:cs="Times New Roman"/>
          <w:color w:val="auto"/>
          <w:kern w:val="0"/>
          <w:sz w:val="30"/>
          <w:szCs w:val="30"/>
          <w:lang w:val="en-US" w:eastAsia="zh-CN"/>
        </w:rPr>
      </w:pPr>
      <w:r>
        <w:rPr>
          <w:rFonts w:hint="default" w:ascii="Times New Roman" w:hAnsi="Times New Roman" w:eastAsia="黑体" w:cs="Times New Roman"/>
          <w:color w:val="auto"/>
          <w:kern w:val="0"/>
          <w:sz w:val="30"/>
          <w:szCs w:val="30"/>
          <w:lang w:val="en-GB"/>
        </w:rPr>
        <w:t>3.</w:t>
      </w:r>
      <w:r>
        <w:rPr>
          <w:rFonts w:hint="eastAsia" w:ascii="Times New Roman" w:hAnsi="Times New Roman" w:eastAsia="黑体" w:cs="Times New Roman"/>
          <w:color w:val="auto"/>
          <w:kern w:val="0"/>
          <w:sz w:val="30"/>
          <w:szCs w:val="30"/>
          <w:lang w:val="en-US" w:eastAsia="zh-CN"/>
        </w:rPr>
        <w:t>9</w:t>
      </w:r>
      <w:r>
        <w:rPr>
          <w:rFonts w:hint="default" w:ascii="Times New Roman" w:hAnsi="Times New Roman" w:eastAsia="黑体" w:cs="Times New Roman"/>
          <w:color w:val="auto"/>
          <w:kern w:val="0"/>
          <w:sz w:val="30"/>
          <w:szCs w:val="30"/>
          <w:lang w:val="en-GB"/>
        </w:rPr>
        <w:t>.</w:t>
      </w:r>
      <w:r>
        <w:rPr>
          <w:rFonts w:hint="eastAsia" w:ascii="Times New Roman" w:hAnsi="Times New Roman" w:eastAsia="黑体" w:cs="Times New Roman"/>
          <w:color w:val="auto"/>
          <w:kern w:val="0"/>
          <w:sz w:val="30"/>
          <w:szCs w:val="30"/>
          <w:lang w:val="en-US" w:eastAsia="zh-CN"/>
        </w:rPr>
        <w:t>5污染物控制措施</w:t>
      </w:r>
    </w:p>
    <w:p>
      <w:pPr>
        <w:pStyle w:val="218"/>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（1）废水处理措施</w:t>
      </w:r>
    </w:p>
    <w:p>
      <w:pPr>
        <w:pStyle w:val="218"/>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eastAsia" w:ascii="Times New Roman" w:hAnsi="Times New Roman" w:eastAsia="宋体" w:cs="Times New Roman"/>
          <w:color w:val="auto"/>
          <w:sz w:val="24"/>
          <w:szCs w:val="28"/>
          <w:lang w:eastAsia="zh-CN"/>
        </w:rPr>
      </w:pPr>
      <w:r>
        <w:rPr>
          <w:rFonts w:hint="eastAsia" w:ascii="宋体" w:hAnsi="宋体" w:eastAsia="宋体" w:cs="宋体"/>
          <w:color w:val="auto"/>
          <w:sz w:val="24"/>
          <w:szCs w:val="24"/>
        </w:rPr>
        <w:t>本项目</w:t>
      </w:r>
      <w:r>
        <w:rPr>
          <w:rFonts w:hint="default" w:ascii="Times New Roman" w:hAnsi="Times New Roman" w:eastAsia="宋体" w:cs="Times New Roman"/>
          <w:color w:val="auto"/>
          <w:sz w:val="24"/>
          <w:szCs w:val="28"/>
        </w:rPr>
        <w:t>超细银粉一道洗涤废水去含银废液三效（处理能力3t/h）蒸发，冷凝液去污水站处理</w:t>
      </w:r>
      <w:r>
        <w:rPr>
          <w:rFonts w:hint="eastAsia" w:ascii="Times New Roman" w:hAnsi="Times New Roman" w:cs="Times New Roman"/>
          <w:color w:val="auto"/>
          <w:sz w:val="24"/>
          <w:szCs w:val="28"/>
          <w:lang w:eastAsia="zh-CN"/>
        </w:rPr>
        <w:t>；</w:t>
      </w:r>
      <w:r>
        <w:rPr>
          <w:rFonts w:hint="default" w:ascii="Times New Roman" w:hAnsi="Times New Roman" w:eastAsia="宋体" w:cs="Times New Roman"/>
          <w:color w:val="auto"/>
          <w:sz w:val="24"/>
          <w:szCs w:val="28"/>
        </w:rPr>
        <w:t>硝酸</w:t>
      </w:r>
      <w:r>
        <w:rPr>
          <w:rFonts w:hint="eastAsia" w:ascii="Times New Roman" w:hAnsi="Times New Roman" w:cs="Times New Roman"/>
          <w:color w:val="auto"/>
          <w:sz w:val="24"/>
          <w:szCs w:val="28"/>
          <w:lang w:val="en-US" w:eastAsia="zh-CN"/>
        </w:rPr>
        <w:t>银</w:t>
      </w:r>
      <w:r>
        <w:rPr>
          <w:rFonts w:hint="default" w:ascii="Times New Roman" w:hAnsi="Times New Roman" w:eastAsia="宋体" w:cs="Times New Roman"/>
          <w:color w:val="auto"/>
          <w:sz w:val="24"/>
          <w:szCs w:val="28"/>
        </w:rPr>
        <w:t>生产线蒸馏冷凝液、超细银粉二、三道洗涤废水去含银废水预处理系统处理后再去污水站处理</w:t>
      </w:r>
      <w:r>
        <w:rPr>
          <w:rFonts w:hint="eastAsia" w:ascii="Times New Roman" w:hAnsi="Times New Roman" w:cs="Times New Roman"/>
          <w:color w:val="auto"/>
          <w:sz w:val="24"/>
          <w:szCs w:val="28"/>
          <w:lang w:eastAsia="zh-CN"/>
        </w:rPr>
        <w:t>；</w:t>
      </w:r>
      <w:r>
        <w:rPr>
          <w:rFonts w:hint="default" w:ascii="Times New Roman" w:hAnsi="Times New Roman" w:eastAsia="宋体" w:cs="Times New Roman"/>
          <w:color w:val="auto"/>
          <w:sz w:val="24"/>
          <w:szCs w:val="28"/>
        </w:rPr>
        <w:t>废气处理塔排水、水环真空泵废水、化验室废水</w:t>
      </w:r>
      <w:r>
        <w:rPr>
          <w:rFonts w:hint="eastAsia" w:ascii="Times New Roman" w:hAnsi="Times New Roman" w:cs="Times New Roman"/>
          <w:color w:val="auto"/>
          <w:sz w:val="24"/>
          <w:szCs w:val="28"/>
          <w:lang w:val="en-US" w:eastAsia="zh-CN"/>
        </w:rPr>
        <w:t>及含银废水</w:t>
      </w:r>
      <w:r>
        <w:rPr>
          <w:rFonts w:hint="default" w:ascii="Times New Roman" w:hAnsi="Times New Roman" w:eastAsia="宋体" w:cs="Times New Roman"/>
          <w:color w:val="auto"/>
          <w:sz w:val="24"/>
          <w:szCs w:val="28"/>
        </w:rPr>
        <w:t>进入污水站处理，污水站生化处理系统处理能力15t/h，生化出水进入UF+</w:t>
      </w:r>
      <w:r>
        <w:rPr>
          <w:rFonts w:hint="eastAsia" w:ascii="Times New Roman" w:hAnsi="Times New Roman" w:cs="Times New Roman"/>
          <w:color w:val="auto"/>
          <w:sz w:val="24"/>
          <w:szCs w:val="28"/>
          <w:lang w:val="en-US" w:eastAsia="zh-CN"/>
        </w:rPr>
        <w:t>二级</w:t>
      </w:r>
      <w:r>
        <w:rPr>
          <w:rFonts w:hint="default" w:ascii="Times New Roman" w:hAnsi="Times New Roman" w:eastAsia="宋体" w:cs="Times New Roman"/>
          <w:color w:val="auto"/>
          <w:sz w:val="24"/>
          <w:szCs w:val="28"/>
        </w:rPr>
        <w:t>RO系统处理，浓水进入污水站配套的三效蒸发器（处理能力3t/h）蒸发处理，产水回用；</w:t>
      </w:r>
      <w:r>
        <w:rPr>
          <w:rFonts w:hint="default" w:ascii="Times New Roman" w:hAnsi="Times New Roman" w:eastAsia="宋体" w:cs="Times New Roman"/>
          <w:color w:val="auto"/>
          <w:sz w:val="24"/>
          <w:szCs w:val="28"/>
          <w:lang w:val="en-US" w:eastAsia="zh-CN"/>
        </w:rPr>
        <w:t>经化粪池处理后的生活污水经过生活污水排放口排入江阴</w:t>
      </w:r>
      <w:r>
        <w:rPr>
          <w:rFonts w:hint="default" w:ascii="Times New Roman" w:hAnsi="Times New Roman" w:eastAsia="宋体" w:cs="Times New Roman"/>
          <w:color w:val="auto"/>
          <w:sz w:val="24"/>
          <w:szCs w:val="28"/>
        </w:rPr>
        <w:t>污水处理厂</w:t>
      </w:r>
      <w:r>
        <w:rPr>
          <w:rFonts w:hint="eastAsia" w:ascii="Times New Roman" w:hAnsi="Times New Roman" w:cs="Times New Roman"/>
          <w:color w:val="auto"/>
          <w:sz w:val="24"/>
          <w:szCs w:val="28"/>
          <w:lang w:eastAsia="zh-CN"/>
        </w:rPr>
        <w:t>；</w:t>
      </w:r>
      <w:r>
        <w:rPr>
          <w:rFonts w:hint="eastAsia" w:ascii="Times New Roman" w:hAnsi="Times New Roman" w:cs="Times New Roman"/>
          <w:color w:val="auto"/>
          <w:sz w:val="24"/>
          <w:szCs w:val="28"/>
          <w:lang w:val="en-US" w:eastAsia="zh-CN"/>
        </w:rPr>
        <w:t>循环冷却水站间接冷却排水、去离子水站排水及收集的初期雨水进入沉淀池处理后经监控池监控达标后通过工业废水排污口排入江阴污水处理厂。</w:t>
      </w:r>
    </w:p>
    <w:p>
      <w:pPr>
        <w:pStyle w:val="218"/>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项目废水分质分流，含银废水回用不外排，大大减少废水排放量。</w:t>
      </w:r>
    </w:p>
    <w:p>
      <w:pPr>
        <w:pStyle w:val="218"/>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（2）废气处理措施</w:t>
      </w:r>
    </w:p>
    <w:p>
      <w:pPr>
        <w:pStyle w:val="218"/>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default" w:ascii="宋体" w:hAnsi="宋体" w:eastAsia="宋体" w:cs="宋体"/>
          <w:color w:val="auto"/>
          <w:sz w:val="24"/>
          <w:szCs w:val="24"/>
          <w:lang w:val="en-US"/>
        </w:rPr>
      </w:pPr>
      <w:r>
        <w:rPr>
          <w:rFonts w:hint="eastAsia" w:ascii="宋体" w:hAnsi="宋体" w:eastAsia="宋体" w:cs="宋体"/>
          <w:color w:val="auto"/>
          <w:sz w:val="24"/>
          <w:szCs w:val="24"/>
        </w:rPr>
        <w:t>本项目产生的废气主要为含尘尾气、</w:t>
      </w:r>
      <w:r>
        <w:rPr>
          <w:rFonts w:hint="eastAsia" w:ascii="宋体" w:hAnsi="宋体" w:eastAsia="宋体" w:cs="宋体"/>
          <w:color w:val="auto"/>
          <w:sz w:val="24"/>
          <w:szCs w:val="24"/>
          <w:lang w:val="en-US" w:eastAsia="zh-CN"/>
        </w:rPr>
        <w:t>氮氧化物</w:t>
      </w:r>
      <w:r>
        <w:rPr>
          <w:rFonts w:hint="eastAsia" w:ascii="宋体" w:hAnsi="宋体" w:eastAsia="宋体" w:cs="宋体"/>
          <w:color w:val="auto"/>
          <w:sz w:val="24"/>
          <w:szCs w:val="24"/>
        </w:rPr>
        <w:t>废气</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氨气、有机废气</w:t>
      </w:r>
      <w:r>
        <w:rPr>
          <w:rFonts w:hint="eastAsia" w:ascii="宋体" w:hAnsi="宋体" w:eastAsia="宋体" w:cs="宋体"/>
          <w:color w:val="auto"/>
          <w:sz w:val="24"/>
          <w:szCs w:val="24"/>
        </w:rPr>
        <w:t>等，</w:t>
      </w:r>
      <w:r>
        <w:rPr>
          <w:rFonts w:hint="eastAsia" w:ascii="宋体" w:hAnsi="宋体" w:cs="宋体"/>
          <w:color w:val="auto"/>
          <w:sz w:val="24"/>
          <w:szCs w:val="24"/>
          <w:lang w:val="en-US" w:eastAsia="zh-CN"/>
        </w:rPr>
        <w:t>氮氧化物尾气采用二级水吸收+强氧化吸收+二级碱吸收处理；</w:t>
      </w:r>
      <w:r>
        <w:rPr>
          <w:rFonts w:hint="eastAsia" w:ascii="宋体" w:hAnsi="宋体" w:eastAsia="宋体" w:cs="宋体"/>
          <w:color w:val="auto"/>
          <w:sz w:val="24"/>
          <w:szCs w:val="24"/>
        </w:rPr>
        <w:t>含尘尾气主要采取布袋除尘处理</w:t>
      </w:r>
      <w:r>
        <w:rPr>
          <w:rFonts w:hint="eastAsia" w:ascii="宋体" w:hAnsi="宋体" w:cs="宋体"/>
          <w:color w:val="auto"/>
          <w:sz w:val="24"/>
          <w:szCs w:val="24"/>
          <w:lang w:eastAsia="zh-CN"/>
        </w:rPr>
        <w:t>；</w:t>
      </w:r>
      <w:r>
        <w:rPr>
          <w:rFonts w:hint="eastAsia" w:ascii="宋体" w:hAnsi="宋体" w:cs="宋体"/>
          <w:color w:val="auto"/>
          <w:sz w:val="24"/>
          <w:szCs w:val="24"/>
          <w:lang w:val="en-US" w:eastAsia="zh-CN"/>
        </w:rPr>
        <w:t>含</w:t>
      </w:r>
      <w:r>
        <w:rPr>
          <w:rFonts w:hint="eastAsia" w:ascii="宋体" w:hAnsi="宋体" w:eastAsia="宋体" w:cs="宋体"/>
          <w:color w:val="auto"/>
          <w:sz w:val="24"/>
          <w:szCs w:val="24"/>
          <w:lang w:val="en-US" w:eastAsia="zh-CN"/>
        </w:rPr>
        <w:t>氨</w:t>
      </w:r>
      <w:r>
        <w:rPr>
          <w:rFonts w:hint="eastAsia" w:ascii="宋体" w:hAnsi="宋体" w:cs="宋体"/>
          <w:color w:val="auto"/>
          <w:sz w:val="24"/>
          <w:szCs w:val="24"/>
          <w:lang w:val="en-US" w:eastAsia="zh-CN"/>
        </w:rPr>
        <w:t>及有机废气采用二级水吸收+二级水洗+高效除雾装置+活性炭吸附；污水站及罐区废气采用氧化吸收+碱吸收+生物除臭处理，</w:t>
      </w:r>
      <w:r>
        <w:rPr>
          <w:rFonts w:hint="eastAsia" w:ascii="宋体" w:hAnsi="宋体" w:eastAsia="宋体" w:cs="宋体"/>
          <w:color w:val="auto"/>
          <w:sz w:val="24"/>
          <w:szCs w:val="24"/>
          <w:lang w:val="en-US" w:eastAsia="zh-CN"/>
        </w:rPr>
        <w:t>废气中能回收的尽量回收，不能回收的通过相应处理措施减少排放量，降低对大气环境的影响。</w:t>
      </w:r>
    </w:p>
    <w:p>
      <w:pPr>
        <w:pStyle w:val="218"/>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（3）噪声防治措施</w:t>
      </w:r>
    </w:p>
    <w:p>
      <w:pPr>
        <w:pStyle w:val="218"/>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eastAsia" w:ascii="宋体" w:hAnsi="宋体" w:eastAsia="宋体" w:cs="宋体"/>
          <w:color w:val="auto"/>
          <w:sz w:val="24"/>
          <w:szCs w:val="24"/>
          <w:lang w:eastAsia="zh-CN"/>
        </w:rPr>
      </w:pPr>
      <w:r>
        <w:rPr>
          <w:rFonts w:hint="eastAsia" w:ascii="宋体" w:hAnsi="宋体" w:eastAsia="宋体" w:cs="宋体"/>
          <w:color w:val="auto"/>
          <w:sz w:val="24"/>
          <w:szCs w:val="24"/>
        </w:rPr>
        <w:t>项目运营期噪声源主要为</w:t>
      </w:r>
      <w:r>
        <w:rPr>
          <w:rFonts w:hint="default" w:ascii="Times New Roman" w:hAnsi="Times New Roman" w:eastAsia="宋体" w:cs="Times New Roman"/>
          <w:color w:val="auto"/>
          <w:sz w:val="24"/>
          <w:szCs w:val="22"/>
        </w:rPr>
        <w:t>泵类、风机、离心机、破碎机、空压机、冷却水塔</w:t>
      </w:r>
      <w:r>
        <w:rPr>
          <w:rFonts w:hint="eastAsia" w:ascii="Times New Roman" w:hAnsi="Times New Roman" w:cs="Times New Roman"/>
          <w:color w:val="auto"/>
          <w:sz w:val="24"/>
          <w:szCs w:val="22"/>
          <w:lang w:val="en-US" w:eastAsia="zh-CN"/>
        </w:rPr>
        <w:t>等</w:t>
      </w:r>
      <w:r>
        <w:rPr>
          <w:rFonts w:hint="eastAsia" w:ascii="宋体" w:hAnsi="宋体" w:eastAsia="宋体" w:cs="宋体"/>
          <w:color w:val="auto"/>
          <w:sz w:val="24"/>
          <w:szCs w:val="24"/>
          <w:lang w:eastAsia="zh-CN"/>
        </w:rPr>
        <w:t>。建设单位选用</w:t>
      </w:r>
      <w:r>
        <w:rPr>
          <w:rFonts w:hint="eastAsia" w:ascii="宋体" w:hAnsi="宋体" w:eastAsia="宋体" w:cs="宋体"/>
          <w:color w:val="auto"/>
          <w:sz w:val="24"/>
          <w:szCs w:val="24"/>
        </w:rPr>
        <w:t>先进的低噪声设备</w:t>
      </w:r>
      <w:r>
        <w:rPr>
          <w:rFonts w:hint="eastAsia" w:ascii="宋体" w:hAnsi="宋体" w:eastAsia="宋体" w:cs="宋体"/>
          <w:color w:val="auto"/>
          <w:sz w:val="24"/>
          <w:szCs w:val="24"/>
          <w:lang w:eastAsia="zh-CN"/>
        </w:rPr>
        <w:t>，针对</w:t>
      </w:r>
      <w:r>
        <w:rPr>
          <w:rFonts w:hint="eastAsia" w:ascii="宋体" w:hAnsi="宋体" w:eastAsia="宋体" w:cs="宋体"/>
          <w:color w:val="auto"/>
          <w:sz w:val="24"/>
          <w:szCs w:val="24"/>
          <w:lang w:val="en-US" w:eastAsia="zh-CN"/>
        </w:rPr>
        <w:t>空</w:t>
      </w:r>
      <w:r>
        <w:rPr>
          <w:rFonts w:hint="eastAsia" w:ascii="宋体" w:hAnsi="宋体" w:eastAsia="宋体" w:cs="宋体"/>
          <w:color w:val="auto"/>
          <w:sz w:val="24"/>
          <w:szCs w:val="24"/>
        </w:rPr>
        <w:t>压机、风机等较强噪声级的声污染源采用隔声、消声、吸声、减振等有效措施</w:t>
      </w:r>
      <w:r>
        <w:rPr>
          <w:rFonts w:hint="eastAsia" w:ascii="宋体" w:hAnsi="宋体" w:eastAsia="宋体" w:cs="宋体"/>
          <w:color w:val="auto"/>
          <w:sz w:val="24"/>
          <w:szCs w:val="24"/>
          <w:lang w:eastAsia="zh-CN"/>
        </w:rPr>
        <w:t>，定期对</w:t>
      </w:r>
      <w:r>
        <w:rPr>
          <w:rFonts w:hint="eastAsia" w:ascii="宋体" w:hAnsi="宋体" w:eastAsia="宋体" w:cs="宋体"/>
          <w:color w:val="auto"/>
          <w:sz w:val="24"/>
          <w:szCs w:val="24"/>
        </w:rPr>
        <w:t>机械设备</w:t>
      </w:r>
      <w:r>
        <w:rPr>
          <w:rFonts w:hint="eastAsia" w:ascii="宋体" w:hAnsi="宋体" w:eastAsia="宋体" w:cs="宋体"/>
          <w:color w:val="auto"/>
          <w:sz w:val="24"/>
          <w:szCs w:val="24"/>
          <w:lang w:eastAsia="zh-CN"/>
        </w:rPr>
        <w:t>开展检修与维护，减少机械故障噪声。</w:t>
      </w:r>
    </w:p>
    <w:p>
      <w:pPr>
        <w:pStyle w:val="218"/>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（4）固体废物处置措施</w:t>
      </w:r>
    </w:p>
    <w:p>
      <w:pPr>
        <w:pStyle w:val="218"/>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本项目</w:t>
      </w:r>
      <w:r>
        <w:rPr>
          <w:rFonts w:hint="eastAsia"/>
          <w:color w:val="auto"/>
          <w:sz w:val="24"/>
        </w:rPr>
        <w:t>产生的固废均能妥善处置，对环境影响较小。</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lang w:eastAsia="zh-CN"/>
        </w:rPr>
        <w:t>综上，项目污染物控制及废物回收符合清洁生产要求。</w:t>
      </w:r>
    </w:p>
    <w:p>
      <w:pPr>
        <w:keepNext/>
        <w:keepLines/>
        <w:tabs>
          <w:tab w:val="left" w:pos="680"/>
        </w:tabs>
        <w:spacing w:line="360" w:lineRule="auto"/>
        <w:ind w:firstLine="0"/>
        <w:textAlignment w:val="baseline"/>
        <w:outlineLvl w:val="2"/>
        <w:rPr>
          <w:rFonts w:hint="default" w:ascii="Times New Roman" w:hAnsi="Times New Roman" w:eastAsia="黑体" w:cs="Times New Roman"/>
          <w:color w:val="auto"/>
          <w:kern w:val="0"/>
          <w:sz w:val="30"/>
          <w:szCs w:val="30"/>
          <w:lang w:val="en-US" w:eastAsia="zh-CN"/>
        </w:rPr>
      </w:pPr>
      <w:r>
        <w:rPr>
          <w:rFonts w:hint="default" w:ascii="Times New Roman" w:hAnsi="Times New Roman" w:eastAsia="黑体" w:cs="Times New Roman"/>
          <w:color w:val="auto"/>
          <w:kern w:val="0"/>
          <w:sz w:val="30"/>
          <w:szCs w:val="30"/>
          <w:lang w:val="en-GB"/>
        </w:rPr>
        <w:t>3.</w:t>
      </w:r>
      <w:r>
        <w:rPr>
          <w:rFonts w:hint="eastAsia" w:ascii="Times New Roman" w:hAnsi="Times New Roman" w:eastAsia="黑体" w:cs="Times New Roman"/>
          <w:color w:val="auto"/>
          <w:kern w:val="0"/>
          <w:sz w:val="30"/>
          <w:szCs w:val="30"/>
          <w:lang w:val="en-US" w:eastAsia="zh-CN"/>
        </w:rPr>
        <w:t>9</w:t>
      </w:r>
      <w:r>
        <w:rPr>
          <w:rFonts w:hint="default" w:ascii="Times New Roman" w:hAnsi="Times New Roman" w:eastAsia="黑体" w:cs="Times New Roman"/>
          <w:color w:val="auto"/>
          <w:kern w:val="0"/>
          <w:sz w:val="30"/>
          <w:szCs w:val="30"/>
          <w:lang w:val="en-GB"/>
        </w:rPr>
        <w:t>.</w:t>
      </w:r>
      <w:r>
        <w:rPr>
          <w:rFonts w:hint="eastAsia" w:ascii="Times New Roman" w:hAnsi="Times New Roman" w:eastAsia="黑体" w:cs="Times New Roman"/>
          <w:color w:val="auto"/>
          <w:kern w:val="0"/>
          <w:sz w:val="30"/>
          <w:szCs w:val="30"/>
          <w:lang w:val="en-US" w:eastAsia="zh-CN"/>
        </w:rPr>
        <w:t>6管理水平和员工素质</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eastAsia" w:ascii="宋体" w:hAnsi="宋体" w:eastAsia="宋体" w:cs="宋体"/>
          <w:color w:val="auto"/>
          <w:sz w:val="24"/>
        </w:rPr>
      </w:pPr>
      <w:r>
        <w:rPr>
          <w:rFonts w:hint="eastAsia" w:ascii="宋体" w:hAnsi="宋体" w:eastAsia="宋体" w:cs="宋体"/>
          <w:color w:val="auto"/>
          <w:sz w:val="24"/>
        </w:rPr>
        <w:t>落后的管理水平也是导致物料能源浪费和废物增加的重要原因。由于环境管理工作贯穿项目建设和运行的全过程中，应落实到企业各个层次，分解到企业的各个环节，关联到产品与消费过程的各个方面。企业环境管理的作用主要体现在协调发展生产和保护环境的关系，环境管理应依据清洁生产与末端治理相结合的思路，从生产原料进厂到产品出厂整个过程中对原料使用、能源利用、设备维护、污染物治理等方面认真做到严格管理，加强员工清洁生产意识，严格操作规程，杜绝生产过程中不必要的原料及能源的损耗，保证清洁生产稳定持续发展，协调社会、经济、环境效益的统一。企业将在以下方面加强环境管理：</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eastAsia" w:ascii="宋体" w:hAnsi="宋体" w:eastAsia="宋体" w:cs="宋体"/>
          <w:color w:val="auto"/>
          <w:sz w:val="24"/>
        </w:rPr>
      </w:pPr>
      <w:r>
        <w:rPr>
          <w:rFonts w:hint="eastAsia" w:ascii="宋体" w:hAnsi="宋体" w:eastAsia="宋体" w:cs="宋体"/>
          <w:color w:val="auto"/>
          <w:sz w:val="24"/>
        </w:rPr>
        <w:t>①强化日常监管，从源头上控制“三废”的产生和排放，减少资源消耗。</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eastAsia" w:ascii="宋体" w:hAnsi="宋体" w:eastAsia="宋体" w:cs="宋体"/>
          <w:color w:val="auto"/>
          <w:sz w:val="24"/>
        </w:rPr>
      </w:pPr>
      <w:r>
        <w:rPr>
          <w:rFonts w:hint="eastAsia" w:ascii="宋体" w:hAnsi="宋体" w:eastAsia="宋体" w:cs="宋体"/>
          <w:color w:val="auto"/>
          <w:sz w:val="24"/>
        </w:rPr>
        <w:t>②制定有利于清洁生产的管理条例及岗位操作规程；</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eastAsia" w:ascii="宋体" w:hAnsi="宋体" w:eastAsia="宋体" w:cs="宋体"/>
          <w:color w:val="auto"/>
          <w:sz w:val="24"/>
        </w:rPr>
      </w:pPr>
      <w:r>
        <w:rPr>
          <w:rFonts w:hint="eastAsia" w:ascii="宋体" w:hAnsi="宋体" w:eastAsia="宋体" w:cs="宋体"/>
          <w:color w:val="auto"/>
          <w:sz w:val="24"/>
        </w:rPr>
        <w:t>③制定专门的管理制度及清洁生产计划，推行ISO14001环境管理体系。</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eastAsia" w:ascii="宋体" w:hAnsi="宋体" w:eastAsia="宋体" w:cs="宋体"/>
          <w:sz w:val="24"/>
        </w:rPr>
      </w:pPr>
      <w:r>
        <w:rPr>
          <w:rFonts w:hint="eastAsia" w:ascii="宋体" w:hAnsi="宋体" w:eastAsia="宋体" w:cs="宋体"/>
          <w:color w:val="auto"/>
          <w:sz w:val="24"/>
        </w:rPr>
        <w:t>④选择有一定工作经验及文化素质较高的员工，并对其进行岗前培训</w:t>
      </w:r>
      <w:r>
        <w:rPr>
          <w:rFonts w:hint="eastAsia" w:ascii="宋体" w:hAnsi="宋体" w:eastAsia="宋体" w:cs="宋体"/>
          <w:sz w:val="24"/>
        </w:rPr>
        <w:t>合格</w:t>
      </w:r>
      <w:r>
        <w:rPr>
          <w:rFonts w:hint="eastAsia" w:ascii="宋体" w:hAnsi="宋体" w:eastAsia="宋体" w:cs="宋体"/>
          <w:sz w:val="24"/>
          <w:lang w:val="en-US" w:eastAsia="zh-CN"/>
        </w:rPr>
        <w:t>后</w:t>
      </w:r>
      <w:r>
        <w:rPr>
          <w:rFonts w:hint="eastAsia" w:ascii="宋体" w:hAnsi="宋体" w:eastAsia="宋体" w:cs="宋体"/>
          <w:sz w:val="24"/>
        </w:rPr>
        <w:t>上岗；</w:t>
      </w: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9"/>
        <w:rPr>
          <w:rFonts w:hint="eastAsia" w:ascii="宋体" w:hAnsi="宋体" w:eastAsia="宋体" w:cs="宋体"/>
        </w:rPr>
      </w:pPr>
      <w:r>
        <w:rPr>
          <w:rFonts w:hint="eastAsia" w:ascii="宋体" w:hAnsi="宋体" w:eastAsia="宋体" w:cs="宋体"/>
          <w:sz w:val="24"/>
        </w:rPr>
        <w:t>⑤加强对员工的清洁生产意识教育，制定清洁生产的奖励及惩罚措施，提高员工参与清洁生产的积极性。</w:t>
      </w:r>
    </w:p>
    <w:p>
      <w:pPr>
        <w:keepNext/>
        <w:keepLines/>
        <w:pageBreakBefore w:val="0"/>
        <w:widowControl w:val="0"/>
        <w:tabs>
          <w:tab w:val="left" w:pos="680"/>
        </w:tabs>
        <w:kinsoku/>
        <w:wordWrap/>
        <w:overflowPunct/>
        <w:topLinePunct w:val="0"/>
        <w:autoSpaceDE/>
        <w:autoSpaceDN/>
        <w:bidi w:val="0"/>
        <w:adjustRightInd/>
        <w:snapToGrid/>
        <w:spacing w:line="240" w:lineRule="auto"/>
        <w:ind w:firstLine="0"/>
        <w:textAlignment w:val="baseline"/>
        <w:outlineLvl w:val="2"/>
        <w:rPr>
          <w:rFonts w:hint="default" w:ascii="Times New Roman" w:hAnsi="Times New Roman" w:eastAsia="黑体" w:cs="Times New Roman"/>
          <w:kern w:val="0"/>
          <w:sz w:val="30"/>
          <w:szCs w:val="30"/>
          <w:lang w:val="en-US" w:eastAsia="zh-CN"/>
        </w:rPr>
      </w:pPr>
      <w:r>
        <w:rPr>
          <w:rFonts w:hint="default" w:ascii="Times New Roman" w:hAnsi="Times New Roman" w:eastAsia="黑体" w:cs="Times New Roman"/>
          <w:kern w:val="0"/>
          <w:sz w:val="30"/>
          <w:szCs w:val="30"/>
          <w:lang w:val="en-GB"/>
        </w:rPr>
        <w:t>3.</w:t>
      </w:r>
      <w:r>
        <w:rPr>
          <w:rFonts w:hint="eastAsia" w:ascii="Times New Roman" w:hAnsi="Times New Roman" w:eastAsia="黑体" w:cs="Times New Roman"/>
          <w:kern w:val="0"/>
          <w:sz w:val="30"/>
          <w:szCs w:val="30"/>
          <w:lang w:val="en-US" w:eastAsia="zh-CN"/>
        </w:rPr>
        <w:t>9</w:t>
      </w:r>
      <w:r>
        <w:rPr>
          <w:rFonts w:hint="default" w:ascii="Times New Roman" w:hAnsi="Times New Roman" w:eastAsia="黑体" w:cs="Times New Roman"/>
          <w:kern w:val="0"/>
          <w:sz w:val="30"/>
          <w:szCs w:val="30"/>
          <w:lang w:val="en-GB"/>
        </w:rPr>
        <w:t>.</w:t>
      </w:r>
      <w:r>
        <w:rPr>
          <w:rFonts w:hint="eastAsia" w:ascii="Times New Roman" w:hAnsi="Times New Roman" w:eastAsia="黑体" w:cs="Times New Roman"/>
          <w:kern w:val="0"/>
          <w:sz w:val="30"/>
          <w:szCs w:val="30"/>
          <w:lang w:val="en-US" w:eastAsia="zh-CN"/>
        </w:rPr>
        <w:t>6本项目总体清洁生产评价</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eastAsia" w:ascii="宋体" w:hAnsi="宋体" w:eastAsia="宋体" w:cs="宋体"/>
          <w:sz w:val="24"/>
        </w:rPr>
      </w:pPr>
      <w:r>
        <w:rPr>
          <w:rFonts w:hint="eastAsia" w:ascii="宋体" w:hAnsi="宋体" w:eastAsia="宋体" w:cs="宋体"/>
          <w:sz w:val="24"/>
        </w:rPr>
        <w:t>本项目使用清洁的原辅材料和能源，采用国内先进的生产工艺和装备，工艺流程简捷合理，技术成熟，设备选型考虑使用节能设计，通过生产全过程的控制结合污染物末端治理，落实各项污染防治、清洁生产和安全防范措施，污染物排放可以得到有效控制，相关的环境管理体系、制度正在陆续建立健全，基本符合清洁生产的要求。</w:t>
      </w: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9"/>
        <w:rPr>
          <w:rFonts w:hint="eastAsia" w:ascii="宋体" w:hAnsi="宋体" w:eastAsia="宋体" w:cs="宋体"/>
        </w:rPr>
      </w:pPr>
      <w:r>
        <w:rPr>
          <w:rFonts w:hint="eastAsia" w:ascii="宋体" w:hAnsi="宋体" w:eastAsia="宋体" w:cs="宋体"/>
          <w:sz w:val="24"/>
          <w:szCs w:val="18"/>
        </w:rPr>
        <w:t>建议建设单位加强对</w:t>
      </w:r>
      <w:r>
        <w:rPr>
          <w:rFonts w:hint="eastAsia" w:ascii="宋体" w:hAnsi="宋体" w:eastAsia="宋体" w:cs="宋体"/>
          <w:sz w:val="24"/>
          <w:szCs w:val="18"/>
          <w:lang w:eastAsia="zh-CN"/>
        </w:rPr>
        <w:t>原辅材料的</w:t>
      </w:r>
      <w:r>
        <w:rPr>
          <w:rFonts w:hint="eastAsia" w:ascii="宋体" w:hAnsi="宋体" w:eastAsia="宋体" w:cs="宋体"/>
          <w:sz w:val="24"/>
          <w:szCs w:val="18"/>
        </w:rPr>
        <w:t>使用过程的管理，提高设备的密封性，杜绝“跑冒滴漏”，提高原料的转化率，减少原料的浪费，加强节水措施和环境管理，使生产过程中排放的污染物及其环境影响最小化。</w:t>
      </w:r>
    </w:p>
    <w:p>
      <w:pPr>
        <w:keepNext/>
        <w:keepLines/>
        <w:pageBreakBefore w:val="0"/>
        <w:widowControl w:val="0"/>
        <w:kinsoku/>
        <w:wordWrap/>
        <w:overflowPunct/>
        <w:topLinePunct w:val="0"/>
        <w:autoSpaceDE/>
        <w:autoSpaceDN/>
        <w:bidi w:val="0"/>
        <w:adjustRightInd/>
        <w:snapToGrid w:val="0"/>
        <w:spacing w:line="240" w:lineRule="auto"/>
        <w:ind w:firstLine="0"/>
        <w:textAlignment w:val="auto"/>
        <w:outlineLvl w:val="1"/>
        <w:rPr>
          <w:rFonts w:hint="default" w:ascii="Times New Roman" w:hAnsi="Times New Roman" w:eastAsia="黑体" w:cs="Times New Roman"/>
          <w:bCs/>
          <w:sz w:val="32"/>
          <w:szCs w:val="30"/>
        </w:rPr>
      </w:pPr>
      <w:bookmarkStart w:id="198" w:name="_Toc25660"/>
      <w:r>
        <w:rPr>
          <w:rFonts w:hint="default" w:ascii="Times New Roman" w:hAnsi="Times New Roman" w:eastAsia="黑体" w:cs="Times New Roman"/>
          <w:bCs/>
          <w:sz w:val="32"/>
          <w:szCs w:val="30"/>
        </w:rPr>
        <w:t>3.</w:t>
      </w:r>
      <w:r>
        <w:rPr>
          <w:rFonts w:hint="eastAsia" w:ascii="Times New Roman" w:hAnsi="Times New Roman" w:eastAsia="黑体" w:cs="Times New Roman"/>
          <w:bCs/>
          <w:sz w:val="32"/>
          <w:szCs w:val="30"/>
          <w:lang w:val="en-US" w:eastAsia="zh-CN"/>
        </w:rPr>
        <w:t>10</w:t>
      </w:r>
      <w:r>
        <w:rPr>
          <w:rFonts w:hint="default" w:ascii="Times New Roman" w:hAnsi="Times New Roman" w:eastAsia="黑体" w:cs="Times New Roman"/>
          <w:bCs/>
          <w:sz w:val="32"/>
          <w:szCs w:val="30"/>
        </w:rPr>
        <w:t>产业政策与规划符合性分析</w:t>
      </w:r>
      <w:bookmarkEnd w:id="198"/>
    </w:p>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lang w:val="en-GB"/>
        </w:rPr>
      </w:pPr>
      <w:r>
        <w:rPr>
          <w:rFonts w:hint="default" w:ascii="Times New Roman" w:hAnsi="Times New Roman" w:eastAsia="黑体" w:cs="Times New Roman"/>
          <w:kern w:val="0"/>
          <w:sz w:val="30"/>
          <w:szCs w:val="30"/>
          <w:lang w:val="en-GB"/>
        </w:rPr>
        <w:t>3.</w:t>
      </w:r>
      <w:r>
        <w:rPr>
          <w:rFonts w:hint="eastAsia" w:ascii="Times New Roman" w:hAnsi="Times New Roman" w:eastAsia="黑体" w:cs="Times New Roman"/>
          <w:kern w:val="0"/>
          <w:sz w:val="30"/>
          <w:szCs w:val="30"/>
          <w:lang w:val="en-US" w:eastAsia="zh-CN"/>
        </w:rPr>
        <w:t>10</w:t>
      </w:r>
      <w:r>
        <w:rPr>
          <w:rFonts w:hint="default" w:ascii="Times New Roman" w:hAnsi="Times New Roman" w:eastAsia="黑体" w:cs="Times New Roman"/>
          <w:kern w:val="0"/>
          <w:sz w:val="30"/>
          <w:szCs w:val="30"/>
          <w:lang w:val="en-GB"/>
        </w:rPr>
        <w:t>.1产业政策符合性分析</w:t>
      </w:r>
    </w:p>
    <w:p>
      <w:pPr>
        <w:snapToGrid w:val="0"/>
        <w:spacing w:line="360" w:lineRule="auto"/>
        <w:ind w:firstLine="480"/>
        <w:rPr>
          <w:rFonts w:hint="default" w:ascii="Times New Roman" w:hAnsi="Times New Roman" w:eastAsia="宋体" w:cs="Times New Roman"/>
          <w:sz w:val="24"/>
          <w:szCs w:val="28"/>
        </w:rPr>
      </w:pPr>
      <w:r>
        <w:rPr>
          <w:rFonts w:hint="default" w:ascii="Times New Roman" w:hAnsi="Times New Roman" w:eastAsia="宋体" w:cs="Times New Roman"/>
          <w:sz w:val="24"/>
          <w:szCs w:val="28"/>
        </w:rPr>
        <w:t>拟建工程产品为电子级硝酸、硝酸银、超细银粉，均为新型电子元器件用材料，通过查阅《产业结构调整指导目录（2019年本）》，属于第二十八项“信息产业”第22条：半导体、光电子器件、新型电子元器件等电子产品用材料鼓励类项目。此外，</w:t>
      </w:r>
      <w:r>
        <w:rPr>
          <w:rFonts w:hint="default" w:ascii="Times New Roman" w:hAnsi="Times New Roman" w:eastAsia="宋体" w:cs="Times New Roman"/>
          <w:sz w:val="24"/>
          <w:szCs w:val="24"/>
        </w:rPr>
        <w:t>本项目电子级硝酸、硝酸银、超细银粉制造业属于无机化工行业</w:t>
      </w:r>
      <w:r>
        <w:rPr>
          <w:rFonts w:hint="eastAsia" w:ascii="Times New Roman" w:hAnsi="Times New Roman" w:eastAsia="宋体" w:cs="Times New Roman"/>
          <w:sz w:val="24"/>
          <w:szCs w:val="24"/>
          <w:lang w:val="en-US" w:eastAsia="zh-CN"/>
        </w:rPr>
        <w:t>及下游延伸高附加值、高成长性产品生产</w:t>
      </w:r>
      <w:r>
        <w:rPr>
          <w:rFonts w:hint="default" w:ascii="Times New Roman" w:hAnsi="Times New Roman" w:eastAsia="宋体" w:cs="Times New Roman"/>
          <w:sz w:val="24"/>
          <w:szCs w:val="24"/>
        </w:rPr>
        <w:t>，不属于</w:t>
      </w:r>
      <w:r>
        <w:rPr>
          <w:rFonts w:hint="default" w:ascii="Times New Roman" w:hAnsi="Times New Roman" w:eastAsia="宋体" w:cs="Times New Roman"/>
          <w:sz w:val="24"/>
          <w:szCs w:val="28"/>
        </w:rPr>
        <w:t>《产业结构调整指导目录（2019年本）》石化化工中</w:t>
      </w:r>
      <w:r>
        <w:rPr>
          <w:rFonts w:hint="default" w:ascii="Times New Roman" w:hAnsi="Times New Roman" w:eastAsia="宋体" w:cs="Times New Roman"/>
          <w:sz w:val="24"/>
          <w:szCs w:val="24"/>
        </w:rPr>
        <w:t>限制类和淘汰类。</w:t>
      </w:r>
      <w:r>
        <w:rPr>
          <w:rFonts w:hint="default" w:ascii="Times New Roman" w:hAnsi="Times New Roman" w:eastAsia="宋体" w:cs="Times New Roman"/>
          <w:sz w:val="24"/>
          <w:szCs w:val="28"/>
        </w:rPr>
        <w:t>因此，项目的建设符合国家当前的产业政策。</w:t>
      </w:r>
    </w:p>
    <w:p>
      <w:pPr>
        <w:snapToGrid w:val="0"/>
        <w:spacing w:line="360" w:lineRule="auto"/>
        <w:ind w:firstLine="48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同时，本项目已于2021年5月31日获得福清市发展和改革局备案证明（闽发改备〔2021〕A060201号）。</w:t>
      </w:r>
    </w:p>
    <w:p>
      <w:pPr>
        <w:spacing w:line="360" w:lineRule="auto"/>
        <w:ind w:firstLine="0"/>
        <w:outlineLvl w:val="2"/>
        <w:rPr>
          <w:rFonts w:hint="default" w:ascii="Times New Roman" w:hAnsi="Times New Roman" w:eastAsia="黑体" w:cs="Times New Roman"/>
          <w:kern w:val="0"/>
          <w:sz w:val="30"/>
          <w:szCs w:val="30"/>
          <w:lang w:val="en-GB"/>
        </w:rPr>
      </w:pPr>
      <w:r>
        <w:rPr>
          <w:rFonts w:hint="default" w:ascii="Times New Roman" w:hAnsi="Times New Roman" w:eastAsia="黑体" w:cs="Times New Roman"/>
          <w:kern w:val="0"/>
          <w:sz w:val="30"/>
          <w:szCs w:val="30"/>
          <w:lang w:val="en-GB"/>
        </w:rPr>
        <w:t>3.</w:t>
      </w:r>
      <w:r>
        <w:rPr>
          <w:rFonts w:hint="eastAsia" w:ascii="Times New Roman" w:hAnsi="Times New Roman" w:eastAsia="黑体" w:cs="Times New Roman"/>
          <w:kern w:val="0"/>
          <w:sz w:val="30"/>
          <w:szCs w:val="30"/>
          <w:lang w:val="en-US" w:eastAsia="zh-CN"/>
        </w:rPr>
        <w:t>10</w:t>
      </w:r>
      <w:r>
        <w:rPr>
          <w:rFonts w:hint="default" w:ascii="Times New Roman" w:hAnsi="Times New Roman" w:eastAsia="黑体" w:cs="Times New Roman"/>
          <w:kern w:val="0"/>
          <w:sz w:val="30"/>
          <w:szCs w:val="30"/>
          <w:lang w:val="en-GB"/>
        </w:rPr>
        <w:t>.2与相关规划的符合性分析</w:t>
      </w:r>
    </w:p>
    <w:p>
      <w:pPr>
        <w:spacing w:line="36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3.</w:t>
      </w:r>
      <w:r>
        <w:rPr>
          <w:rFonts w:hint="eastAsia" w:ascii="Times New Roman" w:hAnsi="Times New Roman" w:eastAsia="黑体" w:cs="Times New Roman"/>
          <w:kern w:val="0"/>
          <w:szCs w:val="22"/>
          <w:lang w:val="en-US" w:eastAsia="zh-CN"/>
        </w:rPr>
        <w:t>10</w:t>
      </w:r>
      <w:r>
        <w:rPr>
          <w:rFonts w:hint="default" w:ascii="Times New Roman" w:hAnsi="Times New Roman" w:eastAsia="黑体" w:cs="Times New Roman"/>
          <w:kern w:val="0"/>
          <w:szCs w:val="22"/>
        </w:rPr>
        <w:t>.2.1与福建省“十三五”环境保护规划的符合性</w:t>
      </w:r>
    </w:p>
    <w:p>
      <w:pPr>
        <w:snapToGrid w:val="0"/>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福建省“十三五”环境保护规划》，严禁在生态保护红线控制区、人口聚集区新建涉及化学品和危险废物排放的项目。新建立的涉化企业原则上应在合法设立的工业园区内选址建设。严格管理和落实建设项目周边安全防控距离，安全防护距离内的集中居住区等环境敏感人群应加快制定搬迁计划。</w:t>
      </w:r>
    </w:p>
    <w:p>
      <w:pPr>
        <w:snapToGrid w:val="0"/>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本项目电子级硝酸属于C2611无机酸制造，硝酸银属于C2613无机盐制造，行业大类为化学原料和化学制品制造业</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超细银粉属于C3985电子专用材料制造，</w:t>
      </w:r>
      <w:r>
        <w:rPr>
          <w:rFonts w:hint="eastAsia" w:ascii="Times New Roman" w:hAnsi="Times New Roman" w:eastAsia="宋体" w:cs="Times New Roman"/>
          <w:color w:val="auto"/>
          <w:sz w:val="24"/>
          <w:szCs w:val="24"/>
          <w:lang w:val="en-US" w:eastAsia="zh-CN"/>
        </w:rPr>
        <w:t>属于硝酸银下游延伸行业，属于高附加值、高成长性产品生产。但超细银粉使用化工原料，生产过程为化工工艺，生产存在化工企业环境风险，仍应按照化工企业要求管理。因此，</w:t>
      </w:r>
      <w:r>
        <w:rPr>
          <w:rFonts w:hint="default" w:ascii="Times New Roman" w:hAnsi="Times New Roman" w:eastAsia="宋体" w:cs="Times New Roman"/>
          <w:color w:val="auto"/>
          <w:sz w:val="24"/>
          <w:szCs w:val="24"/>
        </w:rPr>
        <w:t>项目选址位于江阴工业区的西部工业区内，符合规划中对涉化企业的要求。</w:t>
      </w:r>
    </w:p>
    <w:p>
      <w:pPr>
        <w:spacing w:line="360" w:lineRule="auto"/>
        <w:ind w:firstLine="0"/>
        <w:textAlignment w:val="baseline"/>
        <w:outlineLvl w:val="3"/>
        <w:rPr>
          <w:rFonts w:hint="default" w:ascii="Times New Roman" w:hAnsi="Times New Roman" w:eastAsia="黑体" w:cs="Times New Roman"/>
          <w:color w:val="auto"/>
          <w:kern w:val="0"/>
          <w:szCs w:val="22"/>
        </w:rPr>
      </w:pPr>
      <w:r>
        <w:rPr>
          <w:rFonts w:hint="default" w:ascii="Times New Roman" w:hAnsi="Times New Roman" w:eastAsia="黑体" w:cs="Times New Roman"/>
          <w:color w:val="auto"/>
          <w:kern w:val="0"/>
          <w:szCs w:val="22"/>
        </w:rPr>
        <w:t>3.</w:t>
      </w:r>
      <w:r>
        <w:rPr>
          <w:rFonts w:hint="eastAsia" w:ascii="Times New Roman" w:hAnsi="Times New Roman" w:eastAsia="黑体" w:cs="Times New Roman"/>
          <w:color w:val="auto"/>
          <w:kern w:val="0"/>
          <w:szCs w:val="22"/>
          <w:lang w:val="en-US" w:eastAsia="zh-CN"/>
        </w:rPr>
        <w:t>10</w:t>
      </w:r>
      <w:r>
        <w:rPr>
          <w:rFonts w:hint="default" w:ascii="Times New Roman" w:hAnsi="Times New Roman" w:eastAsia="黑体" w:cs="Times New Roman"/>
          <w:color w:val="auto"/>
          <w:kern w:val="0"/>
          <w:szCs w:val="22"/>
        </w:rPr>
        <w:t>.2.2与《 福州江阴港城总体规划（2018-2035）》符合性分析</w:t>
      </w:r>
    </w:p>
    <w:p>
      <w:pPr>
        <w:snapToGri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auto"/>
          <w:sz w:val="24"/>
          <w:szCs w:val="24"/>
        </w:rPr>
        <w:t>根据《 福州江阴港城总体规划（2018-2035）》（具体见图</w:t>
      </w:r>
      <w:r>
        <w:rPr>
          <w:rFonts w:hint="default" w:ascii="Times New Roman" w:hAnsi="Times New Roman" w:eastAsia="宋体" w:cs="Times New Roman"/>
          <w:color w:val="auto"/>
          <w:sz w:val="24"/>
          <w:szCs w:val="24"/>
          <w:lang w:val="en-US" w:eastAsia="zh-CN"/>
        </w:rPr>
        <w:t>3.8-2</w:t>
      </w:r>
      <w:r>
        <w:rPr>
          <w:rFonts w:hint="default" w:ascii="Times New Roman" w:hAnsi="Times New Roman" w:eastAsia="宋体" w:cs="Times New Roman"/>
          <w:color w:val="auto"/>
          <w:sz w:val="24"/>
          <w:szCs w:val="24"/>
        </w:rPr>
        <w:t xml:space="preserve"> 福</w:t>
      </w:r>
      <w:r>
        <w:rPr>
          <w:rFonts w:hint="default" w:ascii="Times New Roman" w:hAnsi="Times New Roman" w:eastAsia="宋体" w:cs="Times New Roman"/>
          <w:color w:val="000000"/>
          <w:sz w:val="24"/>
          <w:szCs w:val="24"/>
        </w:rPr>
        <w:t>州江阴港城总体规划图），江阴港城经济区产业发展定位，以循环经济生产理念为指导，围绕江阴港城经济区的港口、物流资源条件，充分发挥其独特区位优势和邻近主干市场优势，以大型煤化工、盐化工、石油化工等三大产业链为基础，以便利的交通为依托，构建一个完善的循环经济产业体系，辐射带动现代物流、海洋产业、现代服务业、机械等领域的发展，最终实现产品项目上下衔接，公用辅助设施共享，物流传输便捷、环境保护完善，管理服务一流的非炼化一体化产业基地。江阴港城经济区发展目标旨在建设煤化工产业链、盐化工产业链、石油化工产业链三大产业链集群，几条产业链间，通过原料互供、内部循环的链式发展方式，增加高技术含量、高附加值、高成长性产品生产</w:t>
      </w:r>
      <w:r>
        <w:rPr>
          <w:rFonts w:hint="eastAsia"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西部工业区主要为化学基础原料及化学品制造业、医药</w:t>
      </w:r>
      <w:r>
        <w:rPr>
          <w:rFonts w:hint="eastAsia" w:ascii="Times New Roman" w:hAnsi="Times New Roman" w:eastAsia="宋体" w:cs="Times New Roman"/>
          <w:color w:val="000000"/>
          <w:sz w:val="24"/>
          <w:szCs w:val="24"/>
          <w:lang w:val="en-US" w:eastAsia="zh-CN"/>
        </w:rPr>
        <w:t>制造业</w:t>
      </w:r>
      <w:r>
        <w:rPr>
          <w:rFonts w:hint="default"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化纤制造业、肥料制造</w:t>
      </w:r>
      <w:r>
        <w:rPr>
          <w:rFonts w:hint="default" w:ascii="Times New Roman" w:hAnsi="Times New Roman" w:eastAsia="宋体" w:cs="Times New Roman"/>
          <w:color w:val="000000"/>
          <w:sz w:val="24"/>
          <w:szCs w:val="24"/>
        </w:rPr>
        <w:t>。</w:t>
      </w:r>
    </w:p>
    <w:p>
      <w:pPr>
        <w:snapToGrid w:val="0"/>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000000"/>
          <w:sz w:val="24"/>
          <w:szCs w:val="24"/>
        </w:rPr>
        <w:t>本项目所在区域属于江阴港城临港化工产业西部工业</w:t>
      </w:r>
      <w:r>
        <w:rPr>
          <w:rFonts w:hint="default" w:ascii="Times New Roman" w:hAnsi="Times New Roman" w:eastAsia="宋体" w:cs="Times New Roman"/>
          <w:sz w:val="24"/>
          <w:szCs w:val="24"/>
        </w:rPr>
        <w:t>区，项目已取得不动产权证，用地为工业性质。</w:t>
      </w:r>
      <w:r>
        <w:rPr>
          <w:rFonts w:hint="default" w:ascii="Times New Roman" w:hAnsi="Times New Roman" w:eastAsia="宋体" w:cs="Times New Roman"/>
          <w:color w:val="000000"/>
          <w:sz w:val="24"/>
          <w:szCs w:val="24"/>
        </w:rPr>
        <w:t>本项目</w:t>
      </w:r>
      <w:r>
        <w:rPr>
          <w:rFonts w:hint="default" w:ascii="Times New Roman" w:hAnsi="Times New Roman" w:eastAsia="宋体" w:cs="Times New Roman"/>
          <w:sz w:val="24"/>
          <w:szCs w:val="24"/>
        </w:rPr>
        <w:t>电子级硝酸属于C2611无机酸制造，硝酸银属于C2613无机盐制造，行业大类为化学原料和化学制品制造业</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超细银粉属于C3985电子专用材料制造，</w:t>
      </w:r>
      <w:r>
        <w:rPr>
          <w:rFonts w:hint="eastAsia" w:ascii="Times New Roman" w:hAnsi="Times New Roman" w:eastAsia="宋体" w:cs="Times New Roman"/>
          <w:sz w:val="24"/>
          <w:szCs w:val="24"/>
          <w:lang w:val="en-US" w:eastAsia="zh-CN"/>
        </w:rPr>
        <w:t>属于硝酸银下</w:t>
      </w:r>
      <w:r>
        <w:rPr>
          <w:rFonts w:hint="eastAsia" w:ascii="Times New Roman" w:hAnsi="Times New Roman" w:eastAsia="宋体" w:cs="Times New Roman"/>
          <w:color w:val="auto"/>
          <w:sz w:val="24"/>
          <w:szCs w:val="24"/>
          <w:lang w:val="en-US" w:eastAsia="zh-CN"/>
        </w:rPr>
        <w:t>游延伸行业，属于高附加值、高成长性产品生产。但超细银粉使用化工原料，生产过程为化工工艺，生产存在化工企业环境风险。项目生产过程含银废水经处理后回用，不外排。</w:t>
      </w:r>
      <w:r>
        <w:rPr>
          <w:rFonts w:hint="eastAsia" w:ascii="宋体" w:hAnsi="宋体" w:eastAsia="宋体" w:cs="宋体"/>
          <w:color w:val="auto"/>
          <w:sz w:val="24"/>
          <w:szCs w:val="24"/>
          <w:lang w:val="en-US" w:eastAsia="zh-CN"/>
        </w:rPr>
        <w:t>废气中能回收的尽量回收，不能回收的通过相应处理措施减少排放量，降低对大气环境的影响。同时建设罐区围堰及事故应急池、初期雨水池等有效可行的环境风险防范措施。</w:t>
      </w:r>
      <w:r>
        <w:rPr>
          <w:rFonts w:hint="eastAsia" w:ascii="Times New Roman" w:hAnsi="Times New Roman" w:eastAsia="宋体" w:cs="Times New Roman"/>
          <w:color w:val="auto"/>
          <w:sz w:val="24"/>
          <w:szCs w:val="24"/>
          <w:lang w:val="en-US" w:eastAsia="zh-CN"/>
        </w:rPr>
        <w:t>因此，</w:t>
      </w:r>
      <w:r>
        <w:rPr>
          <w:rFonts w:hint="default" w:ascii="Times New Roman" w:hAnsi="Times New Roman" w:eastAsia="宋体" w:cs="Times New Roman"/>
          <w:color w:val="auto"/>
          <w:sz w:val="24"/>
          <w:szCs w:val="24"/>
        </w:rPr>
        <w:t>项目建设符合《福州江阴港城总体规划》（2018-2035）的土地利用及产业规划要求。</w:t>
      </w:r>
    </w:p>
    <w:p>
      <w:pPr>
        <w:keepNext w:val="0"/>
        <w:keepLines w:val="0"/>
        <w:pageBreakBefore w:val="0"/>
        <w:widowControl w:val="0"/>
        <w:kinsoku/>
        <w:wordWrap/>
        <w:overflowPunct/>
        <w:topLinePunct w:val="0"/>
        <w:autoSpaceDE/>
        <w:autoSpaceDN/>
        <w:bidi w:val="0"/>
        <w:adjustRightInd/>
        <w:snapToGrid w:val="0"/>
        <w:spacing w:line="24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3.</w:t>
      </w:r>
      <w:r>
        <w:rPr>
          <w:rFonts w:hint="eastAsia" w:ascii="Times New Roman" w:hAnsi="Times New Roman" w:eastAsia="黑体" w:cs="Times New Roman"/>
          <w:kern w:val="0"/>
          <w:szCs w:val="22"/>
          <w:lang w:val="en-US" w:eastAsia="zh-CN"/>
        </w:rPr>
        <w:t>10</w:t>
      </w:r>
      <w:r>
        <w:rPr>
          <w:rFonts w:hint="default" w:ascii="Times New Roman" w:hAnsi="Times New Roman" w:eastAsia="黑体" w:cs="Times New Roman"/>
          <w:kern w:val="0"/>
          <w:szCs w:val="22"/>
        </w:rPr>
        <w:t>.2.3与区域规划环评及审查意见的符合性分析</w:t>
      </w:r>
    </w:p>
    <w:p>
      <w:pPr>
        <w:snapToGri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sz w:val="24"/>
          <w:szCs w:val="24"/>
        </w:rPr>
        <w:t>拟建项目位于福州江阴港城总体规划中的西部工业区，《福州江阴港城总体规划（2018-2035）环境影响报告书》（以下简称规划环评）于2018年5月22日取得福州市环保局的审查意见（榕环保评[2018]55号，</w:t>
      </w:r>
      <w:r>
        <w:rPr>
          <w:rFonts w:hint="default" w:ascii="Times New Roman" w:hAnsi="Times New Roman" w:eastAsia="宋体" w:cs="Times New Roman"/>
          <w:color w:val="000000"/>
          <w:sz w:val="24"/>
          <w:szCs w:val="24"/>
        </w:rPr>
        <w:t>见附件</w:t>
      </w:r>
      <w:r>
        <w:rPr>
          <w:rFonts w:hint="default" w:ascii="Times New Roman" w:hAnsi="Times New Roman" w:eastAsia="宋体" w:cs="Times New Roman"/>
          <w:color w:val="000000"/>
          <w:sz w:val="24"/>
          <w:szCs w:val="24"/>
          <w:lang w:val="en-US" w:eastAsia="zh-CN"/>
        </w:rPr>
        <w:t>5</w:t>
      </w:r>
      <w:r>
        <w:rPr>
          <w:rFonts w:hint="default" w:ascii="Times New Roman" w:hAnsi="Times New Roman" w:eastAsia="宋体" w:cs="Times New Roman"/>
          <w:color w:val="000000"/>
          <w:sz w:val="24"/>
          <w:szCs w:val="24"/>
        </w:rPr>
        <w:t>）。</w:t>
      </w:r>
    </w:p>
    <w:p>
      <w:pPr>
        <w:snapToGrid w:val="0"/>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（1）与规划环评的符合性</w:t>
      </w:r>
    </w:p>
    <w:p>
      <w:pPr>
        <w:snapToGrid w:val="0"/>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江阴港城重点引导形成8个产业园区，分别为滨海商务休闲区、现代服务业集聚区、商贸物流区、新厝先进制造业基地、月亮湾先进制造业基地、东部临港产业区、西部临港产业区和港口运输物流仓储区，分别承担城市的临港化工产业、现代商贸物流业、现代服务业和先进制造业。其中拟建项目所在的西部临港产业区位于西南部，用地规模为13.19公顷</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承载临港化工产业</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项目符合所属片区的产业定位，见图3.</w:t>
      </w:r>
      <w:r>
        <w:rPr>
          <w:rFonts w:hint="eastAsia" w:ascii="Times New Roman" w:hAnsi="Times New Roman" w:eastAsia="宋体" w:cs="Times New Roman"/>
          <w:sz w:val="24"/>
          <w:szCs w:val="24"/>
          <w:lang w:val="en-US" w:eastAsia="zh-CN"/>
        </w:rPr>
        <w:t>10</w:t>
      </w:r>
      <w:r>
        <w:rPr>
          <w:rFonts w:hint="default" w:ascii="Times New Roman" w:hAnsi="Times New Roman" w:eastAsia="宋体" w:cs="Times New Roman"/>
          <w:sz w:val="24"/>
          <w:szCs w:val="24"/>
        </w:rPr>
        <w:t>-1、3.</w:t>
      </w:r>
      <w:r>
        <w:rPr>
          <w:rFonts w:hint="eastAsia" w:ascii="Times New Roman" w:hAnsi="Times New Roman" w:eastAsia="宋体" w:cs="Times New Roman"/>
          <w:sz w:val="24"/>
          <w:szCs w:val="24"/>
          <w:lang w:val="en-US" w:eastAsia="zh-CN"/>
        </w:rPr>
        <w:t>10</w:t>
      </w:r>
      <w:r>
        <w:rPr>
          <w:rFonts w:hint="default" w:ascii="Times New Roman" w:hAnsi="Times New Roman" w:eastAsia="宋体" w:cs="Times New Roman"/>
          <w:sz w:val="24"/>
          <w:szCs w:val="24"/>
        </w:rPr>
        <w:t>-2。</w:t>
      </w:r>
    </w:p>
    <w:p>
      <w:pPr>
        <w:snapToGrid w:val="0"/>
        <w:spacing w:line="360" w:lineRule="auto"/>
        <w:ind w:firstLine="0"/>
        <w:jc w:val="center"/>
        <w:outlineLvl w:val="4"/>
        <w:rPr>
          <w:rFonts w:hint="default" w:ascii="Times New Roman" w:hAnsi="Times New Roman" w:eastAsia="宋体" w:cs="Times New Roman"/>
          <w:bCs/>
          <w:kern w:val="0"/>
          <w:sz w:val="24"/>
          <w:szCs w:val="30"/>
        </w:rPr>
      </w:pPr>
      <w:r>
        <mc:AlternateContent>
          <mc:Choice Requires="wpg">
            <w:drawing>
              <wp:anchor distT="0" distB="0" distL="114300" distR="114300" simplePos="0" relativeHeight="251748352" behindDoc="0" locked="0" layoutInCell="1" allowOverlap="1">
                <wp:simplePos x="0" y="0"/>
                <wp:positionH relativeFrom="column">
                  <wp:posOffset>1563370</wp:posOffset>
                </wp:positionH>
                <wp:positionV relativeFrom="paragraph">
                  <wp:posOffset>3615690</wp:posOffset>
                </wp:positionV>
                <wp:extent cx="1071880" cy="739775"/>
                <wp:effectExtent l="0" t="0" r="13335" b="23495"/>
                <wp:wrapNone/>
                <wp:docPr id="75" name="组合 747"/>
                <wp:cNvGraphicFramePr/>
                <a:graphic xmlns:a="http://schemas.openxmlformats.org/drawingml/2006/main">
                  <a:graphicData uri="http://schemas.microsoft.com/office/word/2010/wordprocessingGroup">
                    <wpg:wgp>
                      <wpg:cNvGrpSpPr/>
                      <wpg:grpSpPr>
                        <a:xfrm>
                          <a:off x="0" y="0"/>
                          <a:ext cx="1071880" cy="739775"/>
                          <a:chOff x="5686" y="1681976"/>
                          <a:chExt cx="1688" cy="1165"/>
                        </a:xfrm>
                      </wpg:grpSpPr>
                      <wpg:grpSp>
                        <wpg:cNvPr id="73" name="组合 239"/>
                        <wpg:cNvGrpSpPr/>
                        <wpg:grpSpPr>
                          <a:xfrm>
                            <a:off x="5874" y="1682437"/>
                            <a:ext cx="1501" cy="705"/>
                            <a:chOff x="4535" y="780195"/>
                            <a:chExt cx="1501" cy="705"/>
                          </a:xfrm>
                        </wpg:grpSpPr>
                        <wps:wsp>
                          <wps:cNvPr id="71" name="自选图形 336"/>
                          <wps:cNvSpPr/>
                          <wps:spPr>
                            <a:xfrm>
                              <a:off x="5918" y="780782"/>
                              <a:ext cx="119" cy="119"/>
                            </a:xfrm>
                            <a:prstGeom prst="flowChartConnector">
                              <a:avLst/>
                            </a:prstGeom>
                            <a:solidFill>
                              <a:srgbClr val="FF0000"/>
                            </a:solidFill>
                            <a:ln w="9525" cap="flat" cmpd="sng">
                              <a:solidFill>
                                <a:srgbClr val="000000"/>
                              </a:solidFill>
                              <a:prstDash val="solid"/>
                              <a:headEnd type="none" w="med" len="med"/>
                              <a:tailEnd type="none" w="med" len="med"/>
                            </a:ln>
                          </wps:spPr>
                          <wps:bodyPr wrap="square" upright="1"/>
                        </wps:wsp>
                        <wps:wsp>
                          <wps:cNvPr id="72" name="任意多边形 337"/>
                          <wps:cNvSpPr/>
                          <wps:spPr>
                            <a:xfrm>
                              <a:off x="4535" y="780195"/>
                              <a:ext cx="1416" cy="684"/>
                            </a:xfrm>
                            <a:custGeom>
                              <a:avLst/>
                              <a:gdLst/>
                              <a:ahLst/>
                              <a:cxnLst/>
                              <a:pathLst>
                                <a:path w="1416" h="684">
                                  <a:moveTo>
                                    <a:pt x="1416" y="684"/>
                                  </a:moveTo>
                                  <a:lnTo>
                                    <a:pt x="1140" y="0"/>
                                  </a:lnTo>
                                  <a:lnTo>
                                    <a:pt x="0" y="0"/>
                                  </a:lnTo>
                                  <a:lnTo>
                                    <a:pt x="0" y="49"/>
                                  </a:lnTo>
                                </a:path>
                              </a:pathLst>
                            </a:custGeom>
                            <a:noFill/>
                            <a:ln w="9525" cap="flat" cmpd="sng">
                              <a:solidFill>
                                <a:srgbClr val="000000"/>
                              </a:solidFill>
                              <a:prstDash val="solid"/>
                              <a:round/>
                              <a:headEnd type="none" w="med" len="med"/>
                              <a:tailEnd type="none" w="med" len="med"/>
                            </a:ln>
                          </wps:spPr>
                          <wps:bodyPr wrap="square" upright="1"/>
                        </wps:wsp>
                      </wpg:grpSp>
                      <wps:wsp>
                        <wps:cNvPr id="74" name="文本框 46"/>
                        <wps:cNvSpPr txBox="1"/>
                        <wps:spPr>
                          <a:xfrm>
                            <a:off x="5686" y="1681976"/>
                            <a:ext cx="1452" cy="474"/>
                          </a:xfrm>
                          <a:prstGeom prst="rect">
                            <a:avLst/>
                          </a:prstGeom>
                          <a:noFill/>
                          <a:ln>
                            <a:noFill/>
                          </a:ln>
                        </wps:spPr>
                        <wps:txbx>
                          <w:txbxContent>
                            <w:p>
                              <w:pPr>
                                <w:ind w:left="0" w:leftChars="0" w:firstLine="0" w:firstLineChars="0"/>
                                <w:rPr>
                                  <w:rFonts w:ascii="Calibri" w:hAnsi="Calibri" w:cs="Times New Roman"/>
                                  <w:color w:val="FF0000"/>
                                  <w:sz w:val="21"/>
                                  <w:szCs w:val="22"/>
                                  <w:highlight w:val="yellow"/>
                                </w:rPr>
                              </w:pPr>
                              <w:r>
                                <w:rPr>
                                  <w:rFonts w:hint="eastAsia" w:ascii="Calibri" w:hAnsi="Calibri" w:cs="Times New Roman"/>
                                  <w:color w:val="FF0000"/>
                                  <w:sz w:val="21"/>
                                  <w:szCs w:val="22"/>
                                  <w:highlight w:val="yellow"/>
                                </w:rPr>
                                <w:t>项目所在地</w:t>
                              </w:r>
                            </w:p>
                          </w:txbxContent>
                        </wps:txbx>
                        <wps:bodyPr wrap="square" upright="1"/>
                      </wps:wsp>
                    </wpg:wgp>
                  </a:graphicData>
                </a:graphic>
              </wp:anchor>
            </w:drawing>
          </mc:Choice>
          <mc:Fallback>
            <w:pict>
              <v:group id="组合 747" o:spid="_x0000_s1026" o:spt="203" style="position:absolute;left:0pt;margin-left:123.1pt;margin-top:284.7pt;height:58.25pt;width:84.4pt;z-index:251748352;mso-width-relative:page;mso-height-relative:page;" coordorigin="5686,1681976" coordsize="1688,1165" o:gfxdata="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">
                <o:lock v:ext="edit" aspectratio="f"/>
                <v:group id="组合 239" o:spid="_x0000_s1026" o:spt="203" style="position:absolute;left:5874;top:1682437;height:705;width:1501;" coordorigin="4535,780195" coordsize="1501,705" o:gfxdata="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3wPqwr0AAADbAAAADwAAAAAAAAABACAAAAAiAAAAZHJzL2Rvd25yZXYueG1s&#10;UEsBAhQAFAAAAAgAh07iQDMvBZ47AAAAOQAAABUAAAAAAAAAAQAgAAAADAEAAGRycy9ncm91cHNo&#10;YXBleG1sLnhtbFBLBQYAAAAABgAGAGABAADJAwAAAAA=&#10;">
                  <o:lock v:ext="edit" aspectratio="f"/>
                  <v:shape id="自选图形 336" o:spid="_x0000_s1026" o:spt="120" type="#_x0000_t120" style="position:absolute;left:5918;top:780782;height:119;width:119;" fillcolor="#FF0000" filled="t" stroked="t" coordsize="21600,21600" o:gfxdata="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1epfvQAA&#10;ANsAAAAPAAAAAAAAAAEAIAAAACIAAABkcnMvZG93bnJldi54bWxQSwECFAAUAAAACACHTuJAMy8F&#10;njsAAAA5AAAAEAAAAAAAAAABACAAAAAMAQAAZHJzL3NoYXBleG1sLnhtbFBLBQYAAAAABgAGAFsB&#10;AAC2AwAAAAA=&#10;">
                    <v:fill on="t" focussize="0,0"/>
                    <v:stroke color="#000000" joinstyle="round"/>
                    <v:imagedata o:title=""/>
                    <o:lock v:ext="edit" aspectratio="f"/>
                  </v:shape>
                  <v:shape id="任意多边形 337" o:spid="_x0000_s1026" o:spt="100" style="position:absolute;left:4535;top:780195;height:684;width:1416;" filled="f" stroked="t" coordsize="1416,684" o:gfxdata="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BbajC8AAAA&#10;2wAAAA8AAAAAAAAAAQAgAAAAIgAAAGRycy9kb3ducmV2LnhtbFBLAQIUABQAAAAIAIdO4kAzLwWe&#10;OwAAADkAAAAQAAAAAAAAAAEAIAAAAAsBAABkcnMvc2hhcGV4bWwueG1sUEsFBgAAAAAGAAYAWwEA&#10;ALUDAAAAAA==&#10;" path="m1416,684l1140,0,0,0,0,49e">
                    <v:fill on="f" focussize="0,0"/>
                    <v:stroke color="#000000" joinstyle="round"/>
                    <v:imagedata o:title=""/>
                    <o:lock v:ext="edit" aspectratio="f"/>
                  </v:shape>
                </v:group>
                <v:shape id="文本框 46" o:spid="_x0000_s1026" o:spt="202" type="#_x0000_t202" style="position:absolute;left:5686;top:1681976;height:474;width:1452;" filled="f" stroked="f" coordsize="21600,21600" o:gfxdata="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XZVW8AAAA&#10;2wAAAA8AAAAAAAAAAQAgAAAAIgAAAGRycy9kb3ducmV2LnhtbFBLAQIUABQAAAAIAIdO4kAzLwWe&#10;OwAAADkAAAAQAAAAAAAAAAEAIAAAAAsBAABkcnMvc2hhcGV4bWwueG1sUEsFBgAAAAAGAAYAWwEA&#10;ALUDAAAAAA==&#10;">
                  <v:fill on="f" focussize="0,0"/>
                  <v:stroke on="f"/>
                  <v:imagedata o:title=""/>
                  <o:lock v:ext="edit" aspectratio="f"/>
                  <v:textbox>
                    <w:txbxContent>
                      <w:p>
                        <w:pPr>
                          <w:ind w:left="0" w:leftChars="0" w:firstLine="0" w:firstLineChars="0"/>
                          <w:rPr>
                            <w:rFonts w:ascii="Calibri" w:hAnsi="Calibri" w:cs="Times New Roman"/>
                            <w:color w:val="FF0000"/>
                            <w:sz w:val="21"/>
                            <w:szCs w:val="22"/>
                            <w:highlight w:val="yellow"/>
                          </w:rPr>
                        </w:pPr>
                        <w:r>
                          <w:rPr>
                            <w:rFonts w:hint="eastAsia" w:ascii="Calibri" w:hAnsi="Calibri" w:cs="Times New Roman"/>
                            <w:color w:val="FF0000"/>
                            <w:sz w:val="21"/>
                            <w:szCs w:val="22"/>
                            <w:highlight w:val="yellow"/>
                          </w:rPr>
                          <w:t>项目所在地</w:t>
                        </w:r>
                      </w:p>
                    </w:txbxContent>
                  </v:textbox>
                </v:shape>
              </v:group>
            </w:pict>
          </mc:Fallback>
        </mc:AlternateContent>
      </w:r>
      <w:r>
        <w:drawing>
          <wp:inline distT="0" distB="0" distL="114300" distR="114300">
            <wp:extent cx="5766435" cy="8091805"/>
            <wp:effectExtent l="0" t="0" r="5715" b="4445"/>
            <wp:docPr id="88" name="图片 259" descr="QQ截图2018051516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59" descr="QQ截图20180515162537"/>
                    <pic:cNvPicPr>
                      <a:picLocks noChangeAspect="1"/>
                    </pic:cNvPicPr>
                  </pic:nvPicPr>
                  <pic:blipFill>
                    <a:blip r:embed="rId37"/>
                    <a:stretch>
                      <a:fillRect/>
                    </a:stretch>
                  </pic:blipFill>
                  <pic:spPr>
                    <a:xfrm>
                      <a:off x="0" y="0"/>
                      <a:ext cx="5766435" cy="8091805"/>
                    </a:xfrm>
                    <a:prstGeom prst="rect">
                      <a:avLst/>
                    </a:prstGeom>
                    <a:noFill/>
                    <a:ln>
                      <a:noFill/>
                    </a:ln>
                  </pic:spPr>
                </pic:pic>
              </a:graphicData>
            </a:graphic>
          </wp:inline>
        </w:drawing>
      </w:r>
      <w:r>
        <w:rPr>
          <w:rFonts w:hint="default" w:ascii="Times New Roman" w:hAnsi="Times New Roman" w:eastAsia="黑体" w:cs="Times New Roman"/>
          <w:bCs/>
          <w:kern w:val="0"/>
          <w:sz w:val="24"/>
          <w:szCs w:val="24"/>
          <w:lang w:val="en-GB"/>
        </w:rPr>
        <w:t>图3.</w:t>
      </w:r>
      <w:r>
        <w:rPr>
          <w:rFonts w:hint="eastAsia" w:ascii="Times New Roman" w:hAnsi="Times New Roman" w:eastAsia="黑体" w:cs="Times New Roman"/>
          <w:bCs/>
          <w:kern w:val="0"/>
          <w:sz w:val="24"/>
          <w:szCs w:val="24"/>
          <w:lang w:val="en-US" w:eastAsia="zh-CN"/>
        </w:rPr>
        <w:t>10</w:t>
      </w:r>
      <w:r>
        <w:rPr>
          <w:rFonts w:hint="default" w:ascii="Times New Roman" w:hAnsi="Times New Roman" w:eastAsia="黑体" w:cs="Times New Roman"/>
          <w:bCs/>
          <w:kern w:val="0"/>
          <w:sz w:val="24"/>
          <w:szCs w:val="24"/>
          <w:lang w:val="en-GB"/>
        </w:rPr>
        <w:t>-1 江阴港城总体规划土地利用规划图</w:t>
      </w:r>
    </w:p>
    <w:p>
      <w:pPr>
        <w:spacing w:line="360" w:lineRule="auto"/>
        <w:ind w:firstLine="0"/>
        <w:rPr>
          <w:rFonts w:hint="default" w:ascii="Times New Roman" w:hAnsi="Times New Roman" w:eastAsia="宋体" w:cs="Times New Roman"/>
          <w:kern w:val="0"/>
          <w:sz w:val="24"/>
          <w:szCs w:val="24"/>
        </w:rPr>
      </w:pPr>
      <w:r>
        <mc:AlternateContent>
          <mc:Choice Requires="wps">
            <w:drawing>
              <wp:anchor distT="0" distB="0" distL="114300" distR="114300" simplePos="0" relativeHeight="251746304" behindDoc="0" locked="0" layoutInCell="1" allowOverlap="1">
                <wp:simplePos x="0" y="0"/>
                <wp:positionH relativeFrom="column">
                  <wp:posOffset>1538605</wp:posOffset>
                </wp:positionH>
                <wp:positionV relativeFrom="paragraph">
                  <wp:posOffset>3475990</wp:posOffset>
                </wp:positionV>
                <wp:extent cx="922020" cy="300990"/>
                <wp:effectExtent l="0" t="0" r="0" b="0"/>
                <wp:wrapNone/>
                <wp:docPr id="67" name="文本框 333"/>
                <wp:cNvGraphicFramePr/>
                <a:graphic xmlns:a="http://schemas.openxmlformats.org/drawingml/2006/main">
                  <a:graphicData uri="http://schemas.microsoft.com/office/word/2010/wordprocessingShape">
                    <wps:wsp>
                      <wps:cNvSpPr txBox="1"/>
                      <wps:spPr>
                        <a:xfrm>
                          <a:off x="0" y="0"/>
                          <a:ext cx="922020" cy="300990"/>
                        </a:xfrm>
                        <a:prstGeom prst="rect">
                          <a:avLst/>
                        </a:prstGeom>
                        <a:noFill/>
                        <a:ln>
                          <a:noFill/>
                        </a:ln>
                      </wps:spPr>
                      <wps:txbx>
                        <w:txbxContent>
                          <w:p>
                            <w:pPr>
                              <w:rPr>
                                <w:rFonts w:ascii="Calibri" w:hAnsi="Calibri" w:cs="Times New Roman"/>
                                <w:color w:val="FF0000"/>
                                <w:sz w:val="21"/>
                                <w:szCs w:val="22"/>
                                <w:highlight w:val="yellow"/>
                              </w:rPr>
                            </w:pPr>
                            <w:r>
                              <w:rPr>
                                <w:rFonts w:hint="eastAsia" w:ascii="Calibri" w:hAnsi="Calibri" w:cs="Times New Roman"/>
                                <w:color w:val="FF0000"/>
                                <w:sz w:val="21"/>
                                <w:szCs w:val="22"/>
                                <w:highlight w:val="yellow"/>
                              </w:rPr>
                              <w:t>项目所在地</w:t>
                            </w:r>
                          </w:p>
                        </w:txbxContent>
                      </wps:txbx>
                      <wps:bodyPr wrap="square" upright="1"/>
                    </wps:wsp>
                  </a:graphicData>
                </a:graphic>
              </wp:anchor>
            </w:drawing>
          </mc:Choice>
          <mc:Fallback>
            <w:pict>
              <v:shape id="文本框 333" o:spid="_x0000_s1026" o:spt="202" type="#_x0000_t202" style="position:absolute;left:0pt;margin-left:121.15pt;margin-top:273.7pt;height:23.7pt;width:72.6pt;z-index:251746304;mso-width-relative:page;mso-height-relative:page;" filled="f" stroked="f" coordsize="21600,21600" o:gfxdata="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onMl2NkAAAALAQAADwAAAAAAAAABACAAAAAiAAAAZHJzL2Rvd25yZXYueG1sUEsBAhQA&#10;FAAAAAgAh07iQFRdFN24AQAAXgMAAA4AAAAAAAAAAQAgAAAAKAEAAGRycy9lMm9Eb2MueG1sUEsF&#10;BgAAAAAGAAYAWQEAAFIFAAAAAA==&#10;">
                <v:fill on="f" focussize="0,0"/>
                <v:stroke on="f"/>
                <v:imagedata o:title=""/>
                <o:lock v:ext="edit" aspectratio="f"/>
                <v:textbox>
                  <w:txbxContent>
                    <w:p>
                      <w:pPr>
                        <w:rPr>
                          <w:rFonts w:ascii="Calibri" w:hAnsi="Calibri" w:cs="Times New Roman"/>
                          <w:color w:val="FF0000"/>
                          <w:sz w:val="21"/>
                          <w:szCs w:val="22"/>
                          <w:highlight w:val="yellow"/>
                        </w:rPr>
                      </w:pPr>
                      <w:r>
                        <w:rPr>
                          <w:rFonts w:hint="eastAsia" w:ascii="Calibri" w:hAnsi="Calibri" w:cs="Times New Roman"/>
                          <w:color w:val="FF0000"/>
                          <w:sz w:val="21"/>
                          <w:szCs w:val="22"/>
                          <w:highlight w:val="yellow"/>
                        </w:rPr>
                        <w:t>项目所在地</w:t>
                      </w:r>
                    </w:p>
                  </w:txbxContent>
                </v:textbox>
              </v:shape>
            </w:pict>
          </mc:Fallback>
        </mc:AlternateContent>
      </w:r>
      <w:r>
        <mc:AlternateContent>
          <mc:Choice Requires="wpg">
            <w:drawing>
              <wp:anchor distT="0" distB="0" distL="114300" distR="114300" simplePos="0" relativeHeight="251747328" behindDoc="0" locked="0" layoutInCell="1" allowOverlap="1">
                <wp:simplePos x="0" y="0"/>
                <wp:positionH relativeFrom="column">
                  <wp:posOffset>1619885</wp:posOffset>
                </wp:positionH>
                <wp:positionV relativeFrom="paragraph">
                  <wp:posOffset>3730625</wp:posOffset>
                </wp:positionV>
                <wp:extent cx="953135" cy="447675"/>
                <wp:effectExtent l="4445" t="4445" r="13970" b="24130"/>
                <wp:wrapNone/>
                <wp:docPr id="70" name="组合 238"/>
                <wp:cNvGraphicFramePr/>
                <a:graphic xmlns:a="http://schemas.openxmlformats.org/drawingml/2006/main">
                  <a:graphicData uri="http://schemas.microsoft.com/office/word/2010/wordprocessingGroup">
                    <wpg:wgp>
                      <wpg:cNvGrpSpPr/>
                      <wpg:grpSpPr>
                        <a:xfrm>
                          <a:off x="0" y="0"/>
                          <a:ext cx="953135" cy="447675"/>
                          <a:chOff x="4535" y="780195"/>
                          <a:chExt cx="1501" cy="705"/>
                        </a:xfrm>
                      </wpg:grpSpPr>
                      <wps:wsp>
                        <wps:cNvPr id="68" name="自选图形 336"/>
                        <wps:cNvSpPr/>
                        <wps:spPr>
                          <a:xfrm>
                            <a:off x="5918" y="780782"/>
                            <a:ext cx="119" cy="119"/>
                          </a:xfrm>
                          <a:prstGeom prst="flowChartConnector">
                            <a:avLst/>
                          </a:prstGeom>
                          <a:solidFill>
                            <a:srgbClr val="FF0000"/>
                          </a:solidFill>
                          <a:ln w="9525" cap="flat" cmpd="sng">
                            <a:solidFill>
                              <a:srgbClr val="000000"/>
                            </a:solidFill>
                            <a:prstDash val="solid"/>
                            <a:headEnd type="none" w="med" len="med"/>
                            <a:tailEnd type="none" w="med" len="med"/>
                          </a:ln>
                        </wps:spPr>
                        <wps:bodyPr wrap="square" upright="1"/>
                      </wps:wsp>
                      <wps:wsp>
                        <wps:cNvPr id="69" name="任意多边形 337"/>
                        <wps:cNvSpPr/>
                        <wps:spPr>
                          <a:xfrm>
                            <a:off x="4535" y="780195"/>
                            <a:ext cx="1416" cy="684"/>
                          </a:xfrm>
                          <a:custGeom>
                            <a:avLst/>
                            <a:gdLst/>
                            <a:ahLst/>
                            <a:cxnLst/>
                            <a:pathLst>
                              <a:path w="1416" h="684">
                                <a:moveTo>
                                  <a:pt x="1416" y="684"/>
                                </a:moveTo>
                                <a:lnTo>
                                  <a:pt x="1140" y="0"/>
                                </a:lnTo>
                                <a:lnTo>
                                  <a:pt x="0" y="0"/>
                                </a:lnTo>
                                <a:lnTo>
                                  <a:pt x="0" y="49"/>
                                </a:lnTo>
                              </a:path>
                            </a:pathLst>
                          </a:custGeom>
                          <a:noFill/>
                          <a:ln w="9525" cap="flat" cmpd="sng">
                            <a:solidFill>
                              <a:srgbClr val="000000"/>
                            </a:solidFill>
                            <a:prstDash val="solid"/>
                            <a:round/>
                            <a:headEnd type="none" w="med" len="med"/>
                            <a:tailEnd type="none" w="med" len="med"/>
                          </a:ln>
                        </wps:spPr>
                        <wps:bodyPr wrap="square" upright="1"/>
                      </wps:wsp>
                    </wpg:wgp>
                  </a:graphicData>
                </a:graphic>
              </wp:anchor>
            </w:drawing>
          </mc:Choice>
          <mc:Fallback>
            <w:pict>
              <v:group id="组合 238" o:spid="_x0000_s1026" o:spt="203" style="position:absolute;left:0pt;margin-left:127.55pt;margin-top:293.75pt;height:35.25pt;width:75.05pt;z-index:251747328;mso-width-relative:page;mso-height-relative:page;" coordorigin="4535,780195" coordsize="1501,705" o:gfxdata="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">
                <o:lock v:ext="edit" aspectratio="f"/>
                <v:shape id="自选图形 336" o:spid="_x0000_s1026" o:spt="120" type="#_x0000_t120" style="position:absolute;left:5918;top:780782;height:119;width:119;" fillcolor="#FF0000" filled="t" stroked="t" coordsize="21600,21600" o:gfxdata="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6NtUfugAAANsA&#10;AAAPAAAAAAAAAAEAIAAAACIAAABkcnMvZG93bnJldi54bWxQSwECFAAUAAAACACHTuJAMy8FnjsA&#10;AAA5AAAAEAAAAAAAAAABACAAAAAJAQAAZHJzL3NoYXBleG1sLnhtbFBLBQYAAAAABgAGAFsBAACz&#10;AwAAAAA=&#10;">
                  <v:fill on="t" focussize="0,0"/>
                  <v:stroke color="#000000" joinstyle="round"/>
                  <v:imagedata o:title=""/>
                  <o:lock v:ext="edit" aspectratio="f"/>
                </v:shape>
                <v:shape id="任意多边形 337" o:spid="_x0000_s1026" o:spt="100" style="position:absolute;left:4535;top:780195;height:684;width:1416;" filled="f" stroked="t" coordsize="1416,684" o:gfxdata="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Jm6cvQAA&#10;ANsAAAAPAAAAAAAAAAEAIAAAACIAAABkcnMvZG93bnJldi54bWxQSwECFAAUAAAACACHTuJAMy8F&#10;njsAAAA5AAAAEAAAAAAAAAABACAAAAAMAQAAZHJzL3NoYXBleG1sLnhtbFBLBQYAAAAABgAGAFsB&#10;AAC2AwAAAAA=&#10;" path="m1416,684l1140,0,0,0,0,49e">
                  <v:fill on="f" focussize="0,0"/>
                  <v:stroke color="#000000" joinstyle="round"/>
                  <v:imagedata o:title=""/>
                  <o:lock v:ext="edit" aspectratio="f"/>
                </v:shape>
              </v:group>
            </w:pict>
          </mc:Fallback>
        </mc:AlternateContent>
      </w:r>
      <w:r>
        <w:rPr>
          <w:rFonts w:hint="default" w:ascii="Times New Roman" w:hAnsi="Times New Roman" w:eastAsia="宋体" w:cs="Times New Roman"/>
          <w:kern w:val="0"/>
          <w:sz w:val="24"/>
          <w:szCs w:val="24"/>
        </w:rPr>
        <w:t xml:space="preserve"> </w:t>
      </w:r>
      <w:r>
        <mc:AlternateContent>
          <mc:Choice Requires="wpg">
            <w:drawing>
              <wp:anchor distT="0" distB="0" distL="114300" distR="114300" simplePos="0" relativeHeight="251749376" behindDoc="0" locked="0" layoutInCell="1" allowOverlap="1">
                <wp:simplePos x="0" y="0"/>
                <wp:positionH relativeFrom="column">
                  <wp:posOffset>1632585</wp:posOffset>
                </wp:positionH>
                <wp:positionV relativeFrom="paragraph">
                  <wp:posOffset>3761105</wp:posOffset>
                </wp:positionV>
                <wp:extent cx="1071880" cy="739775"/>
                <wp:effectExtent l="0" t="0" r="13335" b="23495"/>
                <wp:wrapNone/>
                <wp:docPr id="80" name="组合 756"/>
                <wp:cNvGraphicFramePr/>
                <a:graphic xmlns:a="http://schemas.openxmlformats.org/drawingml/2006/main">
                  <a:graphicData uri="http://schemas.microsoft.com/office/word/2010/wordprocessingGroup">
                    <wpg:wgp>
                      <wpg:cNvGrpSpPr/>
                      <wpg:grpSpPr>
                        <a:xfrm>
                          <a:off x="0" y="0"/>
                          <a:ext cx="1071880" cy="739775"/>
                          <a:chOff x="5686" y="1681976"/>
                          <a:chExt cx="1688" cy="1165"/>
                        </a:xfrm>
                      </wpg:grpSpPr>
                      <wpg:grpSp>
                        <wpg:cNvPr id="78" name="组合 239"/>
                        <wpg:cNvGrpSpPr/>
                        <wpg:grpSpPr>
                          <a:xfrm>
                            <a:off x="5874" y="1682437"/>
                            <a:ext cx="1501" cy="705"/>
                            <a:chOff x="4535" y="780195"/>
                            <a:chExt cx="1501" cy="705"/>
                          </a:xfrm>
                        </wpg:grpSpPr>
                        <wps:wsp>
                          <wps:cNvPr id="76" name="自选图形 336"/>
                          <wps:cNvSpPr/>
                          <wps:spPr>
                            <a:xfrm>
                              <a:off x="5918" y="780782"/>
                              <a:ext cx="119" cy="119"/>
                            </a:xfrm>
                            <a:prstGeom prst="flowChartConnector">
                              <a:avLst/>
                            </a:prstGeom>
                            <a:solidFill>
                              <a:srgbClr val="FF0000"/>
                            </a:solidFill>
                            <a:ln w="9525" cap="flat" cmpd="sng">
                              <a:solidFill>
                                <a:srgbClr val="000000"/>
                              </a:solidFill>
                              <a:prstDash val="solid"/>
                              <a:headEnd type="none" w="med" len="med"/>
                              <a:tailEnd type="none" w="med" len="med"/>
                            </a:ln>
                          </wps:spPr>
                          <wps:bodyPr wrap="square" upright="1"/>
                        </wps:wsp>
                        <wps:wsp>
                          <wps:cNvPr id="77" name="任意多边形 337"/>
                          <wps:cNvSpPr/>
                          <wps:spPr>
                            <a:xfrm>
                              <a:off x="4535" y="780195"/>
                              <a:ext cx="1416" cy="684"/>
                            </a:xfrm>
                            <a:custGeom>
                              <a:avLst/>
                              <a:gdLst/>
                              <a:ahLst/>
                              <a:cxnLst/>
                              <a:pathLst>
                                <a:path w="1416" h="684">
                                  <a:moveTo>
                                    <a:pt x="1416" y="684"/>
                                  </a:moveTo>
                                  <a:lnTo>
                                    <a:pt x="1140" y="0"/>
                                  </a:lnTo>
                                  <a:lnTo>
                                    <a:pt x="0" y="0"/>
                                  </a:lnTo>
                                  <a:lnTo>
                                    <a:pt x="0" y="49"/>
                                  </a:lnTo>
                                </a:path>
                              </a:pathLst>
                            </a:custGeom>
                            <a:noFill/>
                            <a:ln w="9525" cap="flat" cmpd="sng">
                              <a:solidFill>
                                <a:srgbClr val="000000"/>
                              </a:solidFill>
                              <a:prstDash val="solid"/>
                              <a:round/>
                              <a:headEnd type="none" w="med" len="med"/>
                              <a:tailEnd type="none" w="med" len="med"/>
                            </a:ln>
                          </wps:spPr>
                          <wps:bodyPr wrap="square" upright="1"/>
                        </wps:wsp>
                      </wpg:grpSp>
                      <wps:wsp>
                        <wps:cNvPr id="79" name="文本框 46"/>
                        <wps:cNvSpPr txBox="1"/>
                        <wps:spPr>
                          <a:xfrm>
                            <a:off x="5686" y="1681976"/>
                            <a:ext cx="1452" cy="474"/>
                          </a:xfrm>
                          <a:prstGeom prst="rect">
                            <a:avLst/>
                          </a:prstGeom>
                          <a:noFill/>
                          <a:ln>
                            <a:noFill/>
                          </a:ln>
                        </wps:spPr>
                        <wps:txbx>
                          <w:txbxContent>
                            <w:p>
                              <w:pPr>
                                <w:ind w:left="0" w:leftChars="0" w:firstLine="0" w:firstLineChars="0"/>
                                <w:rPr>
                                  <w:rFonts w:ascii="Calibri" w:hAnsi="Calibri" w:cs="Times New Roman"/>
                                  <w:color w:val="FF0000"/>
                                  <w:sz w:val="21"/>
                                  <w:szCs w:val="22"/>
                                  <w:highlight w:val="yellow"/>
                                </w:rPr>
                              </w:pPr>
                              <w:r>
                                <w:rPr>
                                  <w:rFonts w:hint="eastAsia" w:ascii="Calibri" w:hAnsi="Calibri" w:cs="Times New Roman"/>
                                  <w:color w:val="FF0000"/>
                                  <w:sz w:val="21"/>
                                  <w:szCs w:val="22"/>
                                  <w:highlight w:val="yellow"/>
                                </w:rPr>
                                <w:t>项目所在地</w:t>
                              </w:r>
                            </w:p>
                          </w:txbxContent>
                        </wps:txbx>
                        <wps:bodyPr wrap="square" upright="1"/>
                      </wps:wsp>
                    </wpg:wgp>
                  </a:graphicData>
                </a:graphic>
              </wp:anchor>
            </w:drawing>
          </mc:Choice>
          <mc:Fallback>
            <w:pict>
              <v:group id="组合 756" o:spid="_x0000_s1026" o:spt="203" style="position:absolute;left:0pt;margin-left:128.55pt;margin-top:296.15pt;height:58.25pt;width:84.4pt;z-index:251749376;mso-width-relative:page;mso-height-relative:page;" coordorigin="5686,1681976" coordsize="1688,1165" o:gfxdata="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">
                <o:lock v:ext="edit" aspectratio="f"/>
                <v:group id="组合 239" o:spid="_x0000_s1026" o:spt="203" style="position:absolute;left:5874;top:1682437;height:705;width:1501;" coordorigin="4535,780195" coordsize="1501,705" o:gfxdata="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NGneLO7AAAA2wAAAA8AAAAAAAAAAQAgAAAAIgAAAGRycy9kb3ducmV2LnhtbFBL&#10;AQIUABQAAAAIAIdO4kAzLwWeOwAAADkAAAAVAAAAAAAAAAEAIAAAAAoBAABkcnMvZ3JvdXBzaGFw&#10;ZXhtbC54bWxQSwUGAAAAAAYABgBgAQAAxwMAAAAA&#10;">
                  <o:lock v:ext="edit" aspectratio="f"/>
                  <v:shape id="自选图形 336" o:spid="_x0000_s1026" o:spt="120" type="#_x0000_t120" style="position:absolute;left:5918;top:780782;height:119;width:119;" fillcolor="#FF0000" filled="t" stroked="t" coordsize="21600,21600" o:gfxdata="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PHIrvQAA&#10;ANsAAAAPAAAAAAAAAAEAIAAAACIAAABkcnMvZG93bnJldi54bWxQSwECFAAUAAAACACHTuJAMy8F&#10;njsAAAA5AAAAEAAAAAAAAAABACAAAAAMAQAAZHJzL3NoYXBleG1sLnhtbFBLBQYAAAAABgAGAFsB&#10;AAC2AwAAAAA=&#10;">
                    <v:fill on="t" focussize="0,0"/>
                    <v:stroke color="#000000" joinstyle="round"/>
                    <v:imagedata o:title=""/>
                    <o:lock v:ext="edit" aspectratio="f"/>
                  </v:shape>
                  <v:shape id="任意多边形 337" o:spid="_x0000_s1026" o:spt="100" style="position:absolute;left:4535;top:780195;height:684;width:1416;" filled="f" stroked="t" coordsize="1416,684" o:gfxdata="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Asyai8AAAA&#10;2wAAAA8AAAAAAAAAAQAgAAAAIgAAAGRycy9kb3ducmV2LnhtbFBLAQIUABQAAAAIAIdO4kAzLwWe&#10;OwAAADkAAAAQAAAAAAAAAAEAIAAAAAsBAABkcnMvc2hhcGV4bWwueG1sUEsFBgAAAAAGAAYAWwEA&#10;ALUDAAAAAA==&#10;" path="m1416,684l1140,0,0,0,0,49e">
                    <v:fill on="f" focussize="0,0"/>
                    <v:stroke color="#000000" joinstyle="round"/>
                    <v:imagedata o:title=""/>
                    <o:lock v:ext="edit" aspectratio="f"/>
                  </v:shape>
                </v:group>
                <v:shape id="文本框 46" o:spid="_x0000_s1026" o:spt="202" type="#_x0000_t202" style="position:absolute;left:5686;top:1681976;height:474;width:1452;" filled="f" stroked="f" coordsize="21600,21600" o:gfxdata="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VsrL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ind w:left="0" w:leftChars="0" w:firstLine="0" w:firstLineChars="0"/>
                          <w:rPr>
                            <w:rFonts w:ascii="Calibri" w:hAnsi="Calibri" w:cs="Times New Roman"/>
                            <w:color w:val="FF0000"/>
                            <w:sz w:val="21"/>
                            <w:szCs w:val="22"/>
                            <w:highlight w:val="yellow"/>
                          </w:rPr>
                        </w:pPr>
                        <w:r>
                          <w:rPr>
                            <w:rFonts w:hint="eastAsia" w:ascii="Calibri" w:hAnsi="Calibri" w:cs="Times New Roman"/>
                            <w:color w:val="FF0000"/>
                            <w:sz w:val="21"/>
                            <w:szCs w:val="22"/>
                            <w:highlight w:val="yellow"/>
                          </w:rPr>
                          <w:t>项目所在地</w:t>
                        </w:r>
                      </w:p>
                    </w:txbxContent>
                  </v:textbox>
                </v:shape>
              </v:group>
            </w:pict>
          </mc:Fallback>
        </mc:AlternateContent>
      </w:r>
      <w:r>
        <w:drawing>
          <wp:inline distT="0" distB="0" distL="114300" distR="114300">
            <wp:extent cx="5717540" cy="8029575"/>
            <wp:effectExtent l="0" t="0" r="16510" b="9525"/>
            <wp:docPr id="89"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60"/>
                    <pic:cNvPicPr>
                      <a:picLocks noChangeAspect="1"/>
                    </pic:cNvPicPr>
                  </pic:nvPicPr>
                  <pic:blipFill>
                    <a:blip r:embed="rId38"/>
                    <a:stretch>
                      <a:fillRect/>
                    </a:stretch>
                  </pic:blipFill>
                  <pic:spPr>
                    <a:xfrm>
                      <a:off x="0" y="0"/>
                      <a:ext cx="5717540" cy="8029575"/>
                    </a:xfrm>
                    <a:prstGeom prst="rect">
                      <a:avLst/>
                    </a:prstGeom>
                    <a:noFill/>
                    <a:ln>
                      <a:noFill/>
                    </a:ln>
                  </pic:spPr>
                </pic:pic>
              </a:graphicData>
            </a:graphic>
          </wp:inline>
        </w:drawing>
      </w:r>
      <w:r>
        <w:rPr>
          <w:rFonts w:hint="default" w:ascii="Times New Roman" w:hAnsi="Times New Roman" w:eastAsia="宋体" w:cs="Times New Roman"/>
          <w:kern w:val="0"/>
          <w:sz w:val="24"/>
          <w:szCs w:val="24"/>
        </w:rPr>
        <w:t xml:space="preserve"> </w:t>
      </w:r>
    </w:p>
    <w:p>
      <w:pPr>
        <w:snapToGrid w:val="0"/>
        <w:spacing w:line="360" w:lineRule="auto"/>
        <w:ind w:firstLine="0"/>
        <w:jc w:val="center"/>
        <w:outlineLvl w:val="4"/>
        <w:rPr>
          <w:rFonts w:hint="default" w:ascii="Times New Roman" w:hAnsi="Times New Roman" w:eastAsia="黑体" w:cs="Times New Roman"/>
          <w:bCs/>
          <w:kern w:val="0"/>
          <w:sz w:val="24"/>
          <w:szCs w:val="24"/>
          <w:lang w:val="en-GB"/>
        </w:rPr>
      </w:pPr>
      <w:r>
        <w:rPr>
          <w:rFonts w:hint="default" w:ascii="Times New Roman" w:hAnsi="Times New Roman" w:eastAsia="黑体" w:cs="Times New Roman"/>
          <w:bCs/>
          <w:kern w:val="0"/>
          <w:sz w:val="24"/>
          <w:szCs w:val="24"/>
          <w:lang w:val="en-GB"/>
        </w:rPr>
        <w:t>图3.</w:t>
      </w:r>
      <w:r>
        <w:rPr>
          <w:rFonts w:hint="eastAsia" w:ascii="Times New Roman" w:hAnsi="Times New Roman" w:eastAsia="黑体" w:cs="Times New Roman"/>
          <w:bCs/>
          <w:kern w:val="0"/>
          <w:sz w:val="24"/>
          <w:szCs w:val="24"/>
          <w:lang w:val="en-US" w:eastAsia="zh-CN"/>
        </w:rPr>
        <w:t>10</w:t>
      </w:r>
      <w:r>
        <w:rPr>
          <w:rFonts w:hint="default" w:ascii="Times New Roman" w:hAnsi="Times New Roman" w:eastAsia="黑体" w:cs="Times New Roman"/>
          <w:bCs/>
          <w:kern w:val="0"/>
          <w:sz w:val="24"/>
          <w:szCs w:val="24"/>
          <w:lang w:val="en-GB"/>
        </w:rPr>
        <w:t>-2  江阴港城总体规划产业空间布局规划图</w:t>
      </w:r>
    </w:p>
    <w:p>
      <w:pPr>
        <w:pStyle w:val="24"/>
        <w:rPr>
          <w:rFonts w:hint="default"/>
        </w:rPr>
      </w:pPr>
    </w:p>
    <w:p>
      <w:pPr>
        <w:snapToGrid w:val="0"/>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对照江阴港城区域生态保护红线空间管制一览表，拟建项目不涉及生态保护红线空间，符合江阴港城引进产业的环保准入条件要求。</w:t>
      </w:r>
    </w:p>
    <w:p>
      <w:pPr>
        <w:snapToGrid w:val="0"/>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综上所述，工程符合《江阴港城总体规划（2018-2035)》环评及其中“三线一单”的相关环境管理要求。</w:t>
      </w:r>
    </w:p>
    <w:p>
      <w:pPr>
        <w:snapToGrid w:val="0"/>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（2）与规划环评审查意见的符合性</w:t>
      </w:r>
    </w:p>
    <w:p>
      <w:pPr>
        <w:snapToGrid w:val="0"/>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拟建项目与规划环评审查意见的符合性分析见表3.</w:t>
      </w:r>
      <w:r>
        <w:rPr>
          <w:rFonts w:hint="eastAsia" w:ascii="Times New Roman" w:hAnsi="Times New Roman" w:eastAsia="宋体" w:cs="Times New Roman"/>
          <w:color w:val="auto"/>
          <w:sz w:val="24"/>
          <w:szCs w:val="24"/>
          <w:lang w:val="en-US" w:eastAsia="zh-CN"/>
        </w:rPr>
        <w:t>10</w:t>
      </w:r>
      <w:r>
        <w:rPr>
          <w:rFonts w:hint="default" w:ascii="Times New Roman" w:hAnsi="Times New Roman" w:eastAsia="宋体" w:cs="Times New Roman"/>
          <w:color w:val="auto"/>
          <w:sz w:val="24"/>
          <w:szCs w:val="24"/>
        </w:rPr>
        <w:t>-1。</w:t>
      </w:r>
    </w:p>
    <w:p>
      <w:pPr>
        <w:snapToGrid w:val="0"/>
        <w:spacing w:line="360" w:lineRule="auto"/>
        <w:ind w:firstLine="480"/>
        <w:rPr>
          <w:rFonts w:hint="eastAsia" w:ascii="Times New Roman" w:hAnsi="Times New Roman" w:eastAsia="宋体" w:cs="Times New Roman"/>
          <w:color w:val="FF0000"/>
          <w:sz w:val="24"/>
          <w:szCs w:val="24"/>
          <w:lang w:val="en-US" w:eastAsia="zh-CN"/>
        </w:rPr>
      </w:pPr>
      <w:r>
        <w:rPr>
          <w:rFonts w:hint="default" w:ascii="Times New Roman" w:hAnsi="Times New Roman" w:eastAsia="宋体" w:cs="Times New Roman"/>
          <w:color w:val="auto"/>
          <w:sz w:val="24"/>
          <w:szCs w:val="24"/>
        </w:rPr>
        <w:t>根据规划环评江阴港城产业引进的环保准入条件一览表（见表3.</w:t>
      </w:r>
      <w:r>
        <w:rPr>
          <w:rFonts w:hint="default" w:ascii="Times New Roman" w:hAnsi="Times New Roman" w:eastAsia="宋体" w:cs="Times New Roman"/>
          <w:color w:val="auto"/>
          <w:sz w:val="24"/>
          <w:szCs w:val="24"/>
          <w:lang w:val="en-US" w:eastAsia="zh-CN"/>
        </w:rPr>
        <w:t>10</w:t>
      </w:r>
      <w:r>
        <w:rPr>
          <w:rFonts w:hint="default" w:ascii="Times New Roman" w:hAnsi="Times New Roman" w:eastAsia="宋体" w:cs="Times New Roman"/>
          <w:color w:val="auto"/>
          <w:sz w:val="24"/>
          <w:szCs w:val="24"/>
        </w:rPr>
        <w:t>-2），</w:t>
      </w:r>
      <w:r>
        <w:rPr>
          <w:rFonts w:hint="eastAsia" w:ascii="Times New Roman" w:hAnsi="Times New Roman" w:eastAsia="宋体" w:cs="Times New Roman"/>
          <w:color w:val="auto"/>
          <w:sz w:val="24"/>
          <w:szCs w:val="24"/>
          <w:lang w:val="en-US" w:eastAsia="zh-CN"/>
        </w:rPr>
        <w:t>项目符合国家产业政策，满足市场</w:t>
      </w:r>
      <w:r>
        <w:rPr>
          <w:rFonts w:hint="default" w:ascii="Times New Roman" w:hAnsi="Times New Roman" w:eastAsia="宋体" w:cs="Times New Roman"/>
          <w:color w:val="auto"/>
          <w:sz w:val="24"/>
          <w:szCs w:val="24"/>
        </w:rPr>
        <w:t>准入条件</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不属于《福建省人民政府关于加强重点流域水环境</w:t>
      </w:r>
      <w:r>
        <w:rPr>
          <w:rFonts w:hint="eastAsia" w:cs="Times New Roman"/>
          <w:color w:val="auto"/>
          <w:sz w:val="24"/>
          <w:szCs w:val="24"/>
          <w:lang w:eastAsia="zh-CN"/>
        </w:rPr>
        <w:t>综合</w:t>
      </w:r>
      <w:r>
        <w:rPr>
          <w:rFonts w:hint="default" w:ascii="Times New Roman" w:hAnsi="Times New Roman" w:eastAsia="宋体" w:cs="Times New Roman"/>
          <w:color w:val="auto"/>
          <w:sz w:val="24"/>
          <w:szCs w:val="24"/>
        </w:rPr>
        <w:t>整治的意见》中禁止的产业</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满足《福建省工业建设项目投资强度控制指标》相关要求。</w:t>
      </w:r>
      <w:r>
        <w:rPr>
          <w:rFonts w:hint="eastAsia" w:ascii="Times New Roman" w:hAnsi="Times New Roman" w:eastAsia="宋体" w:cs="Times New Roman"/>
          <w:color w:val="auto"/>
          <w:sz w:val="24"/>
          <w:szCs w:val="24"/>
          <w:lang w:val="en-US" w:eastAsia="zh-CN"/>
        </w:rPr>
        <w:t>根据核算，项目工业用水重复利用率为72%，万元新增值新鲜水耗为5.08t/万元，万元增加值综合能</w:t>
      </w:r>
      <w:r>
        <w:rPr>
          <w:rFonts w:hint="eastAsia" w:ascii="Times New Roman" w:hAnsi="Times New Roman" w:eastAsia="宋体" w:cs="Times New Roman"/>
          <w:color w:val="auto"/>
          <w:sz w:val="24"/>
          <w:szCs w:val="24"/>
          <w:highlight w:val="none"/>
          <w:lang w:val="en-US" w:eastAsia="zh-CN"/>
        </w:rPr>
        <w:t>耗为0.2t标煤/万元，</w:t>
      </w:r>
      <w:r>
        <w:rPr>
          <w:rFonts w:hint="eastAsia" w:ascii="Times New Roman" w:hAnsi="Times New Roman" w:eastAsia="宋体" w:cs="Times New Roman"/>
          <w:color w:val="auto"/>
          <w:sz w:val="24"/>
          <w:szCs w:val="24"/>
          <w:lang w:val="en-US" w:eastAsia="zh-CN"/>
        </w:rPr>
        <w:t>万元增加值COD排放量为0.228kg/万元。项目采用园区集中供热，不排放二氧化硫，危废处置率为100%，因此，项目符合</w:t>
      </w:r>
      <w:r>
        <w:rPr>
          <w:rFonts w:hint="default" w:ascii="Times New Roman" w:hAnsi="Times New Roman" w:eastAsia="宋体" w:cs="Times New Roman"/>
          <w:color w:val="auto"/>
          <w:sz w:val="24"/>
          <w:szCs w:val="24"/>
        </w:rPr>
        <w:t>江阴港城产业引进的环保准入条件</w:t>
      </w:r>
      <w:r>
        <w:rPr>
          <w:rFonts w:hint="eastAsia" w:ascii="Times New Roman" w:hAnsi="Times New Roman" w:eastAsia="宋体" w:cs="Times New Roman"/>
          <w:color w:val="auto"/>
          <w:sz w:val="24"/>
          <w:szCs w:val="24"/>
          <w:lang w:eastAsia="zh-CN"/>
        </w:rPr>
        <w:t>。</w:t>
      </w:r>
    </w:p>
    <w:p>
      <w:pPr>
        <w:spacing w:line="360" w:lineRule="auto"/>
        <w:ind w:firstLine="480"/>
        <w:rPr>
          <w:rFonts w:hint="default" w:ascii="Times New Roman" w:hAnsi="Times New Roman" w:eastAsia="宋体" w:cs="Times New Roman"/>
          <w:sz w:val="24"/>
          <w:szCs w:val="24"/>
        </w:rPr>
      </w:pPr>
    </w:p>
    <w:p>
      <w:pPr>
        <w:spacing w:line="360" w:lineRule="auto"/>
        <w:ind w:firstLine="480"/>
        <w:rPr>
          <w:rFonts w:hint="default" w:ascii="Times New Roman" w:hAnsi="Times New Roman" w:eastAsia="宋体" w:cs="Times New Roman"/>
          <w:kern w:val="0"/>
          <w:sz w:val="24"/>
          <w:szCs w:val="24"/>
        </w:rPr>
        <w:sectPr>
          <w:headerReference r:id="rId11" w:type="default"/>
          <w:footerReference r:id="rId12" w:type="default"/>
          <w:pgSz w:w="11907" w:h="16840"/>
          <w:pgMar w:top="1417" w:right="1418" w:bottom="1417" w:left="1418" w:header="720" w:footer="720" w:gutter="0"/>
          <w:pgNumType w:fmt="decimal"/>
          <w:cols w:space="720" w:num="1"/>
          <w:docGrid w:type="lines" w:linePitch="286" w:charSpace="0"/>
        </w:sectPr>
      </w:pPr>
    </w:p>
    <w:p>
      <w:pPr>
        <w:snapToGrid w:val="0"/>
        <w:spacing w:line="360" w:lineRule="auto"/>
        <w:ind w:firstLine="0"/>
        <w:jc w:val="center"/>
        <w:outlineLvl w:val="4"/>
        <w:rPr>
          <w:rFonts w:hint="default" w:ascii="Times New Roman" w:hAnsi="Times New Roman" w:eastAsia="黑体" w:cs="Times New Roman"/>
          <w:bCs/>
          <w:sz w:val="24"/>
          <w:szCs w:val="24"/>
          <w:lang w:val="en-GB"/>
        </w:rPr>
      </w:pPr>
      <w:r>
        <w:rPr>
          <w:rFonts w:hint="default" w:ascii="Times New Roman" w:hAnsi="Times New Roman" w:eastAsia="黑体" w:cs="Times New Roman"/>
          <w:bCs/>
          <w:sz w:val="24"/>
          <w:szCs w:val="24"/>
          <w:lang w:val="en-GB"/>
        </w:rPr>
        <w:t>表3.</w:t>
      </w:r>
      <w:r>
        <w:rPr>
          <w:rFonts w:hint="eastAsia" w:ascii="Times New Roman" w:hAnsi="Times New Roman" w:eastAsia="黑体" w:cs="Times New Roman"/>
          <w:bCs/>
          <w:sz w:val="24"/>
          <w:szCs w:val="24"/>
          <w:lang w:val="en-US" w:eastAsia="zh-CN"/>
        </w:rPr>
        <w:t>10</w:t>
      </w:r>
      <w:r>
        <w:rPr>
          <w:rFonts w:hint="default" w:ascii="Times New Roman" w:hAnsi="Times New Roman" w:eastAsia="黑体" w:cs="Times New Roman"/>
          <w:bCs/>
          <w:sz w:val="24"/>
          <w:szCs w:val="24"/>
          <w:lang w:val="en-GB"/>
        </w:rPr>
        <w:t>-1 拟建项目与规划环评审查意见的符合性分析</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0"/>
        <w:gridCol w:w="1098"/>
        <w:gridCol w:w="4938"/>
        <w:gridCol w:w="5376"/>
        <w:gridCol w:w="2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0"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109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w:t>
            </w:r>
          </w:p>
        </w:tc>
        <w:tc>
          <w:tcPr>
            <w:tcW w:w="493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规划环评及审查意见要求</w:t>
            </w:r>
          </w:p>
        </w:tc>
        <w:tc>
          <w:tcPr>
            <w:tcW w:w="5376"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拟建项目情况</w:t>
            </w:r>
          </w:p>
        </w:tc>
        <w:tc>
          <w:tcPr>
            <w:tcW w:w="222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0"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09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空间布局</w:t>
            </w:r>
          </w:p>
        </w:tc>
        <w:tc>
          <w:tcPr>
            <w:tcW w:w="493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进一步优化区域内空间布局，处理好与城镇发展的布局性矛盾。严格控制东部临港产业区、西部临港产业区和港口运输物流仓储区周边用地规划，污染重、环境风险大的生产装置、储罐应远离居民区。</w:t>
            </w:r>
          </w:p>
        </w:tc>
        <w:tc>
          <w:tcPr>
            <w:tcW w:w="5376" w:type="dxa"/>
            <w:noWrap w:val="0"/>
            <w:vAlign w:val="center"/>
          </w:tcPr>
          <w:p>
            <w:pPr>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拟建工程处于江阴港城规划中的西部临港产业区，项目远离居民区，距离项目最近敏感点为</w:t>
            </w:r>
            <w:r>
              <w:rPr>
                <w:rFonts w:hint="eastAsia" w:ascii="Times New Roman" w:hAnsi="Times New Roman" w:eastAsia="宋体" w:cs="Times New Roman"/>
                <w:color w:val="auto"/>
                <w:sz w:val="21"/>
                <w:szCs w:val="21"/>
                <w:lang w:val="en-US" w:eastAsia="zh-CN"/>
              </w:rPr>
              <w:t>915</w:t>
            </w:r>
            <w:r>
              <w:rPr>
                <w:rFonts w:hint="default" w:ascii="Times New Roman" w:hAnsi="Times New Roman" w:eastAsia="宋体" w:cs="Times New Roman"/>
                <w:color w:val="auto"/>
                <w:sz w:val="21"/>
                <w:szCs w:val="21"/>
              </w:rPr>
              <w:t>m处的南曹村营兜</w:t>
            </w:r>
            <w:r>
              <w:rPr>
                <w:rFonts w:hint="default" w:ascii="Times New Roman" w:hAnsi="Times New Roman" w:eastAsia="宋体" w:cs="Times New Roman"/>
                <w:color w:val="auto"/>
                <w:sz w:val="21"/>
                <w:szCs w:val="22"/>
              </w:rPr>
              <w:t>，</w:t>
            </w:r>
            <w:r>
              <w:rPr>
                <w:rFonts w:hint="default" w:ascii="Times New Roman" w:hAnsi="Times New Roman" w:eastAsia="宋体" w:cs="Times New Roman"/>
                <w:color w:val="auto"/>
                <w:sz w:val="21"/>
                <w:szCs w:val="21"/>
              </w:rPr>
              <w:t>符合规划环评要求。</w:t>
            </w:r>
          </w:p>
        </w:tc>
        <w:tc>
          <w:tcPr>
            <w:tcW w:w="222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0"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109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功能定位和产业布局</w:t>
            </w:r>
          </w:p>
        </w:tc>
        <w:tc>
          <w:tcPr>
            <w:tcW w:w="493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优化产业发展功能定位和产业布局、严格控制发展规模。临港产业化工区应重点发展以非炼化一体化的化工新材料为主导的产业链，适度布局异氰酸酯、聚碳酸酯、己内酰胺、丙烷脱氢项目。不得在新厝先进制造业基地和月亮湾先进制造业基地的工业用地引入以气污染为主的产业。</w:t>
            </w:r>
          </w:p>
        </w:tc>
        <w:tc>
          <w:tcPr>
            <w:tcW w:w="5376" w:type="dxa"/>
            <w:noWrap w:val="0"/>
            <w:vAlign w:val="center"/>
          </w:tcPr>
          <w:p>
            <w:pPr>
              <w:spacing w:line="300" w:lineRule="exact"/>
              <w:ind w:firstLine="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项目</w:t>
            </w:r>
            <w:r>
              <w:rPr>
                <w:rFonts w:hint="default" w:ascii="Times New Roman" w:hAnsi="Times New Roman" w:eastAsia="宋体" w:cs="Times New Roman"/>
                <w:color w:val="auto"/>
                <w:sz w:val="21"/>
                <w:szCs w:val="21"/>
              </w:rPr>
              <w:t>电子级硝酸</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硝酸银属于化学原料和化学制品制造业</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超细银粉属于C3985电子专用材料制造，</w:t>
            </w:r>
            <w:r>
              <w:rPr>
                <w:rFonts w:hint="default" w:ascii="Times New Roman" w:hAnsi="Times New Roman" w:eastAsia="宋体" w:cs="Times New Roman"/>
                <w:color w:val="auto"/>
                <w:sz w:val="21"/>
                <w:szCs w:val="21"/>
                <w:lang w:val="en-US" w:eastAsia="zh-CN"/>
              </w:rPr>
              <w:t>属于硝酸银下游延伸行业。但超细银粉使用化工原料，生产过程为化工工艺，生产存在化工企业环境风险，仍应按照化工企业要求管理。</w:t>
            </w:r>
            <w:r>
              <w:rPr>
                <w:rFonts w:hint="default" w:ascii="Times New Roman" w:hAnsi="Times New Roman" w:eastAsia="宋体" w:cs="Times New Roman"/>
                <w:color w:val="auto"/>
                <w:sz w:val="21"/>
                <w:szCs w:val="21"/>
              </w:rPr>
              <w:t>根据规划环评江阴港城产业引进的环保准入条件一览表（见表3.</w:t>
            </w:r>
            <w:r>
              <w:rPr>
                <w:rFonts w:hint="eastAsia" w:ascii="Times New Roman" w:hAnsi="Times New Roman" w:eastAsia="宋体" w:cs="Times New Roman"/>
                <w:color w:val="auto"/>
                <w:sz w:val="21"/>
                <w:szCs w:val="21"/>
                <w:lang w:val="en-US" w:eastAsia="zh-CN"/>
              </w:rPr>
              <w:t>10</w:t>
            </w:r>
            <w:r>
              <w:rPr>
                <w:rFonts w:hint="default" w:ascii="Times New Roman" w:hAnsi="Times New Roman" w:eastAsia="宋体" w:cs="Times New Roman"/>
                <w:color w:val="auto"/>
                <w:sz w:val="21"/>
                <w:szCs w:val="21"/>
              </w:rPr>
              <w:t>-2），拟建工程位于江阴港城西部临港产业化工区，</w:t>
            </w:r>
            <w:r>
              <w:rPr>
                <w:rFonts w:hint="default" w:ascii="Times New Roman" w:hAnsi="Times New Roman" w:eastAsia="宋体" w:cs="Times New Roman"/>
                <w:color w:val="auto"/>
                <w:sz w:val="21"/>
                <w:szCs w:val="22"/>
              </w:rPr>
              <w:t>不属于禁止/严格控制单元、项目，该产业无禁止或者严格控制的项目。因此，项目</w:t>
            </w:r>
            <w:r>
              <w:rPr>
                <w:rFonts w:hint="default" w:ascii="Times New Roman" w:hAnsi="Times New Roman" w:eastAsia="宋体" w:cs="Times New Roman"/>
                <w:color w:val="auto"/>
                <w:sz w:val="21"/>
                <w:szCs w:val="21"/>
              </w:rPr>
              <w:t>符合西部临港产业区布局。</w:t>
            </w:r>
          </w:p>
        </w:tc>
        <w:tc>
          <w:tcPr>
            <w:tcW w:w="222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0"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109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严格入园企业环境管理</w:t>
            </w:r>
          </w:p>
        </w:tc>
        <w:tc>
          <w:tcPr>
            <w:tcW w:w="493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严格控制入区项目的环境准入条件，入园企业的清洁生产至少要达到国内先进水平，逐步推进现有污染企业的升级改造。</w:t>
            </w:r>
          </w:p>
        </w:tc>
        <w:tc>
          <w:tcPr>
            <w:tcW w:w="5376"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拟建项目清洁生产各项指标均可达到国内先进水平，符合入园项目的环境准入条件。</w:t>
            </w:r>
          </w:p>
        </w:tc>
        <w:tc>
          <w:tcPr>
            <w:tcW w:w="222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0"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109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优化资源利用</w:t>
            </w:r>
          </w:p>
        </w:tc>
        <w:tc>
          <w:tcPr>
            <w:tcW w:w="493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加强水资源再生利用，持续提高水资源利用率，减少跨流域调水量。优化能源结构，实施集中供热，鼓励使用清洁能源。</w:t>
            </w:r>
          </w:p>
        </w:tc>
        <w:tc>
          <w:tcPr>
            <w:tcW w:w="5376"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项目冷却水循环利用，园区现有供热余量完全可以满足本项目需求，因此本项目不需新建供热系统。</w:t>
            </w:r>
          </w:p>
        </w:tc>
        <w:tc>
          <w:tcPr>
            <w:tcW w:w="222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0"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109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建立健全园区环境风险防控体系</w:t>
            </w:r>
          </w:p>
        </w:tc>
        <w:tc>
          <w:tcPr>
            <w:tcW w:w="493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在各企业设置环境风险事故应急池的基础上，东部临港产业区、西部临港产业区分区建设足够容量的环境风险公共事故应急池，确保事故水可以通过倒流系统进入应急池中，防止事故水进入外环境。</w:t>
            </w:r>
          </w:p>
        </w:tc>
        <w:tc>
          <w:tcPr>
            <w:tcW w:w="5376"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工程罐区周围设置围堰，设置初期雨水收集和事故消防水收集系统，即将含有毒有害物料的初期雨水收集和事故消防水等收集后由进入事故应急池，再进污水站处理后达标排放。根据以上要求可知，本项目配套有完善的三级防控措施，在三级防控的基础上，园区还设公共事故应急池，为第四级（园区级）防控，满足规划环评及其审查意见的要求。</w:t>
            </w:r>
          </w:p>
        </w:tc>
        <w:tc>
          <w:tcPr>
            <w:tcW w:w="222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bl>
    <w:p>
      <w:pPr>
        <w:snapToGrid w:val="0"/>
        <w:spacing w:line="360" w:lineRule="auto"/>
        <w:ind w:firstLine="0"/>
        <w:jc w:val="center"/>
        <w:outlineLvl w:val="4"/>
        <w:rPr>
          <w:rFonts w:hint="default" w:ascii="Times New Roman" w:hAnsi="Times New Roman" w:eastAsia="黑体" w:cs="Times New Roman"/>
          <w:b/>
          <w:bCs/>
          <w:sz w:val="24"/>
          <w:szCs w:val="24"/>
          <w:lang w:val="en-GB"/>
        </w:rPr>
        <w:sectPr>
          <w:pgSz w:w="16840" w:h="11907" w:orient="landscape"/>
          <w:pgMar w:top="1417" w:right="1418" w:bottom="1417" w:left="1418" w:header="720" w:footer="720" w:gutter="0"/>
          <w:pgNumType w:fmt="decimal"/>
          <w:cols w:space="720" w:num="1"/>
          <w:docGrid w:type="lines" w:linePitch="286" w:charSpace="0"/>
        </w:sectPr>
      </w:pPr>
    </w:p>
    <w:p>
      <w:pPr>
        <w:snapToGrid w:val="0"/>
        <w:spacing w:line="360" w:lineRule="auto"/>
        <w:ind w:firstLine="0"/>
        <w:jc w:val="center"/>
        <w:outlineLvl w:val="4"/>
        <w:rPr>
          <w:rFonts w:hint="default" w:ascii="Times New Roman" w:hAnsi="Times New Roman" w:eastAsia="黑体" w:cs="Times New Roman"/>
          <w:bCs/>
          <w:sz w:val="24"/>
          <w:szCs w:val="24"/>
          <w:lang w:val="en-GB"/>
        </w:rPr>
      </w:pPr>
      <w:r>
        <w:rPr>
          <w:rFonts w:hint="default" w:ascii="Times New Roman" w:hAnsi="Times New Roman" w:eastAsia="黑体" w:cs="Times New Roman"/>
          <w:bCs/>
          <w:sz w:val="24"/>
          <w:szCs w:val="24"/>
          <w:lang w:val="en-GB"/>
        </w:rPr>
        <w:t>表3.</w:t>
      </w:r>
      <w:r>
        <w:rPr>
          <w:rFonts w:hint="eastAsia" w:ascii="Times New Roman" w:hAnsi="Times New Roman" w:eastAsia="黑体" w:cs="Times New Roman"/>
          <w:bCs/>
          <w:sz w:val="24"/>
          <w:szCs w:val="24"/>
          <w:lang w:val="en-US" w:eastAsia="zh-CN"/>
        </w:rPr>
        <w:t>10</w:t>
      </w:r>
      <w:r>
        <w:rPr>
          <w:rFonts w:hint="default" w:ascii="Times New Roman" w:hAnsi="Times New Roman" w:eastAsia="黑体" w:cs="Times New Roman"/>
          <w:bCs/>
          <w:sz w:val="24"/>
          <w:szCs w:val="24"/>
          <w:lang w:val="en-GB"/>
        </w:rPr>
        <w:t>-2江阴港城产业引进的环保准入条件一览表</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18"/>
        <w:gridCol w:w="1188"/>
        <w:gridCol w:w="3672"/>
        <w:gridCol w:w="1188"/>
        <w:gridCol w:w="1032"/>
        <w:gridCol w:w="1317"/>
        <w:gridCol w:w="618"/>
        <w:gridCol w:w="1183"/>
        <w:gridCol w:w="1332"/>
        <w:gridCol w:w="1031"/>
        <w:gridCol w:w="10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18" w:type="dxa"/>
            <w:vMerge w:val="restart"/>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规划产业</w:t>
            </w:r>
          </w:p>
        </w:tc>
        <w:tc>
          <w:tcPr>
            <w:tcW w:w="13596" w:type="dxa"/>
            <w:gridSpan w:val="10"/>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准入条件</w:t>
            </w:r>
          </w:p>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首先必须满足以下条件：①不属于《国家产业结构调整指导目录（2011）》及2013年修改决定中的淘汰类；②满足《市场准入负面清单草案（试点版）》（发改经体〔2016〕442号）；③满足各行业准入条件；④不属于《福建省人民政府关于加强重点流域水环境</w:t>
            </w:r>
            <w:r>
              <w:rPr>
                <w:rFonts w:hint="eastAsia" w:cs="Times New Roman"/>
                <w:sz w:val="21"/>
                <w:szCs w:val="21"/>
                <w:lang w:eastAsia="zh-CN"/>
              </w:rPr>
              <w:t>综合</w:t>
            </w:r>
            <w:r>
              <w:rPr>
                <w:rFonts w:hint="default" w:ascii="Times New Roman" w:hAnsi="Times New Roman" w:eastAsia="宋体" w:cs="Times New Roman"/>
                <w:sz w:val="21"/>
                <w:szCs w:val="21"/>
              </w:rPr>
              <w:t>整治的意见》中禁止的产业；⑤满足《福建省工业建设项目投资强度控制指标》相关要求。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vMerge w:val="continue"/>
            <w:noWrap w:val="0"/>
            <w:tcMar>
              <w:left w:w="0" w:type="dxa"/>
              <w:right w:w="0" w:type="dxa"/>
            </w:tcMar>
          </w:tcPr>
          <w:p/>
        </w:tc>
        <w:tc>
          <w:tcPr>
            <w:tcW w:w="1188"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产业小类</w:t>
            </w:r>
          </w:p>
        </w:tc>
        <w:tc>
          <w:tcPr>
            <w:tcW w:w="3672"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禁止/严格控制单元、项目</w:t>
            </w:r>
          </w:p>
        </w:tc>
        <w:tc>
          <w:tcPr>
            <w:tcW w:w="1188"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工业用水重复利用率(%)</w:t>
            </w:r>
          </w:p>
        </w:tc>
        <w:tc>
          <w:tcPr>
            <w:tcW w:w="1032"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万元新增值新鲜水耗(t/万元)</w:t>
            </w:r>
          </w:p>
        </w:tc>
        <w:tc>
          <w:tcPr>
            <w:tcW w:w="1317"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万元增加值综合能耗(t标煤/万元)</w:t>
            </w:r>
          </w:p>
        </w:tc>
        <w:tc>
          <w:tcPr>
            <w:tcW w:w="618"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能源</w:t>
            </w:r>
          </w:p>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结构</w:t>
            </w:r>
          </w:p>
        </w:tc>
        <w:tc>
          <w:tcPr>
            <w:tcW w:w="1183"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万元增加值SO2排放(kg/万元)</w:t>
            </w:r>
          </w:p>
        </w:tc>
        <w:tc>
          <w:tcPr>
            <w:tcW w:w="1332"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万元增加值COD排放(kg/万元)</w:t>
            </w:r>
          </w:p>
        </w:tc>
        <w:tc>
          <w:tcPr>
            <w:tcW w:w="1031"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工业固废综合利用率(%)</w:t>
            </w:r>
          </w:p>
        </w:tc>
        <w:tc>
          <w:tcPr>
            <w:tcW w:w="1035"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危险废物处理率(%)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18" w:type="dxa"/>
            <w:vMerge w:val="restart"/>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临港化工产业</w:t>
            </w:r>
          </w:p>
        </w:tc>
        <w:tc>
          <w:tcPr>
            <w:tcW w:w="1188"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化学原料和化学制品制造业</w:t>
            </w:r>
          </w:p>
        </w:tc>
        <w:tc>
          <w:tcPr>
            <w:tcW w:w="3672" w:type="dxa"/>
            <w:vMerge w:val="restart"/>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 </w:t>
            </w:r>
          </w:p>
        </w:tc>
        <w:tc>
          <w:tcPr>
            <w:tcW w:w="1188" w:type="dxa"/>
            <w:vMerge w:val="restart"/>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≥70</w:t>
            </w:r>
          </w:p>
        </w:tc>
        <w:tc>
          <w:tcPr>
            <w:tcW w:w="1032" w:type="dxa"/>
            <w:vMerge w:val="restart"/>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1317" w:type="dxa"/>
            <w:vMerge w:val="restart"/>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≤0.70</w:t>
            </w:r>
          </w:p>
        </w:tc>
        <w:tc>
          <w:tcPr>
            <w:tcW w:w="618" w:type="dxa"/>
            <w:vMerge w:val="restart"/>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推进园区集中供热</w:t>
            </w:r>
          </w:p>
        </w:tc>
        <w:tc>
          <w:tcPr>
            <w:tcW w:w="1183" w:type="dxa"/>
            <w:vMerge w:val="restart"/>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332" w:type="dxa"/>
            <w:vMerge w:val="restart"/>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031" w:type="dxa"/>
            <w:vMerge w:val="restart"/>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≥85</w:t>
            </w:r>
          </w:p>
          <w:p>
            <w:pPr>
              <w:snapToGrid w:val="0"/>
              <w:spacing w:line="300" w:lineRule="exact"/>
              <w:ind w:firstLine="0"/>
              <w:jc w:val="center"/>
              <w:rPr>
                <w:rFonts w:hint="default" w:ascii="Times New Roman" w:hAnsi="Times New Roman" w:eastAsia="宋体" w:cs="Times New Roman"/>
                <w:sz w:val="21"/>
                <w:szCs w:val="21"/>
              </w:rPr>
            </w:pPr>
          </w:p>
        </w:tc>
        <w:tc>
          <w:tcPr>
            <w:tcW w:w="1035" w:type="dxa"/>
            <w:vMerge w:val="restart"/>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p>
            <w:pPr>
              <w:snapToGrid w:val="0"/>
              <w:spacing w:line="300" w:lineRule="exact"/>
              <w:ind w:firstLine="0"/>
              <w:jc w:val="center"/>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vMerge w:val="continue"/>
            <w:noWrap w:val="0"/>
            <w:tcMar>
              <w:left w:w="0" w:type="dxa"/>
              <w:right w:w="0" w:type="dxa"/>
            </w:tcMar>
          </w:tcPr>
          <w:p/>
        </w:tc>
        <w:tc>
          <w:tcPr>
            <w:tcW w:w="1188"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医药制造业</w:t>
            </w: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vMerge w:val="continue"/>
            <w:noWrap w:val="0"/>
            <w:tcMar>
              <w:left w:w="0" w:type="dxa"/>
              <w:right w:w="0" w:type="dxa"/>
            </w:tcMar>
          </w:tcPr>
          <w:p/>
        </w:tc>
        <w:tc>
          <w:tcPr>
            <w:tcW w:w="1188"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化纤制造业</w:t>
            </w: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vMerge w:val="continue"/>
            <w:noWrap w:val="0"/>
            <w:tcMar>
              <w:left w:w="0" w:type="dxa"/>
              <w:right w:w="0" w:type="dxa"/>
            </w:tcMar>
          </w:tcPr>
          <w:p/>
        </w:tc>
        <w:tc>
          <w:tcPr>
            <w:tcW w:w="1188"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肥料制造</w:t>
            </w: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18" w:type="dxa"/>
            <w:vMerge w:val="restart"/>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现代制造业</w:t>
            </w:r>
          </w:p>
        </w:tc>
        <w:tc>
          <w:tcPr>
            <w:tcW w:w="1188"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机械装备制造</w:t>
            </w:r>
          </w:p>
        </w:tc>
        <w:tc>
          <w:tcPr>
            <w:tcW w:w="3672" w:type="dxa"/>
            <w:vMerge w:val="restart"/>
            <w:noWrap w:val="0"/>
            <w:tcMar>
              <w:left w:w="0" w:type="dxa"/>
              <w:right w:w="0" w:type="dxa"/>
            </w:tcMar>
            <w:vAlign w:val="center"/>
          </w:tcPr>
          <w:p>
            <w:pPr>
              <w:snapToGrid w:val="0"/>
              <w:spacing w:line="300" w:lineRule="exact"/>
              <w:ind w:firstLine="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1、除现状合成革企业外，不再引入合成革、人造革项目；</w:t>
            </w:r>
          </w:p>
          <w:p>
            <w:pPr>
              <w:snapToGrid w:val="0"/>
              <w:spacing w:line="300" w:lineRule="exact"/>
              <w:ind w:firstLine="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2、禁止引进集中电镀项目，企业配套电镀工序必须达到废水零排放；</w:t>
            </w:r>
          </w:p>
          <w:p>
            <w:pPr>
              <w:snapToGrid w:val="0"/>
              <w:spacing w:line="300" w:lineRule="exact"/>
              <w:ind w:firstLine="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3、严格控制大气污染型项目、排放重金属和持久性有机污染物的项目。</w:t>
            </w: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vMerge w:val="continue"/>
            <w:noWrap w:val="0"/>
            <w:tcMar>
              <w:left w:w="0" w:type="dxa"/>
              <w:right w:w="0" w:type="dxa"/>
            </w:tcMar>
          </w:tcPr>
          <w:p/>
        </w:tc>
        <w:tc>
          <w:tcPr>
            <w:tcW w:w="1188"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新材料</w:t>
            </w: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vMerge w:val="continue"/>
            <w:noWrap w:val="0"/>
            <w:tcMar>
              <w:left w:w="0" w:type="dxa"/>
              <w:right w:w="0" w:type="dxa"/>
            </w:tcMar>
          </w:tcPr>
          <w:p/>
        </w:tc>
        <w:tc>
          <w:tcPr>
            <w:tcW w:w="1188"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新能源</w:t>
            </w: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vMerge w:val="continue"/>
            <w:noWrap w:val="0"/>
            <w:tcMar>
              <w:left w:w="0" w:type="dxa"/>
              <w:right w:w="0" w:type="dxa"/>
            </w:tcMar>
          </w:tcPr>
          <w:p/>
        </w:tc>
        <w:tc>
          <w:tcPr>
            <w:tcW w:w="1188"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生物医药</w:t>
            </w: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7" w:hRule="atLeast"/>
          <w:jc w:val="center"/>
        </w:trPr>
        <w:tc>
          <w:tcPr>
            <w:vMerge w:val="continue"/>
            <w:noWrap w:val="0"/>
            <w:tcMar>
              <w:left w:w="0" w:type="dxa"/>
              <w:right w:w="0" w:type="dxa"/>
            </w:tcMar>
          </w:tcPr>
          <w:p/>
        </w:tc>
        <w:tc>
          <w:tcPr>
            <w:tcW w:w="1188"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飞机配件业</w:t>
            </w: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c>
          <w:tcPr>
            <w:vMerge w:val="continue"/>
            <w:noWrap w:val="0"/>
            <w:tcMar>
              <w:left w:w="0" w:type="dxa"/>
              <w:right w:w="0" w:type="dxa"/>
            </w:tcMar>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18"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商贸物流业</w:t>
            </w:r>
          </w:p>
        </w:tc>
        <w:tc>
          <w:tcPr>
            <w:tcW w:w="1188"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汽车整车进口的展示商贸区、通用码头、集装箱码头</w:t>
            </w:r>
          </w:p>
        </w:tc>
        <w:tc>
          <w:tcPr>
            <w:tcW w:w="3672"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不发展整车制造业</w:t>
            </w:r>
          </w:p>
        </w:tc>
        <w:tc>
          <w:tcPr>
            <w:tcW w:w="1188"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32"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317"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vMerge w:val="continue"/>
            <w:noWrap w:val="0"/>
            <w:tcMar>
              <w:left w:w="0" w:type="dxa"/>
              <w:right w:w="0" w:type="dxa"/>
            </w:tcMar>
          </w:tcPr>
          <w:p/>
        </w:tc>
        <w:tc>
          <w:tcPr>
            <w:tcW w:w="1183"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332"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vMerge w:val="continue"/>
            <w:noWrap w:val="0"/>
            <w:tcMar>
              <w:left w:w="0" w:type="dxa"/>
              <w:right w:w="0" w:type="dxa"/>
            </w:tcMar>
          </w:tcPr>
          <w:p/>
        </w:tc>
        <w:tc>
          <w:tcPr>
            <w:vMerge w:val="continue"/>
            <w:noWrap w:val="0"/>
            <w:tcMar>
              <w:left w:w="0" w:type="dxa"/>
              <w:right w:w="0" w:type="dxa"/>
            </w:tcMar>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18"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服务业</w:t>
            </w:r>
          </w:p>
        </w:tc>
        <w:tc>
          <w:tcPr>
            <w:tcW w:w="1188"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商贸、商务、金融、信息、总部等职能</w:t>
            </w:r>
          </w:p>
        </w:tc>
        <w:tc>
          <w:tcPr>
            <w:tcW w:w="3672"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188"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32"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317"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vMerge w:val="continue"/>
            <w:noWrap w:val="0"/>
            <w:tcMar>
              <w:left w:w="0" w:type="dxa"/>
              <w:right w:w="0" w:type="dxa"/>
            </w:tcMar>
          </w:tcPr>
          <w:p/>
        </w:tc>
        <w:tc>
          <w:tcPr>
            <w:tcW w:w="1183"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332" w:type="dxa"/>
            <w:noWrap w:val="0"/>
            <w:tcMar>
              <w:left w:w="0" w:type="dxa"/>
              <w:right w:w="0" w:type="dxa"/>
            </w:tcMar>
            <w:vAlign w:val="center"/>
          </w:tcPr>
          <w:p>
            <w:pPr>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vMerge w:val="continue"/>
            <w:noWrap w:val="0"/>
            <w:tcMar>
              <w:left w:w="0" w:type="dxa"/>
              <w:right w:w="0" w:type="dxa"/>
            </w:tcMar>
          </w:tcPr>
          <w:p/>
        </w:tc>
        <w:tc>
          <w:tcPr>
            <w:vMerge w:val="continue"/>
            <w:noWrap w:val="0"/>
            <w:tcMar>
              <w:left w:w="0" w:type="dxa"/>
              <w:right w:w="0" w:type="dxa"/>
            </w:tcMar>
          </w:tcPr>
          <w:p/>
        </w:tc>
      </w:tr>
    </w:tbl>
    <w:p>
      <w:pPr>
        <w:spacing w:line="240" w:lineRule="auto"/>
        <w:ind w:firstLine="480"/>
        <w:rPr>
          <w:rFonts w:hint="default" w:ascii="Times New Roman" w:hAnsi="Times New Roman" w:eastAsia="宋体" w:cs="Times New Roman"/>
          <w:kern w:val="0"/>
          <w:sz w:val="34"/>
        </w:rPr>
        <w:sectPr>
          <w:pgSz w:w="16840" w:h="11907" w:orient="landscape"/>
          <w:pgMar w:top="1417" w:right="1418" w:bottom="1417" w:left="1418" w:header="720" w:footer="720" w:gutter="0"/>
          <w:pgNumType w:fmt="decimal"/>
          <w:cols w:space="720" w:num="1"/>
          <w:docGrid w:type="lines" w:linePitch="286" w:charSpace="0"/>
        </w:sectPr>
      </w:pPr>
    </w:p>
    <w:p>
      <w:pPr>
        <w:snapToGrid w:val="0"/>
        <w:spacing w:line="360" w:lineRule="auto"/>
        <w:ind w:firstLine="0"/>
        <w:jc w:val="left"/>
        <w:outlineLvl w:val="3"/>
        <w:rPr>
          <w:rFonts w:hint="default" w:ascii="Times New Roman" w:hAnsi="Times New Roman" w:eastAsia="宋体" w:cs="Times New Roman"/>
          <w:b/>
          <w:kern w:val="0"/>
          <w:sz w:val="24"/>
          <w:szCs w:val="24"/>
        </w:rPr>
      </w:pPr>
      <w:r>
        <w:rPr>
          <w:rFonts w:hint="default" w:ascii="Times New Roman" w:hAnsi="Times New Roman" w:eastAsia="黑体" w:cs="Times New Roman"/>
          <w:kern w:val="0"/>
          <w:szCs w:val="22"/>
        </w:rPr>
        <w:t>3.</w:t>
      </w:r>
      <w:r>
        <w:rPr>
          <w:rFonts w:hint="eastAsia" w:ascii="Times New Roman" w:hAnsi="Times New Roman" w:eastAsia="黑体" w:cs="Times New Roman"/>
          <w:kern w:val="0"/>
          <w:szCs w:val="22"/>
          <w:lang w:val="en-US" w:eastAsia="zh-CN"/>
        </w:rPr>
        <w:t>10</w:t>
      </w:r>
      <w:r>
        <w:rPr>
          <w:rFonts w:hint="default" w:ascii="Times New Roman" w:hAnsi="Times New Roman" w:eastAsia="黑体" w:cs="Times New Roman"/>
          <w:kern w:val="0"/>
          <w:szCs w:val="22"/>
        </w:rPr>
        <w:t>.2.4与福建省主体功能区规的协调性</w:t>
      </w:r>
    </w:p>
    <w:p>
      <w:pPr>
        <w:widowControl/>
        <w:adjustRightInd w:val="0"/>
        <w:snapToGrid w:val="0"/>
        <w:spacing w:line="360" w:lineRule="auto"/>
        <w:ind w:firstLine="48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2010年12月，国务院以国发〔2010〕46号印发了《全国主体功能区规划》。规划按开发方式，将我国国土空间分为优化开发区域、重点开发区域、限制开发区域和禁止开发区域。其中重点开发区域是指有一定经济基础、资源环境承载能力较强、发展潜力较大、集聚人口和经济的条件较好，从而应该重点进行工业化城镇化开发的城市化地区。</w:t>
      </w:r>
    </w:p>
    <w:p>
      <w:pPr>
        <w:widowControl/>
        <w:adjustRightInd w:val="0"/>
        <w:snapToGrid w:val="0"/>
        <w:spacing w:line="360" w:lineRule="auto"/>
        <w:ind w:firstLine="48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本工程位于福清市江阴半岛，该区域在福建省主体功能区划中属于国家级重点开发区域（见图3.</w:t>
      </w:r>
      <w:r>
        <w:rPr>
          <w:rFonts w:hint="eastAsia" w:ascii="Times New Roman" w:hAnsi="Times New Roman" w:eastAsia="宋体" w:cs="Times New Roman"/>
          <w:kern w:val="0"/>
          <w:sz w:val="24"/>
          <w:szCs w:val="24"/>
          <w:lang w:val="en-US" w:eastAsia="zh-CN"/>
        </w:rPr>
        <w:t>10</w:t>
      </w:r>
      <w:r>
        <w:rPr>
          <w:rFonts w:hint="default" w:ascii="Times New Roman" w:hAnsi="Times New Roman" w:eastAsia="宋体" w:cs="Times New Roman"/>
          <w:kern w:val="0"/>
          <w:sz w:val="24"/>
          <w:szCs w:val="24"/>
        </w:rPr>
        <w:t>-3），功能定位为海峡西岸经济区临港重化产业基地。拟建工程新能源纳米材料项目，因此，拟建工程的建设与福建省主体功能区划是相协调的。</w:t>
      </w:r>
    </w:p>
    <w:p>
      <w:pPr>
        <w:spacing w:line="360" w:lineRule="auto"/>
        <w:ind w:firstLine="0"/>
        <w:rPr>
          <w:rFonts w:hint="default" w:ascii="Times New Roman" w:hAnsi="Times New Roman" w:eastAsia="宋体" w:cs="Times New Roman"/>
          <w:sz w:val="24"/>
          <w:szCs w:val="24"/>
        </w:rPr>
      </w:pPr>
      <w:r>
        <mc:AlternateContent>
          <mc:Choice Requires="wps">
            <w:drawing>
              <wp:anchor distT="0" distB="0" distL="114300" distR="114300" simplePos="0" relativeHeight="251695104" behindDoc="0" locked="0" layoutInCell="1" allowOverlap="1">
                <wp:simplePos x="0" y="0"/>
                <wp:positionH relativeFrom="column">
                  <wp:posOffset>3354070</wp:posOffset>
                </wp:positionH>
                <wp:positionV relativeFrom="paragraph">
                  <wp:posOffset>2713990</wp:posOffset>
                </wp:positionV>
                <wp:extent cx="168275" cy="146050"/>
                <wp:effectExtent l="26035" t="23495" r="34290" b="20955"/>
                <wp:wrapNone/>
                <wp:docPr id="222" name="自选图形 8"/>
                <wp:cNvGraphicFramePr/>
                <a:graphic xmlns:a="http://schemas.openxmlformats.org/drawingml/2006/main">
                  <a:graphicData uri="http://schemas.microsoft.com/office/word/2010/wordprocessingShape">
                    <wps:wsp>
                      <wps:cNvSpPr/>
                      <wps:spPr>
                        <a:xfrm>
                          <a:off x="0" y="0"/>
                          <a:ext cx="168275" cy="146050"/>
                        </a:xfrm>
                        <a:prstGeom prst="star5">
                          <a:avLst/>
                        </a:prstGeom>
                        <a:solidFill>
                          <a:srgbClr val="003399"/>
                        </a:solidFill>
                        <a:ln w="15875" cap="flat" cmpd="sng">
                          <a:solidFill>
                            <a:srgbClr val="003399"/>
                          </a:solidFill>
                          <a:prstDash val="solid"/>
                          <a:miter/>
                          <a:headEnd type="none" w="med" len="med"/>
                          <a:tailEnd type="none" w="med" len="med"/>
                        </a:ln>
                        <a:effectLst/>
                      </wps:spPr>
                      <wps:bodyPr vert="horz" wrap="square" anchor="t" anchorCtr="0" upright="1"/>
                    </wps:wsp>
                  </a:graphicData>
                </a:graphic>
              </wp:anchor>
            </w:drawing>
          </mc:Choice>
          <mc:Fallback>
            <w:pict>
              <v:shape id="自选图形 8" o:spid="_x0000_s1026" style="position:absolute;left:0pt;margin-left:264.1pt;margin-top:213.7pt;height:11.5pt;width:13.25pt;z-index:251695104;mso-width-relative:page;mso-height-relative:page;" fillcolor="#003399" filled="t" stroked="t" coordsize="168275,146050" o:gfxdata="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E7W0q3cAAAACwEAAA8AAAAAAAAAAQAgAAAAIgAAAGRycy9kb3ducmV2LnhtbFBL&#10;AQIUABQAAAAIAIdO4kBmPy1mKwIAAGgEAAAOAAAAAAAAAAEAIAAAACsBAABkcnMvZTJvRG9jLnht&#10;bFBLBQYAAAAABgAGAFkBAADIBQAAAAA=&#10;" path="m0,55785l64275,55786,84137,0,103999,55786,168274,55785,116274,90263,136137,146049,84137,111571,32137,146049,52000,90263xe">
                <v:path o:connectlocs="84137,0;0,55785;32137,146049;136137,146049;168274,55785" o:connectangles="247,164,82,82,0"/>
                <v:fill on="t" focussize="0,0"/>
                <v:stroke weight="1.25pt" color="#003399" joinstyle="miter"/>
                <v:imagedata o:title=""/>
                <o:lock v:ext="edit" aspectratio="f"/>
              </v:shap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4572000</wp:posOffset>
                </wp:positionH>
                <wp:positionV relativeFrom="paragraph">
                  <wp:posOffset>1621155</wp:posOffset>
                </wp:positionV>
                <wp:extent cx="851535" cy="201930"/>
                <wp:effectExtent l="1143000" t="4445" r="5715" b="1012825"/>
                <wp:wrapNone/>
                <wp:docPr id="223" name="自选图形 59"/>
                <wp:cNvGraphicFramePr/>
                <a:graphic xmlns:a="http://schemas.openxmlformats.org/drawingml/2006/main">
                  <a:graphicData uri="http://schemas.microsoft.com/office/word/2010/wordprocessingShape">
                    <wps:wsp>
                      <wps:cNvSpPr/>
                      <wps:spPr>
                        <a:xfrm>
                          <a:off x="0" y="0"/>
                          <a:ext cx="851535" cy="201930"/>
                        </a:xfrm>
                        <a:prstGeom prst="wedgeRoundRectCallout">
                          <a:avLst>
                            <a:gd name="adj1" fmla="val -180352"/>
                            <a:gd name="adj2" fmla="val 530819"/>
                            <a:gd name="adj3" fmla="val 16667"/>
                          </a:avLst>
                        </a:prstGeom>
                        <a:solidFill>
                          <a:srgbClr val="FFFFFF">
                            <a:alpha val="0"/>
                          </a:srgbClr>
                        </a:solidFill>
                        <a:ln w="9525" cap="flat" cmpd="sng">
                          <a:solidFill>
                            <a:srgbClr val="000000"/>
                          </a:solidFill>
                          <a:prstDash val="solid"/>
                          <a:miter/>
                          <a:headEnd type="none" w="med" len="med"/>
                          <a:tailEnd type="none" w="med" len="med"/>
                        </a:ln>
                        <a:effectLst/>
                      </wps:spPr>
                      <wps:txbx>
                        <w:txbxContent>
                          <w:p>
                            <w:pPr>
                              <w:ind w:left="0" w:leftChars="0" w:firstLine="0" w:firstLineChars="0"/>
                              <w:rPr>
                                <w:rFonts w:ascii="Calibri" w:hAnsi="Calibri"/>
                                <w:b/>
                                <w:sz w:val="21"/>
                                <w:szCs w:val="28"/>
                              </w:rPr>
                            </w:pPr>
                            <w:r>
                              <w:rPr>
                                <w:rFonts w:hint="eastAsia" w:ascii="Calibri" w:hAnsi="Calibri"/>
                                <w:b/>
                                <w:sz w:val="21"/>
                                <w:szCs w:val="28"/>
                              </w:rPr>
                              <w:t>项目位置</w:t>
                            </w:r>
                          </w:p>
                        </w:txbxContent>
                      </wps:txbx>
                      <wps:bodyPr wrap="square" lIns="0" tIns="0" rIns="0" bIns="0" upright="1"/>
                    </wps:wsp>
                  </a:graphicData>
                </a:graphic>
              </wp:anchor>
            </w:drawing>
          </mc:Choice>
          <mc:Fallback>
            <w:pict>
              <v:shape id="自选图形 59" o:spid="_x0000_s1026" o:spt="62" type="#_x0000_t62" style="position:absolute;left:0pt;margin-left:360pt;margin-top:127.65pt;height:15.9pt;width:67.05pt;z-index:251696128;mso-width-relative:page;mso-height-relative:page;" fillcolor="#FFFFFF" filled="t" stroked="t" coordsize="21600,21600" o:gfxdata="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WEXr39oAAAALAQAADwAAAAAAAAABACAAAAAi&#10;AAAAZHJzL2Rvd25yZXYueG1sUEsBAhQAFAAAAAgAh07iQCN+5RF6AgAAFwUAAA4AAAAAAAAAAQAg&#10;AAAAKQEAAGRycy9lMm9Eb2MueG1sUEsFBgAAAAAGAAYAWQEAABUGAAAAAA==&#10;" adj="-28156,125457,14400">
                <v:fill on="t" opacity="0f" focussize="0,0"/>
                <v:stroke color="#000000" joinstyle="miter"/>
                <v:imagedata o:title=""/>
                <o:lock v:ext="edit" aspectratio="f"/>
                <v:textbox inset="0mm,0mm,0mm,0mm">
                  <w:txbxContent>
                    <w:p>
                      <w:pPr>
                        <w:ind w:left="0" w:leftChars="0" w:firstLine="0" w:firstLineChars="0"/>
                        <w:rPr>
                          <w:rFonts w:ascii="Calibri" w:hAnsi="Calibri"/>
                          <w:b/>
                          <w:sz w:val="21"/>
                          <w:szCs w:val="28"/>
                        </w:rPr>
                      </w:pPr>
                      <w:r>
                        <w:rPr>
                          <w:rFonts w:hint="eastAsia" w:ascii="Calibri" w:hAnsi="Calibri"/>
                          <w:b/>
                          <w:sz w:val="21"/>
                          <w:szCs w:val="28"/>
                        </w:rPr>
                        <w:t>项目位置</w:t>
                      </w:r>
                    </w:p>
                  </w:txbxContent>
                </v:textbox>
              </v:shape>
            </w:pict>
          </mc:Fallback>
        </mc:AlternateContent>
      </w:r>
      <w:r>
        <w:drawing>
          <wp:inline distT="0" distB="0" distL="114300" distR="114300">
            <wp:extent cx="5742305" cy="4299585"/>
            <wp:effectExtent l="0" t="0" r="10795" b="5715"/>
            <wp:docPr id="90"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64"/>
                    <pic:cNvPicPr>
                      <a:picLocks noChangeAspect="1"/>
                    </pic:cNvPicPr>
                  </pic:nvPicPr>
                  <pic:blipFill>
                    <a:blip r:embed="rId39"/>
                    <a:stretch>
                      <a:fillRect/>
                    </a:stretch>
                  </pic:blipFill>
                  <pic:spPr>
                    <a:xfrm>
                      <a:off x="0" y="0"/>
                      <a:ext cx="5742305" cy="4299585"/>
                    </a:xfrm>
                    <a:prstGeom prst="rect">
                      <a:avLst/>
                    </a:prstGeom>
                    <a:noFill/>
                    <a:ln>
                      <a:noFill/>
                    </a:ln>
                  </pic:spPr>
                </pic:pic>
              </a:graphicData>
            </a:graphic>
          </wp:inline>
        </w:drawing>
      </w:r>
    </w:p>
    <w:p>
      <w:pPr>
        <w:snapToGrid w:val="0"/>
        <w:spacing w:line="360" w:lineRule="auto"/>
        <w:ind w:firstLine="0"/>
        <w:jc w:val="center"/>
        <w:outlineLvl w:val="4"/>
        <w:rPr>
          <w:rFonts w:hint="default" w:ascii="Times New Roman" w:hAnsi="Times New Roman" w:eastAsia="黑体" w:cs="Times New Roman"/>
          <w:bCs/>
          <w:kern w:val="0"/>
          <w:sz w:val="24"/>
          <w:szCs w:val="24"/>
          <w:lang w:val="en-GB"/>
        </w:rPr>
      </w:pPr>
      <w:r>
        <w:rPr>
          <w:rFonts w:hint="default" w:ascii="Times New Roman" w:hAnsi="Times New Roman" w:eastAsia="黑体" w:cs="Times New Roman"/>
          <w:bCs/>
          <w:kern w:val="0"/>
          <w:sz w:val="24"/>
          <w:szCs w:val="24"/>
          <w:lang w:val="en-GB"/>
        </w:rPr>
        <w:t>图3.</w:t>
      </w:r>
      <w:r>
        <w:rPr>
          <w:rFonts w:hint="eastAsia" w:ascii="Times New Roman" w:hAnsi="Times New Roman" w:eastAsia="黑体" w:cs="Times New Roman"/>
          <w:bCs/>
          <w:kern w:val="0"/>
          <w:sz w:val="24"/>
          <w:szCs w:val="24"/>
          <w:lang w:val="en-US" w:eastAsia="zh-CN"/>
        </w:rPr>
        <w:t>10</w:t>
      </w:r>
      <w:r>
        <w:rPr>
          <w:rFonts w:hint="default" w:ascii="Times New Roman" w:hAnsi="Times New Roman" w:eastAsia="黑体" w:cs="Times New Roman"/>
          <w:bCs/>
          <w:kern w:val="0"/>
          <w:sz w:val="24"/>
          <w:szCs w:val="24"/>
          <w:lang w:val="en-GB"/>
        </w:rPr>
        <w:t>-3  福建省主体功能区划图</w:t>
      </w:r>
    </w:p>
    <w:p>
      <w:pPr>
        <w:spacing w:line="36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3.</w:t>
      </w:r>
      <w:r>
        <w:rPr>
          <w:rFonts w:hint="eastAsia" w:ascii="Times New Roman" w:hAnsi="Times New Roman" w:eastAsia="黑体" w:cs="Times New Roman"/>
          <w:kern w:val="0"/>
          <w:szCs w:val="22"/>
          <w:lang w:val="en-US" w:eastAsia="zh-CN"/>
        </w:rPr>
        <w:t>10</w:t>
      </w:r>
      <w:r>
        <w:rPr>
          <w:rFonts w:hint="default" w:ascii="Times New Roman" w:hAnsi="Times New Roman" w:eastAsia="黑体" w:cs="Times New Roman"/>
          <w:kern w:val="0"/>
          <w:szCs w:val="22"/>
        </w:rPr>
        <w:t>.2.5与《福建省生态功能区划》的协调性</w:t>
      </w:r>
    </w:p>
    <w:p>
      <w:pPr>
        <w:widowControl/>
        <w:adjustRightInd w:val="0"/>
        <w:snapToGrid w:val="0"/>
        <w:spacing w:line="360" w:lineRule="auto"/>
        <w:ind w:firstLine="48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福建省生态功能区划》（以下简称《区划》）经省委常委会和省政府常务会议审议通过，并于2010年1月27日正式发布实施。区划的范围为全省84个县级行政单位（不含金门和马祖），海域为12海里国家领海界以内的近岸海域。根据生态功能区的主导功能，《区划》将全省划分为2个生态区，5个生态亚区和107个生态功能区。详见图3.</w:t>
      </w:r>
      <w:r>
        <w:rPr>
          <w:rFonts w:hint="eastAsia" w:ascii="Times New Roman" w:hAnsi="Times New Roman" w:eastAsia="宋体" w:cs="Times New Roman"/>
          <w:kern w:val="0"/>
          <w:sz w:val="24"/>
          <w:szCs w:val="24"/>
          <w:lang w:val="en-US" w:eastAsia="zh-CN"/>
        </w:rPr>
        <w:t>10</w:t>
      </w:r>
      <w:r>
        <w:rPr>
          <w:rFonts w:hint="default" w:ascii="Times New Roman" w:hAnsi="Times New Roman" w:eastAsia="宋体" w:cs="Times New Roman"/>
          <w:kern w:val="0"/>
          <w:sz w:val="24"/>
          <w:szCs w:val="24"/>
        </w:rPr>
        <w:t>-4。</w:t>
      </w:r>
    </w:p>
    <w:p>
      <w:pPr>
        <w:widowControl/>
        <w:adjustRightInd w:val="0"/>
        <w:snapToGrid w:val="0"/>
        <w:spacing w:line="360" w:lineRule="auto"/>
        <w:ind w:firstLine="48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根据《区划》，项目所在的生态功能区划为“福清城镇和集约化高优农业生态功能区（5203）”，其主要生态系统服务功能、保护措施与发展方向详见表3.</w:t>
      </w:r>
      <w:r>
        <w:rPr>
          <w:rFonts w:hint="eastAsia" w:ascii="Times New Roman" w:hAnsi="Times New Roman" w:eastAsia="宋体" w:cs="Times New Roman"/>
          <w:kern w:val="0"/>
          <w:sz w:val="24"/>
          <w:szCs w:val="24"/>
          <w:lang w:val="en-US" w:eastAsia="zh-CN"/>
        </w:rPr>
        <w:t>10</w:t>
      </w:r>
      <w:r>
        <w:rPr>
          <w:rFonts w:hint="default" w:ascii="Times New Roman" w:hAnsi="Times New Roman" w:eastAsia="宋体" w:cs="Times New Roman"/>
          <w:kern w:val="0"/>
          <w:sz w:val="24"/>
          <w:szCs w:val="24"/>
        </w:rPr>
        <w:t>-3。</w:t>
      </w:r>
    </w:p>
    <w:p>
      <w:pPr>
        <w:snapToGrid w:val="0"/>
        <w:spacing w:line="360" w:lineRule="auto"/>
        <w:ind w:firstLine="0"/>
        <w:jc w:val="center"/>
        <w:outlineLvl w:val="4"/>
        <w:rPr>
          <w:rFonts w:hint="default" w:ascii="Times New Roman" w:hAnsi="Times New Roman" w:eastAsia="黑体" w:cs="Times New Roman"/>
          <w:bCs/>
          <w:kern w:val="0"/>
          <w:sz w:val="24"/>
          <w:szCs w:val="24"/>
          <w:lang w:val="en-GB"/>
        </w:rPr>
      </w:pPr>
      <w:r>
        <w:rPr>
          <w:rFonts w:hint="default" w:ascii="Times New Roman" w:hAnsi="Times New Roman" w:eastAsia="黑体" w:cs="Times New Roman"/>
          <w:bCs/>
          <w:kern w:val="0"/>
          <w:sz w:val="24"/>
          <w:szCs w:val="24"/>
          <w:lang w:val="en-GB"/>
        </w:rPr>
        <w:t>表3.</w:t>
      </w:r>
      <w:r>
        <w:rPr>
          <w:rFonts w:hint="eastAsia" w:ascii="Times New Roman" w:hAnsi="Times New Roman" w:eastAsia="黑体" w:cs="Times New Roman"/>
          <w:bCs/>
          <w:kern w:val="0"/>
          <w:sz w:val="24"/>
          <w:szCs w:val="24"/>
          <w:lang w:val="en-US" w:eastAsia="zh-CN"/>
        </w:rPr>
        <w:t>10</w:t>
      </w:r>
      <w:r>
        <w:rPr>
          <w:rFonts w:hint="default" w:ascii="Times New Roman" w:hAnsi="Times New Roman" w:eastAsia="黑体" w:cs="Times New Roman"/>
          <w:bCs/>
          <w:kern w:val="0"/>
          <w:sz w:val="24"/>
          <w:szCs w:val="24"/>
          <w:lang w:val="en-GB"/>
        </w:rPr>
        <w:t>-3  福建省生态功能区划表</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6"/>
        <w:gridCol w:w="1387"/>
        <w:gridCol w:w="1851"/>
        <w:gridCol w:w="48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6"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生态功能分区单元</w:t>
            </w:r>
          </w:p>
        </w:tc>
        <w:tc>
          <w:tcPr>
            <w:tcW w:w="1387"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生态环境敏感性</w:t>
            </w:r>
          </w:p>
        </w:tc>
        <w:tc>
          <w:tcPr>
            <w:tcW w:w="185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主要生态系统服务功能</w:t>
            </w:r>
          </w:p>
        </w:tc>
        <w:tc>
          <w:tcPr>
            <w:tcW w:w="4846"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保护措施与发展方向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6"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5203福清城镇和集约化高优农业生态功能区</w:t>
            </w:r>
          </w:p>
        </w:tc>
        <w:tc>
          <w:tcPr>
            <w:tcW w:w="1387"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土壤侵蚀轻度敏感与敏感、酸雨轻度敏感与敏感、地质灾害轻度敏感与敏感</w:t>
            </w:r>
          </w:p>
        </w:tc>
        <w:tc>
          <w:tcPr>
            <w:tcW w:w="1851"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城镇生态环境、集约化高优农业生态环境、营养物质保持、自然与人文景观保护</w:t>
            </w:r>
          </w:p>
        </w:tc>
        <w:tc>
          <w:tcPr>
            <w:tcW w:w="4846"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生态城镇和生态工业区，发展循环经济和清洁生产，加快城镇环保设施建设，重点治理工业废水和城镇生活废水污染，改善龙江水质；对重点工业区进行空气污染监控；加大污染废弃物的处置力度；增加城镇绿地面积。发展生态农业，控制农业面源污染和规模化畜禽养殖污染；加强丘陵坡地植被恢复和水土流失综合治理；加强324国道和福泉高速路等重要交通干线两侧一重山视域景观建设。</w:t>
            </w:r>
          </w:p>
        </w:tc>
      </w:tr>
    </w:tbl>
    <w:p>
      <w:pPr>
        <w:widowControl/>
        <w:adjustRightInd w:val="0"/>
        <w:snapToGrid w:val="0"/>
        <w:spacing w:line="360" w:lineRule="auto"/>
        <w:ind w:firstLine="48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项目位于</w:t>
      </w:r>
      <w:r>
        <w:rPr>
          <w:rFonts w:hint="default" w:ascii="Times New Roman" w:hAnsi="Times New Roman" w:eastAsia="宋体" w:cs="Times New Roman"/>
          <w:sz w:val="24"/>
          <w:szCs w:val="24"/>
        </w:rPr>
        <w:t>福州江阴港城经济区临港化工用地</w:t>
      </w:r>
      <w:r>
        <w:rPr>
          <w:rFonts w:hint="default" w:ascii="Times New Roman" w:hAnsi="Times New Roman" w:eastAsia="宋体" w:cs="Times New Roman"/>
          <w:kern w:val="0"/>
          <w:sz w:val="24"/>
          <w:szCs w:val="24"/>
        </w:rPr>
        <w:t>，用地不涉及砍伐沿海防护林等破坏本生态功能区保护要求的活动。因此，本项目建设与福建省生态功能区划是相协调的。</w:t>
      </w:r>
    </w:p>
    <w:p>
      <w:pPr>
        <w:snapToGrid w:val="0"/>
        <w:spacing w:line="360" w:lineRule="auto"/>
        <w:ind w:firstLine="0"/>
        <w:jc w:val="left"/>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3.</w:t>
      </w:r>
      <w:r>
        <w:rPr>
          <w:rFonts w:hint="eastAsia" w:ascii="Times New Roman" w:hAnsi="Times New Roman" w:eastAsia="黑体" w:cs="Times New Roman"/>
          <w:kern w:val="0"/>
          <w:szCs w:val="22"/>
          <w:lang w:val="en-US" w:eastAsia="zh-CN"/>
        </w:rPr>
        <w:t>10</w:t>
      </w:r>
      <w:r>
        <w:rPr>
          <w:rFonts w:hint="default" w:ascii="Times New Roman" w:hAnsi="Times New Roman" w:eastAsia="黑体" w:cs="Times New Roman"/>
          <w:kern w:val="0"/>
          <w:szCs w:val="22"/>
        </w:rPr>
        <w:t>.2.6与福清市生态功能区划的协调性分析</w:t>
      </w:r>
    </w:p>
    <w:p>
      <w:pPr>
        <w:widowControl/>
        <w:adjustRightInd w:val="0"/>
        <w:snapToGrid w:val="0"/>
        <w:spacing w:line="360" w:lineRule="auto"/>
        <w:ind w:firstLine="48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本项目位于福清西南部城镇与工业环境生态生态功能小区（520118108）内，见图3.</w:t>
      </w:r>
      <w:r>
        <w:rPr>
          <w:rFonts w:hint="eastAsia" w:ascii="Times New Roman" w:hAnsi="Times New Roman" w:eastAsia="宋体" w:cs="Times New Roman"/>
          <w:kern w:val="0"/>
          <w:sz w:val="24"/>
          <w:szCs w:val="24"/>
          <w:lang w:val="en-US" w:eastAsia="zh-CN"/>
        </w:rPr>
        <w:t>10</w:t>
      </w:r>
      <w:r>
        <w:rPr>
          <w:rFonts w:hint="default" w:ascii="Times New Roman" w:hAnsi="Times New Roman" w:eastAsia="宋体" w:cs="Times New Roman"/>
          <w:kern w:val="0"/>
          <w:sz w:val="24"/>
          <w:szCs w:val="24"/>
        </w:rPr>
        <w:t>-5，概况如下：</w:t>
      </w:r>
    </w:p>
    <w:p>
      <w:pPr>
        <w:widowControl/>
        <w:adjustRightInd w:val="0"/>
        <w:snapToGrid w:val="0"/>
        <w:spacing w:line="360" w:lineRule="auto"/>
        <w:ind w:firstLine="48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①范围：渔溪、上迳、新厝三镇以及江阴岛，面积188.6平方公里。</w:t>
      </w:r>
    </w:p>
    <w:p>
      <w:pPr>
        <w:widowControl/>
        <w:adjustRightInd w:val="0"/>
        <w:snapToGrid w:val="0"/>
        <w:spacing w:line="360" w:lineRule="auto"/>
        <w:ind w:firstLine="48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②生态环境特点：本小区包括上迳、渔溪、新厝三个镇的部分以及江阴岛。江阴新城是开发江阴岛经济区的经济中心，以发展海洋运输、临海外向型重工业为主，主要工业企业为冶金、化工企业等，对大气、水体的污染严重。</w:t>
      </w:r>
    </w:p>
    <w:p>
      <w:pPr>
        <w:widowControl/>
        <w:adjustRightInd w:val="0"/>
        <w:snapToGrid w:val="0"/>
        <w:spacing w:line="360" w:lineRule="auto"/>
        <w:ind w:firstLine="48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③主导功能：城镇生态环境。</w:t>
      </w:r>
    </w:p>
    <w:p>
      <w:pPr>
        <w:widowControl/>
        <w:adjustRightInd w:val="0"/>
        <w:snapToGrid w:val="0"/>
        <w:spacing w:line="360" w:lineRule="auto"/>
        <w:ind w:firstLine="48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④辅助功能：交通干线视域景观生态、农业生态环境、沿海防风固沙。</w:t>
      </w:r>
    </w:p>
    <w:p>
      <w:pPr>
        <w:widowControl/>
        <w:adjustRightInd w:val="0"/>
        <w:snapToGrid w:val="0"/>
        <w:spacing w:line="360" w:lineRule="auto"/>
        <w:ind w:firstLine="48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⑤生态保育和建设方向：（1）重点：大气污染重点监控，生态城镇与工业区规划和建设，乡镇企业污染和农业面源污染的治理和控制；（2）其他相关任务：夏秋台风大潮时海堤的监护和滨海围垦地潮灾的防御，沿海风沙防护林建设。</w:t>
      </w:r>
    </w:p>
    <w:p>
      <w:pPr>
        <w:snapToGrid w:val="0"/>
        <w:spacing w:line="360" w:lineRule="auto"/>
        <w:ind w:firstLine="480"/>
        <w:rPr>
          <w:rFonts w:hint="default" w:ascii="Times New Roman" w:hAnsi="Times New Roman" w:eastAsia="宋体" w:cs="Times New Roman"/>
          <w:sz w:val="21"/>
          <w:szCs w:val="22"/>
        </w:rPr>
      </w:pPr>
      <w:r>
        <w:rPr>
          <w:rFonts w:hint="default" w:ascii="Times New Roman" w:hAnsi="Times New Roman" w:eastAsia="宋体" w:cs="Times New Roman"/>
          <w:kern w:val="0"/>
          <w:sz w:val="24"/>
          <w:szCs w:val="24"/>
        </w:rPr>
        <w:t>拟建项目为化工企业及新能源材料行业，选址在福州江阴港城经济区，没有涉及砍伐沿海防护林等破坏本生态功能区保护要求的活动，在项目建设中将加强生态保护与水土流失防控措施。拟建项目在运营过程中将采取各项环保措施确保废气达标排放，减缓对周边大气环境的影响。因此，本项目的建设符合福清市生态功能区划。</w:t>
      </w:r>
    </w:p>
    <w:p>
      <w:pPr>
        <w:spacing w:line="240" w:lineRule="auto"/>
        <w:ind w:firstLine="0"/>
        <w:rPr>
          <w:rFonts w:hint="default" w:ascii="Times New Roman" w:hAnsi="Times New Roman" w:eastAsia="宋体" w:cs="Times New Roman"/>
          <w:kern w:val="0"/>
          <w:sz w:val="34"/>
        </w:rPr>
        <w:sectPr>
          <w:pgSz w:w="11900" w:h="16840"/>
          <w:pgMar w:top="1417" w:right="1418" w:bottom="1417" w:left="1418" w:header="851" w:footer="851" w:gutter="0"/>
          <w:pgNumType w:fmt="decimal"/>
          <w:cols w:space="720" w:num="1"/>
          <w:docGrid w:linePitch="286" w:charSpace="0"/>
        </w:sectPr>
      </w:pPr>
    </w:p>
    <w:p>
      <w:pPr>
        <w:spacing w:line="240" w:lineRule="auto"/>
        <w:ind w:firstLine="0"/>
        <w:jc w:val="center"/>
        <w:rPr>
          <w:rFonts w:hint="default" w:ascii="Times New Roman" w:hAnsi="Times New Roman" w:eastAsia="宋体" w:cs="Times New Roman"/>
          <w:sz w:val="21"/>
          <w:szCs w:val="22"/>
        </w:rPr>
      </w:pPr>
      <w:r>
        <mc:AlternateContent>
          <mc:Choice Requires="wps">
            <w:drawing>
              <wp:anchor distT="0" distB="0" distL="114300" distR="114300" simplePos="0" relativeHeight="251693056" behindDoc="0" locked="0" layoutInCell="1" allowOverlap="1">
                <wp:simplePos x="0" y="0"/>
                <wp:positionH relativeFrom="column">
                  <wp:posOffset>3166745</wp:posOffset>
                </wp:positionH>
                <wp:positionV relativeFrom="paragraph">
                  <wp:posOffset>4388485</wp:posOffset>
                </wp:positionV>
                <wp:extent cx="780415" cy="201930"/>
                <wp:effectExtent l="5080" t="1446530" r="14605" b="8890"/>
                <wp:wrapNone/>
                <wp:docPr id="220" name="自选图形 17"/>
                <wp:cNvGraphicFramePr/>
                <a:graphic xmlns:a="http://schemas.openxmlformats.org/drawingml/2006/main">
                  <a:graphicData uri="http://schemas.microsoft.com/office/word/2010/wordprocessingShape">
                    <wps:wsp>
                      <wps:cNvSpPr/>
                      <wps:spPr>
                        <a:xfrm>
                          <a:off x="0" y="0"/>
                          <a:ext cx="993775" cy="201930"/>
                        </a:xfrm>
                        <a:prstGeom prst="wedgeRoundRectCallout">
                          <a:avLst>
                            <a:gd name="adj1" fmla="val -10065"/>
                            <a:gd name="adj2" fmla="val -747486"/>
                            <a:gd name="adj3" fmla="val 16667"/>
                          </a:avLst>
                        </a:prstGeom>
                        <a:solidFill>
                          <a:srgbClr val="FFFFFF">
                            <a:alpha val="0"/>
                          </a:srgbClr>
                        </a:solidFill>
                        <a:ln w="9525" cap="flat" cmpd="sng">
                          <a:solidFill>
                            <a:srgbClr val="000000"/>
                          </a:solidFill>
                          <a:prstDash val="solid"/>
                          <a:miter/>
                          <a:headEnd type="none" w="med" len="med"/>
                          <a:tailEnd type="none" w="med" len="med"/>
                        </a:ln>
                        <a:effectLst/>
                      </wps:spPr>
                      <wps:txbx>
                        <w:txbxContent>
                          <w:p>
                            <w:pPr>
                              <w:ind w:left="0" w:leftChars="0" w:firstLine="0" w:firstLineChars="0"/>
                              <w:rPr>
                                <w:rFonts w:ascii="Calibri" w:hAnsi="Calibri"/>
                                <w:b/>
                                <w:color w:val="FF0000"/>
                                <w:sz w:val="21"/>
                                <w:szCs w:val="28"/>
                              </w:rPr>
                            </w:pPr>
                            <w:r>
                              <w:rPr>
                                <w:rFonts w:hint="eastAsia" w:ascii="Calibri" w:hAnsi="Calibri"/>
                                <w:b/>
                                <w:color w:val="FF0000"/>
                                <w:sz w:val="21"/>
                                <w:szCs w:val="28"/>
                              </w:rPr>
                              <w:t>项目位置</w:t>
                            </w:r>
                          </w:p>
                        </w:txbxContent>
                      </wps:txbx>
                      <wps:bodyPr wrap="square" lIns="0" tIns="0" rIns="0" bIns="0" upright="1"/>
                    </wps:wsp>
                  </a:graphicData>
                </a:graphic>
              </wp:anchor>
            </w:drawing>
          </mc:Choice>
          <mc:Fallback>
            <w:pict>
              <v:shape id="自选图形 17" o:spid="_x0000_s1026" o:spt="62" type="#_x0000_t62" style="position:absolute;left:0pt;margin-left:249.35pt;margin-top:345.55pt;height:15.9pt;width:61.45pt;z-index:251693056;mso-width-relative:page;mso-height-relative:page;" fillcolor="#FFFFFF" filled="t" stroked="t" coordsize="21600,21600" o:gfxdata="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IOh/T/cAAAACwEAAA8AAAAAAAAAAQAgAAAAIgAA&#10;AGRycy9kb3ducmV2LnhtbFBLAQIUABQAAAAIAIdO4kBHQtZbdgIAABcFAAAOAAAAAAAAAAEAIAAA&#10;ACsBAABkcnMvZTJvRG9jLnhtbFBLBQYAAAAABgAGAFkBAAATBgAAAAA=&#10;" adj="8626,-150657,14400">
                <v:fill on="t" opacity="0f" focussize="0,0"/>
                <v:stroke color="#000000" joinstyle="miter"/>
                <v:imagedata o:title=""/>
                <o:lock v:ext="edit" aspectratio="f"/>
                <v:textbox inset="0mm,0mm,0mm,0mm">
                  <w:txbxContent>
                    <w:p>
                      <w:pPr>
                        <w:ind w:left="0" w:leftChars="0" w:firstLine="0" w:firstLineChars="0"/>
                        <w:rPr>
                          <w:rFonts w:ascii="Calibri" w:hAnsi="Calibri"/>
                          <w:b/>
                          <w:color w:val="FF0000"/>
                          <w:sz w:val="21"/>
                          <w:szCs w:val="28"/>
                        </w:rPr>
                      </w:pPr>
                      <w:r>
                        <w:rPr>
                          <w:rFonts w:hint="eastAsia" w:ascii="Calibri" w:hAnsi="Calibri"/>
                          <w:b/>
                          <w:color w:val="FF0000"/>
                          <w:sz w:val="21"/>
                          <w:szCs w:val="28"/>
                        </w:rPr>
                        <w:t>项目位置</w:t>
                      </w:r>
                    </w:p>
                  </w:txbxContent>
                </v:textbox>
              </v:shape>
            </w:pict>
          </mc:Fallback>
        </mc:AlternateContent>
      </w:r>
      <w:r>
        <mc:AlternateContent>
          <mc:Choice Requires="wps">
            <w:drawing>
              <wp:anchor distT="0" distB="0" distL="114300" distR="114300" simplePos="0" relativeHeight="251694080" behindDoc="0" locked="0" layoutInCell="1" allowOverlap="1">
                <wp:simplePos x="0" y="0"/>
                <wp:positionH relativeFrom="column">
                  <wp:posOffset>3443605</wp:posOffset>
                </wp:positionH>
                <wp:positionV relativeFrom="paragraph">
                  <wp:posOffset>2849245</wp:posOffset>
                </wp:positionV>
                <wp:extent cx="168275" cy="146050"/>
                <wp:effectExtent l="26035" t="23495" r="34290" b="20955"/>
                <wp:wrapNone/>
                <wp:docPr id="221" name="自选图形 8"/>
                <wp:cNvGraphicFramePr/>
                <a:graphic xmlns:a="http://schemas.openxmlformats.org/drawingml/2006/main">
                  <a:graphicData uri="http://schemas.microsoft.com/office/word/2010/wordprocessingShape">
                    <wps:wsp>
                      <wps:cNvSpPr/>
                      <wps:spPr>
                        <a:xfrm>
                          <a:off x="0" y="0"/>
                          <a:ext cx="168275" cy="146050"/>
                        </a:xfrm>
                        <a:prstGeom prst="star5">
                          <a:avLst/>
                        </a:prstGeom>
                        <a:solidFill>
                          <a:srgbClr val="003399"/>
                        </a:solidFill>
                        <a:ln w="15875" cap="flat" cmpd="sng">
                          <a:solidFill>
                            <a:srgbClr val="003399"/>
                          </a:solidFill>
                          <a:prstDash val="solid"/>
                          <a:miter/>
                          <a:headEnd type="none" w="med" len="med"/>
                          <a:tailEnd type="none" w="med" len="med"/>
                        </a:ln>
                        <a:effectLst/>
                      </wps:spPr>
                      <wps:bodyPr vert="horz" wrap="square" anchor="t" anchorCtr="0" upright="1"/>
                    </wps:wsp>
                  </a:graphicData>
                </a:graphic>
              </wp:anchor>
            </w:drawing>
          </mc:Choice>
          <mc:Fallback>
            <w:pict>
              <v:shape id="自选图形 8" o:spid="_x0000_s1026" style="position:absolute;left:0pt;margin-left:271.15pt;margin-top:224.35pt;height:11.5pt;width:13.25pt;z-index:251694080;mso-width-relative:page;mso-height-relative:page;" fillcolor="#003399" filled="t" stroked="t" coordsize="168275,146050" o:gfxdata="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aRDhh3QAAAAsBAAAPAAAAAAAAAAEAIAAAACIAAABkcnMvZG93bnJldi54bWxQ&#10;SwECFAAUAAAACACHTuJA8s4cKSsCAABoBAAADgAAAAAAAAABACAAAAAsAQAAZHJzL2Uyb0RvYy54&#10;bWxQSwUGAAAAAAYABgBZAQAAyQUAAAAA&#10;" path="m0,55785l64275,55786,84137,0,103999,55786,168274,55785,116274,90263,136137,146049,84137,111571,32137,146049,52000,90263xe">
                <v:path o:connectlocs="84137,0;0,55785;32137,146049;136137,146049;168274,55785" o:connectangles="247,164,82,82,0"/>
                <v:fill on="t" focussize="0,0"/>
                <v:stroke weight="1.25pt" color="#003399" joinstyle="miter"/>
                <v:imagedata o:title=""/>
                <o:lock v:ext="edit" aspectratio="f"/>
              </v:shape>
            </w:pict>
          </mc:Fallback>
        </mc:AlternateContent>
      </w:r>
      <w:r>
        <w:drawing>
          <wp:inline distT="0" distB="0" distL="114300" distR="114300">
            <wp:extent cx="7660005" cy="5192395"/>
            <wp:effectExtent l="0" t="0" r="17145" b="8255"/>
            <wp:docPr id="91" name="图片 265" descr="福建省省级生态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65" descr="福建省省级生态功能区划图"/>
                    <pic:cNvPicPr>
                      <a:picLocks noChangeAspect="1"/>
                    </pic:cNvPicPr>
                  </pic:nvPicPr>
                  <pic:blipFill>
                    <a:blip r:embed="rId40"/>
                    <a:stretch>
                      <a:fillRect/>
                    </a:stretch>
                  </pic:blipFill>
                  <pic:spPr>
                    <a:xfrm>
                      <a:off x="0" y="0"/>
                      <a:ext cx="7660005" cy="5192395"/>
                    </a:xfrm>
                    <a:prstGeom prst="rect">
                      <a:avLst/>
                    </a:prstGeom>
                    <a:noFill/>
                    <a:ln>
                      <a:noFill/>
                    </a:ln>
                  </pic:spPr>
                </pic:pic>
              </a:graphicData>
            </a:graphic>
          </wp:inline>
        </w:drawing>
      </w:r>
    </w:p>
    <w:p>
      <w:pPr>
        <w:snapToGrid w:val="0"/>
        <w:spacing w:line="360" w:lineRule="auto"/>
        <w:ind w:firstLine="0"/>
        <w:jc w:val="center"/>
        <w:outlineLvl w:val="4"/>
        <w:rPr>
          <w:rFonts w:hint="default" w:ascii="Times New Roman" w:hAnsi="Times New Roman" w:eastAsia="黑体" w:cs="Times New Roman"/>
          <w:bCs/>
          <w:sz w:val="24"/>
          <w:szCs w:val="24"/>
          <w:lang w:val="en-GB"/>
        </w:rPr>
      </w:pPr>
      <w:r>
        <w:rPr>
          <w:rFonts w:hint="default" w:ascii="Times New Roman" w:hAnsi="Times New Roman" w:eastAsia="黑体" w:cs="Times New Roman"/>
          <w:bCs/>
          <w:sz w:val="24"/>
          <w:szCs w:val="24"/>
          <w:lang w:val="en-GB"/>
        </w:rPr>
        <w:t>图3.</w:t>
      </w:r>
      <w:r>
        <w:rPr>
          <w:rFonts w:hint="eastAsia" w:ascii="Times New Roman" w:hAnsi="Times New Roman" w:eastAsia="黑体" w:cs="Times New Roman"/>
          <w:bCs/>
          <w:sz w:val="24"/>
          <w:szCs w:val="24"/>
          <w:lang w:val="en-US" w:eastAsia="zh-CN"/>
        </w:rPr>
        <w:t>10</w:t>
      </w:r>
      <w:r>
        <w:rPr>
          <w:rFonts w:hint="default" w:ascii="Times New Roman" w:hAnsi="Times New Roman" w:eastAsia="黑体" w:cs="Times New Roman"/>
          <w:bCs/>
          <w:sz w:val="24"/>
          <w:szCs w:val="24"/>
          <w:lang w:val="en-GB"/>
        </w:rPr>
        <w:t>-4 福建省生态功能区划图</w:t>
      </w:r>
    </w:p>
    <w:p>
      <w:pPr>
        <w:snapToGrid w:val="0"/>
        <w:spacing w:line="240" w:lineRule="auto"/>
        <w:ind w:firstLine="0"/>
        <w:jc w:val="center"/>
        <w:outlineLvl w:val="4"/>
        <w:rPr>
          <w:rFonts w:hint="default" w:ascii="Times New Roman" w:hAnsi="Times New Roman" w:eastAsia="宋体" w:cs="Times New Roman"/>
          <w:kern w:val="0"/>
          <w:sz w:val="24"/>
          <w:szCs w:val="30"/>
          <w:lang w:val="en-GB"/>
        </w:rPr>
        <w:sectPr>
          <w:pgSz w:w="16840" w:h="11900" w:orient="landscape"/>
          <w:pgMar w:top="1417" w:right="1418" w:bottom="1417" w:left="1418" w:header="907" w:footer="907" w:gutter="0"/>
          <w:pgNumType w:fmt="decimal"/>
          <w:cols w:space="720" w:num="1"/>
          <w:docGrid w:linePitch="286" w:charSpace="0"/>
        </w:sectPr>
      </w:pPr>
    </w:p>
    <w:p>
      <w:pPr>
        <w:spacing w:line="240" w:lineRule="auto"/>
        <w:ind w:firstLine="0"/>
        <w:rPr>
          <w:rFonts w:hint="default" w:ascii="Times New Roman" w:hAnsi="Times New Roman" w:eastAsia="宋体" w:cs="Times New Roman"/>
          <w:sz w:val="21"/>
          <w:szCs w:val="22"/>
        </w:rPr>
      </w:pPr>
      <w:r>
        <mc:AlternateContent>
          <mc:Choice Requires="wps">
            <w:drawing>
              <wp:anchor distT="0" distB="0" distL="114300" distR="114300" simplePos="0" relativeHeight="251697152" behindDoc="0" locked="0" layoutInCell="1" allowOverlap="1">
                <wp:simplePos x="0" y="0"/>
                <wp:positionH relativeFrom="column">
                  <wp:posOffset>972185</wp:posOffset>
                </wp:positionH>
                <wp:positionV relativeFrom="paragraph">
                  <wp:posOffset>2324100</wp:posOffset>
                </wp:positionV>
                <wp:extent cx="896620" cy="299720"/>
                <wp:effectExtent l="5080" t="4445" r="317500" b="972185"/>
                <wp:wrapNone/>
                <wp:docPr id="224" name="自选图形 62"/>
                <wp:cNvGraphicFramePr/>
                <a:graphic xmlns:a="http://schemas.openxmlformats.org/drawingml/2006/main">
                  <a:graphicData uri="http://schemas.microsoft.com/office/word/2010/wordprocessingShape">
                    <wps:wsp>
                      <wps:cNvSpPr/>
                      <wps:spPr>
                        <a:xfrm>
                          <a:off x="0" y="0"/>
                          <a:ext cx="896620" cy="299720"/>
                        </a:xfrm>
                        <a:prstGeom prst="wedgeRoundRectCallout">
                          <a:avLst>
                            <a:gd name="adj1" fmla="val 81741"/>
                            <a:gd name="adj2" fmla="val 360380"/>
                            <a:gd name="adj3" fmla="val 16667"/>
                          </a:avLst>
                        </a:prstGeom>
                        <a:solidFill>
                          <a:srgbClr val="FFFFFF">
                            <a:alpha val="0"/>
                          </a:srgbClr>
                        </a:solidFill>
                        <a:ln w="9525" cap="flat" cmpd="sng">
                          <a:solidFill>
                            <a:srgbClr val="000000"/>
                          </a:solidFill>
                          <a:prstDash val="solid"/>
                          <a:miter/>
                          <a:headEnd type="none" w="med" len="med"/>
                          <a:tailEnd type="none" w="med" len="med"/>
                        </a:ln>
                        <a:effectLst/>
                      </wps:spPr>
                      <wps:txbx>
                        <w:txbxContent>
                          <w:p>
                            <w:pPr>
                              <w:ind w:left="0" w:leftChars="0" w:firstLine="0" w:firstLineChars="0"/>
                              <w:rPr>
                                <w:rFonts w:ascii="Calibri" w:hAnsi="Calibri"/>
                                <w:b/>
                                <w:color w:val="FF0000"/>
                                <w:sz w:val="21"/>
                                <w:szCs w:val="28"/>
                              </w:rPr>
                            </w:pPr>
                            <w:r>
                              <w:rPr>
                                <w:rFonts w:hint="eastAsia" w:ascii="Calibri" w:hAnsi="Calibri"/>
                                <w:b/>
                                <w:color w:val="FF0000"/>
                                <w:sz w:val="21"/>
                                <w:szCs w:val="28"/>
                              </w:rPr>
                              <w:t>项目位置</w:t>
                            </w:r>
                          </w:p>
                        </w:txbxContent>
                      </wps:txbx>
                      <wps:bodyPr wrap="square" lIns="0" tIns="0" rIns="0" bIns="0" upright="1"/>
                    </wps:wsp>
                  </a:graphicData>
                </a:graphic>
              </wp:anchor>
            </w:drawing>
          </mc:Choice>
          <mc:Fallback>
            <w:pict>
              <v:shape id="自选图形 62" o:spid="_x0000_s1026" o:spt="62" type="#_x0000_t62" style="position:absolute;left:0pt;margin-left:76.55pt;margin-top:183pt;height:23.6pt;width:70.6pt;z-index:251697152;mso-width-relative:page;mso-height-relative:page;" fillcolor="#FFFFFF" filled="t" stroked="t" coordsize="21600,21600" o:gfxdata="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PmIp92gAAAAsBAAAPAAAAAAAAAAEAIAAAACIAAABk&#10;cnMvZG93bnJldi54bWxQSwECFAAUAAAACACHTuJAcuEzLHYCAAAVBQAADgAAAAAAAAABACAAAAAp&#10;AQAAZHJzL2Uyb0RvYy54bWxQSwUGAAAAAAYABgBZAQAAEQYAAAAA&#10;" adj="28456,88642,14400">
                <v:fill on="t" opacity="0f" focussize="0,0"/>
                <v:stroke color="#000000" joinstyle="miter"/>
                <v:imagedata o:title=""/>
                <o:lock v:ext="edit" aspectratio="f"/>
                <v:textbox inset="0mm,0mm,0mm,0mm">
                  <w:txbxContent>
                    <w:p>
                      <w:pPr>
                        <w:ind w:left="0" w:leftChars="0" w:firstLine="0" w:firstLineChars="0"/>
                        <w:rPr>
                          <w:rFonts w:ascii="Calibri" w:hAnsi="Calibri"/>
                          <w:b/>
                          <w:color w:val="FF0000"/>
                          <w:sz w:val="21"/>
                          <w:szCs w:val="28"/>
                        </w:rPr>
                      </w:pPr>
                      <w:r>
                        <w:rPr>
                          <w:rFonts w:hint="eastAsia" w:ascii="Calibri" w:hAnsi="Calibri"/>
                          <w:b/>
                          <w:color w:val="FF0000"/>
                          <w:sz w:val="21"/>
                          <w:szCs w:val="28"/>
                        </w:rPr>
                        <w:t>项目位置</w:t>
                      </w:r>
                    </w:p>
                  </w:txbxContent>
                </v:textbox>
              </v:shape>
            </w:pict>
          </mc:Fallback>
        </mc:AlternateContent>
      </w:r>
      <w:r>
        <mc:AlternateContent>
          <mc:Choice Requires="wps">
            <w:drawing>
              <wp:anchor distT="0" distB="0" distL="114300" distR="114300" simplePos="0" relativeHeight="251698176" behindDoc="0" locked="0" layoutInCell="1" allowOverlap="1">
                <wp:simplePos x="0" y="0"/>
                <wp:positionH relativeFrom="column">
                  <wp:posOffset>2053590</wp:posOffset>
                </wp:positionH>
                <wp:positionV relativeFrom="paragraph">
                  <wp:posOffset>3499485</wp:posOffset>
                </wp:positionV>
                <wp:extent cx="168275" cy="146050"/>
                <wp:effectExtent l="26035" t="23495" r="34290" b="20955"/>
                <wp:wrapNone/>
                <wp:docPr id="225" name="自选图形 8"/>
                <wp:cNvGraphicFramePr/>
                <a:graphic xmlns:a="http://schemas.openxmlformats.org/drawingml/2006/main">
                  <a:graphicData uri="http://schemas.microsoft.com/office/word/2010/wordprocessingShape">
                    <wps:wsp>
                      <wps:cNvSpPr/>
                      <wps:spPr>
                        <a:xfrm>
                          <a:off x="0" y="0"/>
                          <a:ext cx="168275" cy="146050"/>
                        </a:xfrm>
                        <a:prstGeom prst="star5">
                          <a:avLst/>
                        </a:prstGeom>
                        <a:solidFill>
                          <a:srgbClr val="003399"/>
                        </a:solidFill>
                        <a:ln w="15875" cap="flat" cmpd="sng">
                          <a:solidFill>
                            <a:srgbClr val="003399"/>
                          </a:solidFill>
                          <a:prstDash val="solid"/>
                          <a:miter/>
                          <a:headEnd type="none" w="med" len="med"/>
                          <a:tailEnd type="none" w="med" len="med"/>
                        </a:ln>
                        <a:effectLst/>
                      </wps:spPr>
                      <wps:bodyPr vert="horz" wrap="square" anchor="t" anchorCtr="0" upright="1"/>
                    </wps:wsp>
                  </a:graphicData>
                </a:graphic>
              </wp:anchor>
            </w:drawing>
          </mc:Choice>
          <mc:Fallback>
            <w:pict>
              <v:shape id="自选图形 8" o:spid="_x0000_s1026" style="position:absolute;left:0pt;margin-left:161.7pt;margin-top:275.55pt;height:11.5pt;width:13.25pt;z-index:251698176;mso-width-relative:page;mso-height-relative:page;" fillcolor="#003399" filled="t" stroked="t" coordsize="168275,146050" o:gfxdata="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P7AYUbdAAAACwEAAA8AAAAAAAAAAQAgAAAAIgAAAGRycy9kb3ducmV2LnhtbFBL&#10;AQIUABQAAAAIAIdO4kDCjKHCKgIAAGgEAAAOAAAAAAAAAAEAIAAAACwBAABkcnMvZTJvRG9jLnht&#10;bFBLBQYAAAAABgAGAFkBAADIBQAAAAA=&#10;" path="m0,55785l64275,55786,84137,0,103999,55786,168274,55785,116274,90263,136137,146049,84137,111571,32137,146049,52000,90263xe">
                <v:path o:connectlocs="84137,0;0,55785;32137,146049;136137,146049;168274,55785" o:connectangles="247,164,82,82,0"/>
                <v:fill on="t" focussize="0,0"/>
                <v:stroke weight="1.25pt" color="#003399" joinstyle="miter"/>
                <v:imagedata o:title=""/>
                <o:lock v:ext="edit" aspectratio="f"/>
              </v:shape>
            </w:pict>
          </mc:Fallback>
        </mc:AlternateContent>
      </w:r>
      <w:r>
        <w:drawing>
          <wp:inline distT="0" distB="0" distL="114300" distR="114300">
            <wp:extent cx="5700395" cy="4763770"/>
            <wp:effectExtent l="0" t="0" r="14605" b="17780"/>
            <wp:docPr id="92" name="图片 266" descr="福清市生态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66" descr="福清市生态功能区划图"/>
                    <pic:cNvPicPr>
                      <a:picLocks noChangeAspect="1"/>
                    </pic:cNvPicPr>
                  </pic:nvPicPr>
                  <pic:blipFill>
                    <a:blip r:embed="rId41"/>
                    <a:srcRect l="5646" t="10712" r="4517" b="7651"/>
                    <a:stretch>
                      <a:fillRect/>
                    </a:stretch>
                  </pic:blipFill>
                  <pic:spPr>
                    <a:xfrm>
                      <a:off x="0" y="0"/>
                      <a:ext cx="5700395" cy="4763770"/>
                    </a:xfrm>
                    <a:prstGeom prst="rect">
                      <a:avLst/>
                    </a:prstGeom>
                    <a:noFill/>
                    <a:ln>
                      <a:noFill/>
                    </a:ln>
                  </pic:spPr>
                </pic:pic>
              </a:graphicData>
            </a:graphic>
          </wp:inline>
        </w:drawing>
      </w:r>
    </w:p>
    <w:p>
      <w:pPr>
        <w:snapToGrid w:val="0"/>
        <w:spacing w:line="360" w:lineRule="auto"/>
        <w:ind w:firstLine="0"/>
        <w:jc w:val="center"/>
        <w:outlineLvl w:val="4"/>
        <w:rPr>
          <w:rFonts w:hint="default" w:ascii="Times New Roman" w:hAnsi="Times New Roman" w:eastAsia="黑体" w:cs="Times New Roman"/>
          <w:bCs/>
          <w:sz w:val="24"/>
          <w:szCs w:val="24"/>
          <w:lang w:val="en-GB"/>
        </w:rPr>
      </w:pPr>
      <w:r>
        <w:rPr>
          <w:rFonts w:hint="default" w:ascii="Times New Roman" w:hAnsi="Times New Roman" w:eastAsia="黑体" w:cs="Times New Roman"/>
          <w:bCs/>
          <w:sz w:val="24"/>
          <w:szCs w:val="24"/>
          <w:lang w:val="en-GB"/>
        </w:rPr>
        <w:t>图3.</w:t>
      </w:r>
      <w:r>
        <w:rPr>
          <w:rFonts w:hint="eastAsia" w:ascii="Times New Roman" w:hAnsi="Times New Roman" w:eastAsia="黑体" w:cs="Times New Roman"/>
          <w:bCs/>
          <w:sz w:val="24"/>
          <w:szCs w:val="24"/>
          <w:lang w:val="en-US" w:eastAsia="zh-CN"/>
        </w:rPr>
        <w:t>10</w:t>
      </w:r>
      <w:r>
        <w:rPr>
          <w:rFonts w:hint="default" w:ascii="Times New Roman" w:hAnsi="Times New Roman" w:eastAsia="黑体" w:cs="Times New Roman"/>
          <w:bCs/>
          <w:sz w:val="24"/>
          <w:szCs w:val="24"/>
          <w:lang w:val="en-GB"/>
        </w:rPr>
        <w:t>-5 福清市生态功能区划图</w:t>
      </w:r>
    </w:p>
    <w:p>
      <w:pPr>
        <w:spacing w:line="360" w:lineRule="auto"/>
        <w:ind w:firstLine="0"/>
        <w:outlineLvl w:val="2"/>
        <w:rPr>
          <w:rFonts w:hint="default" w:ascii="Times New Roman" w:hAnsi="Times New Roman" w:eastAsia="黑体" w:cs="Times New Roman"/>
          <w:kern w:val="0"/>
          <w:sz w:val="30"/>
          <w:szCs w:val="30"/>
          <w:lang w:val="en-GB"/>
        </w:rPr>
      </w:pPr>
      <w:r>
        <w:rPr>
          <w:rFonts w:hint="default" w:ascii="Times New Roman" w:hAnsi="Times New Roman" w:eastAsia="黑体" w:cs="Times New Roman"/>
          <w:kern w:val="0"/>
          <w:sz w:val="30"/>
          <w:szCs w:val="30"/>
          <w:lang w:val="en-GB"/>
        </w:rPr>
        <w:t>3.</w:t>
      </w:r>
      <w:r>
        <w:rPr>
          <w:rFonts w:hint="eastAsia" w:ascii="Times New Roman" w:hAnsi="Times New Roman" w:eastAsia="黑体" w:cs="Times New Roman"/>
          <w:kern w:val="0"/>
          <w:sz w:val="30"/>
          <w:szCs w:val="30"/>
          <w:lang w:val="en-US" w:eastAsia="zh-CN"/>
        </w:rPr>
        <w:t>10</w:t>
      </w:r>
      <w:r>
        <w:rPr>
          <w:rFonts w:hint="default" w:ascii="Times New Roman" w:hAnsi="Times New Roman" w:eastAsia="黑体" w:cs="Times New Roman"/>
          <w:kern w:val="0"/>
          <w:sz w:val="30"/>
          <w:szCs w:val="30"/>
          <w:lang w:val="en-GB"/>
        </w:rPr>
        <w:t>.3与相关环保政策的符合性</w:t>
      </w:r>
    </w:p>
    <w:p>
      <w:pPr>
        <w:spacing w:line="36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3.</w:t>
      </w:r>
      <w:r>
        <w:rPr>
          <w:rFonts w:hint="eastAsia" w:ascii="Times New Roman" w:hAnsi="Times New Roman" w:eastAsia="黑体" w:cs="Times New Roman"/>
          <w:kern w:val="0"/>
          <w:szCs w:val="22"/>
          <w:lang w:val="en-US" w:eastAsia="zh-CN"/>
        </w:rPr>
        <w:t>10</w:t>
      </w:r>
      <w:r>
        <w:rPr>
          <w:rFonts w:hint="default" w:ascii="Times New Roman" w:hAnsi="Times New Roman" w:eastAsia="黑体" w:cs="Times New Roman"/>
          <w:kern w:val="0"/>
          <w:szCs w:val="22"/>
        </w:rPr>
        <w:t>.3.1与《大气污染防治行动计划》符合性分析</w:t>
      </w:r>
    </w:p>
    <w:p>
      <w:pPr>
        <w:spacing w:line="360" w:lineRule="auto"/>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2013年9月10日，国务院以国发[2013]37号《国务院关于印发大气污染防治行动计划的通知》印发了大气污染防治行动计划。本工程拟选址于福州江阴港城经济区临港化工产业区，生产所需蒸汽全部可由园区集中供热提供，厂区内不需新建燃煤锅炉。</w:t>
      </w:r>
    </w:p>
    <w:p>
      <w:pPr>
        <w:spacing w:line="360" w:lineRule="auto"/>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本项目产生的有机废气通过处理均能满足特别排放限值要求，符合《大气污染防治行动计划》中“京津冀、长三角、珠三角区域以及辽宁中部、山东、武汉及其周边、长株潭、成渝、海峡西岸、山西中北部、陕西关中、甘宁、乌鲁木齐城市群等“三区十群”的47个城市，新建火电、钢铁、石化、水泥、有色、化工等企业以及燃煤锅炉项目要执行大气污染物特别排放限值”的要求。</w:t>
      </w:r>
    </w:p>
    <w:p>
      <w:pPr>
        <w:spacing w:line="360" w:lineRule="auto"/>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本工程按照相关要求进行环境影响评价，符合《大气污染防治行动计划》中“所有新、改、扩建项目，必须全部进行环境影响评价”的要求。</w:t>
      </w:r>
    </w:p>
    <w:p>
      <w:pPr>
        <w:spacing w:line="360" w:lineRule="auto"/>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综上所述，本项目的实施符合大气污染防治行动计划的相关要求。</w:t>
      </w:r>
    </w:p>
    <w:p>
      <w:pPr>
        <w:spacing w:line="36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3.</w:t>
      </w:r>
      <w:r>
        <w:rPr>
          <w:rFonts w:hint="eastAsia" w:ascii="Times New Roman" w:hAnsi="Times New Roman" w:eastAsia="黑体" w:cs="Times New Roman"/>
          <w:kern w:val="0"/>
          <w:szCs w:val="22"/>
          <w:lang w:val="en-US" w:eastAsia="zh-CN"/>
        </w:rPr>
        <w:t>10</w:t>
      </w:r>
      <w:r>
        <w:rPr>
          <w:rFonts w:hint="default" w:ascii="Times New Roman" w:hAnsi="Times New Roman" w:eastAsia="黑体" w:cs="Times New Roman"/>
          <w:kern w:val="0"/>
          <w:szCs w:val="22"/>
        </w:rPr>
        <w:t>.3.2与《福建省大气污染防治行动计划实施细则》符合性分析</w:t>
      </w:r>
    </w:p>
    <w:p>
      <w:pPr>
        <w:spacing w:line="360" w:lineRule="auto"/>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福建省人民政府于2014年1月5日以闽政〔2014〕1号印发了《福建省大气污染防治行动计划实施细则》。</w:t>
      </w:r>
    </w:p>
    <w:p>
      <w:pPr>
        <w:spacing w:line="360" w:lineRule="auto"/>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细则在严格节能环保准入，优化产业空间布局中提出：石化、冶金等产业应选择大气扩散条件好、远期城镇发展区、生态环境敏感度不高、排水条件较理想的沿海地区布局。本工程位于沿海的福州江阴港城经济区临港化工产业区，大气扩散条件好，工业区远离城镇发展区、生态环境敏感度不高。因此，项目的选址布局符合细则中对产业空间布局的要求。</w:t>
      </w:r>
    </w:p>
    <w:p>
      <w:pPr>
        <w:spacing w:line="36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3.</w:t>
      </w:r>
      <w:r>
        <w:rPr>
          <w:rFonts w:hint="eastAsia" w:ascii="Times New Roman" w:hAnsi="Times New Roman" w:eastAsia="黑体" w:cs="Times New Roman"/>
          <w:kern w:val="0"/>
          <w:szCs w:val="22"/>
          <w:lang w:val="en-US" w:eastAsia="zh-CN"/>
        </w:rPr>
        <w:t>10</w:t>
      </w:r>
      <w:r>
        <w:rPr>
          <w:rFonts w:hint="default" w:ascii="Times New Roman" w:hAnsi="Times New Roman" w:eastAsia="黑体" w:cs="Times New Roman"/>
          <w:kern w:val="0"/>
          <w:szCs w:val="22"/>
        </w:rPr>
        <w:t>.3.3与《福州市大气污染防治行动计划实施细则》的符合性</w:t>
      </w:r>
    </w:p>
    <w:p>
      <w:pPr>
        <w:spacing w:line="360" w:lineRule="auto"/>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福州市人民政府于2014年1月27日印发了《福州市大气污染防治行动计划实施细则》。拟建项目与《福州市大气污染防治行动计划实施细则》的符合性分析见表3.</w:t>
      </w:r>
      <w:r>
        <w:rPr>
          <w:rFonts w:hint="eastAsia" w:ascii="Times New Roman" w:hAnsi="Times New Roman" w:eastAsia="宋体" w:cs="Times New Roman"/>
          <w:kern w:val="0"/>
          <w:sz w:val="24"/>
          <w:szCs w:val="24"/>
          <w:lang w:val="en-US" w:eastAsia="zh-CN"/>
        </w:rPr>
        <w:t>10</w:t>
      </w:r>
      <w:r>
        <w:rPr>
          <w:rFonts w:hint="default" w:ascii="Times New Roman" w:hAnsi="Times New Roman" w:eastAsia="宋体" w:cs="Times New Roman"/>
          <w:kern w:val="0"/>
          <w:sz w:val="24"/>
          <w:szCs w:val="24"/>
        </w:rPr>
        <w:t>-4。</w:t>
      </w:r>
    </w:p>
    <w:p>
      <w:pPr>
        <w:snapToGrid w:val="0"/>
        <w:spacing w:line="360" w:lineRule="auto"/>
        <w:ind w:firstLine="0"/>
        <w:jc w:val="center"/>
        <w:outlineLvl w:val="4"/>
        <w:rPr>
          <w:rFonts w:hint="default" w:ascii="Times New Roman" w:hAnsi="Times New Roman" w:eastAsia="黑体" w:cs="Times New Roman"/>
          <w:bCs/>
          <w:sz w:val="24"/>
          <w:szCs w:val="24"/>
          <w:lang w:val="en-GB"/>
        </w:rPr>
      </w:pPr>
      <w:r>
        <w:rPr>
          <w:rFonts w:hint="default" w:ascii="Times New Roman" w:hAnsi="Times New Roman" w:eastAsia="黑体" w:cs="Times New Roman"/>
          <w:bCs/>
          <w:sz w:val="24"/>
          <w:szCs w:val="24"/>
          <w:lang w:val="en-GB"/>
        </w:rPr>
        <w:t>表3.</w:t>
      </w:r>
      <w:r>
        <w:rPr>
          <w:rFonts w:hint="eastAsia" w:ascii="Times New Roman" w:hAnsi="Times New Roman" w:eastAsia="黑体" w:cs="Times New Roman"/>
          <w:bCs/>
          <w:sz w:val="24"/>
          <w:szCs w:val="24"/>
          <w:lang w:val="en-US" w:eastAsia="zh-CN"/>
        </w:rPr>
        <w:t>10</w:t>
      </w:r>
      <w:r>
        <w:rPr>
          <w:rFonts w:hint="default" w:ascii="Times New Roman" w:hAnsi="Times New Roman" w:eastAsia="黑体" w:cs="Times New Roman"/>
          <w:bCs/>
          <w:sz w:val="24"/>
          <w:szCs w:val="24"/>
          <w:lang w:val="en-GB"/>
        </w:rPr>
        <w:t>-4  与《福州市大气污染防治行动计划实施细则》的符合性分析</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76"/>
        <w:gridCol w:w="42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6" w:type="dxa"/>
            <w:noWrap w:val="0"/>
            <w:vAlign w:val="center"/>
          </w:tcPr>
          <w:p>
            <w:pPr>
              <w:widowControl/>
              <w:snapToGrid w:val="0"/>
              <w:spacing w:line="300" w:lineRule="exact"/>
              <w:ind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全面整治城市燃煤小锅炉。加快推进集中供热、“煤改气”、“煤改电”等清洁能源替代工程建设。到2017年，除必要保留的以外，各县（市）区建成区、大气污染源头敏感区、大气聚集敏感区基本淘汰每小时10蒸吨及以下的燃煤、重油、渣油锅炉及直接燃用未加工生物质锅炉，禁止新建每小时20蒸吨以下的燃煤、重油、渣油锅炉及直接燃用未加工生物质锅炉；其他地区原则上不再新建每小时10蒸吨以下的燃煤、重油、渣油锅炉及直接燃用未加工生物质锅炉。</w:t>
            </w:r>
          </w:p>
        </w:tc>
        <w:tc>
          <w:tcPr>
            <w:tcW w:w="4210" w:type="dxa"/>
            <w:noWrap w:val="0"/>
            <w:vAlign w:val="center"/>
          </w:tcPr>
          <w:p>
            <w:pPr>
              <w:widowControl/>
              <w:snapToGrid w:val="0"/>
              <w:spacing w:line="300" w:lineRule="exact"/>
              <w:ind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本项目未建设锅炉，本项目供热依托国电福州发电有限公司江阴电厂。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076" w:type="dxa"/>
            <w:noWrap w:val="0"/>
            <w:vAlign w:val="center"/>
          </w:tcPr>
          <w:p>
            <w:pPr>
              <w:widowControl/>
              <w:snapToGrid w:val="0"/>
              <w:spacing w:line="300" w:lineRule="exact"/>
              <w:ind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燃煤工业锅炉、工业炉窑、水泥企业破碎机、磨机、包装机、烘干机、冷却机、水泥仓及其它通风设备均应安装高效除尘设备，确保颗粒物达标排放。</w:t>
            </w:r>
          </w:p>
        </w:tc>
        <w:tc>
          <w:tcPr>
            <w:tcW w:w="4210" w:type="dxa"/>
            <w:noWrap w:val="0"/>
            <w:vAlign w:val="center"/>
          </w:tcPr>
          <w:p>
            <w:pPr>
              <w:widowControl/>
              <w:snapToGrid w:val="0"/>
              <w:spacing w:line="300" w:lineRule="exact"/>
              <w:ind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本项目含尘尾气主要采取布袋除尘等除尘处理工艺，确保颗粒物达标排放。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6" w:type="dxa"/>
            <w:noWrap w:val="0"/>
            <w:vAlign w:val="center"/>
          </w:tcPr>
          <w:p>
            <w:pPr>
              <w:widowControl/>
              <w:snapToGrid w:val="0"/>
              <w:spacing w:line="300" w:lineRule="exact"/>
              <w:ind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严控“两高”行业新增产能。发改、经委部门应严格执行国家产业政策和《产业结构调整指导目录（2011年本）（修正）》，严控高污染高耗能和产能过剩行业新增产能，新、改、扩建项目实行产能等量或减量置换。制定符合当地功能定位、严于国家要求的产业准入目录。海关应依法严控高耗能、高排放产品出口。</w:t>
            </w:r>
          </w:p>
        </w:tc>
        <w:tc>
          <w:tcPr>
            <w:tcW w:w="4210" w:type="dxa"/>
            <w:noWrap w:val="0"/>
            <w:vAlign w:val="center"/>
          </w:tcPr>
          <w:p>
            <w:pPr>
              <w:widowControl/>
              <w:snapToGrid w:val="0"/>
              <w:spacing w:line="300" w:lineRule="exact"/>
              <w:ind w:firstLine="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项目电子级硝酸、硝酸银、超细银粉，均为新型电子元器件用材料，属于《产业结构调整指导目录（2019年本）》鼓励类第二十八项“信息产业”第22条：半导体、光电子器件、新型电子元器件等电子产品用材料，属于鼓励类项目。此外，电子级硝酸、硝酸银、超细银粉制造业属于无机化工行业</w:t>
            </w:r>
            <w:r>
              <w:rPr>
                <w:rFonts w:hint="eastAsia" w:ascii="Times New Roman" w:hAnsi="Times New Roman" w:eastAsia="宋体" w:cs="Times New Roman"/>
                <w:kern w:val="0"/>
                <w:sz w:val="21"/>
                <w:szCs w:val="21"/>
                <w:lang w:val="en-US" w:eastAsia="zh-CN"/>
              </w:rPr>
              <w:t>及延伸高附加值生产</w:t>
            </w:r>
            <w:r>
              <w:rPr>
                <w:rFonts w:hint="default" w:ascii="Times New Roman" w:hAnsi="Times New Roman" w:eastAsia="宋体" w:cs="Times New Roman"/>
                <w:kern w:val="0"/>
                <w:sz w:val="21"/>
                <w:szCs w:val="21"/>
              </w:rPr>
              <w:t>，不属于《产业结构调整指导目录（2019年本）》石化化工中限制类和淘汰类。</w:t>
            </w:r>
          </w:p>
        </w:tc>
      </w:tr>
    </w:tbl>
    <w:p>
      <w:pPr>
        <w:snapToGrid w:val="0"/>
        <w:spacing w:line="36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3.</w:t>
      </w:r>
      <w:r>
        <w:rPr>
          <w:rFonts w:hint="eastAsia" w:ascii="Times New Roman" w:hAnsi="Times New Roman" w:eastAsia="黑体" w:cs="Times New Roman"/>
          <w:kern w:val="0"/>
          <w:szCs w:val="22"/>
          <w:lang w:val="en-US" w:eastAsia="zh-CN"/>
        </w:rPr>
        <w:t>10</w:t>
      </w:r>
      <w:r>
        <w:rPr>
          <w:rFonts w:hint="default" w:ascii="Times New Roman" w:hAnsi="Times New Roman" w:eastAsia="黑体" w:cs="Times New Roman"/>
          <w:kern w:val="0"/>
          <w:szCs w:val="22"/>
        </w:rPr>
        <w:t>.3.4与《国务院关于印发打赢蓝天保卫战三年行动计划的通知》及《福建省人民政府关于印发福建省打赢蓝天保卫战三年行动计划实施方案的通知》符合性分析</w:t>
      </w:r>
    </w:p>
    <w:p>
      <w:pPr>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根据《国务院关于印发打赢蓝天保卫战三年行动计划的通知》</w:t>
      </w:r>
      <w:r>
        <w:rPr>
          <w:rFonts w:hint="default" w:ascii="Times New Roman" w:hAnsi="Times New Roman" w:eastAsia="宋体" w:cs="Times New Roman"/>
          <w:bCs/>
          <w:sz w:val="24"/>
          <w:szCs w:val="22"/>
        </w:rPr>
        <w:t>及</w:t>
      </w:r>
      <w:r>
        <w:rPr>
          <w:rFonts w:hint="default" w:ascii="Times New Roman" w:hAnsi="Times New Roman" w:eastAsia="宋体" w:cs="Times New Roman"/>
          <w:sz w:val="24"/>
          <w:szCs w:val="24"/>
        </w:rPr>
        <w:t>《福建省人民政府关于印发福建省打赢蓝天保卫战三年行动计划实施方案的通知》，</w:t>
      </w:r>
      <w:r>
        <w:rPr>
          <w:rFonts w:hint="default" w:ascii="Times New Roman" w:hAnsi="Times New Roman" w:eastAsia="宋体" w:cs="Times New Roman"/>
          <w:sz w:val="24"/>
          <w:szCs w:val="24"/>
          <w:shd w:val="clear" w:color="auto" w:fill="FFFFFF"/>
        </w:rPr>
        <w:t>“</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shd w:val="clear" w:color="auto" w:fill="FFFFFF"/>
        </w:rPr>
        <w:t>积极推行区域、规划环境影响评价，新、改、扩建钢铁、石化、化工、焦化、建材、有色等项目的环境影响评价，应满足区域、规划环评要求。……”</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shd w:val="clear" w:color="auto" w:fill="FFFFFF"/>
        </w:rPr>
        <w:t>“</w:t>
      </w:r>
      <w:r>
        <w:rPr>
          <w:rFonts w:hint="default" w:ascii="Times New Roman" w:hAnsi="Times New Roman" w:eastAsia="宋体" w:cs="Times New Roman"/>
          <w:sz w:val="24"/>
          <w:szCs w:val="24"/>
        </w:rPr>
        <w:t>开展燃煤锅炉综合整治。加大燃煤小锅炉淘汰力度。县级及以上城市建成区基本淘汰每小时10蒸吨及以下燃煤锅炉及茶水炉、经营性炉灶、储粮烘干设备等燃煤设施，原则上不再新建每小时35蒸吨以下的燃煤锅炉，其他地区原则上不再新建每小时10蒸吨以下的燃煤锅炉。</w:t>
      </w:r>
      <w:r>
        <w:rPr>
          <w:rFonts w:hint="default" w:ascii="Times New Roman" w:hAnsi="Times New Roman" w:eastAsia="宋体" w:cs="Times New Roman"/>
          <w:sz w:val="24"/>
          <w:szCs w:val="24"/>
          <w:shd w:val="clear" w:color="auto" w:fill="FFFFFF"/>
        </w:rPr>
        <w:t>”</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shd w:val="clear" w:color="auto" w:fill="FFFFFF"/>
        </w:rPr>
        <w:t>“</w:t>
      </w:r>
      <w:r>
        <w:rPr>
          <w:rFonts w:hint="default" w:ascii="Times New Roman" w:hAnsi="Times New Roman" w:eastAsia="宋体" w:cs="Times New Roman"/>
          <w:sz w:val="24"/>
          <w:szCs w:val="24"/>
        </w:rPr>
        <w:t>加大不达标工业炉窑淘汰力度，加快淘汰中小型煤气发生炉。鼓励工业炉窑使用电、天然气等清洁能源或由周边热电厂供热。</w:t>
      </w:r>
      <w:r>
        <w:rPr>
          <w:rFonts w:hint="default" w:ascii="Times New Roman" w:hAnsi="Times New Roman" w:eastAsia="宋体" w:cs="Times New Roman"/>
          <w:sz w:val="24"/>
          <w:szCs w:val="24"/>
          <w:shd w:val="clear" w:color="auto" w:fill="FFFFFF"/>
        </w:rPr>
        <w:t>”</w:t>
      </w:r>
      <w:r>
        <w:rPr>
          <w:rFonts w:hint="default" w:ascii="Times New Roman" w:hAnsi="Times New Roman" w:eastAsia="宋体" w:cs="Times New Roman"/>
          <w:sz w:val="24"/>
          <w:szCs w:val="24"/>
        </w:rPr>
        <w:t>。</w:t>
      </w:r>
    </w:p>
    <w:p>
      <w:pPr>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本项目位于福州江阴港城经济区临港化工产业区，符合规划环评要求，供热来自相邻的园区集中供热，厂区内不需新建燃煤锅炉。</w:t>
      </w:r>
      <w:r>
        <w:rPr>
          <w:rFonts w:hint="default" w:ascii="Times New Roman" w:hAnsi="Times New Roman" w:eastAsia="宋体" w:cs="Times New Roman"/>
          <w:bCs/>
          <w:sz w:val="24"/>
          <w:szCs w:val="22"/>
        </w:rPr>
        <w:t>与</w:t>
      </w:r>
      <w:r>
        <w:rPr>
          <w:rFonts w:hint="default" w:ascii="Times New Roman" w:hAnsi="Times New Roman" w:eastAsia="宋体" w:cs="Times New Roman"/>
          <w:sz w:val="24"/>
          <w:szCs w:val="24"/>
        </w:rPr>
        <w:t>《国务院关于印发打赢蓝天保卫战三年行动计划的通知》</w:t>
      </w:r>
      <w:r>
        <w:rPr>
          <w:rFonts w:hint="default" w:ascii="Times New Roman" w:hAnsi="Times New Roman" w:eastAsia="宋体" w:cs="Times New Roman"/>
          <w:bCs/>
          <w:sz w:val="24"/>
          <w:szCs w:val="22"/>
        </w:rPr>
        <w:t>及</w:t>
      </w:r>
      <w:r>
        <w:rPr>
          <w:rFonts w:hint="default" w:ascii="Times New Roman" w:hAnsi="Times New Roman" w:eastAsia="宋体" w:cs="Times New Roman"/>
          <w:sz w:val="24"/>
          <w:szCs w:val="24"/>
        </w:rPr>
        <w:t>《福建省人民政府关于印发福建省打赢蓝天保卫战三年行动计划实施方案的通知》相符合。</w:t>
      </w:r>
    </w:p>
    <w:p>
      <w:pPr>
        <w:snapToGrid w:val="0"/>
        <w:spacing w:line="36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3.</w:t>
      </w:r>
      <w:r>
        <w:rPr>
          <w:rFonts w:hint="eastAsia" w:ascii="Times New Roman" w:hAnsi="Times New Roman" w:eastAsia="黑体" w:cs="Times New Roman"/>
          <w:kern w:val="0"/>
          <w:szCs w:val="22"/>
          <w:lang w:val="en-US" w:eastAsia="zh-CN"/>
        </w:rPr>
        <w:t>10</w:t>
      </w:r>
      <w:r>
        <w:rPr>
          <w:rFonts w:hint="default" w:ascii="Times New Roman" w:hAnsi="Times New Roman" w:eastAsia="黑体" w:cs="Times New Roman"/>
          <w:kern w:val="0"/>
          <w:szCs w:val="22"/>
        </w:rPr>
        <w:t>.3.5与《水污染防治行动计划》、《福建省水污染防治行动计划工作方案》符合性分析</w:t>
      </w:r>
    </w:p>
    <w:p>
      <w:pPr>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2015年4月16日国务院发布《水污染防治行动计划》（国发[2015]17号），2015年6月3日福建省人民政府发布《福建省水污染防治行动计划工作方案》（闽政[2015]26号）。本项目与其符合性见表3.</w:t>
      </w:r>
      <w:r>
        <w:rPr>
          <w:rFonts w:hint="eastAsia" w:ascii="Times New Roman" w:hAnsi="Times New Roman" w:eastAsia="宋体" w:cs="Times New Roman"/>
          <w:sz w:val="24"/>
          <w:szCs w:val="24"/>
          <w:lang w:val="en-US" w:eastAsia="zh-CN"/>
        </w:rPr>
        <w:t>10</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rPr>
        <w:t>。</w:t>
      </w:r>
    </w:p>
    <w:p>
      <w:pPr>
        <w:pStyle w:val="2"/>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snapToGrid w:val="0"/>
        <w:spacing w:line="360" w:lineRule="auto"/>
        <w:ind w:firstLine="0"/>
        <w:jc w:val="center"/>
        <w:outlineLvl w:val="4"/>
        <w:rPr>
          <w:rFonts w:hint="default" w:ascii="Times New Roman" w:hAnsi="Times New Roman" w:eastAsia="黑体" w:cs="Times New Roman"/>
          <w:bCs/>
          <w:sz w:val="24"/>
          <w:szCs w:val="24"/>
          <w:lang w:val="en-GB"/>
        </w:rPr>
      </w:pPr>
      <w:r>
        <w:rPr>
          <w:rFonts w:hint="default" w:ascii="Times New Roman" w:hAnsi="Times New Roman" w:eastAsia="黑体" w:cs="Times New Roman"/>
          <w:bCs/>
          <w:sz w:val="24"/>
          <w:szCs w:val="24"/>
          <w:lang w:val="en-GB"/>
        </w:rPr>
        <w:t>表3.</w:t>
      </w:r>
      <w:r>
        <w:rPr>
          <w:rFonts w:hint="eastAsia" w:ascii="Times New Roman" w:hAnsi="Times New Roman" w:eastAsia="黑体" w:cs="Times New Roman"/>
          <w:bCs/>
          <w:sz w:val="24"/>
          <w:szCs w:val="24"/>
          <w:lang w:val="en-US" w:eastAsia="zh-CN"/>
        </w:rPr>
        <w:t>10</w:t>
      </w:r>
      <w:r>
        <w:rPr>
          <w:rFonts w:hint="default" w:ascii="Times New Roman" w:hAnsi="Times New Roman" w:eastAsia="黑体" w:cs="Times New Roman"/>
          <w:bCs/>
          <w:sz w:val="24"/>
          <w:szCs w:val="24"/>
          <w:lang w:val="en-GB"/>
        </w:rPr>
        <w:t>-5  与“水十条”的符合性分析一览表</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0"/>
        <w:gridCol w:w="4388"/>
        <w:gridCol w:w="3445"/>
        <w:gridCol w:w="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438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《水污染防治行动计划》及《福建省水污染防治行动计划工作方案》相关内容</w:t>
            </w:r>
          </w:p>
        </w:tc>
        <w:tc>
          <w:tcPr>
            <w:tcW w:w="344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本项目落实情况</w:t>
            </w:r>
          </w:p>
        </w:tc>
        <w:tc>
          <w:tcPr>
            <w:tcW w:w="983"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是否</w:t>
            </w:r>
          </w:p>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438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强化经济技术开发区、高新技术产业开发区、出口加工区等工业园区污染集中治理，园区内工业废水必须经预处理达到集中处理要求，方可进入污水集中处理设施，新建、升级工业园区应同步规划、建设污水、垃圾集中处理等污染治理设施。现有省级及以上各类开发区、工业园区应全面实现污水集中治理并安装自动在线监控装置；其他类型开发区、工业园区应于2017年底前建成。</w:t>
            </w:r>
          </w:p>
        </w:tc>
        <w:tc>
          <w:tcPr>
            <w:tcW w:w="3445" w:type="dxa"/>
            <w:noWrap w:val="0"/>
            <w:vAlign w:val="center"/>
          </w:tcPr>
          <w:p>
            <w:pPr>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本项目实施清污分流、污污分流、分质处理和回用，含银废水等经处理后回用不外排，循环水场</w:t>
            </w:r>
            <w:r>
              <w:rPr>
                <w:rFonts w:hint="eastAsia" w:ascii="Times New Roman" w:hAnsi="Times New Roman" w:eastAsia="宋体" w:cs="Times New Roman"/>
                <w:color w:val="auto"/>
                <w:sz w:val="21"/>
                <w:szCs w:val="21"/>
                <w:lang w:val="en-US" w:eastAsia="zh-CN"/>
              </w:rPr>
              <w:t>间接冷却</w:t>
            </w:r>
            <w:r>
              <w:rPr>
                <w:rFonts w:hint="default" w:ascii="Times New Roman" w:hAnsi="Times New Roman" w:eastAsia="宋体" w:cs="Times New Roman"/>
                <w:color w:val="auto"/>
                <w:sz w:val="21"/>
                <w:szCs w:val="21"/>
              </w:rPr>
              <w:t>排水、</w:t>
            </w:r>
            <w:r>
              <w:rPr>
                <w:rFonts w:hint="eastAsia" w:ascii="Times New Roman" w:hAnsi="Times New Roman" w:eastAsia="宋体" w:cs="Times New Roman"/>
                <w:color w:val="auto"/>
                <w:sz w:val="21"/>
                <w:szCs w:val="21"/>
                <w:lang w:val="en-US" w:eastAsia="zh-CN"/>
              </w:rPr>
              <w:t>生活污水、去离子水站排水</w:t>
            </w:r>
            <w:r>
              <w:rPr>
                <w:rFonts w:hint="default" w:ascii="Times New Roman" w:hAnsi="Times New Roman" w:eastAsia="宋体" w:cs="Times New Roman"/>
                <w:color w:val="auto"/>
                <w:sz w:val="21"/>
                <w:szCs w:val="21"/>
              </w:rPr>
              <w:t>排入江阴污水处理厂进一步处理后排海。</w:t>
            </w:r>
          </w:p>
        </w:tc>
        <w:tc>
          <w:tcPr>
            <w:tcW w:w="983"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438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理确定发展布局、结构和规模。严格执行《关于全省石化等七类产业布局的指导意见》。充分考虑水资源、水环境承载能力，重大项目原则上布局在优化开发区和重点开发区，并符合城乡规划和土地利用总体规划。合理调控海岸带区域经济发展空间布局。</w:t>
            </w:r>
          </w:p>
        </w:tc>
        <w:tc>
          <w:tcPr>
            <w:tcW w:w="3445" w:type="dxa"/>
            <w:noWrap w:val="0"/>
            <w:vAlign w:val="center"/>
          </w:tcPr>
          <w:p>
            <w:pPr>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本项目位于重点开发区，符合福建省石化产业布局的指导意见要求；项目符合江阴港城总体规划及福建省生态功能区划；水资源、水环境能够支撑。</w:t>
            </w:r>
          </w:p>
        </w:tc>
        <w:tc>
          <w:tcPr>
            <w:tcW w:w="983"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438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加强工业水循环利用。鼓励钢铁、纺织印染、造纸、石油石化、化工、制革等高耗水企业废水深度处理回用。</w:t>
            </w:r>
          </w:p>
        </w:tc>
        <w:tc>
          <w:tcPr>
            <w:tcW w:w="344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本项目冷却水循环使用，含银废水等经处理后回用不外排，循环水场排水、</w:t>
            </w:r>
            <w:r>
              <w:rPr>
                <w:rFonts w:hint="eastAsia" w:ascii="Times New Roman" w:hAnsi="Times New Roman" w:eastAsia="宋体" w:cs="Times New Roman"/>
                <w:sz w:val="21"/>
                <w:szCs w:val="21"/>
                <w:lang w:val="en-US" w:eastAsia="zh-CN"/>
              </w:rPr>
              <w:t>生活污水、去离子水站排水</w:t>
            </w:r>
            <w:r>
              <w:rPr>
                <w:rFonts w:hint="default" w:ascii="Times New Roman" w:hAnsi="Times New Roman" w:eastAsia="宋体" w:cs="Times New Roman"/>
                <w:sz w:val="21"/>
                <w:szCs w:val="21"/>
              </w:rPr>
              <w:t>排入江阴污水处理厂进一步处理后排海。</w:t>
            </w:r>
          </w:p>
        </w:tc>
        <w:tc>
          <w:tcPr>
            <w:tcW w:w="983"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438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严格环境风险控制。防范环境风险。制定和完善水污染事故处置应急预案，落实责任主体，明确预警预报与响应程序、应急处置及保障措施等内容。</w:t>
            </w:r>
          </w:p>
        </w:tc>
        <w:tc>
          <w:tcPr>
            <w:tcW w:w="344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项目装置区、罐区设置围堰，厂区建1</w:t>
            </w:r>
            <w:r>
              <w:rPr>
                <w:rFonts w:hint="default" w:ascii="Times New Roman" w:hAnsi="Times New Roman" w:eastAsia="宋体" w:cs="Times New Roman"/>
                <w:sz w:val="21"/>
                <w:szCs w:val="21"/>
                <w:lang w:val="en-US" w:eastAsia="zh-CN"/>
              </w:rPr>
              <w:t>4</w:t>
            </w:r>
            <w:r>
              <w:rPr>
                <w:rFonts w:hint="default" w:ascii="Times New Roman" w:hAnsi="Times New Roman" w:eastAsia="宋体" w:cs="Times New Roman"/>
                <w:sz w:val="21"/>
                <w:szCs w:val="21"/>
              </w:rPr>
              <w:t>00m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事故应急池</w:t>
            </w:r>
            <w:r>
              <w:rPr>
                <w:rFonts w:hint="default" w:ascii="Times New Roman" w:hAnsi="Times New Roman" w:eastAsia="宋体" w:cs="Times New Roman"/>
                <w:sz w:val="21"/>
                <w:szCs w:val="21"/>
                <w:lang w:val="zh-CN"/>
              </w:rPr>
              <w:t>及导流系统。编制突发环境事故应急预案，落实责任主体，明确预警预报与响应程序</w:t>
            </w:r>
            <w:r>
              <w:rPr>
                <w:rFonts w:hint="default" w:ascii="Times New Roman" w:hAnsi="Times New Roman" w:eastAsia="宋体" w:cs="Times New Roman"/>
                <w:sz w:val="21"/>
                <w:szCs w:val="21"/>
              </w:rPr>
              <w:t>、应急处置及保障措施等内容。</w:t>
            </w:r>
          </w:p>
        </w:tc>
        <w:tc>
          <w:tcPr>
            <w:tcW w:w="983"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438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依法公开环境信息。国家确定的重点排污单位应依法向社会公开其产生的主要污染物名称、排放方式、排放浓度和总量、超标排放情况，以及污染防治设施的建设和运行情况，主动接受监督。</w:t>
            </w:r>
          </w:p>
        </w:tc>
        <w:tc>
          <w:tcPr>
            <w:tcW w:w="344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项目依法向社会公开其产生的主要污染物名称、排放方式、排放浓度和总量、超标排放情况，以及污染防治设施的建设和运行情况，主动接受监督。</w:t>
            </w:r>
          </w:p>
        </w:tc>
        <w:tc>
          <w:tcPr>
            <w:tcW w:w="983"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4388"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各类排污单位要严格执行环保法律法规和制度，加强污染治理设施建设和运行管理，开展自行监测，落实治污减排、环境风险防范等责任。</w:t>
            </w:r>
          </w:p>
        </w:tc>
        <w:tc>
          <w:tcPr>
            <w:tcW w:w="3445"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本项目业主单位承诺严格执行环保法律法规和制度，加强污染治理设施建设和运行管理，开展自行监测，落实治污减排、环境风险防范等责任。</w:t>
            </w:r>
          </w:p>
        </w:tc>
        <w:tc>
          <w:tcPr>
            <w:tcW w:w="983" w:type="dxa"/>
            <w:noWrap w:val="0"/>
            <w:vAlign w:val="center"/>
          </w:tcPr>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bl>
    <w:p>
      <w:pPr>
        <w:snapToGrid w:val="0"/>
        <w:spacing w:line="36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3.</w:t>
      </w:r>
      <w:r>
        <w:rPr>
          <w:rFonts w:hint="eastAsia" w:ascii="Times New Roman" w:hAnsi="Times New Roman" w:eastAsia="黑体" w:cs="Times New Roman"/>
          <w:kern w:val="0"/>
          <w:szCs w:val="22"/>
          <w:lang w:val="en-US" w:eastAsia="zh-CN"/>
        </w:rPr>
        <w:t>10</w:t>
      </w:r>
      <w:r>
        <w:rPr>
          <w:rFonts w:hint="default" w:ascii="Times New Roman" w:hAnsi="Times New Roman" w:eastAsia="黑体" w:cs="Times New Roman"/>
          <w:kern w:val="0"/>
          <w:szCs w:val="22"/>
        </w:rPr>
        <w:t>.3.6与《福建省环保厅关于切实加强重点石化化工企业及园区环境应急池建设的通知》（闽环保应急[2015]13号）的符合性分析</w:t>
      </w:r>
    </w:p>
    <w:p>
      <w:pPr>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闽环保应急[2015]13号，“要加强应急设施日常管理，确保事故状态下能够正常使用。要建设或完善雨水排放口监控、监视及关闭设施，防止事故废水通过雨水口外排。”“所有石化、化工生产企业和油库、罐区储运企业要在现有应急池系统的基础上，根据本企业原料、中间体、产品特性和生产、储运特点，科学论证、因地制宜，千方百计加快建设能够争取足够时间打通其他应急池通道的容积足够大的自流式应急池，确保事故废水、消防废水全收集、全处理。”</w:t>
      </w:r>
    </w:p>
    <w:p>
      <w:pPr>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建设雨水管网、排放口监控、监视及关闭设施，防止事故废水通过雨水口外排，事故废水收集到事故应急池，能够有效收集厂区发生事故时产生的事故废水和消防废水。对事故池中的废水，排至污水处理站处理达标后再经园区污水管网排入江阴污水处理厂，能够确保厂区事故废水、消防废水全处理。因此，本项目建设能够符合闽环保应急[2015]13号中的相关要求。</w:t>
      </w:r>
      <w:bookmarkStart w:id="199" w:name="_Toc493431132"/>
    </w:p>
    <w:p>
      <w:pPr>
        <w:spacing w:line="36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3.</w:t>
      </w:r>
      <w:r>
        <w:rPr>
          <w:rFonts w:hint="eastAsia" w:ascii="Times New Roman" w:hAnsi="Times New Roman" w:eastAsia="黑体" w:cs="Times New Roman"/>
          <w:kern w:val="0"/>
          <w:szCs w:val="22"/>
          <w:lang w:val="en-US" w:eastAsia="zh-CN"/>
        </w:rPr>
        <w:t>10</w:t>
      </w:r>
      <w:r>
        <w:rPr>
          <w:rFonts w:hint="default" w:ascii="Times New Roman" w:hAnsi="Times New Roman" w:eastAsia="黑体" w:cs="Times New Roman"/>
          <w:kern w:val="0"/>
          <w:szCs w:val="22"/>
        </w:rPr>
        <w:t>.3.7与《挥发性有机物污染防治技术政策》的符合性分析</w:t>
      </w:r>
    </w:p>
    <w:p>
      <w:pPr>
        <w:spacing w:line="360" w:lineRule="auto"/>
        <w:ind w:firstLine="482"/>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（1）与《“十三五”挥发性有机物污染防治工作方案》的符合性分析</w:t>
      </w:r>
    </w:p>
    <w:p>
      <w:pPr>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十三五”挥发性有机物污染防治工作方案》中的相关要求：加快推进化工行业VOCs综合治理。参照石化行业VOCs治理任务要求，全面推进化工企业设备动静密封点、储存、装卸、废水系统、有组织工艺废气和非正常工况等源项整治。现代煤化工行业全面实施LDAR，制药、农药、炼焦、涂料、油墨、胶粘剂、染料等行业逐步推广LDAR工作。加强无组织废气排放控制，含VOCs物料的储存、输送、投料、卸料，涉及VOCs物料的生产及含VOCs产品分装等过程应密闭操作。反应尾气、蒸馏装置不凝尾气等工艺排气，工艺容器的置换气、吹扫气、抽真空排气等应进行收集治理。</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000000"/>
          <w:sz w:val="24"/>
          <w:szCs w:val="24"/>
        </w:rPr>
        <w:t>本项目生产装置中含乙醇、甲醛有机物料，</w:t>
      </w:r>
      <w:r>
        <w:rPr>
          <w:rFonts w:hint="default" w:ascii="Times New Roman" w:hAnsi="Times New Roman" w:eastAsia="宋体" w:cs="Times New Roman"/>
          <w:color w:val="auto"/>
          <w:sz w:val="24"/>
          <w:szCs w:val="24"/>
        </w:rPr>
        <w:t>均密闭储存，通过管道密闭输送。本项目产生的含甲醛、乙醇废气进二级水吸收+二级水洗+高效除雾装置+活性炭吸附处理后达标排放，去除效率均达到9</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%以上，符合有机废气污染防治的要求。</w:t>
      </w:r>
    </w:p>
    <w:p>
      <w:pPr>
        <w:spacing w:line="360" w:lineRule="auto"/>
        <w:ind w:firstLine="482"/>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（2）与《挥发性有机物（VOCs）污染防治技术政策》的符合性分析</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根据《挥发性有机物（VOCs）污染防治技术政策》中的相关要求：含VOCs产品的使用过程中，应采取废气收集措施，提高废气收集效率，减少废气的无组织排放与逸散，并对收集后的废气进行回收或处理后达标排放。</w:t>
      </w:r>
    </w:p>
    <w:p>
      <w:pPr>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rPr>
        <w:t>本项目产生的含甲醛、乙醇废气进水洗塔处理后达标排放，去除效率均达到90%以上，</w:t>
      </w:r>
      <w:r>
        <w:rPr>
          <w:rFonts w:hint="default" w:ascii="Times New Roman" w:hAnsi="Times New Roman" w:eastAsia="宋体" w:cs="Times New Roman"/>
          <w:sz w:val="24"/>
          <w:szCs w:val="24"/>
        </w:rPr>
        <w:t>本项目与《挥发性有机物(VOCs)污染防治技术政策》中的相关要求相符合。</w:t>
      </w:r>
    </w:p>
    <w:p>
      <w:pPr>
        <w:spacing w:line="360" w:lineRule="auto"/>
        <w:ind w:firstLine="482"/>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（3）与《关于印发重点行业挥发性有机物综合治理方案》的通知（环大气[2019]53号）的符合性</w:t>
      </w:r>
    </w:p>
    <w:p>
      <w:pPr>
        <w:keepNext w:val="0"/>
        <w:keepLines w:val="0"/>
        <w:pageBreakBefore w:val="0"/>
        <w:widowControl w:val="0"/>
        <w:kinsoku/>
        <w:wordWrap/>
        <w:overflowPunct/>
        <w:topLinePunct w:val="0"/>
        <w:autoSpaceDE/>
        <w:autoSpaceDN/>
        <w:bidi w:val="0"/>
        <w:adjustRightInd/>
        <w:snapToGrid/>
        <w:spacing w:line="360" w:lineRule="auto"/>
        <w:ind w:firstLine="480"/>
        <w:jc w:val="center"/>
        <w:textAlignment w:val="auto"/>
        <w:outlineLvl w:val="4"/>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本项目厂区位于福清江阴港城经济区，项目属于化工行业，相关要求符合情况如下。</w:t>
      </w:r>
    </w:p>
    <w:p>
      <w:pPr>
        <w:keepNext w:val="0"/>
        <w:keepLines w:val="0"/>
        <w:pageBreakBefore w:val="0"/>
        <w:widowControl w:val="0"/>
        <w:kinsoku/>
        <w:wordWrap/>
        <w:overflowPunct/>
        <w:topLinePunct w:val="0"/>
        <w:autoSpaceDE/>
        <w:autoSpaceDN/>
        <w:bidi w:val="0"/>
        <w:adjustRightInd/>
        <w:snapToGrid/>
        <w:spacing w:line="360" w:lineRule="auto"/>
        <w:ind w:firstLine="480"/>
        <w:jc w:val="center"/>
        <w:textAlignment w:val="auto"/>
        <w:outlineLvl w:val="4"/>
        <w:rPr>
          <w:rFonts w:hint="default" w:ascii="Times New Roman" w:hAnsi="Times New Roman" w:eastAsia="宋体" w:cs="Times New Roman"/>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480"/>
        <w:jc w:val="center"/>
        <w:textAlignment w:val="auto"/>
        <w:outlineLvl w:val="4"/>
        <w:rPr>
          <w:rFonts w:hint="default" w:ascii="Times New Roman" w:hAnsi="Times New Roman" w:eastAsia="黑体" w:cs="Times New Roman"/>
          <w:bCs/>
          <w:sz w:val="24"/>
          <w:szCs w:val="24"/>
          <w:lang w:val="en-GB"/>
        </w:rPr>
      </w:pPr>
      <w:r>
        <w:rPr>
          <w:rFonts w:hint="default" w:ascii="Times New Roman" w:hAnsi="Times New Roman" w:eastAsia="黑体" w:cs="Times New Roman"/>
          <w:bCs/>
          <w:sz w:val="24"/>
          <w:szCs w:val="24"/>
          <w:lang w:val="en-GB"/>
        </w:rPr>
        <w:t>表3.</w:t>
      </w:r>
      <w:r>
        <w:rPr>
          <w:rFonts w:hint="eastAsia" w:ascii="Times New Roman" w:hAnsi="Times New Roman" w:eastAsia="黑体" w:cs="Times New Roman"/>
          <w:bCs/>
          <w:sz w:val="24"/>
          <w:szCs w:val="24"/>
          <w:lang w:val="en-US" w:eastAsia="zh-CN"/>
        </w:rPr>
        <w:t>10</w:t>
      </w:r>
      <w:r>
        <w:rPr>
          <w:rFonts w:hint="default" w:ascii="Times New Roman" w:hAnsi="Times New Roman" w:eastAsia="黑体" w:cs="Times New Roman"/>
          <w:bCs/>
          <w:sz w:val="24"/>
          <w:szCs w:val="24"/>
          <w:lang w:val="en-GB"/>
        </w:rPr>
        <w:t>-6与环大气[2019]53号的符合性</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fixed"/>
        <w:tblCellMar>
          <w:top w:w="0" w:type="dxa"/>
          <w:left w:w="108" w:type="dxa"/>
          <w:bottom w:w="0" w:type="dxa"/>
          <w:right w:w="108" w:type="dxa"/>
        </w:tblCellMar>
      </w:tblPr>
      <w:tblGrid>
        <w:gridCol w:w="488"/>
        <w:gridCol w:w="4644"/>
        <w:gridCol w:w="2969"/>
        <w:gridCol w:w="1107"/>
      </w:tblGrid>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340" w:hRule="atLeast"/>
          <w:tblHeader/>
        </w:trPr>
        <w:tc>
          <w:tcPr>
            <w:tcW w:w="5132" w:type="dxa"/>
            <w:gridSpan w:val="2"/>
            <w:noWrap w:val="0"/>
            <w:tcMar>
              <w:left w:w="28" w:type="dxa"/>
              <w:right w:w="28" w:type="dxa"/>
            </w:tcMar>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环大气[2019]53号相关要求</w:t>
            </w:r>
          </w:p>
        </w:tc>
        <w:tc>
          <w:tcPr>
            <w:tcW w:w="2969"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项目情况</w:t>
            </w:r>
          </w:p>
        </w:tc>
        <w:tc>
          <w:tcPr>
            <w:tcW w:w="1107"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符合性</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88" w:type="dxa"/>
            <w:vMerge w:val="restart"/>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化工行业VOCs综合治理</w:t>
            </w:r>
          </w:p>
        </w:tc>
        <w:tc>
          <w:tcPr>
            <w:tcW w:w="4644"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加强制药、农药、涂料、油墨、胶粘剂、橡胶和塑料制品等行业VOCs治理力度。重点提高涉VOCs排放主要工序密闭化水平，加强无组织排放收集，加大含VOCs物料储存和装卸治理力度。废水储存、曝气池及其之前废水处理设施应按要求加盖封闭，实施废气收集与处理。密封点大于等于2000个的，要开展LDAR工作。</w:t>
            </w:r>
          </w:p>
        </w:tc>
        <w:tc>
          <w:tcPr>
            <w:tcW w:w="2969"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本项目生产过程均在封闭的反应装置内进行；</w:t>
            </w:r>
          </w:p>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污水站恶臭均加盖经集气收集生物除臭装置净化后排放；根据建设方案，全厂密封点＜2000个，无需开展LDAR工作。</w:t>
            </w:r>
          </w:p>
        </w:tc>
        <w:tc>
          <w:tcPr>
            <w:tcW w:w="1107"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vMerge w:val="continue"/>
            <w:noWrap w:val="0"/>
          </w:tcPr>
          <w:p/>
        </w:tc>
        <w:tc>
          <w:tcPr>
            <w:tcW w:w="4644"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加快生产设备密闭化改造。对进出料、物料输送、搅拌、固液分离、干燥、灌装等过程，采取密闭化措施，提升工艺装备水平。加快淘汰敞口式、明流式设施。重点区域含VOCs物料输送原则上采用重力流或泵送方式，逐步淘汰真空方式；有机液体进料鼓励采用底部、浸入管给料方式，淘汰喷溅式给料；固体物料投加逐步推进采用密闭式投料装置。</w:t>
            </w:r>
          </w:p>
        </w:tc>
        <w:tc>
          <w:tcPr>
            <w:tcW w:w="2969"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本项目生产过程均在封闭的反应装置内进行，储罐输送采用泵送。</w:t>
            </w:r>
          </w:p>
        </w:tc>
        <w:tc>
          <w:tcPr>
            <w:tcW w:w="1107"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vMerge w:val="continue"/>
            <w:noWrap w:val="0"/>
          </w:tcPr>
          <w:p/>
        </w:tc>
        <w:tc>
          <w:tcPr>
            <w:tcW w:w="4644"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严格控制储存和装卸过程VOCs排放。鼓励采用压力罐、浮顶罐等替代固定顶罐。真实蒸气压大于等于27.6kPa（重点区域大于等于5.2kPa）的有机液体，利用固定顶罐储存的，应按有关规定采用气相平衡系统或收集净化处理。</w:t>
            </w:r>
          </w:p>
        </w:tc>
        <w:tc>
          <w:tcPr>
            <w:tcW w:w="2969"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本项目储罐采用固定顶罐，</w:t>
            </w:r>
            <w:r>
              <w:rPr>
                <w:rFonts w:hint="eastAsia" w:ascii="Times New Roman" w:hAnsi="Times New Roman" w:eastAsia="宋体" w:cs="Times New Roman"/>
                <w:color w:val="auto"/>
                <w:sz w:val="21"/>
                <w:szCs w:val="21"/>
                <w:lang w:val="en-US" w:eastAsia="zh-CN"/>
              </w:rPr>
              <w:t>储罐废气接入氧化吸收+碱吸收+生物除臭后处理</w:t>
            </w:r>
            <w:r>
              <w:rPr>
                <w:rFonts w:hint="default" w:ascii="Times New Roman" w:hAnsi="Times New Roman" w:eastAsia="宋体" w:cs="Times New Roman"/>
                <w:color w:val="auto"/>
                <w:sz w:val="21"/>
                <w:szCs w:val="21"/>
              </w:rPr>
              <w:t>。</w:t>
            </w:r>
          </w:p>
        </w:tc>
        <w:tc>
          <w:tcPr>
            <w:tcW w:w="1107"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vMerge w:val="continue"/>
            <w:noWrap w:val="0"/>
          </w:tcPr>
          <w:p/>
        </w:tc>
        <w:tc>
          <w:tcPr>
            <w:tcW w:w="4644"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实施废气分类收集处理。优先选用冷凝、吸附再生等回收技术；难以回收的，宜选用燃烧、吸附浓缩+燃烧等高效治理技术。水溶性、酸碱VOCs废气宜选用多级化学吸收等处理技术。恶臭类废气还应进一步加强除臭处理。</w:t>
            </w:r>
          </w:p>
        </w:tc>
        <w:tc>
          <w:tcPr>
            <w:tcW w:w="2969"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val="en-US" w:eastAsia="zh-CN"/>
              </w:rPr>
              <w:t>超细银粉生产过程产生的含乙醇废气进水洗塔处理后达标排放</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污水站有机废气、氨气经氧化吸收+碱吸收+生物除臭</w:t>
            </w:r>
            <w:r>
              <w:rPr>
                <w:rFonts w:hint="default" w:ascii="Times New Roman" w:hAnsi="Times New Roman" w:eastAsia="宋体" w:cs="Times New Roman"/>
                <w:color w:val="auto"/>
                <w:sz w:val="21"/>
                <w:szCs w:val="21"/>
              </w:rPr>
              <w:t>达标排放。</w:t>
            </w:r>
          </w:p>
        </w:tc>
        <w:tc>
          <w:tcPr>
            <w:tcW w:w="1107"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bl>
    <w:p>
      <w:pPr>
        <w:spacing w:line="360" w:lineRule="auto"/>
        <w:ind w:firstLine="482"/>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（4）《福建省重点行业挥发性有机物污染防治工作方案》的符合性</w:t>
      </w:r>
    </w:p>
    <w:p>
      <w:pPr>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本项目与《福建省重点行业挥发性有机物污染防治工作方案》的符合性分析见表3.</w:t>
      </w:r>
      <w:r>
        <w:rPr>
          <w:rFonts w:hint="eastAsia" w:ascii="Times New Roman" w:hAnsi="Times New Roman" w:eastAsia="宋体" w:cs="Times New Roman"/>
          <w:sz w:val="24"/>
          <w:szCs w:val="24"/>
          <w:lang w:val="en-US" w:eastAsia="zh-CN"/>
        </w:rPr>
        <w:t>10</w:t>
      </w:r>
      <w:r>
        <w:rPr>
          <w:rFonts w:hint="default" w:ascii="Times New Roman" w:hAnsi="Times New Roman" w:eastAsia="宋体" w:cs="Times New Roman"/>
          <w:sz w:val="24"/>
          <w:szCs w:val="24"/>
        </w:rPr>
        <w:t>-7。</w:t>
      </w:r>
    </w:p>
    <w:p>
      <w:pPr>
        <w:pStyle w:val="2"/>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snapToGrid w:val="0"/>
        <w:spacing w:line="360" w:lineRule="auto"/>
        <w:ind w:firstLine="0"/>
        <w:jc w:val="center"/>
        <w:outlineLvl w:val="4"/>
        <w:rPr>
          <w:rFonts w:hint="default" w:ascii="Times New Roman" w:hAnsi="Times New Roman" w:eastAsia="黑体" w:cs="Times New Roman"/>
          <w:bCs/>
          <w:sz w:val="24"/>
          <w:szCs w:val="24"/>
          <w:lang w:val="en-GB"/>
        </w:rPr>
      </w:pPr>
      <w:r>
        <w:rPr>
          <w:rFonts w:hint="default" w:ascii="Times New Roman" w:hAnsi="Times New Roman" w:eastAsia="黑体" w:cs="Times New Roman"/>
          <w:bCs/>
          <w:sz w:val="24"/>
          <w:szCs w:val="24"/>
          <w:lang w:val="en-GB"/>
        </w:rPr>
        <w:t>表3.</w:t>
      </w:r>
      <w:r>
        <w:rPr>
          <w:rFonts w:hint="eastAsia" w:ascii="Times New Roman" w:hAnsi="Times New Roman" w:eastAsia="黑体" w:cs="Times New Roman"/>
          <w:bCs/>
          <w:sz w:val="24"/>
          <w:szCs w:val="24"/>
          <w:lang w:val="en-US" w:eastAsia="zh-CN"/>
        </w:rPr>
        <w:t>10</w:t>
      </w:r>
      <w:r>
        <w:rPr>
          <w:rFonts w:hint="default" w:ascii="Times New Roman" w:hAnsi="Times New Roman" w:eastAsia="黑体" w:cs="Times New Roman"/>
          <w:bCs/>
          <w:sz w:val="24"/>
          <w:szCs w:val="24"/>
          <w:lang w:val="en-GB"/>
        </w:rPr>
        <w:t>-</w:t>
      </w:r>
      <w:r>
        <w:rPr>
          <w:rFonts w:hint="default" w:ascii="Times New Roman" w:hAnsi="Times New Roman" w:eastAsia="黑体" w:cs="Times New Roman"/>
          <w:bCs/>
          <w:sz w:val="24"/>
          <w:szCs w:val="24"/>
        </w:rPr>
        <w:t>7</w:t>
      </w:r>
      <w:r>
        <w:rPr>
          <w:rFonts w:hint="default" w:ascii="Times New Roman" w:hAnsi="Times New Roman" w:eastAsia="黑体" w:cs="Times New Roman"/>
          <w:bCs/>
          <w:sz w:val="24"/>
          <w:szCs w:val="24"/>
          <w:lang w:val="en-GB"/>
        </w:rPr>
        <w:t xml:space="preserve"> 与《福建省重点行业挥发性有机物污染防治工作方案》的符合性</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08"/>
        <w:gridCol w:w="5291"/>
        <w:gridCol w:w="2123"/>
        <w:gridCol w:w="96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99" w:type="dxa"/>
            <w:gridSpan w:val="2"/>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相关要求</w:t>
            </w:r>
          </w:p>
        </w:tc>
        <w:tc>
          <w:tcPr>
            <w:tcW w:w="2123" w:type="dxa"/>
            <w:tcBorders>
              <w:righ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项目情况</w:t>
            </w:r>
          </w:p>
        </w:tc>
        <w:tc>
          <w:tcPr>
            <w:tcW w:w="964" w:type="dxa"/>
            <w:tcBorders>
              <w:lef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08" w:type="dxa"/>
            <w:tcBorders>
              <w:righ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福建省重点行业挥发性有机物污染防治工作方案</w:t>
            </w:r>
          </w:p>
        </w:tc>
        <w:tc>
          <w:tcPr>
            <w:tcW w:w="5291" w:type="dxa"/>
            <w:tcBorders>
              <w:lef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提升有机化工（含有机化学原料、合成材料、日用化工、涂料、油墨、胶粘剂、染料、化学溶剂、试剂生产等）、医药化工、塑料制品企业装备水平，严格控制跑冒滴漏。原料、中间产品与成品应密闭储存，对于实际蒸汽压大于2.8千帕、容积大于100立方米的有机液体储罐，采用高效密封方式的浮顶罐或安装密闭排气系统进行净化处理。排放VOCs的生产工序要在密闭空间或设备中实施，产生的含VOCs废气需进行净化处理，净化效率应不低于80%。</w:t>
            </w:r>
          </w:p>
        </w:tc>
        <w:tc>
          <w:tcPr>
            <w:tcW w:w="2123" w:type="dxa"/>
            <w:tcBorders>
              <w:bottom w:val="single" w:color="auto" w:sz="4" w:space="0"/>
              <w:righ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本项目使用的乙醇、甲醛均密闭储存，反应均在密闭装置中进行。本项目产生的含甲醛、乙醇废气进</w:t>
            </w:r>
            <w:r>
              <w:rPr>
                <w:rFonts w:hint="default" w:ascii="Times New Roman" w:hAnsi="Times New Roman" w:eastAsia="宋体" w:cs="Times New Roman"/>
                <w:color w:val="auto"/>
                <w:sz w:val="21"/>
                <w:szCs w:val="21"/>
                <w:lang w:eastAsia="zh-CN"/>
              </w:rPr>
              <w:t>二级</w:t>
            </w:r>
            <w:r>
              <w:rPr>
                <w:rFonts w:hint="default" w:ascii="Times New Roman" w:hAnsi="Times New Roman" w:eastAsia="宋体" w:cs="Times New Roman"/>
                <w:color w:val="auto"/>
                <w:sz w:val="21"/>
                <w:szCs w:val="21"/>
              </w:rPr>
              <w:t>水洗</w:t>
            </w:r>
            <w:r>
              <w:rPr>
                <w:rFonts w:hint="default" w:ascii="Times New Roman" w:hAnsi="Times New Roman" w:eastAsia="宋体" w:cs="Times New Roman"/>
                <w:color w:val="auto"/>
                <w:sz w:val="21"/>
                <w:szCs w:val="21"/>
                <w:lang w:val="en-US" w:eastAsia="zh-CN"/>
              </w:rPr>
              <w:t>+高效除雾装置+活性炭吸附</w:t>
            </w:r>
            <w:r>
              <w:rPr>
                <w:rFonts w:hint="default" w:ascii="Times New Roman" w:hAnsi="Times New Roman" w:eastAsia="宋体" w:cs="Times New Roman"/>
                <w:color w:val="auto"/>
                <w:sz w:val="21"/>
                <w:szCs w:val="21"/>
              </w:rPr>
              <w:t>处理后达标排放，去除效率均达到90%以上</w:t>
            </w:r>
            <w:r>
              <w:rPr>
                <w:rFonts w:hint="default" w:ascii="Times New Roman" w:hAnsi="Times New Roman" w:eastAsia="宋体" w:cs="Times New Roman"/>
                <w:color w:val="auto"/>
                <w:sz w:val="21"/>
                <w:szCs w:val="21"/>
                <w:lang w:eastAsia="zh-CN"/>
              </w:rPr>
              <w:t>。</w:t>
            </w:r>
          </w:p>
        </w:tc>
        <w:tc>
          <w:tcPr>
            <w:tcW w:w="964" w:type="dxa"/>
            <w:tcBorders>
              <w:left w:val="single" w:color="auto" w:sz="4" w:space="0"/>
              <w:bottom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479" w:hRule="atLeast"/>
        </w:trPr>
        <w:tc>
          <w:tcPr>
            <w:tcW w:w="908" w:type="dxa"/>
            <w:vMerge w:val="restart"/>
            <w:tcBorders>
              <w:righ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全省重点工业行业VOCs治理</w:t>
            </w:r>
          </w:p>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推荐措施与技术</w:t>
            </w:r>
          </w:p>
        </w:tc>
        <w:tc>
          <w:tcPr>
            <w:tcW w:w="5291" w:type="dxa"/>
            <w:tcBorders>
              <w:left w:val="single" w:color="auto" w:sz="4" w:space="0"/>
              <w:bottom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b/>
                <w:bCs/>
                <w:sz w:val="21"/>
                <w:szCs w:val="21"/>
              </w:rPr>
              <w:t>提高生产操作的密闭水平。</w:t>
            </w:r>
            <w:r>
              <w:rPr>
                <w:rFonts w:hint="default" w:ascii="Times New Roman" w:hAnsi="Times New Roman" w:eastAsia="宋体" w:cs="Times New Roman"/>
                <w:sz w:val="21"/>
                <w:szCs w:val="21"/>
              </w:rPr>
              <w:t>生产过程应采用密闭设备和原料输送管道，封闭所有不必要的开口，提高工艺设备密闭性。投料宜采用放料、泵料或压料技术，以减少有机溶剂的挥发。</w:t>
            </w:r>
          </w:p>
        </w:tc>
        <w:tc>
          <w:tcPr>
            <w:tcW w:w="2123" w:type="dxa"/>
            <w:tcBorders>
              <w:bottom w:val="single" w:color="auto" w:sz="4" w:space="0"/>
              <w:righ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本项目生产过程均采用密闭设备和原料输送管道。</w:t>
            </w:r>
          </w:p>
        </w:tc>
        <w:tc>
          <w:tcPr>
            <w:tcW w:w="964" w:type="dxa"/>
            <w:tcBorders>
              <w:left w:val="single" w:color="auto" w:sz="4" w:space="0"/>
              <w:bottom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154" w:hRule="atLeast"/>
        </w:trPr>
        <w:tc>
          <w:tcPr>
            <w:vMerge w:val="continue"/>
            <w:tcBorders>
              <w:right w:val="single" w:color="auto" w:sz="4" w:space="0"/>
            </w:tcBorders>
            <w:noWrap w:val="0"/>
          </w:tcPr>
          <w:p/>
        </w:tc>
        <w:tc>
          <w:tcPr>
            <w:tcW w:w="5291" w:type="dxa"/>
            <w:tcBorders>
              <w:top w:val="single" w:color="auto" w:sz="4" w:space="0"/>
              <w:lef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b/>
                <w:bCs/>
                <w:sz w:val="21"/>
                <w:szCs w:val="21"/>
              </w:rPr>
              <w:t>强化有机废气综合治理。</w:t>
            </w:r>
            <w:r>
              <w:rPr>
                <w:rFonts w:hint="default" w:ascii="Times New Roman" w:hAnsi="Times New Roman" w:eastAsia="宋体" w:cs="Times New Roman"/>
                <w:sz w:val="21"/>
                <w:szCs w:val="21"/>
              </w:rPr>
              <w:t>投料、反应、精制、抽真空、固液分离、干燥等各生产工艺和反应器清洗过程废气应接入有机废气控制系统，进行溶剂回收和净化处理。有机溶剂废气应采用冷凝、吸附-冷凝、吸收等回收装置回收，对难以回收利用的采用燃烧、催化氧化等方式处理。产生恶臭气体的车间和装置应配套除臭设施。易产生恶臭影响的污水处理单元应进行密闭，收集的废气采用化学吸收、生物过滤、吸附等方法处理。</w:t>
            </w:r>
          </w:p>
        </w:tc>
        <w:tc>
          <w:tcPr>
            <w:tcW w:w="2123" w:type="dxa"/>
            <w:tcBorders>
              <w:top w:val="single" w:color="auto" w:sz="4" w:space="0"/>
              <w:righ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本项目产生的含甲醛、乙醇废气进</w:t>
            </w:r>
            <w:r>
              <w:rPr>
                <w:rFonts w:hint="default" w:ascii="Times New Roman" w:hAnsi="Times New Roman" w:eastAsia="宋体" w:cs="Times New Roman"/>
                <w:color w:val="auto"/>
                <w:sz w:val="21"/>
                <w:szCs w:val="21"/>
                <w:lang w:eastAsia="zh-CN"/>
              </w:rPr>
              <w:t>二级</w:t>
            </w:r>
            <w:r>
              <w:rPr>
                <w:rFonts w:hint="default" w:ascii="Times New Roman" w:hAnsi="Times New Roman" w:eastAsia="宋体" w:cs="Times New Roman"/>
                <w:color w:val="auto"/>
                <w:sz w:val="21"/>
                <w:szCs w:val="21"/>
              </w:rPr>
              <w:t>水洗</w:t>
            </w:r>
            <w:r>
              <w:rPr>
                <w:rFonts w:hint="default" w:ascii="Times New Roman" w:hAnsi="Times New Roman" w:eastAsia="宋体" w:cs="Times New Roman"/>
                <w:color w:val="auto"/>
                <w:sz w:val="21"/>
                <w:szCs w:val="21"/>
                <w:lang w:val="en-US" w:eastAsia="zh-CN"/>
              </w:rPr>
              <w:t>+高效除雾装置+活性炭吸附</w:t>
            </w:r>
            <w:r>
              <w:rPr>
                <w:rFonts w:hint="default" w:ascii="Times New Roman" w:hAnsi="Times New Roman" w:eastAsia="宋体" w:cs="Times New Roman"/>
                <w:color w:val="auto"/>
                <w:sz w:val="21"/>
                <w:szCs w:val="21"/>
              </w:rPr>
              <w:t>处理后达标排放，去除效率均达到90%以上。</w:t>
            </w:r>
          </w:p>
        </w:tc>
        <w:tc>
          <w:tcPr>
            <w:tcW w:w="964" w:type="dxa"/>
            <w:tcBorders>
              <w:top w:val="single" w:color="auto" w:sz="4" w:space="0"/>
              <w:lef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bookmarkEnd w:id="199"/>
    </w:tbl>
    <w:p>
      <w:pPr>
        <w:spacing w:line="36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3.</w:t>
      </w:r>
      <w:r>
        <w:rPr>
          <w:rFonts w:hint="eastAsia" w:ascii="Times New Roman" w:hAnsi="Times New Roman" w:eastAsia="黑体" w:cs="Times New Roman"/>
          <w:kern w:val="0"/>
          <w:szCs w:val="22"/>
          <w:lang w:val="en-US" w:eastAsia="zh-CN"/>
        </w:rPr>
        <w:t>10</w:t>
      </w:r>
      <w:r>
        <w:rPr>
          <w:rFonts w:hint="default" w:ascii="Times New Roman" w:hAnsi="Times New Roman" w:eastAsia="黑体" w:cs="Times New Roman"/>
          <w:kern w:val="0"/>
          <w:szCs w:val="22"/>
        </w:rPr>
        <w:t>.3.8与《福建省人民政府关于实施“三线一单”生态环境分区管控的通知》（闽政[2020]12号）的符合性</w:t>
      </w:r>
    </w:p>
    <w:p>
      <w:pPr>
        <w:spacing w:line="360" w:lineRule="auto"/>
        <w:ind w:firstLine="48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本项目与《福建省人民政府关于实施“三线一单”生态环境分区管控的通知》（闽政[2020]12号）符合性分析见表3.</w:t>
      </w:r>
      <w:r>
        <w:rPr>
          <w:rFonts w:hint="eastAsia" w:ascii="Times New Roman" w:hAnsi="Times New Roman" w:eastAsia="宋体" w:cs="Times New Roman"/>
          <w:kern w:val="0"/>
          <w:sz w:val="24"/>
          <w:szCs w:val="24"/>
          <w:lang w:val="en-US" w:eastAsia="zh-CN"/>
        </w:rPr>
        <w:t>10</w:t>
      </w:r>
      <w:r>
        <w:rPr>
          <w:rFonts w:hint="default" w:ascii="Times New Roman" w:hAnsi="Times New Roman" w:eastAsia="宋体" w:cs="Times New Roman"/>
          <w:kern w:val="0"/>
          <w:sz w:val="24"/>
          <w:szCs w:val="24"/>
        </w:rPr>
        <w:t>-8。</w:t>
      </w:r>
    </w:p>
    <w:p>
      <w:pPr>
        <w:pStyle w:val="2"/>
        <w:rPr>
          <w:rFonts w:hint="default" w:ascii="Times New Roman" w:hAnsi="Times New Roman" w:eastAsia="宋体" w:cs="Times New Roman"/>
          <w:kern w:val="0"/>
          <w:sz w:val="24"/>
          <w:szCs w:val="24"/>
        </w:rPr>
      </w:pPr>
    </w:p>
    <w:p>
      <w:pPr>
        <w:pStyle w:val="2"/>
        <w:rPr>
          <w:rFonts w:hint="default" w:ascii="Times New Roman" w:hAnsi="Times New Roman" w:eastAsia="宋体" w:cs="Times New Roman"/>
          <w:kern w:val="0"/>
          <w:sz w:val="24"/>
          <w:szCs w:val="24"/>
        </w:rPr>
      </w:pPr>
    </w:p>
    <w:p>
      <w:pPr>
        <w:pStyle w:val="2"/>
        <w:rPr>
          <w:rFonts w:hint="default" w:ascii="Times New Roman" w:hAnsi="Times New Roman" w:eastAsia="宋体" w:cs="Times New Roman"/>
          <w:kern w:val="0"/>
          <w:sz w:val="24"/>
          <w:szCs w:val="24"/>
        </w:rPr>
      </w:pPr>
    </w:p>
    <w:p>
      <w:pPr>
        <w:pStyle w:val="2"/>
        <w:rPr>
          <w:rFonts w:hint="default" w:ascii="Times New Roman" w:hAnsi="Times New Roman" w:eastAsia="宋体" w:cs="Times New Roman"/>
          <w:kern w:val="0"/>
          <w:sz w:val="24"/>
          <w:szCs w:val="24"/>
        </w:rPr>
      </w:pPr>
    </w:p>
    <w:p>
      <w:pPr>
        <w:pStyle w:val="2"/>
        <w:rPr>
          <w:rFonts w:hint="default" w:ascii="Times New Roman" w:hAnsi="Times New Roman" w:eastAsia="宋体" w:cs="Times New Roman"/>
          <w:kern w:val="0"/>
          <w:sz w:val="24"/>
          <w:szCs w:val="24"/>
        </w:rPr>
      </w:pPr>
    </w:p>
    <w:p>
      <w:pPr>
        <w:pStyle w:val="2"/>
        <w:rPr>
          <w:rFonts w:hint="default" w:ascii="Times New Roman" w:hAnsi="Times New Roman" w:eastAsia="宋体" w:cs="Times New Roman"/>
          <w:kern w:val="0"/>
          <w:sz w:val="24"/>
          <w:szCs w:val="24"/>
        </w:rPr>
      </w:pPr>
    </w:p>
    <w:p>
      <w:pPr>
        <w:pStyle w:val="2"/>
        <w:rPr>
          <w:rFonts w:hint="default" w:ascii="Times New Roman" w:hAnsi="Times New Roman" w:eastAsia="宋体" w:cs="Times New Roman"/>
          <w:kern w:val="0"/>
          <w:sz w:val="24"/>
          <w:szCs w:val="24"/>
        </w:rPr>
      </w:pPr>
    </w:p>
    <w:p>
      <w:pPr>
        <w:pStyle w:val="2"/>
        <w:rPr>
          <w:rFonts w:hint="default" w:ascii="Times New Roman" w:hAnsi="Times New Roman" w:eastAsia="宋体" w:cs="Times New Roman"/>
          <w:kern w:val="0"/>
          <w:sz w:val="24"/>
          <w:szCs w:val="24"/>
        </w:rPr>
      </w:pPr>
    </w:p>
    <w:p>
      <w:pPr>
        <w:pStyle w:val="2"/>
        <w:rPr>
          <w:rFonts w:hint="default" w:ascii="Times New Roman" w:hAnsi="Times New Roman" w:eastAsia="宋体" w:cs="Times New Roman"/>
          <w:kern w:val="0"/>
          <w:sz w:val="24"/>
          <w:szCs w:val="24"/>
        </w:rPr>
      </w:pPr>
    </w:p>
    <w:p>
      <w:pPr>
        <w:pStyle w:val="2"/>
        <w:rPr>
          <w:rFonts w:hint="default" w:ascii="Times New Roman" w:hAnsi="Times New Roman" w:eastAsia="宋体" w:cs="Times New Roman"/>
          <w:kern w:val="0"/>
          <w:sz w:val="24"/>
          <w:szCs w:val="24"/>
        </w:rPr>
        <w:sectPr>
          <w:headerReference r:id="rId13" w:type="default"/>
          <w:pgSz w:w="11906" w:h="16838"/>
          <w:pgMar w:top="1418" w:right="1418" w:bottom="1418" w:left="1418" w:header="851" w:footer="992" w:gutter="0"/>
          <w:paperSrc w:first="7" w:other="7"/>
          <w:pgBorders>
            <w:top w:val="none" w:sz="0" w:space="0"/>
            <w:left w:val="none" w:sz="0" w:space="0"/>
            <w:bottom w:val="none" w:sz="0" w:space="0"/>
            <w:right w:val="none" w:sz="0" w:space="0"/>
          </w:pgBorders>
          <w:pgNumType w:fmt="decimal"/>
          <w:cols w:space="720" w:num="1"/>
          <w:docGrid w:linePitch="312" w:charSpace="0"/>
        </w:sectPr>
      </w:pPr>
    </w:p>
    <w:p>
      <w:pPr>
        <w:snapToGrid w:val="0"/>
        <w:spacing w:line="360" w:lineRule="auto"/>
        <w:ind w:firstLine="0"/>
        <w:jc w:val="center"/>
        <w:outlineLvl w:val="4"/>
        <w:rPr>
          <w:rFonts w:hint="default" w:ascii="Times New Roman" w:hAnsi="Times New Roman" w:eastAsia="黑体" w:cs="Times New Roman"/>
          <w:bCs/>
          <w:sz w:val="24"/>
          <w:szCs w:val="24"/>
          <w:lang w:val="en-GB"/>
        </w:rPr>
      </w:pPr>
      <w:r>
        <w:rPr>
          <w:rFonts w:hint="default" w:ascii="Times New Roman" w:hAnsi="Times New Roman" w:eastAsia="黑体" w:cs="Times New Roman"/>
          <w:bCs/>
          <w:sz w:val="24"/>
          <w:szCs w:val="24"/>
          <w:lang w:val="en-GB"/>
        </w:rPr>
        <w:t>表3.</w:t>
      </w:r>
      <w:r>
        <w:rPr>
          <w:rFonts w:hint="eastAsia" w:ascii="Times New Roman" w:hAnsi="Times New Roman" w:eastAsia="黑体" w:cs="Times New Roman"/>
          <w:bCs/>
          <w:sz w:val="24"/>
          <w:szCs w:val="24"/>
          <w:lang w:val="en-US" w:eastAsia="zh-CN"/>
        </w:rPr>
        <w:t>10</w:t>
      </w:r>
      <w:r>
        <w:rPr>
          <w:rFonts w:hint="default" w:ascii="Times New Roman" w:hAnsi="Times New Roman" w:eastAsia="黑体" w:cs="Times New Roman"/>
          <w:bCs/>
          <w:sz w:val="24"/>
          <w:szCs w:val="24"/>
          <w:lang w:val="en-GB"/>
        </w:rPr>
        <w:t>-8 与《福建省人民政府关于实施“三线一单”生态环境分区管控的通知》的符合性</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210"/>
        <w:gridCol w:w="978"/>
        <w:gridCol w:w="4522"/>
        <w:gridCol w:w="6705"/>
        <w:gridCol w:w="99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10"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适用范围</w:t>
            </w:r>
          </w:p>
        </w:tc>
        <w:tc>
          <w:tcPr>
            <w:tcW w:w="5500" w:type="dxa"/>
            <w:gridSpan w:val="2"/>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相关要求</w:t>
            </w:r>
          </w:p>
        </w:tc>
        <w:tc>
          <w:tcPr>
            <w:tcW w:w="6705" w:type="dxa"/>
            <w:tcBorders>
              <w:righ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项目情况</w:t>
            </w:r>
          </w:p>
        </w:tc>
        <w:tc>
          <w:tcPr>
            <w:tcW w:w="990" w:type="dxa"/>
            <w:tcBorders>
              <w:lef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10" w:type="dxa"/>
            <w:vMerge w:val="restart"/>
            <w:tcBorders>
              <w:righ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全省陆域</w:t>
            </w:r>
          </w:p>
        </w:tc>
        <w:tc>
          <w:tcPr>
            <w:tcW w:w="978" w:type="dxa"/>
            <w:tcBorders>
              <w:righ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空间布局约束</w:t>
            </w:r>
          </w:p>
        </w:tc>
        <w:tc>
          <w:tcPr>
            <w:tcW w:w="4522" w:type="dxa"/>
            <w:tcBorders>
              <w:lef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1.石化、汽车、船舶、冶金、水泥、制浆造纸、印染等重点产业，要符合全省规划布局要求。</w:t>
            </w:r>
          </w:p>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2.禁止在水环境质量不能稳定达标的区域内，建设新增相应不达标污染物指标排放量的工业项目。</w:t>
            </w:r>
          </w:p>
        </w:tc>
        <w:tc>
          <w:tcPr>
            <w:tcW w:w="6705" w:type="dxa"/>
            <w:tcBorders>
              <w:righ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项目电子级硝酸、硝酸银属于化学原料和化学制品制造业。超细银粉属于C3985电子专用材料制造，属于硝酸银下游延伸行业。但超细银粉使用化工原料，生产过程为化工工艺，生产存在化工企业环境风险，仍应按照化工企业要求管理。根据规划环评江阴港城产业引进的环保准入条件一览表，拟建工程位于江阴港城西部临港产业化工区，不属于禁止/严格控制单元、项目，该产业无禁止或者严格控制的项目。因此，项目符合西部临港产业区布局。</w:t>
            </w:r>
          </w:p>
          <w:p>
            <w:pPr>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2、项目周边水域为兴化湾，活性磷酸盐超过第三类海水水质标准要求，其余因子达标，这可能与城镇生活污水、周边海域养殖废水直接排入近岸海域有关。项目不排放活性磷酸盐。</w:t>
            </w:r>
          </w:p>
        </w:tc>
        <w:tc>
          <w:tcPr>
            <w:tcW w:w="990" w:type="dxa"/>
            <w:tcBorders>
              <w:lef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vMerge w:val="continue"/>
            <w:tcBorders>
              <w:right w:val="single" w:color="auto" w:sz="4" w:space="0"/>
            </w:tcBorders>
            <w:noWrap w:val="0"/>
          </w:tcPr>
          <w:p/>
        </w:tc>
        <w:tc>
          <w:tcPr>
            <w:tcW w:w="978" w:type="dxa"/>
            <w:tcBorders>
              <w:righ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污染物排放管控</w:t>
            </w:r>
          </w:p>
        </w:tc>
        <w:tc>
          <w:tcPr>
            <w:tcW w:w="4522" w:type="dxa"/>
            <w:tcBorders>
              <w:lef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建设项目新增的主要污染物排放量应按要求实行等量或倍量替代。涉及总磷排放的建设项目应按照要求实行总磷排放量倍量或等量削减替代。涉及重金属重点行业建设项目新增的重点重金属污染物应按要求实行“减量置换”或“等量替换”。涉新增VOCs排放项目，VOCs排放实行区域内等量替代，福州、厦门、漳州、泉州、莆田、宁德等6个重点控制区可实施倍量替代。</w:t>
            </w:r>
          </w:p>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2.尾水排入近岸海域汇水区域、“六江两溪”流域以及湖泊、水库等封闭、半封闭水域的城镇污水处理设施执行不低于一级A排放标准。</w:t>
            </w:r>
          </w:p>
        </w:tc>
        <w:tc>
          <w:tcPr>
            <w:tcW w:w="6705" w:type="dxa"/>
            <w:tcBorders>
              <w:righ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1、项目排放VOCs，项目投产前应实行区域内等量替代。</w:t>
            </w:r>
          </w:p>
          <w:p>
            <w:pPr>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2、含银废水等经处理后回用不外排，循环水场</w:t>
            </w:r>
            <w:r>
              <w:rPr>
                <w:rFonts w:hint="eastAsia" w:ascii="Times New Roman" w:hAnsi="Times New Roman" w:eastAsia="宋体" w:cs="Times New Roman"/>
                <w:color w:val="auto"/>
                <w:sz w:val="21"/>
                <w:szCs w:val="21"/>
                <w:lang w:val="en-US" w:eastAsia="zh-CN"/>
              </w:rPr>
              <w:t>间接冷却</w:t>
            </w:r>
            <w:r>
              <w:rPr>
                <w:rFonts w:hint="default" w:ascii="Times New Roman" w:hAnsi="Times New Roman" w:eastAsia="宋体" w:cs="Times New Roman"/>
                <w:color w:val="auto"/>
                <w:sz w:val="21"/>
                <w:szCs w:val="21"/>
              </w:rPr>
              <w:t>排水、</w:t>
            </w:r>
            <w:r>
              <w:rPr>
                <w:rFonts w:hint="eastAsia" w:ascii="Times New Roman" w:hAnsi="Times New Roman" w:eastAsia="宋体" w:cs="Times New Roman"/>
                <w:color w:val="auto"/>
                <w:sz w:val="21"/>
                <w:szCs w:val="21"/>
                <w:lang w:val="en-US" w:eastAsia="zh-CN"/>
              </w:rPr>
              <w:t>生活污水、去离子水站排水</w:t>
            </w:r>
            <w:r>
              <w:rPr>
                <w:rFonts w:hint="default" w:ascii="Times New Roman" w:hAnsi="Times New Roman" w:eastAsia="宋体" w:cs="Times New Roman"/>
                <w:color w:val="auto"/>
                <w:sz w:val="21"/>
                <w:szCs w:val="21"/>
              </w:rPr>
              <w:t>排入江阴污水处理厂进一步处理，不直接排入周边水体。</w:t>
            </w:r>
          </w:p>
        </w:tc>
        <w:tc>
          <w:tcPr>
            <w:tcW w:w="990" w:type="dxa"/>
            <w:tcBorders>
              <w:lef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10" w:type="dxa"/>
            <w:vMerge w:val="restart"/>
            <w:tcBorders>
              <w:righ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全省海域</w:t>
            </w:r>
          </w:p>
        </w:tc>
        <w:tc>
          <w:tcPr>
            <w:tcW w:w="978" w:type="dxa"/>
            <w:tcBorders>
              <w:righ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空间布局约束</w:t>
            </w:r>
          </w:p>
        </w:tc>
        <w:tc>
          <w:tcPr>
            <w:tcW w:w="4522" w:type="dxa"/>
            <w:tcBorders>
              <w:lef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1.对环保和生产要素具有较高要求的石化、汽车、船舶、冶金、水泥、制浆造纸、印染等重点产业，要符合全省规划布局要求。</w:t>
            </w:r>
          </w:p>
        </w:tc>
        <w:tc>
          <w:tcPr>
            <w:tcW w:w="6705" w:type="dxa"/>
            <w:tcBorders>
              <w:righ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项目电子级硝酸、硝酸银属于化学原料和化学制品制造业。超细银粉属于C3985电子专用材料制造，属于硝酸银下游延伸行业。但超细银粉使用化工原料，生产过程为化工工艺，生产存在化工企业环境风险，仍应按照化工企业要求管理。根据规划环评江阴港城产业引进的环保准入条件一览表，拟建工程位于江阴港城西部临港产业化工区，不属于禁止/严格控制单元、项目，该产业无禁止或者严格控制的项目。因此，项目符合西部临港产业区布局。</w:t>
            </w:r>
          </w:p>
        </w:tc>
        <w:tc>
          <w:tcPr>
            <w:tcW w:w="990" w:type="dxa"/>
            <w:tcBorders>
              <w:lef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vMerge w:val="continue"/>
            <w:tcBorders>
              <w:right w:val="single" w:color="auto" w:sz="4" w:space="0"/>
            </w:tcBorders>
            <w:noWrap w:val="0"/>
          </w:tcPr>
          <w:p/>
        </w:tc>
        <w:tc>
          <w:tcPr>
            <w:tcW w:w="978" w:type="dxa"/>
            <w:tcBorders>
              <w:righ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污染物排放管控</w:t>
            </w:r>
          </w:p>
        </w:tc>
        <w:tc>
          <w:tcPr>
            <w:tcW w:w="4522" w:type="dxa"/>
            <w:tcBorders>
              <w:lef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三沙湾、罗源湾、闽江口、兴化湾、泉州湾、厦门湾、东山湾、诏安湾8个重点海湾实行主要污染物入海总量控制。对三沙湾、罗源湾等半封闭性的海域，实行湾内新（改、扩）建项目氮、磷污染物排放总量减量置换。</w:t>
            </w:r>
          </w:p>
          <w:p>
            <w:pPr>
              <w:spacing w:line="300" w:lineRule="exact"/>
              <w:ind w:firstLine="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强化沿海石化、钢铁、印染、造纸等重污染行业整治，推动企业入园集聚发展，提升工业集聚区废水治理水平。新建、升级工业聚集区应同步规划、建设污水集中处理设施或利用现有的污水集中处理设施，污水处理设施应具备脱氮除磷工艺，并安装自动在线监控装置。</w:t>
            </w:r>
          </w:p>
        </w:tc>
        <w:tc>
          <w:tcPr>
            <w:tcW w:w="6705" w:type="dxa"/>
            <w:tcBorders>
              <w:right w:val="single" w:color="auto" w:sz="4" w:space="0"/>
            </w:tcBorders>
            <w:noWrap w:val="0"/>
            <w:vAlign w:val="center"/>
          </w:tcPr>
          <w:p>
            <w:pPr>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1、含银废水等经处理后回用不外排，循环水场</w:t>
            </w:r>
            <w:r>
              <w:rPr>
                <w:rFonts w:hint="eastAsia" w:ascii="Times New Roman" w:hAnsi="Times New Roman" w:eastAsia="宋体" w:cs="Times New Roman"/>
                <w:color w:val="auto"/>
                <w:sz w:val="21"/>
                <w:szCs w:val="21"/>
                <w:lang w:val="en-US" w:eastAsia="zh-CN"/>
              </w:rPr>
              <w:t>间接冷却</w:t>
            </w:r>
            <w:r>
              <w:rPr>
                <w:rFonts w:hint="default" w:ascii="Times New Roman" w:hAnsi="Times New Roman" w:eastAsia="宋体" w:cs="Times New Roman"/>
                <w:color w:val="auto"/>
                <w:sz w:val="21"/>
                <w:szCs w:val="21"/>
              </w:rPr>
              <w:t>排水、</w:t>
            </w:r>
            <w:r>
              <w:rPr>
                <w:rFonts w:hint="eastAsia" w:ascii="Times New Roman" w:hAnsi="Times New Roman" w:eastAsia="宋体" w:cs="Times New Roman"/>
                <w:color w:val="auto"/>
                <w:sz w:val="21"/>
                <w:szCs w:val="21"/>
                <w:lang w:val="en-US" w:eastAsia="zh-CN"/>
              </w:rPr>
              <w:t>生活污水、去离子水站排水</w:t>
            </w:r>
            <w:r>
              <w:rPr>
                <w:rFonts w:hint="default" w:ascii="Times New Roman" w:hAnsi="Times New Roman" w:eastAsia="宋体" w:cs="Times New Roman"/>
                <w:color w:val="auto"/>
                <w:sz w:val="21"/>
                <w:szCs w:val="21"/>
              </w:rPr>
              <w:t>排入江阴污水处理厂进一步处理后排海，不直接排入周边水体。</w:t>
            </w:r>
          </w:p>
          <w:p>
            <w:pPr>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2、项目所在园区污水处理厂具备脱氮除磷工艺，并安装自动在线监控装置。</w:t>
            </w:r>
          </w:p>
        </w:tc>
        <w:tc>
          <w:tcPr>
            <w:tcW w:w="990" w:type="dxa"/>
            <w:tcBorders>
              <w:lef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vMerge w:val="continue"/>
            <w:tcBorders>
              <w:right w:val="single" w:color="auto" w:sz="4" w:space="0"/>
            </w:tcBorders>
            <w:noWrap w:val="0"/>
          </w:tcPr>
          <w:p/>
        </w:tc>
        <w:tc>
          <w:tcPr>
            <w:tcW w:w="978" w:type="dxa"/>
            <w:tcBorders>
              <w:righ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环境风险防控</w:t>
            </w:r>
          </w:p>
        </w:tc>
        <w:tc>
          <w:tcPr>
            <w:tcW w:w="4522" w:type="dxa"/>
            <w:tcBorders>
              <w:lef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1.强化沿海工业区和沿海石化、化工、冶炼、石油及危化品储运等企业的环境风险防控。</w:t>
            </w:r>
          </w:p>
        </w:tc>
        <w:tc>
          <w:tcPr>
            <w:tcW w:w="6705" w:type="dxa"/>
            <w:tcBorders>
              <w:right w:val="single" w:color="auto" w:sz="4" w:space="0"/>
            </w:tcBorders>
            <w:noWrap w:val="0"/>
            <w:vAlign w:val="center"/>
          </w:tcPr>
          <w:p>
            <w:pPr>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项目罐区周围设置围堰，设置初期雨水收集和事故消防水收集系统，园区还设公共事故应急池，本项目配套有完善的三级防控措施。</w:t>
            </w:r>
          </w:p>
        </w:tc>
        <w:tc>
          <w:tcPr>
            <w:tcW w:w="990" w:type="dxa"/>
            <w:tcBorders>
              <w:left w:val="single" w:color="auto" w:sz="4" w:space="0"/>
            </w:tcBorders>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符合</w:t>
            </w:r>
          </w:p>
        </w:tc>
      </w:tr>
    </w:tbl>
    <w:p>
      <w:pPr>
        <w:spacing w:line="36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3.</w:t>
      </w:r>
      <w:r>
        <w:rPr>
          <w:rFonts w:hint="eastAsia" w:ascii="Times New Roman" w:hAnsi="Times New Roman" w:eastAsia="黑体" w:cs="Times New Roman"/>
          <w:kern w:val="0"/>
          <w:szCs w:val="22"/>
          <w:lang w:val="en-US" w:eastAsia="zh-CN"/>
        </w:rPr>
        <w:t>10</w:t>
      </w:r>
      <w:r>
        <w:rPr>
          <w:rFonts w:hint="default" w:ascii="Times New Roman" w:hAnsi="Times New Roman" w:eastAsia="黑体" w:cs="Times New Roman"/>
          <w:kern w:val="0"/>
          <w:szCs w:val="22"/>
        </w:rPr>
        <w:t>.3.</w:t>
      </w:r>
      <w:r>
        <w:rPr>
          <w:rFonts w:hint="eastAsia" w:ascii="Times New Roman" w:hAnsi="Times New Roman" w:eastAsia="黑体" w:cs="Times New Roman"/>
          <w:kern w:val="0"/>
          <w:szCs w:val="22"/>
          <w:lang w:val="en-US" w:eastAsia="zh-CN"/>
        </w:rPr>
        <w:t>9与“三线一单”相关符合性分析</w:t>
      </w:r>
    </w:p>
    <w:p>
      <w:pPr>
        <w:pageBreakBefore w:val="0"/>
        <w:kinsoku/>
        <w:wordWrap/>
        <w:overflowPunct/>
        <w:topLinePunct w:val="0"/>
        <w:autoSpaceDE/>
        <w:autoSpaceDN/>
        <w:bidi w:val="0"/>
        <w:snapToGrid/>
        <w:spacing w:line="360" w:lineRule="auto"/>
        <w:textAlignment w:val="auto"/>
        <w:rPr>
          <w:rFonts w:hint="default" w:ascii="Times New Roman" w:hAnsi="Times New Roman" w:cs="Times New Roman"/>
          <w:b/>
          <w:bCs/>
          <w:sz w:val="24"/>
          <w:szCs w:val="24"/>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1</w:t>
      </w:r>
      <w:r>
        <w:rPr>
          <w:rFonts w:hint="eastAsia" w:ascii="宋体" w:hAnsi="宋体" w:eastAsia="宋体" w:cs="宋体"/>
          <w:b/>
          <w:bCs/>
          <w:sz w:val="24"/>
          <w:szCs w:val="24"/>
          <w:lang w:eastAsia="zh-CN"/>
        </w:rPr>
        <w:t>）</w:t>
      </w:r>
      <w:r>
        <w:rPr>
          <w:rFonts w:hint="eastAsia" w:ascii="宋体" w:hAnsi="宋体" w:eastAsia="宋体" w:cs="宋体"/>
          <w:b/>
          <w:bCs/>
          <w:sz w:val="24"/>
          <w:szCs w:val="24"/>
        </w:rPr>
        <w:t>陆域、海域生态保护红线</w:t>
      </w:r>
    </w:p>
    <w:p>
      <w:pPr>
        <w:pageBreakBefore w:val="0"/>
        <w:kinsoku/>
        <w:wordWrap/>
        <w:overflowPunct/>
        <w:topLinePunct w:val="0"/>
        <w:autoSpaceDE/>
        <w:autoSpaceDN/>
        <w:bidi w:val="0"/>
        <w:adjustRightInd w:val="0"/>
        <w:snapToGrid/>
        <w:spacing w:line="360" w:lineRule="auto"/>
        <w:ind w:firstLine="48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管控要求:生态保护红线原则上按禁止开发区域的要求进行管理，实施正面清单管控。遵循生态优先、严格管控、奖惩并重的原则，严禁不符合主体功能定位的各类开发活动，生态保护红线内禁止城镇化和工业化活动。根据主导生态功能定位，实施差别化管理，确保生态保护红线生态功能不降低、面积不减少、性质不改变。</w:t>
      </w:r>
    </w:p>
    <w:p>
      <w:pPr>
        <w:spacing w:line="360" w:lineRule="auto"/>
        <w:ind w:firstLine="0"/>
        <w:textAlignment w:val="baseline"/>
        <w:outlineLvl w:val="3"/>
        <w:rPr>
          <w:rFonts w:hint="default" w:ascii="Times New Roman" w:hAnsi="Times New Roman" w:eastAsia="黑体" w:cs="Times New Roman"/>
          <w:kern w:val="0"/>
          <w:szCs w:val="22"/>
        </w:rPr>
        <w:sectPr>
          <w:pgSz w:w="16838" w:h="11906" w:orient="landscape"/>
          <w:pgMar w:top="1418" w:right="1418" w:bottom="1418" w:left="1418" w:header="851" w:footer="992" w:gutter="0"/>
          <w:paperSrc w:first="7" w:other="7"/>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
          <w:bCs/>
          <w:color w:val="auto"/>
          <w:sz w:val="24"/>
          <w:szCs w:val="24"/>
          <w:highlight w:val="none"/>
        </w:rPr>
        <w:t>根据《福州市生态空间陆海统筹范围图》，</w:t>
      </w:r>
      <w:r>
        <w:rPr>
          <w:rFonts w:hint="default" w:ascii="Times New Roman" w:hAnsi="Times New Roman" w:eastAsia="宋体" w:cs="Times New Roman"/>
          <w:b/>
          <w:bCs/>
          <w:color w:val="auto"/>
          <w:sz w:val="24"/>
          <w:szCs w:val="24"/>
          <w:highlight w:val="none"/>
          <w:lang w:eastAsia="zh-CN"/>
        </w:rPr>
        <w:t>本</w:t>
      </w:r>
      <w:r>
        <w:rPr>
          <w:rFonts w:hint="default" w:ascii="Times New Roman" w:hAnsi="Times New Roman" w:eastAsia="宋体" w:cs="Times New Roman"/>
          <w:b/>
          <w:bCs/>
          <w:color w:val="auto"/>
          <w:sz w:val="24"/>
          <w:szCs w:val="24"/>
          <w:highlight w:val="none"/>
        </w:rPr>
        <w:t>项目占地范围内不涉及陆域、海域生态保护红线，符合生态保护红线管控要求。</w:t>
      </w:r>
    </w:p>
    <w:p>
      <w:pPr>
        <w:pageBreakBefore w:val="0"/>
        <w:kinsoku/>
        <w:wordWrap/>
        <w:overflowPunct/>
        <w:topLinePunct w:val="0"/>
        <w:autoSpaceDE/>
        <w:autoSpaceDN/>
        <w:bidi w:val="0"/>
        <w:snapToGrid/>
        <w:spacing w:line="360" w:lineRule="auto"/>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（2）环境质量底线与环境分区管控</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①地表水环境质量底线及分区管控</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项目位于福州市水环境重点控制单元中的水环境工业污染重点管控区，具体管控内容为：推进涉水企业入园，限制在工业集聚区外新建、改建和扩建工业企业。对严重污染水环境的落后工艺和设备实行淘汰制度。强化工业企业的清洁生产审核，推进全市园区实行循环化改造。加强工业污染源监督性监测，定期抽查排放情况，每季度向社会公布。强化环境风险企业制定应急方案，做好风险防范，并定期开展演练。定期评估沿江河湖库工业企业、工业集聚区环境和健康风险，加强监控与预警。</w:t>
      </w:r>
    </w:p>
    <w:p>
      <w:pPr>
        <w:pageBreakBefore w:val="0"/>
        <w:widowControl w:val="0"/>
        <w:kinsoku/>
        <w:wordWrap/>
        <w:overflowPunct/>
        <w:topLinePunct w:val="0"/>
        <w:autoSpaceDE/>
        <w:autoSpaceDN/>
        <w:bidi w:val="0"/>
        <w:adjustRightInd w:val="0"/>
        <w:snapToGrid/>
        <w:spacing w:line="360" w:lineRule="auto"/>
        <w:ind w:firstLine="482"/>
        <w:jc w:val="both"/>
        <w:textAlignment w:val="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本项目位于福州江阴港城总体规划中的西部临港产业区，项目生产废水经处理后均回用，仅循环水站</w:t>
      </w:r>
      <w:r>
        <w:rPr>
          <w:rFonts w:hint="eastAsia" w:ascii="Times New Roman" w:hAnsi="Times New Roman" w:eastAsia="宋体" w:cs="Times New Roman"/>
          <w:b/>
          <w:bCs/>
          <w:color w:val="auto"/>
          <w:kern w:val="0"/>
          <w:sz w:val="24"/>
          <w:szCs w:val="24"/>
          <w:highlight w:val="none"/>
          <w:lang w:val="en-US" w:eastAsia="zh-CN" w:bidi="ar-SA"/>
        </w:rPr>
        <w:t>间接冷却</w:t>
      </w:r>
      <w:r>
        <w:rPr>
          <w:rFonts w:hint="default" w:ascii="Times New Roman" w:hAnsi="Times New Roman" w:eastAsia="宋体" w:cs="Times New Roman"/>
          <w:b/>
          <w:bCs/>
          <w:color w:val="auto"/>
          <w:kern w:val="0"/>
          <w:sz w:val="24"/>
          <w:szCs w:val="24"/>
          <w:highlight w:val="none"/>
          <w:lang w:val="en-US" w:eastAsia="zh-CN" w:bidi="ar-SA"/>
        </w:rPr>
        <w:t>排水、</w:t>
      </w:r>
      <w:r>
        <w:rPr>
          <w:rFonts w:hint="eastAsia" w:ascii="Times New Roman" w:hAnsi="Times New Roman" w:eastAsia="宋体" w:cs="Times New Roman"/>
          <w:b/>
          <w:bCs/>
          <w:color w:val="auto"/>
          <w:kern w:val="0"/>
          <w:sz w:val="24"/>
          <w:szCs w:val="24"/>
          <w:highlight w:val="none"/>
          <w:lang w:val="en-US" w:eastAsia="zh-CN" w:bidi="ar-SA"/>
        </w:rPr>
        <w:t>生活污水、去离子水站</w:t>
      </w:r>
      <w:r>
        <w:rPr>
          <w:rFonts w:hint="default" w:ascii="Times New Roman" w:hAnsi="Times New Roman" w:eastAsia="宋体" w:cs="Times New Roman"/>
          <w:b/>
          <w:bCs/>
          <w:color w:val="auto"/>
          <w:kern w:val="0"/>
          <w:sz w:val="24"/>
          <w:szCs w:val="24"/>
          <w:highlight w:val="none"/>
          <w:lang w:val="en-US" w:eastAsia="zh-CN" w:bidi="ar-SA"/>
        </w:rPr>
        <w:t>排入区域市政污水管网，进入江阴工业集中区污水处理厂集中处理；废气中能回收的尽量回收，不能回收的通过相应处理措施减少排放量，降低对大气环境的影响。同时建设罐区围堰及事故应急池、初期雨水池等有效可行的环境风险防范措施。项目投产后将按照监测计划开展自行监测，在福建省污染源监测信息综合发布平台上公示自行监测数据。按要求编制环境风险应急预案，并定期开展演练，因此项目符合水环境工业污染重点管控区管控要求。</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②大气环境质量底线及分区管控</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本项目位于福州市大气环境管控分区中的高排放重点管控区，对于该单元的管控内容为：</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1）空间布局约束</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A.大力发展低能耗、高附加值的新兴产业和高端制造业，着力传统制造行业低碳化改造；B.优化完善区域产业布局，合理规划布局钢铁、石化、化工、焦化、建材、有色等涉气重污染项目，鼓励对现有涉气重污染项目进行提升改造，逐步引导其向沿海地区布局集中发展；C.严格控制钢铁、焦化、电解铝、铸造、水泥和平板玻璃“两高”行业新增产能，实行等量或减量置换；D.规范各类产业园区和新城、新区设立和布局，控制新增化工园区，禁止随意调整和修改城乡规划和土地利用总体规划，形成有利于大气污染物扩散的城市和区域空间格局；E.全面开展“散乱污”企业排查和清理整顿工作；F.除在安全或者产业布局等方面有特殊要求的项目外，新建有污染物排放的工业项目，应当进入工业园区或者工业集聚区；G.严格除控制石化、化工、包装印刷、工业涂装、制鞋等高VOCs排放的建设项目，相关新建项目必须进入工业园区；H.除江阴化工新材料专区三个区域外，其余地区不再布局新的石化中上游项目；严控钢铁行业新增产能，确有必要新建的应实施产能等量或减量置换。</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2）污染物排放管控</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A.大力推进企业清洁生产；B.区域内进行集中整治，限期进行火电、钢铁、有色冶炼、建材、石化化工等行业的脱硫、脱硝、VOCs处理的达标或提升改造；C.推进每小时65蒸吨及以上燃煤锅炉节能和超低排放改造，鼓励燃气锅炉实施低氮改造；D.有条件的装备制造、电机生产、家具制造、工艺品制造等工业集聚区建设集中喷涂工程中心，配备高效治污设施，替代企业独立喷涂工序；E.强化钢铁、建材、有色、火电、焦化、铸造、VOCs排放等重点行业无组织排放管控，建立健全石化行业“泄露检测与修复”管理制度；F.新建钢铁、火电、水泥、有色项目要执行大气污染物特别排放限值；G.严格实施二氧化硫、氮氧化物排放总量等量替代，VOCs实施总量倍量替代；H.结合产业特点，突出抓好涂料、家具、汽修、包装印刷、制鞋、化工等企业的关停取缔、整合搬迁或升级改造治理，全面提升污染治理水平；I.新建化工、石化及燃煤锅炉项目要执行大气污染物特别排放限值。</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3）环境风险防控</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鼓励针对管控区可能存在的风险建立“一区一档”环境信息管理平台。强化工业集聚区企业环境风险防范设施设备建设和正常运行监管，加强企业应急预案制定，建立常态化的企业隐患排查整治监管机制；加强风险防控体系建设。根据冬春季颗粒物和夏秋季臭氧污染特点，强化大气联防联控联治机制；要以夏秋季节为重点，鼓励VOCs排放重点行业和NOₓ排放重点行业实施错峰生产或者应急应对期间限产停产，降低对空气质量的影响。</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4）资源利用效率</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优化能源结构，持续减少工业煤炭消费，提高能源利用效率，大力推进集中供热；积极稳妥发展新能源和可再生能源，安全高效发展核电，不断提高清洁能源比重；加强能源消耗总量和强度双控行动，强化能源消费总量控制、单位产品能耗标准等约束；严格落实节能评估审查制度。</w:t>
      </w:r>
    </w:p>
    <w:p>
      <w:pPr>
        <w:pageBreakBefore w:val="0"/>
        <w:widowControl w:val="0"/>
        <w:kinsoku/>
        <w:wordWrap/>
        <w:overflowPunct/>
        <w:topLinePunct w:val="0"/>
        <w:autoSpaceDE/>
        <w:autoSpaceDN/>
        <w:bidi w:val="0"/>
        <w:adjustRightInd w:val="0"/>
        <w:snapToGrid/>
        <w:spacing w:line="360" w:lineRule="auto"/>
        <w:ind w:firstLine="482"/>
        <w:jc w:val="both"/>
        <w:textAlignment w:val="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本项目工艺废气排放均执行相关标准中大气污染物特别排放限值要求，清洁生产各项指标均可达到国内先进水平，所需蒸汽</w:t>
      </w:r>
      <w:r>
        <w:rPr>
          <w:rFonts w:hint="eastAsia" w:ascii="Times New Roman" w:hAnsi="Times New Roman" w:eastAsia="宋体" w:cs="Times New Roman"/>
          <w:b/>
          <w:bCs/>
          <w:color w:val="auto"/>
          <w:kern w:val="0"/>
          <w:sz w:val="24"/>
          <w:szCs w:val="24"/>
          <w:highlight w:val="none"/>
          <w:lang w:val="en-US" w:eastAsia="zh-CN" w:bidi="ar-SA"/>
        </w:rPr>
        <w:t>由园区集中供热提供</w:t>
      </w:r>
      <w:r>
        <w:rPr>
          <w:rFonts w:hint="default" w:ascii="Times New Roman" w:hAnsi="Times New Roman" w:eastAsia="宋体" w:cs="Times New Roman"/>
          <w:b/>
          <w:bCs/>
          <w:color w:val="auto"/>
          <w:kern w:val="0"/>
          <w:sz w:val="24"/>
          <w:szCs w:val="24"/>
          <w:highlight w:val="none"/>
          <w:lang w:val="en-US" w:eastAsia="zh-CN" w:bidi="ar-SA"/>
        </w:rPr>
        <w:t>，因此项目符合大气环境高排放重点管控区管控要求。</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③土壤环境风险防控底线及分区管控</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本项目位于福州市土壤污染风险管控分区中的建设用地污染风险重点管控区，对于该单元的管控内容为：</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重点解决问题：福州市企业周边土壤超标污染物主要集中在汞、铅、镉等重金属，需减少重金属污染物排放，有效管控重金属污染土壤环境风险；历史工业企业遗留或遗弃用地土壤污染物超标以无机元素为主，严格地块准入，防范人居环境风险。</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1）涉重点重金属企业</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空间布局约束：提高电镀、铅酸蓄电池、化工、皮革等行业的准入门槛。重金属行业企业原则上应布局在规范设立的工业园区内，新建金属表面处理加工(电镀)企业应全部进入电镀园区，推动原有零散分布的涉重金属企业入园进区，实施同类整合和集中园区化管理，进行园区化、区域式集中治污。</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环境风险管控：严格执行国家产业政策以及相关行业准入条件，落实涉重金属产业准入公告制度要求。坚持淘汰落后产能、开展清洁生产技术改造，加强金属表面处理行业、涉汞行业和钢铁冶炼行业的监管，加大执法力度，坚决打击取缔小电镀等各种非法涉重金属生产企业，落实涉重企业的监督性监测，依托排污许可对重金属排放量进行监控。有重点环境监管尾矿库的企业应当开展土壤污染环境风险检测并定期评估，建立风险管控制度，完善污染治理设施，储备应急物资。重点加强福清市元洪电镀集控区、闽侯县青口投资区内电镀企业、罗源县金港工业区内钢铁生产企业的监管。</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污染物排放控制：完善企事业单位重金属污染物排放总量控制制度，新、改、扩建涉重金属重点行业建设项目必须遵循重点重金属污染物排放“减量置换”或“等量替换”的原则，原则上应在本区域内有明确具体的重金属污染物排放总量来源，无法明确具体总量来源的，各级生态环境部门不得批准相关环境影响评价文件。落实减排措施，推进总量削减，将重金属污染物减排目标任务每年具体分解落实到有关涉重金属重点行业企业，明确相应的减排措施，有效削减重金属排放总量。</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2）污染地块（疑似污染地块）</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污染地块、疑似污染地块严格按照《土壤污染防治法》、《污染地块土壤环境管理办法（试行）》和《福建省污染地块开发利用监督管理暂行办法》等相关规定进行管控。</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空间布局约束：有序搬迁或依法关闭对土壤造成污染的现有企业，污染地块未经治理与修复，或者经治理与修复但未达到相关规划用地土壤环境质量要求的，生态环境主管部门不予批准选址涉及该污染地块的建设项目环境影响报告书或者报告表。列入建设用地土壤污染风险管控和修复名录的地块，不得作为住宅、公共管理与公共服务用地。</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环境风险管控：土壤污染责任人、土地使用权人按照国家有关环境标准和技术规范，在污染地块土壤环境详细调查的基础上开展风险评估，编制风险评估报告，根据污染地块风险评估结果，结合污染地块相关开发利用计划，有针对性地实施风险管控。实施风险管控和修复活动中产生的废气、废水、固体废物、危险废物，土壤污染风险管控和修复的相关责任单位应当依法妥善处理、处置，并达到相关环境保护标准；对建设用地土壤污染风险管控和修复名录中的地块，土壤污染责任人应当按照国家有关规定以及土壤污染风险评估报告的要求，采取移除或者清除污染源、污染隔离阻断、土壤、地下水、地表水及空气环境监测等风险管控措施，并定期向市级生态环境主管部门报告。对列入建设用地土壤污染风险管控和修复名录，但是暂不开发利用或者现阶段不具备风险管控与修复条件的地块，由所在地县级人民政府划定管控区域，设立标识，发布公告，开展土壤、地表水、地下水、空气环境监测，并督促有关责任主体及时采取污染物隔离、阻断等环境风险管控措施，防止污染扩散。对拟开发利用为住宅、公共管理与公共服务用地的污染地块，实施以安全利用为目的的风险管控。</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污染物排放控制：及时移除或者清理污染源；采取污染隔离、阻断等措施，防止污染扩散；开展土壤、地表水、地下水、空气环境监测；发现污染扩散的，及时采取有效补救措施。</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3）重点行业企业地块</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空间布局约束：落实城镇总体规划和土地利用规划中城乡建设用地“三界四区”的土地用途管制，科学规划布局生活垃圾处理、危险废物处置、废旧资源再生利用等设施和场所。合理布局重点行业企业，实行规划环评与建设项目环评联动机制，加强规划区划和建设项目布局论证，根据土壤环境等资源环境承载能力，合理确定区域功能定位和空间布局。</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环境风险管控：一是加强日常环境监管。定期开展重点行业企业环境污染治理设施运行情况巡查，督促企业及时采取措施应对非正常运行情况。二是严防拆除活动污染土壤。以工业企业“退城入园”较多的区县为重点，严格监管重点行业企业拆除活动，在拆除生产设施设备、构筑物和污染治理设施活动时，应当采取相应的土壤污染防治措施，土壤污染重点监管单位还应事先制定包括应急措施在内的土壤污染防治工作方案，报备后实施。</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污染物排放控制：生产、使用、贮存、运输、回收、处置、排放有毒有害物质的单位和个人，应当采取有效措施，防止有毒有害物质渗漏、流失、扬散，避免土壤受到污染。</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4）省级以上工业园区</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空间布局约束：优化工矿区布局和重点产业园区，新建重金属行业企业（除重有色金属及铜、铅锌矿采选业外）原则上应布局在规范设立的工业园区内，采用先进的生产工艺和污染防治技术，最大限度降低重点重金属污染物排放量。</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环境风险管控：规范园区建设，对土壤污染重点监管单位加强管理，建立土壤和地下水污染隐患排查治理制度、风险防控体系和长效监管机制。</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污染物排放控制：严格项目准入，实施总量替代，深入推进清洁生产。</w:t>
      </w:r>
    </w:p>
    <w:p>
      <w:pPr>
        <w:pageBreakBefore w:val="0"/>
        <w:widowControl w:val="0"/>
        <w:kinsoku/>
        <w:wordWrap/>
        <w:overflowPunct/>
        <w:topLinePunct w:val="0"/>
        <w:autoSpaceDE/>
        <w:autoSpaceDN/>
        <w:bidi w:val="0"/>
        <w:adjustRightInd w:val="0"/>
        <w:snapToGrid/>
        <w:spacing w:line="360" w:lineRule="auto"/>
        <w:ind w:firstLine="482"/>
        <w:jc w:val="both"/>
        <w:textAlignment w:val="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项目电子级硝酸、硝酸银属于化学原料和化学制品制造业。超细银粉属于C3985电子专用材料制造，属于硝酸银下游延伸行业。但超细银粉使用化工原料，生产过程为化工工艺，生产存在化工企业环境风险，仍应按照化工企业要求管理。项目所在区域属于江阴工业集中区，为省级以上工业园区</w:t>
      </w:r>
      <w:r>
        <w:rPr>
          <w:rFonts w:hint="eastAsia" w:ascii="Times New Roman" w:hAnsi="Times New Roman" w:eastAsia="宋体" w:cs="Times New Roman"/>
          <w:b/>
          <w:bCs/>
          <w:color w:val="auto"/>
          <w:kern w:val="0"/>
          <w:sz w:val="24"/>
          <w:szCs w:val="24"/>
          <w:highlight w:val="none"/>
          <w:lang w:val="en-US" w:eastAsia="zh-CN" w:bidi="ar-SA"/>
        </w:rPr>
        <w:t>。项目属于涉重金属重点行业建设项目，但不涉及重点重金属，项目含银废水通过处理后回用不排放。</w:t>
      </w:r>
      <w:r>
        <w:rPr>
          <w:rFonts w:hint="default" w:ascii="Times New Roman" w:hAnsi="Times New Roman" w:eastAsia="宋体" w:cs="Times New Roman"/>
          <w:b/>
          <w:bCs/>
          <w:color w:val="auto"/>
          <w:kern w:val="0"/>
          <w:sz w:val="24"/>
          <w:szCs w:val="24"/>
          <w:highlight w:val="none"/>
          <w:lang w:val="en-US" w:eastAsia="zh-CN" w:bidi="ar-SA"/>
        </w:rPr>
        <w:t>评价要求建设单位按规范要求对厂区内土壤和地下水进行监测，项目总量控制和清洁生产符合相关要求，因此项目符合建设用地污染风险重点管控区管控要求。</w:t>
      </w:r>
    </w:p>
    <w:p>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（3）资源利用上线与分区管控</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①水资源利用上线及分区管控</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本项目冷却水循环利用，含银废水等经处理后回用不外排，符合水资源利用上线及分区管控要求。</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②土地资源利用上线及分区管控</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项目不在福州市土地资源重点管控区和污染地块重点管控区。项目占地范围不涉及生态红线和基本农田，项目占地符合土地资源利用上线及分区管控要求。</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③能源资源利用上线及分区管控</w:t>
      </w:r>
    </w:p>
    <w:p>
      <w:pPr>
        <w:pageBreakBefore w:val="0"/>
        <w:widowControl w:val="0"/>
        <w:kinsoku/>
        <w:wordWrap/>
        <w:overflowPunct/>
        <w:topLinePunct w:val="0"/>
        <w:autoSpaceDE/>
        <w:autoSpaceDN/>
        <w:bidi w:val="0"/>
        <w:adjustRightInd w:val="0"/>
        <w:snapToGrid/>
        <w:spacing w:line="360" w:lineRule="auto"/>
        <w:ind w:firstLine="48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项目区不在高污染燃料禁燃区范围内，符合能源资源利用上线及分区管控要求。</w:t>
      </w:r>
    </w:p>
    <w:p>
      <w:pPr>
        <w:keepNext w:val="0"/>
        <w:keepLines w:val="0"/>
        <w:pageBreakBefore w:val="0"/>
        <w:widowControl w:val="0"/>
        <w:kinsoku/>
        <w:wordWrap/>
        <w:overflowPunct/>
        <w:topLinePunct w:val="0"/>
        <w:autoSpaceDE/>
        <w:autoSpaceDN/>
        <w:bidi w:val="0"/>
        <w:snapToGrid/>
        <w:spacing w:line="360" w:lineRule="auto"/>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（4）生态环境准入清单</w:t>
      </w:r>
    </w:p>
    <w:p>
      <w:pPr>
        <w:keepNext w:val="0"/>
        <w:keepLines w:val="0"/>
        <w:pageBreakBefore w:val="0"/>
        <w:widowControl w:val="0"/>
        <w:kinsoku/>
        <w:wordWrap/>
        <w:overflowPunct/>
        <w:topLinePunct w:val="0"/>
        <w:autoSpaceDE/>
        <w:autoSpaceDN/>
        <w:bidi w:val="0"/>
        <w:adjustRightInd w:val="0"/>
        <w:snapToGrid/>
        <w:spacing w:line="360" w:lineRule="auto"/>
        <w:ind w:firstLine="480"/>
        <w:jc w:val="both"/>
        <w:textAlignment w:val="auto"/>
        <w:outlineLvl w:val="9"/>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根据《福建省生态环境准入清单》，项目与其符合性详见表</w:t>
      </w:r>
      <w:r>
        <w:rPr>
          <w:rFonts w:hint="eastAsia" w:ascii="Times New Roman" w:hAnsi="Times New Roman" w:eastAsia="宋体" w:cs="Times New Roman"/>
          <w:color w:val="auto"/>
          <w:kern w:val="0"/>
          <w:sz w:val="24"/>
          <w:szCs w:val="24"/>
          <w:highlight w:val="none"/>
          <w:lang w:val="en-US" w:eastAsia="zh-CN" w:bidi="ar-SA"/>
        </w:rPr>
        <w:t>3.10-9</w:t>
      </w:r>
      <w:r>
        <w:rPr>
          <w:rFonts w:hint="default" w:ascii="Times New Roman" w:hAnsi="Times New Roman" w:eastAsia="宋体" w:cs="Times New Roman"/>
          <w:color w:val="auto"/>
          <w:kern w:val="0"/>
          <w:sz w:val="24"/>
          <w:szCs w:val="24"/>
          <w:highlight w:val="none"/>
          <w:lang w:val="en-US" w:eastAsia="zh-CN" w:bidi="ar-SA"/>
        </w:rPr>
        <w:t>~表</w:t>
      </w:r>
      <w:r>
        <w:rPr>
          <w:rFonts w:hint="eastAsia" w:ascii="Times New Roman" w:hAnsi="Times New Roman" w:eastAsia="宋体" w:cs="Times New Roman"/>
          <w:color w:val="auto"/>
          <w:kern w:val="0"/>
          <w:sz w:val="24"/>
          <w:szCs w:val="24"/>
          <w:highlight w:val="none"/>
          <w:lang w:val="en-US" w:eastAsia="zh-CN" w:bidi="ar-SA"/>
        </w:rPr>
        <w:t>3.10-10</w:t>
      </w:r>
      <w:r>
        <w:rPr>
          <w:rFonts w:hint="default" w:ascii="Times New Roman" w:hAnsi="Times New Roman" w:eastAsia="宋体" w:cs="Times New Roman"/>
          <w:color w:val="auto"/>
          <w:kern w:val="0"/>
          <w:sz w:val="24"/>
          <w:szCs w:val="24"/>
          <w:highlight w:val="none"/>
          <w:lang w:val="en-US" w:eastAsia="zh-CN" w:bidi="ar-SA"/>
        </w:rPr>
        <w:t>。</w:t>
      </w:r>
    </w:p>
    <w:p>
      <w:pPr>
        <w:keepNext w:val="0"/>
        <w:keepLines w:val="0"/>
        <w:pageBreakBefore w:val="0"/>
        <w:widowControl w:val="0"/>
        <w:kinsoku/>
        <w:wordWrap/>
        <w:overflowPunct/>
        <w:topLinePunct w:val="0"/>
        <w:autoSpaceDE/>
        <w:autoSpaceDN/>
        <w:bidi w:val="0"/>
        <w:snapToGrid/>
        <w:spacing w:line="360" w:lineRule="auto"/>
        <w:textAlignment w:val="auto"/>
        <w:outlineLvl w:val="9"/>
        <w:rPr>
          <w:rFonts w:hint="default" w:ascii="Times New Roman" w:hAnsi="Times New Roman" w:cs="Times New Roman"/>
          <w:color w:val="auto"/>
          <w:highlight w:val="none"/>
        </w:rPr>
        <w:sectPr>
          <w:pgSz w:w="11906" w:h="16838"/>
          <w:pgMar w:top="1418" w:right="1418" w:bottom="1418" w:left="1418" w:header="851" w:footer="992" w:gutter="0"/>
          <w:paperSrc w:first="7" w:other="7"/>
          <w:pgBorders>
            <w:top w:val="none" w:sz="0" w:space="0"/>
            <w:left w:val="none" w:sz="0" w:space="0"/>
            <w:bottom w:val="none" w:sz="0" w:space="0"/>
            <w:right w:val="none" w:sz="0" w:space="0"/>
          </w:pgBorders>
          <w:pgNumType w:fmt="decimal"/>
          <w:cols w:space="720" w:num="1"/>
          <w:docGrid w:linePitch="312" w:charSpace="0"/>
        </w:sectPr>
      </w:pPr>
    </w:p>
    <w:p>
      <w:pPr>
        <w:widowControl w:val="0"/>
        <w:bidi w:val="0"/>
        <w:adjustRightInd w:val="0"/>
        <w:snapToGrid w:val="0"/>
        <w:jc w:val="center"/>
        <w:outlineLvl w:val="4"/>
        <w:rPr>
          <w:rFonts w:hint="default" w:ascii="Times New Roman" w:hAnsi="Times New Roman" w:eastAsia="黑体" w:cs="Times New Roman"/>
          <w:b w:val="0"/>
          <w:bCs/>
          <w:color w:val="auto"/>
          <w:sz w:val="24"/>
          <w:szCs w:val="28"/>
          <w:highlight w:val="none"/>
          <w:lang w:val="en-US" w:eastAsia="zh-CN" w:bidi="ar-SA"/>
        </w:rPr>
      </w:pPr>
      <w:r>
        <w:rPr>
          <w:rFonts w:hint="default" w:ascii="Times New Roman" w:hAnsi="Times New Roman" w:eastAsia="黑体" w:cs="Times New Roman"/>
          <w:b w:val="0"/>
          <w:bCs/>
          <w:color w:val="auto"/>
          <w:sz w:val="24"/>
          <w:szCs w:val="28"/>
          <w:highlight w:val="none"/>
          <w:lang w:val="en-US" w:eastAsia="zh-CN" w:bidi="ar-SA"/>
        </w:rPr>
        <w:t>表</w:t>
      </w:r>
      <w:r>
        <w:rPr>
          <w:rFonts w:hint="eastAsia" w:ascii="Times New Roman" w:hAnsi="Times New Roman" w:eastAsia="黑体" w:cs="Times New Roman"/>
          <w:b w:val="0"/>
          <w:bCs/>
          <w:color w:val="auto"/>
          <w:sz w:val="24"/>
          <w:szCs w:val="28"/>
          <w:highlight w:val="none"/>
          <w:lang w:val="en-US" w:eastAsia="zh-CN" w:bidi="ar-SA"/>
        </w:rPr>
        <w:t>3.10</w:t>
      </w:r>
      <w:r>
        <w:rPr>
          <w:rFonts w:hint="default" w:ascii="Times New Roman" w:hAnsi="Times New Roman" w:eastAsia="黑体" w:cs="Times New Roman"/>
          <w:b w:val="0"/>
          <w:bCs/>
          <w:color w:val="auto"/>
          <w:sz w:val="24"/>
          <w:szCs w:val="28"/>
          <w:highlight w:val="none"/>
          <w:lang w:val="en-US" w:eastAsia="zh-CN" w:bidi="ar-SA"/>
        </w:rPr>
        <w:t>-</w:t>
      </w:r>
      <w:r>
        <w:rPr>
          <w:rFonts w:hint="eastAsia" w:ascii="Times New Roman" w:hAnsi="Times New Roman" w:eastAsia="黑体" w:cs="Times New Roman"/>
          <w:b w:val="0"/>
          <w:bCs/>
          <w:color w:val="auto"/>
          <w:sz w:val="24"/>
          <w:szCs w:val="28"/>
          <w:highlight w:val="none"/>
          <w:lang w:val="en-US" w:eastAsia="zh-CN" w:bidi="ar-SA"/>
        </w:rPr>
        <w:t>9</w:t>
      </w:r>
      <w:r>
        <w:rPr>
          <w:rFonts w:hint="default" w:ascii="Times New Roman" w:hAnsi="Times New Roman" w:eastAsia="黑体" w:cs="Times New Roman"/>
          <w:b w:val="0"/>
          <w:bCs/>
          <w:color w:val="auto"/>
          <w:sz w:val="24"/>
          <w:szCs w:val="28"/>
          <w:highlight w:val="none"/>
          <w:lang w:val="en-US" w:eastAsia="zh-CN" w:bidi="ar-SA"/>
        </w:rPr>
        <w:t xml:space="preserve">  与福州市</w:t>
      </w:r>
      <w:r>
        <w:rPr>
          <w:rFonts w:hint="eastAsia" w:ascii="Times New Roman" w:hAnsi="Times New Roman" w:eastAsia="黑体" w:cs="Times New Roman"/>
          <w:b w:val="0"/>
          <w:bCs/>
          <w:color w:val="auto"/>
          <w:sz w:val="24"/>
          <w:szCs w:val="28"/>
          <w:highlight w:val="none"/>
          <w:lang w:val="en-US" w:eastAsia="zh-CN" w:bidi="ar-SA"/>
        </w:rPr>
        <w:t>生态环境</w:t>
      </w:r>
      <w:r>
        <w:rPr>
          <w:rFonts w:hint="default" w:ascii="Times New Roman" w:hAnsi="Times New Roman" w:eastAsia="黑体" w:cs="Times New Roman"/>
          <w:b w:val="0"/>
          <w:bCs/>
          <w:color w:val="auto"/>
          <w:sz w:val="24"/>
          <w:szCs w:val="28"/>
          <w:highlight w:val="none"/>
          <w:lang w:val="en-US" w:eastAsia="zh-CN" w:bidi="ar-SA"/>
        </w:rPr>
        <w:t>总体准入要求符合性分析</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75"/>
        <w:gridCol w:w="331"/>
        <w:gridCol w:w="445"/>
        <w:gridCol w:w="9371"/>
        <w:gridCol w:w="335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0" w:hRule="atLeast"/>
          <w:tblHeader/>
        </w:trPr>
        <w:tc>
          <w:tcPr>
            <w:tcW w:w="1306"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center"/>
              <w:textAlignment w:val="auto"/>
              <w:outlineLvl w:val="9"/>
              <w:rPr>
                <w:rFonts w:hint="eastAsia" w:ascii="宋体" w:hAnsi="宋体" w:eastAsia="宋体" w:cs="宋体"/>
                <w:b/>
                <w:bCs/>
                <w:kern w:val="0"/>
                <w:sz w:val="21"/>
                <w:szCs w:val="21"/>
              </w:rPr>
            </w:pPr>
            <w:r>
              <w:rPr>
                <w:rFonts w:hint="eastAsia" w:ascii="宋体" w:hAnsi="宋体" w:eastAsia="宋体" w:cs="宋体"/>
                <w:b/>
                <w:bCs/>
                <w:kern w:val="0"/>
                <w:sz w:val="21"/>
                <w:szCs w:val="21"/>
              </w:rPr>
              <w:t>适用范围</w:t>
            </w:r>
          </w:p>
        </w:tc>
        <w:tc>
          <w:tcPr>
            <w:tcW w:w="9816"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center"/>
              <w:textAlignment w:val="auto"/>
              <w:outlineLvl w:val="9"/>
              <w:rPr>
                <w:rFonts w:hint="eastAsia" w:ascii="宋体" w:hAnsi="宋体" w:eastAsia="宋体" w:cs="宋体"/>
                <w:b/>
                <w:bCs/>
                <w:kern w:val="0"/>
                <w:sz w:val="21"/>
                <w:szCs w:val="21"/>
              </w:rPr>
            </w:pPr>
            <w:r>
              <w:rPr>
                <w:rFonts w:hint="eastAsia" w:ascii="宋体" w:hAnsi="宋体" w:eastAsia="宋体" w:cs="宋体"/>
                <w:b/>
                <w:bCs/>
                <w:kern w:val="0"/>
                <w:sz w:val="21"/>
                <w:szCs w:val="21"/>
              </w:rPr>
              <w:t>准入要求</w:t>
            </w:r>
          </w:p>
        </w:tc>
        <w:tc>
          <w:tcPr>
            <w:tcW w:w="335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center"/>
              <w:textAlignment w:val="auto"/>
              <w:outlineLvl w:val="9"/>
              <w:rPr>
                <w:rFonts w:hint="eastAsia" w:ascii="宋体" w:hAnsi="宋体" w:eastAsia="宋体" w:cs="宋体"/>
                <w:b/>
                <w:bCs/>
                <w:kern w:val="0"/>
                <w:sz w:val="21"/>
                <w:szCs w:val="21"/>
              </w:rPr>
            </w:pPr>
            <w:r>
              <w:rPr>
                <w:rFonts w:hint="default" w:ascii="Times New Roman" w:hAnsi="Times New Roman" w:eastAsia="宋体" w:cs="Times New Roman"/>
                <w:b/>
                <w:bCs/>
                <w:color w:val="auto"/>
                <w:sz w:val="21"/>
                <w:szCs w:val="21"/>
                <w:highlight w:val="none"/>
                <w:lang w:val="en-US" w:eastAsia="zh-CN"/>
              </w:rPr>
              <w:t>符合</w:t>
            </w:r>
            <w:r>
              <w:rPr>
                <w:rFonts w:hint="default" w:ascii="Times New Roman" w:hAnsi="Times New Roman" w:eastAsia="宋体" w:cs="Times New Roman"/>
                <w:b/>
                <w:bCs/>
                <w:color w:val="auto"/>
                <w:sz w:val="21"/>
                <w:szCs w:val="21"/>
                <w:highlight w:val="none"/>
              </w:rPr>
              <w:t>性分析结论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70" w:hRule="atLeast"/>
        </w:trPr>
        <w:tc>
          <w:tcPr>
            <w:tcW w:w="97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center"/>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福州市</w:t>
            </w:r>
          </w:p>
        </w:tc>
        <w:tc>
          <w:tcPr>
            <w:tcW w:w="331"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center"/>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陆域</w:t>
            </w:r>
          </w:p>
        </w:tc>
        <w:tc>
          <w:tcPr>
            <w:tcW w:w="44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center"/>
              <w:textAlignment w:val="auto"/>
              <w:outlineLvl w:val="9"/>
              <w:rPr>
                <w:rFonts w:hint="eastAsia" w:ascii="宋体" w:hAnsi="宋体" w:eastAsia="宋体" w:cs="宋体"/>
                <w:kern w:val="0"/>
                <w:sz w:val="21"/>
                <w:szCs w:val="21"/>
              </w:rPr>
            </w:pPr>
            <w:r>
              <w:rPr>
                <w:rFonts w:hint="eastAsia" w:ascii="宋体" w:hAnsi="宋体" w:eastAsia="宋体" w:cs="宋体"/>
                <w:sz w:val="21"/>
                <w:szCs w:val="21"/>
              </w:rPr>
              <w:t>空间布局约束</w:t>
            </w:r>
          </w:p>
        </w:tc>
        <w:tc>
          <w:tcPr>
            <w:tcW w:w="937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left"/>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1.福州市石化中上游项目重点在江阴化工新材料专区、连江可门化工新材料产业园布局。</w:t>
            </w:r>
          </w:p>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left"/>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2.鼓楼区内福州高新技术产业开发区洪山片禁止生产型企业的引入；仓山区内福州高新技术产业开发区仓山片不再新增生物医药原料药制造类企业。</w:t>
            </w:r>
          </w:p>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left"/>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3.罗源县内福州台商投资区松山片区禁止引进、建设集中电镀、制浆、医药、农药、酿造等重污染项目；连江县内福州台商投资区大官坂片区不再扩大聚酰胺一体化项目规模。</w:t>
            </w:r>
          </w:p>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left"/>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4.禁止在闽江马尾罗星塔以上流域范围新、扩建制革项目，严控新（扩）建植物制浆、印染、合成革及人造革、电镀项目。</w:t>
            </w:r>
          </w:p>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left"/>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5.禁止在通风廊道和主导风向的上风向布局大气重污染企业，逐步将大气重污染企业和环境风险企业搬出城市建成区和生态保护红线范围。</w:t>
            </w:r>
          </w:p>
        </w:tc>
        <w:tc>
          <w:tcPr>
            <w:tcW w:w="3354" w:type="dxa"/>
            <w:noWrap w:val="0"/>
            <w:vAlign w:val="center"/>
          </w:tcPr>
          <w:p>
            <w:pPr>
              <w:pStyle w:val="394"/>
              <w:keepNext w:val="0"/>
              <w:keepLines w:val="0"/>
              <w:pageBreakBefore w:val="0"/>
              <w:widowControl w:val="0"/>
              <w:kinsoku/>
              <w:wordWrap/>
              <w:overflowPunct/>
              <w:topLinePunct w:val="0"/>
              <w:autoSpaceDE/>
              <w:autoSpaceDN/>
              <w:bidi w:val="0"/>
              <w:snapToGrid w:val="0"/>
              <w:spacing w:line="240" w:lineRule="atLeast"/>
              <w:ind w:right="0" w:firstLine="0"/>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项目电子级硝酸、硝酸银属于化学原料和化学制品制造业。超细银粉属于C3985电子专用材料制造，属于硝酸银下游延伸行业。但超细银粉使用化工原料，生产过程为化工工艺，生产存在化工企业环境风险，仍应按照化工企业要求管理。项目生产过程含银废水经处理后回用，不外排。废气中能回收的尽量回收，不能回收的通过相应处理措施减少排放量，降低对大气环境的影响。同时建设罐区围堰及事故应急池、初期雨水池等有效可行的环境风险防范措施。项目</w:t>
            </w:r>
            <w:r>
              <w:rPr>
                <w:rFonts w:hint="default" w:ascii="Times New Roman" w:hAnsi="Times New Roman" w:eastAsia="宋体" w:cs="Times New Roman"/>
                <w:color w:val="auto"/>
                <w:sz w:val="21"/>
                <w:szCs w:val="21"/>
                <w:highlight w:val="none"/>
              </w:rPr>
              <w:t>位于江阴西部临港产业园，</w:t>
            </w:r>
            <w:r>
              <w:rPr>
                <w:rFonts w:hint="default" w:ascii="Times New Roman" w:hAnsi="Times New Roman" w:eastAsia="宋体" w:cs="Times New Roman"/>
                <w:color w:val="auto"/>
                <w:sz w:val="21"/>
                <w:szCs w:val="21"/>
                <w:highlight w:val="none"/>
                <w:lang w:val="en-US" w:eastAsia="zh-CN"/>
              </w:rPr>
              <w:t>符合1要求</w:t>
            </w:r>
            <w:r>
              <w:rPr>
                <w:rFonts w:hint="eastAsia" w:ascii="Times New Roman" w:hAnsi="Times New Roman" w:eastAsia="宋体" w:cs="Times New Roman"/>
                <w:color w:val="auto"/>
                <w:sz w:val="21"/>
                <w:szCs w:val="21"/>
                <w:highlight w:val="none"/>
                <w:lang w:val="en-US" w:eastAsia="zh-CN"/>
              </w:rPr>
              <w:t>；</w:t>
            </w:r>
          </w:p>
          <w:p>
            <w:pPr>
              <w:pStyle w:val="394"/>
              <w:keepNext w:val="0"/>
              <w:keepLines w:val="0"/>
              <w:pageBreakBefore w:val="0"/>
              <w:widowControl w:val="0"/>
              <w:kinsoku/>
              <w:wordWrap/>
              <w:overflowPunct/>
              <w:topLinePunct w:val="0"/>
              <w:autoSpaceDE/>
              <w:autoSpaceDN/>
              <w:bidi w:val="0"/>
              <w:snapToGrid w:val="0"/>
              <w:spacing w:line="240" w:lineRule="atLeast"/>
              <w:ind w:right="0" w:firstLine="0"/>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olor w:val="auto"/>
                <w:lang w:val="en-US" w:eastAsia="zh-CN"/>
              </w:rPr>
              <w:t>5、项目位于</w:t>
            </w:r>
            <w:r>
              <w:rPr>
                <w:rFonts w:hint="eastAsia"/>
                <w:color w:val="auto"/>
              </w:rPr>
              <w:t>禁主导风向的</w:t>
            </w:r>
            <w:r>
              <w:rPr>
                <w:rFonts w:hint="eastAsia"/>
                <w:color w:val="auto"/>
                <w:lang w:val="en-US" w:eastAsia="zh-CN"/>
              </w:rPr>
              <w:t>下</w:t>
            </w:r>
            <w:r>
              <w:rPr>
                <w:rFonts w:hint="eastAsia"/>
                <w:color w:val="auto"/>
              </w:rPr>
              <w:t>风向，</w:t>
            </w:r>
            <w:r>
              <w:rPr>
                <w:rFonts w:hint="eastAsia"/>
                <w:color w:val="auto"/>
                <w:lang w:val="en-US" w:eastAsia="zh-CN"/>
              </w:rPr>
              <w:t>不在</w:t>
            </w:r>
            <w:r>
              <w:rPr>
                <w:rFonts w:hint="eastAsia"/>
                <w:color w:val="auto"/>
              </w:rPr>
              <w:t>城市建成区和生态保护红线范围</w:t>
            </w:r>
            <w:r>
              <w:rPr>
                <w:rFonts w:hint="eastAsia"/>
                <w:color w:val="auto"/>
                <w:lang w:eastAsia="zh-CN"/>
              </w:rPr>
              <w:t>，</w:t>
            </w:r>
            <w:r>
              <w:rPr>
                <w:rFonts w:hint="eastAsia"/>
                <w:color w:val="auto"/>
                <w:lang w:val="en-US" w:eastAsia="zh-CN"/>
              </w:rPr>
              <w:t>符合5要求</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235" w:hRule="atLeast"/>
        </w:trPr>
        <w:tc>
          <w:tcPr>
            <w:tcW w:w="975"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center"/>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深入推进闽江流域上生态环境综合治理工作方案</w:t>
            </w:r>
          </w:p>
        </w:tc>
        <w:tc>
          <w:tcPr>
            <w:vMerge w:val="continue"/>
            <w:noWrap w:val="0"/>
          </w:tcPr>
          <w:p/>
        </w:tc>
        <w:tc>
          <w:tcPr>
            <w:tcW w:w="44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center"/>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污染物排放管控</w:t>
            </w:r>
          </w:p>
        </w:tc>
        <w:tc>
          <w:tcPr>
            <w:tcW w:w="937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left"/>
              <w:textAlignment w:val="auto"/>
              <w:outlineLvl w:val="9"/>
              <w:rPr>
                <w:rFonts w:hint="eastAsia" w:ascii="宋体" w:hAnsi="宋体" w:eastAsia="宋体" w:cs="宋体"/>
                <w:sz w:val="21"/>
                <w:szCs w:val="21"/>
              </w:rPr>
            </w:pPr>
            <w:r>
              <w:rPr>
                <w:rFonts w:hint="eastAsia" w:ascii="宋体" w:hAnsi="宋体" w:eastAsia="宋体" w:cs="宋体"/>
                <w:sz w:val="21"/>
                <w:szCs w:val="21"/>
              </w:rPr>
              <w:t>1.建设规划部门划定的县级以上城市建成区及福州市环境总体规划（2013-2030）划定的大气环境二级管控区的大气污染型工业企业（现阶段指排放二氧化硫、氮氧化物的工业企业，但不含使用天然气、液化石油气等作为燃料的非火电锅炉和工业炉窑排放二氧化硫、氮氧化物的工业企业）新增大气污染物排放量，按不低于1.5倍交易。</w:t>
            </w:r>
          </w:p>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left"/>
              <w:textAlignment w:val="auto"/>
              <w:outlineLvl w:val="9"/>
              <w:rPr>
                <w:rFonts w:hint="eastAsia" w:ascii="宋体" w:hAnsi="宋体" w:eastAsia="宋体" w:cs="宋体"/>
                <w:sz w:val="21"/>
                <w:szCs w:val="21"/>
              </w:rPr>
            </w:pPr>
            <w:r>
              <w:rPr>
                <w:rFonts w:hint="eastAsia" w:ascii="宋体" w:hAnsi="宋体" w:eastAsia="宋体" w:cs="宋体"/>
                <w:sz w:val="21"/>
                <w:szCs w:val="21"/>
              </w:rPr>
              <w:t>2.省级（含）以上工业园区外的工业企业新增主要污染物排放量（不含使用天然气、液化石油气等作为燃料的非火电锅炉和工业炉窑的工业企业新增的二氧化硫、氮氧化物排放量），按不低于1.2倍交易。</w:t>
            </w:r>
          </w:p>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left"/>
              <w:textAlignment w:val="auto"/>
              <w:outlineLvl w:val="9"/>
              <w:rPr>
                <w:rFonts w:hint="eastAsia" w:ascii="宋体" w:hAnsi="宋体" w:eastAsia="宋体" w:cs="宋体"/>
                <w:sz w:val="21"/>
                <w:szCs w:val="21"/>
              </w:rPr>
            </w:pPr>
            <w:r>
              <w:rPr>
                <w:rFonts w:hint="eastAsia" w:ascii="宋体" w:hAnsi="宋体" w:eastAsia="宋体" w:cs="宋体"/>
                <w:sz w:val="21"/>
                <w:szCs w:val="21"/>
              </w:rPr>
              <w:t>3.涉新增VOCs排放项目，VOCs排放实行区域内倍量替代。</w:t>
            </w:r>
          </w:p>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left"/>
              <w:textAlignment w:val="auto"/>
              <w:outlineLvl w:val="9"/>
              <w:rPr>
                <w:rFonts w:hint="eastAsia" w:ascii="宋体" w:hAnsi="宋体" w:eastAsia="宋体" w:cs="宋体"/>
                <w:sz w:val="21"/>
                <w:szCs w:val="21"/>
              </w:rPr>
            </w:pPr>
            <w:r>
              <w:rPr>
                <w:rFonts w:hint="eastAsia" w:ascii="宋体" w:hAnsi="宋体" w:eastAsia="宋体" w:cs="宋体"/>
                <w:sz w:val="21"/>
                <w:szCs w:val="21"/>
              </w:rPr>
              <w:t>4.严格控制新建、改建、扩建钢铁、水泥、平板玻璃、有色金属冶炼、化工等工业项目。新建钢铁、火电、水泥、有色项目应当执行大气污染物特别排放限值。重点控制区新建化工、石化及燃煤锅炉项目应当执行大气污染物特别排放限值。</w:t>
            </w:r>
          </w:p>
          <w:p>
            <w:pPr>
              <w:pStyle w:val="23"/>
              <w:keepNext w:val="0"/>
              <w:keepLines w:val="0"/>
              <w:pageBreakBefore w:val="0"/>
              <w:widowControl w:val="0"/>
              <w:kinsoku/>
              <w:wordWrap/>
              <w:overflowPunct/>
              <w:topLinePunct w:val="0"/>
              <w:autoSpaceDE/>
              <w:autoSpaceDN/>
              <w:bidi w:val="0"/>
              <w:adjustRightInd w:val="0"/>
              <w:snapToGrid w:val="0"/>
              <w:spacing w:line="240" w:lineRule="exact"/>
              <w:ind w:left="0" w:right="0" w:firstLine="0"/>
              <w:textAlignment w:val="auto"/>
              <w:outlineLvl w:val="9"/>
              <w:rPr>
                <w:rFonts w:hint="eastAsia" w:ascii="宋体" w:hAnsi="宋体" w:eastAsia="宋体" w:cs="宋体"/>
                <w:sz w:val="21"/>
                <w:szCs w:val="21"/>
              </w:rPr>
            </w:pPr>
            <w:r>
              <w:rPr>
                <w:rFonts w:hint="eastAsia" w:ascii="宋体" w:hAnsi="宋体" w:eastAsia="宋体" w:cs="宋体"/>
                <w:sz w:val="21"/>
                <w:szCs w:val="21"/>
              </w:rPr>
              <w:t>5.氟化工、印染、电镀等行业企业实行水污染物特别排放限值。</w:t>
            </w:r>
          </w:p>
        </w:tc>
        <w:tc>
          <w:tcPr>
            <w:tcW w:w="3354" w:type="dxa"/>
            <w:noWrap w:val="0"/>
            <w:vAlign w:val="center"/>
          </w:tcPr>
          <w:p>
            <w:pPr>
              <w:pStyle w:val="394"/>
              <w:keepNext w:val="0"/>
              <w:keepLines w:val="0"/>
              <w:pageBreakBefore w:val="0"/>
              <w:widowControl w:val="0"/>
              <w:kinsoku/>
              <w:wordWrap/>
              <w:overflowPunct/>
              <w:topLinePunct w:val="0"/>
              <w:autoSpaceDE/>
              <w:autoSpaceDN/>
              <w:bidi w:val="0"/>
              <w:snapToGrid w:val="0"/>
              <w:spacing w:line="240" w:lineRule="atLeast"/>
              <w:ind w:right="0" w:firstLine="0"/>
              <w:textAlignment w:val="auto"/>
              <w:outlineLvl w:val="9"/>
              <w:rPr>
                <w:rFonts w:hint="eastAsia" w:ascii="宋体" w:hAnsi="宋体" w:eastAsia="宋体" w:cs="宋体"/>
                <w:sz w:val="21"/>
                <w:szCs w:val="21"/>
              </w:rPr>
            </w:pPr>
            <w:r>
              <w:rPr>
                <w:rFonts w:hint="default" w:ascii="Times New Roman" w:hAnsi="Times New Roman" w:eastAsia="宋体" w:cs="Times New Roman"/>
                <w:color w:val="auto"/>
                <w:sz w:val="21"/>
                <w:szCs w:val="21"/>
                <w:highlight w:val="none"/>
              </w:rPr>
              <w:t>项目位于省级工业园区，项目废气排放执行特别排放限值相关要求</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项目排放</w:t>
            </w:r>
            <w:r>
              <w:rPr>
                <w:rFonts w:hint="default" w:ascii="Times New Roman" w:hAnsi="Times New Roman" w:eastAsia="宋体" w:cs="Times New Roman"/>
                <w:sz w:val="21"/>
                <w:szCs w:val="21"/>
              </w:rPr>
              <w:t>VOCs 实行区域内倍量替代</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符合1、</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4要求。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530" w:hRule="atLeast"/>
        </w:trPr>
        <w:tc>
          <w:tcPr>
            <w:vMerge w:val="continue"/>
            <w:noWrap w:val="0"/>
          </w:tcPr>
          <w:p/>
        </w:tc>
        <w:tc>
          <w:tcPr>
            <w:tcW w:w="3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center"/>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海岸线</w:t>
            </w:r>
          </w:p>
        </w:tc>
        <w:tc>
          <w:tcPr>
            <w:tcW w:w="44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center"/>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空间布局约束</w:t>
            </w:r>
          </w:p>
        </w:tc>
        <w:tc>
          <w:tcPr>
            <w:tcW w:w="937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left"/>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1.适时搬迁或取消松门、长安、小长门等闽江口内港作业区的油品、液体化工品码头功能，适度控制新建企业专用码头，推行码头共用。</w:t>
            </w:r>
          </w:p>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left"/>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2.实施港口建设分类引导和约束，严控港口重复建设。闽江口内港区重点准入对台“三通”客运项目，兼顾能源、集装箱等货运项目；福州（连江）国家远洋渔业基地核心区远洋渔业母港重点准入远洋渔业装卸码头、渔港、锚地、航道建设项目；江阴港区重点准入集装箱运输项目，兼顾散杂货、化工品和商品汽车运输项目；松下港区重点准入粮食、散杂货运输项目；罗源湾港区重点准入煤炭、矿石运输项目。</w:t>
            </w:r>
          </w:p>
        </w:tc>
        <w:tc>
          <w:tcPr>
            <w:tcW w:w="335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center"/>
              <w:textAlignment w:val="auto"/>
              <w:outlineLvl w:val="9"/>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25" w:hRule="atLeast"/>
        </w:trPr>
        <w:tc>
          <w:tcPr>
            <w:vMerge w:val="continue"/>
            <w:noWrap w:val="0"/>
          </w:tcPr>
          <w:p/>
        </w:tc>
        <w:tc>
          <w:tcPr>
            <w:tcW w:w="331"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center"/>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近岸海域</w:t>
            </w:r>
          </w:p>
        </w:tc>
        <w:tc>
          <w:tcPr>
            <w:tcW w:w="44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center"/>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空间布局约束</w:t>
            </w:r>
          </w:p>
        </w:tc>
        <w:tc>
          <w:tcPr>
            <w:tcW w:w="937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1.落实国家围填海管控规定，除国家重大项目外，全面禁止围填海。</w:t>
            </w:r>
          </w:p>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2.禁止开展可能改变海域自然属性、破坏湿地生态系统功能和生态保护对象、破坏河口生态系统和泄洪通道功能的开发活动。禁止破坏芦苇荡等植被群落，生产设施与水禽筑巢区、觅食及栖息地等集中分布区须保留安全距离；禁止高噪音等惊扰鸟类的作业，禁止大面积使用栖息水鸟害怕的颜色。</w:t>
            </w:r>
          </w:p>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3.限制江阴和涵江工业与城镇用海区排污口建设，污水处理厂排污口严格论证并执行污水达标排放和设置深水排放口，不得影响临近的萩芦溪河口生态系统、兴化湾新厝重要滨海湿地和木兰溪重要渔业水域。</w:t>
            </w:r>
          </w:p>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left"/>
              <w:textAlignment w:val="auto"/>
              <w:outlineLvl w:val="9"/>
              <w:rPr>
                <w:rFonts w:hint="eastAsia" w:ascii="宋体" w:hAnsi="宋体" w:eastAsia="宋体" w:cs="宋体"/>
                <w:sz w:val="21"/>
                <w:szCs w:val="21"/>
              </w:rPr>
            </w:pPr>
            <w:r>
              <w:rPr>
                <w:rFonts w:hint="eastAsia" w:ascii="宋体" w:hAnsi="宋体" w:eastAsia="宋体" w:cs="宋体"/>
                <w:sz w:val="21"/>
                <w:szCs w:val="21"/>
              </w:rPr>
              <w:t>4.优化调整环罗源湾区域发展定位和产业布局。大官坂组团发展污染相对较低的石化中下游产业和精细化工产品，并适当控制其发展规模，不再扩大聚酰胺一体化及配套项目规模。松山片区禁止引进、建设集中电镀、制浆、医药、农药、酿造等重污染项目。</w:t>
            </w:r>
          </w:p>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textAlignment w:val="auto"/>
              <w:outlineLvl w:val="9"/>
              <w:rPr>
                <w:rFonts w:hint="eastAsia" w:ascii="宋体" w:hAnsi="宋体" w:eastAsia="宋体" w:cs="宋体"/>
                <w:kern w:val="0"/>
                <w:sz w:val="21"/>
                <w:szCs w:val="21"/>
              </w:rPr>
            </w:pPr>
            <w:r>
              <w:rPr>
                <w:rFonts w:hint="eastAsia" w:ascii="宋体" w:hAnsi="宋体" w:eastAsia="宋体" w:cs="宋体"/>
                <w:sz w:val="21"/>
                <w:szCs w:val="21"/>
              </w:rPr>
              <w:t>5.</w:t>
            </w:r>
            <w:r>
              <w:rPr>
                <w:rFonts w:hint="eastAsia" w:ascii="宋体" w:hAnsi="宋体" w:eastAsia="宋体" w:cs="宋体"/>
                <w:kern w:val="0"/>
                <w:sz w:val="21"/>
                <w:szCs w:val="21"/>
              </w:rPr>
              <w:t>禁止破坏性捕捞方式，合理有序开展捕捞作业。</w:t>
            </w:r>
            <w:r>
              <w:rPr>
                <w:rFonts w:hint="eastAsia" w:ascii="宋体" w:hAnsi="宋体" w:eastAsia="宋体" w:cs="宋体"/>
                <w:sz w:val="21"/>
                <w:szCs w:val="21"/>
              </w:rPr>
              <w:t>罗源湾禁养区禁止开展水产养殖，限养区不得开展网箱养殖。</w:t>
            </w:r>
          </w:p>
        </w:tc>
        <w:tc>
          <w:tcPr>
            <w:tcW w:w="3354" w:type="dxa"/>
            <w:noWrap w:val="0"/>
            <w:vAlign w:val="center"/>
          </w:tcPr>
          <w:p>
            <w:pPr>
              <w:pStyle w:val="394"/>
              <w:keepNext w:val="0"/>
              <w:keepLines w:val="0"/>
              <w:pageBreakBefore w:val="0"/>
              <w:widowControl w:val="0"/>
              <w:kinsoku/>
              <w:wordWrap/>
              <w:overflowPunct/>
              <w:topLinePunct w:val="0"/>
              <w:autoSpaceDE/>
              <w:autoSpaceDN/>
              <w:bidi w:val="0"/>
              <w:snapToGrid w:val="0"/>
              <w:spacing w:line="240" w:lineRule="atLeast"/>
              <w:ind w:right="0" w:firstLine="0"/>
              <w:textAlignment w:val="auto"/>
              <w:outlineLvl w:val="9"/>
              <w:rPr>
                <w:rFonts w:hint="eastAsia" w:ascii="宋体" w:hAnsi="宋体" w:eastAsia="宋体" w:cs="宋体"/>
                <w:color w:val="auto"/>
                <w:sz w:val="21"/>
                <w:szCs w:val="21"/>
              </w:rPr>
            </w:pPr>
            <w:r>
              <w:rPr>
                <w:rFonts w:hint="default" w:ascii="Times New Roman" w:hAnsi="Times New Roman" w:eastAsia="宋体" w:cs="Times New Roman"/>
                <w:color w:val="auto"/>
                <w:sz w:val="21"/>
                <w:szCs w:val="21"/>
                <w:highlight w:val="none"/>
                <w:lang w:val="en-US" w:eastAsia="zh-CN"/>
              </w:rPr>
              <w:t>项目</w:t>
            </w:r>
            <w:r>
              <w:rPr>
                <w:rFonts w:hint="default" w:ascii="Times New Roman" w:hAnsi="Times New Roman" w:eastAsia="宋体" w:cs="Times New Roman"/>
                <w:color w:val="auto"/>
                <w:sz w:val="21"/>
                <w:szCs w:val="21"/>
              </w:rPr>
              <w:t>含银废水等经处理后回用不外排，循环水场</w:t>
            </w:r>
            <w:r>
              <w:rPr>
                <w:rFonts w:hint="eastAsia" w:cs="Times New Roman"/>
                <w:color w:val="auto"/>
                <w:sz w:val="21"/>
                <w:szCs w:val="21"/>
                <w:lang w:val="en-US" w:eastAsia="zh-CN"/>
              </w:rPr>
              <w:t>间接冷却</w:t>
            </w:r>
            <w:r>
              <w:rPr>
                <w:rFonts w:hint="default" w:ascii="Times New Roman" w:hAnsi="Times New Roman" w:eastAsia="宋体" w:cs="Times New Roman"/>
                <w:color w:val="auto"/>
                <w:sz w:val="21"/>
                <w:szCs w:val="21"/>
              </w:rPr>
              <w:t>排水、</w:t>
            </w:r>
            <w:r>
              <w:rPr>
                <w:rFonts w:hint="eastAsia" w:cs="Times New Roman"/>
                <w:color w:val="auto"/>
                <w:sz w:val="21"/>
                <w:szCs w:val="21"/>
                <w:lang w:val="en-US" w:eastAsia="zh-CN"/>
              </w:rPr>
              <w:t>生活污水、去离子水站排水</w:t>
            </w:r>
            <w:r>
              <w:rPr>
                <w:rFonts w:hint="default" w:ascii="Times New Roman" w:hAnsi="Times New Roman" w:eastAsia="宋体" w:cs="Times New Roman"/>
                <w:color w:val="auto"/>
                <w:sz w:val="21"/>
                <w:szCs w:val="21"/>
              </w:rPr>
              <w:t>排入江阴污水处理厂进一步处理后排海</w:t>
            </w:r>
            <w:r>
              <w:rPr>
                <w:rFonts w:hint="default" w:ascii="Times New Roman" w:hAnsi="Times New Roman" w:eastAsia="宋体" w:cs="Times New Roman"/>
                <w:color w:val="auto"/>
                <w:sz w:val="21"/>
                <w:szCs w:val="21"/>
                <w:highlight w:val="none"/>
                <w:lang w:val="en-US" w:eastAsia="zh-CN"/>
              </w:rPr>
              <w:t>，符合3要求。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vMerge w:val="continue"/>
            <w:noWrap w:val="0"/>
          </w:tcPr>
          <w:p/>
        </w:tc>
        <w:tc>
          <w:tcPr>
            <w:vMerge w:val="continue"/>
            <w:noWrap w:val="0"/>
          </w:tcPr>
          <w:p/>
        </w:tc>
        <w:tc>
          <w:tcPr>
            <w:tcW w:w="44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jc w:val="center"/>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污染物排放管控</w:t>
            </w:r>
          </w:p>
        </w:tc>
        <w:tc>
          <w:tcPr>
            <w:tcW w:w="937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1.各类保护区内禁止排放有害有毒的污水、油类、油性混合物、热污染物及其他污染物和废弃物，禁止新设污染物集中排放口，禁止倾废。</w:t>
            </w:r>
          </w:p>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2.罗源湾实行主要污染物入海总量控制。合理设置湾内排污口，化工废水应全部引至湾外排放，可门经济区污水排放落实湾外深海排放。开展罗源湾入海排污口专项排查整治和起步溪等入海溪流综合整治。提升罗源湾港口污染物接收处理能力。</w:t>
            </w:r>
          </w:p>
          <w:p>
            <w:pPr>
              <w:pStyle w:val="23"/>
              <w:keepNext w:val="0"/>
              <w:keepLines w:val="0"/>
              <w:pageBreakBefore w:val="0"/>
              <w:widowControl w:val="0"/>
              <w:kinsoku/>
              <w:wordWrap/>
              <w:overflowPunct/>
              <w:topLinePunct w:val="0"/>
              <w:autoSpaceDE/>
              <w:autoSpaceDN/>
              <w:bidi w:val="0"/>
              <w:adjustRightInd w:val="0"/>
              <w:snapToGrid w:val="0"/>
              <w:spacing w:line="240" w:lineRule="exact"/>
              <w:ind w:left="0" w:right="0" w:firstLine="0"/>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3.实行闽江口主要污染物入海总量控制，控制闽江入海断面水质，削减氮磷入海总量。全面整治闽江口周边入海溪流，开展入海排放口专项排查整治。优化闽江口以北连江东部海域养殖结构和布局，控制养殖密度和规模。</w:t>
            </w:r>
          </w:p>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4.开展福清湾入海排污口专项整治，加强福清湾及龙江沿岸农村生活污水、生活垃圾的收集处理处置。严格控制湾内投饵型网箱养殖规模和密度，实行生态养殖，强化养殖污染防治和养殖尾水治理监管。</w:t>
            </w:r>
          </w:p>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5.兴化湾实行主要污染物入海总量控制，开展兴化湾福州段入海排污口专项排查整治。加快推动沿岸乡镇配套污水管网建设及江阴工业区污水处理厂提标改造，湾内严格控制投饵型网箱养殖规模和密度，实行生态养殖，强化养殖污染防治和养殖尾水治理监管。</w:t>
            </w:r>
          </w:p>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6.近岸海域汇水区域内城镇污水处理设施执行不低于一级A排放标准，推进沿海农村生活污水收集处理。</w:t>
            </w:r>
          </w:p>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7.出台福州市养殖尾水排放标准，强化养殖尾水治理和排放监测监管。</w:t>
            </w:r>
          </w:p>
          <w:p>
            <w:pPr>
              <w:keepNext w:val="0"/>
              <w:keepLines w:val="0"/>
              <w:pageBreakBefore w:val="0"/>
              <w:widowControl w:val="0"/>
              <w:kinsoku/>
              <w:wordWrap/>
              <w:overflowPunct/>
              <w:topLinePunct w:val="0"/>
              <w:autoSpaceDE/>
              <w:autoSpaceDN/>
              <w:bidi w:val="0"/>
              <w:adjustRightInd w:val="0"/>
              <w:snapToGrid w:val="0"/>
              <w:spacing w:line="240" w:lineRule="exact"/>
              <w:ind w:left="0" w:right="0" w:firstLine="0"/>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8.采取措施，综合运用生态廊道、退养还湿、植被恢复、海岸生态防护等手段，整治修复受损的滨海湿地区，恢复湿地生态系统功能。</w:t>
            </w:r>
          </w:p>
          <w:p>
            <w:pPr>
              <w:pStyle w:val="23"/>
              <w:keepNext w:val="0"/>
              <w:keepLines w:val="0"/>
              <w:pageBreakBefore w:val="0"/>
              <w:widowControl w:val="0"/>
              <w:kinsoku/>
              <w:wordWrap/>
              <w:overflowPunct/>
              <w:topLinePunct w:val="0"/>
              <w:autoSpaceDE/>
              <w:autoSpaceDN/>
              <w:bidi w:val="0"/>
              <w:adjustRightInd w:val="0"/>
              <w:snapToGrid w:val="0"/>
              <w:spacing w:line="240" w:lineRule="exact"/>
              <w:ind w:left="0" w:right="0" w:firstLine="0"/>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9.强化陆海污染联防联控，推动“蓝色海湾”整治项目、海岸带生态保护修复工程等重大工程建设，推进沿海岸线自然化和生态保护修复。</w:t>
            </w:r>
          </w:p>
          <w:p>
            <w:pPr>
              <w:pStyle w:val="23"/>
              <w:keepNext w:val="0"/>
              <w:keepLines w:val="0"/>
              <w:pageBreakBefore w:val="0"/>
              <w:widowControl w:val="0"/>
              <w:kinsoku/>
              <w:wordWrap/>
              <w:overflowPunct/>
              <w:topLinePunct w:val="0"/>
              <w:autoSpaceDE/>
              <w:autoSpaceDN/>
              <w:bidi w:val="0"/>
              <w:adjustRightInd w:val="0"/>
              <w:snapToGrid w:val="0"/>
              <w:spacing w:line="240" w:lineRule="exact"/>
              <w:ind w:left="0" w:right="0" w:firstLine="0"/>
              <w:textAlignment w:val="auto"/>
              <w:outlineLvl w:val="9"/>
              <w:rPr>
                <w:rFonts w:hint="eastAsia" w:ascii="宋体" w:hAnsi="宋体" w:eastAsia="宋体" w:cs="宋体"/>
                <w:kern w:val="0"/>
                <w:sz w:val="21"/>
                <w:szCs w:val="21"/>
              </w:rPr>
            </w:pPr>
            <w:r>
              <w:rPr>
                <w:rFonts w:hint="eastAsia" w:ascii="宋体" w:hAnsi="宋体" w:eastAsia="宋体" w:cs="宋体"/>
                <w:kern w:val="0"/>
                <w:sz w:val="21"/>
                <w:szCs w:val="21"/>
              </w:rPr>
              <w:t>10.闽江口内港区现有油品和危险品（液化石油气）码头搬迁前应切实保障现有油污水处理设施的有效性，搬迁后由江阴港区、罗源湾港区在对应码头设立油污水接收处理系统。其他港区的生产性油污水由码头自建油污水处理设施处理达标后排入依托城市污水处理厂，杜绝港区油污水散排。</w:t>
            </w:r>
          </w:p>
        </w:tc>
        <w:tc>
          <w:tcPr>
            <w:tcW w:w="3354" w:type="dxa"/>
            <w:noWrap w:val="0"/>
            <w:vAlign w:val="center"/>
          </w:tcPr>
          <w:p>
            <w:pPr>
              <w:pStyle w:val="394"/>
              <w:keepNext w:val="0"/>
              <w:keepLines w:val="0"/>
              <w:pageBreakBefore w:val="0"/>
              <w:widowControl w:val="0"/>
              <w:kinsoku/>
              <w:wordWrap/>
              <w:overflowPunct/>
              <w:topLinePunct w:val="0"/>
              <w:autoSpaceDE/>
              <w:autoSpaceDN/>
              <w:bidi w:val="0"/>
              <w:snapToGrid w:val="0"/>
              <w:spacing w:line="240" w:lineRule="atLeast"/>
              <w:ind w:right="0" w:firstLine="0"/>
              <w:textAlignment w:val="auto"/>
              <w:outlineLvl w:val="9"/>
              <w:rPr>
                <w:rFonts w:hint="eastAsia" w:ascii="宋体" w:hAnsi="宋体" w:eastAsia="宋体" w:cs="宋体"/>
                <w:kern w:val="0"/>
                <w:sz w:val="21"/>
                <w:szCs w:val="21"/>
              </w:rPr>
            </w:pPr>
            <w:r>
              <w:rPr>
                <w:rFonts w:hint="default" w:ascii="Times New Roman" w:hAnsi="Times New Roman" w:eastAsia="宋体" w:cs="Times New Roman"/>
                <w:color w:val="000000"/>
                <w:sz w:val="21"/>
                <w:szCs w:val="21"/>
              </w:rPr>
              <w:t>项目周边水域为兴化湾，</w:t>
            </w:r>
            <w:r>
              <w:rPr>
                <w:rFonts w:hint="default" w:ascii="Times New Roman" w:hAnsi="Times New Roman" w:cs="Times New Roman"/>
                <w:color w:val="000000"/>
                <w:sz w:val="21"/>
                <w:szCs w:val="21"/>
                <w:lang w:val="en-US" w:eastAsia="zh-CN"/>
              </w:rPr>
              <w:t>项目排入兴化湾废水污染物应取得总量指标，符合6要求</w:t>
            </w:r>
            <w:r>
              <w:rPr>
                <w:rFonts w:hint="default" w:ascii="Times New Roman" w:hAnsi="Times New Roman" w:eastAsia="宋体" w:cs="Times New Roman"/>
                <w:color w:val="000000"/>
                <w:sz w:val="21"/>
                <w:szCs w:val="21"/>
              </w:rPr>
              <w:t>。</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jc w:val="center"/>
        <w:textAlignment w:val="auto"/>
        <w:outlineLvl w:val="4"/>
        <w:rPr>
          <w:rFonts w:hint="default" w:ascii="Times New Roman" w:hAnsi="Times New Roman" w:eastAsia="黑体" w:cs="Times New Roman"/>
          <w:b w:val="0"/>
          <w:bCs/>
          <w:color w:val="auto"/>
          <w:sz w:val="24"/>
          <w:szCs w:val="28"/>
          <w:highlight w:val="none"/>
          <w:lang w:val="en-US" w:eastAsia="zh-CN" w:bidi="ar-SA"/>
        </w:rPr>
      </w:pPr>
      <w:r>
        <w:rPr>
          <w:rFonts w:hint="default" w:ascii="Times New Roman" w:hAnsi="Times New Roman" w:eastAsia="黑体" w:cs="Times New Roman"/>
          <w:b w:val="0"/>
          <w:bCs/>
          <w:color w:val="auto"/>
          <w:sz w:val="24"/>
          <w:szCs w:val="28"/>
          <w:highlight w:val="none"/>
          <w:lang w:val="en-US" w:eastAsia="zh-CN" w:bidi="ar-SA"/>
        </w:rPr>
        <w:t>表</w:t>
      </w:r>
      <w:r>
        <w:rPr>
          <w:rFonts w:hint="eastAsia" w:ascii="Times New Roman" w:hAnsi="Times New Roman" w:eastAsia="黑体" w:cs="Times New Roman"/>
          <w:b w:val="0"/>
          <w:bCs/>
          <w:color w:val="auto"/>
          <w:sz w:val="24"/>
          <w:szCs w:val="28"/>
          <w:highlight w:val="none"/>
          <w:lang w:val="en-US" w:eastAsia="zh-CN" w:bidi="ar-SA"/>
        </w:rPr>
        <w:t>3.10</w:t>
      </w:r>
      <w:r>
        <w:rPr>
          <w:rFonts w:hint="default" w:ascii="Times New Roman" w:hAnsi="Times New Roman" w:eastAsia="黑体" w:cs="Times New Roman"/>
          <w:b w:val="0"/>
          <w:bCs/>
          <w:color w:val="auto"/>
          <w:sz w:val="24"/>
          <w:szCs w:val="28"/>
          <w:highlight w:val="none"/>
          <w:lang w:val="en-US" w:eastAsia="zh-CN" w:bidi="ar-SA"/>
        </w:rPr>
        <w:t>-</w:t>
      </w:r>
      <w:r>
        <w:rPr>
          <w:rFonts w:hint="eastAsia" w:ascii="Times New Roman" w:hAnsi="Times New Roman" w:eastAsia="黑体" w:cs="Times New Roman"/>
          <w:b w:val="0"/>
          <w:bCs/>
          <w:color w:val="auto"/>
          <w:sz w:val="24"/>
          <w:szCs w:val="28"/>
          <w:highlight w:val="none"/>
          <w:lang w:val="en-US" w:eastAsia="zh-CN" w:bidi="ar-SA"/>
        </w:rPr>
        <w:t>10</w:t>
      </w:r>
      <w:r>
        <w:rPr>
          <w:rFonts w:hint="default" w:ascii="Times New Roman" w:hAnsi="Times New Roman" w:eastAsia="黑体" w:cs="Times New Roman"/>
          <w:b w:val="0"/>
          <w:bCs/>
          <w:color w:val="auto"/>
          <w:sz w:val="24"/>
          <w:szCs w:val="28"/>
          <w:highlight w:val="none"/>
          <w:lang w:val="en-US" w:eastAsia="zh-CN" w:bidi="ar-SA"/>
        </w:rPr>
        <w:t xml:space="preserve">  与福州市福清市陆域环境管控单元准入要求符合性分析</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103"/>
        <w:gridCol w:w="792"/>
        <w:gridCol w:w="720"/>
        <w:gridCol w:w="1105"/>
        <w:gridCol w:w="6887"/>
        <w:gridCol w:w="38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103" w:type="dxa"/>
            <w:noWrap w:val="0"/>
            <w:tcMar>
              <w:left w:w="57" w:type="dxa"/>
              <w:right w:w="57" w:type="dxa"/>
            </w:tcMar>
            <w:vAlign w:val="center"/>
          </w:tcPr>
          <w:p>
            <w:pPr>
              <w:pStyle w:val="394"/>
              <w:bidi w:val="0"/>
              <w:ind w:right="0"/>
              <w:rPr>
                <w:rFonts w:hint="default" w:ascii="Times New Roman" w:hAnsi="Times New Roman" w:cs="Times New Roman"/>
                <w:color w:val="auto"/>
                <w:highlight w:val="none"/>
              </w:rPr>
            </w:pPr>
            <w:r>
              <w:rPr>
                <w:rFonts w:hint="eastAsia" w:cs="Times New Roman"/>
                <w:color w:val="auto"/>
                <w:highlight w:val="none"/>
                <w:lang w:val="en-US" w:eastAsia="zh-CN"/>
              </w:rPr>
              <w:t>环境管控单元编码</w:t>
            </w:r>
          </w:p>
        </w:tc>
        <w:tc>
          <w:tcPr>
            <w:tcW w:w="792" w:type="dxa"/>
            <w:noWrap w:val="0"/>
            <w:tcMar>
              <w:left w:w="57" w:type="dxa"/>
              <w:right w:w="57" w:type="dxa"/>
            </w:tcMar>
            <w:vAlign w:val="center"/>
          </w:tcPr>
          <w:p>
            <w:pPr>
              <w:pStyle w:val="39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管控单元</w:t>
            </w:r>
          </w:p>
        </w:tc>
        <w:tc>
          <w:tcPr>
            <w:tcW w:w="720" w:type="dxa"/>
            <w:noWrap w:val="0"/>
            <w:tcMar>
              <w:left w:w="57" w:type="dxa"/>
              <w:right w:w="57" w:type="dxa"/>
            </w:tcMar>
            <w:vAlign w:val="center"/>
          </w:tcPr>
          <w:p>
            <w:pPr>
              <w:pStyle w:val="39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类别</w:t>
            </w:r>
          </w:p>
        </w:tc>
        <w:tc>
          <w:tcPr>
            <w:tcW w:w="7992" w:type="dxa"/>
            <w:gridSpan w:val="2"/>
            <w:noWrap w:val="0"/>
            <w:tcMar>
              <w:left w:w="57" w:type="dxa"/>
              <w:right w:w="57" w:type="dxa"/>
            </w:tcMar>
            <w:vAlign w:val="center"/>
          </w:tcPr>
          <w:p>
            <w:pPr>
              <w:pStyle w:val="39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管控要求</w:t>
            </w:r>
          </w:p>
        </w:tc>
        <w:tc>
          <w:tcPr>
            <w:tcW w:w="3899" w:type="dxa"/>
            <w:noWrap w:val="0"/>
            <w:tcMar>
              <w:left w:w="57" w:type="dxa"/>
              <w:right w:w="57" w:type="dxa"/>
            </w:tcMar>
            <w:vAlign w:val="center"/>
          </w:tcPr>
          <w:p>
            <w:pPr>
              <w:pStyle w:val="394"/>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103" w:type="dxa"/>
            <w:vMerge w:val="restart"/>
            <w:noWrap w:val="0"/>
            <w:tcMar>
              <w:left w:w="57" w:type="dxa"/>
              <w:right w:w="57" w:type="dxa"/>
            </w:tcMar>
            <w:vAlign w:val="center"/>
          </w:tcPr>
          <w:p>
            <w:pPr>
              <w:pStyle w:val="394"/>
              <w:bidi w:val="0"/>
              <w:ind w:right="0"/>
              <w:rPr>
                <w:rFonts w:hint="default" w:ascii="Times New Roman" w:hAnsi="Times New Roman" w:cs="Times New Roman"/>
                <w:color w:val="auto"/>
                <w:highlight w:val="none"/>
              </w:rPr>
            </w:pPr>
            <w:r>
              <w:rPr>
                <w:rFonts w:hint="default" w:ascii="Times New Roman" w:hAnsi="Times New Roman" w:cs="Times New Roman"/>
                <w:color w:val="auto"/>
                <w:highlight w:val="none"/>
              </w:rPr>
              <w:t>ZH35018120001</w:t>
            </w:r>
          </w:p>
        </w:tc>
        <w:tc>
          <w:tcPr>
            <w:tcW w:w="792" w:type="dxa"/>
            <w:vMerge w:val="restart"/>
            <w:noWrap w:val="0"/>
            <w:tcMar>
              <w:left w:w="57" w:type="dxa"/>
              <w:right w:w="57" w:type="dxa"/>
            </w:tcMar>
            <w:vAlign w:val="center"/>
          </w:tcPr>
          <w:p>
            <w:pPr>
              <w:pStyle w:val="39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福州江阴港城经济区</w:t>
            </w:r>
          </w:p>
        </w:tc>
        <w:tc>
          <w:tcPr>
            <w:tcW w:w="720" w:type="dxa"/>
            <w:vMerge w:val="restart"/>
            <w:noWrap w:val="0"/>
            <w:tcMar>
              <w:left w:w="57" w:type="dxa"/>
              <w:right w:w="57" w:type="dxa"/>
            </w:tcMar>
            <w:vAlign w:val="center"/>
          </w:tcPr>
          <w:p>
            <w:pPr>
              <w:pStyle w:val="39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重点管控单元</w:t>
            </w:r>
          </w:p>
        </w:tc>
        <w:tc>
          <w:tcPr>
            <w:tcW w:w="1105" w:type="dxa"/>
            <w:noWrap w:val="0"/>
            <w:tcMar>
              <w:left w:w="57" w:type="dxa"/>
              <w:right w:w="57" w:type="dxa"/>
            </w:tcMar>
            <w:vAlign w:val="center"/>
          </w:tcPr>
          <w:p>
            <w:pPr>
              <w:pStyle w:val="39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空间布局约束</w:t>
            </w:r>
          </w:p>
        </w:tc>
        <w:tc>
          <w:tcPr>
            <w:tcW w:w="6887" w:type="dxa"/>
            <w:noWrap w:val="0"/>
            <w:tcMar>
              <w:left w:w="57" w:type="dxa"/>
              <w:right w:w="57" w:type="dxa"/>
            </w:tcMar>
            <w:vAlign w:val="center"/>
          </w:tcPr>
          <w:p>
            <w:pPr>
              <w:pStyle w:val="39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1、禁止新建、扩建合成革企业；禁止新建集中电镀项目，企业配套电镀工序必须达到废水零排放；严格控制大气污染型项目、排放重金属和持久性有机污染物的项目。</w:t>
            </w:r>
          </w:p>
          <w:p>
            <w:pPr>
              <w:pStyle w:val="39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2、禁止在新厝和月亮湾先进制造业基地的工业用地引入大气污染为主的产业。</w:t>
            </w:r>
          </w:p>
          <w:p>
            <w:pPr>
              <w:pStyle w:val="39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污染重、环境风险大的生产装置、储罐应远离居民区；设置必要的环保隔离带和环境风险防范环保控制线，环保隔离带内不得有居民区、学校、医院等敏感目标，环保控制带应控制人口规模，不新增居民区、学校、医院等敏感目标。</w:t>
            </w:r>
          </w:p>
        </w:tc>
        <w:tc>
          <w:tcPr>
            <w:tcW w:w="3899" w:type="dxa"/>
            <w:noWrap w:val="0"/>
            <w:tcMar>
              <w:left w:w="57" w:type="dxa"/>
              <w:right w:w="57" w:type="dxa"/>
            </w:tcMar>
            <w:vAlign w:val="center"/>
          </w:tcPr>
          <w:p>
            <w:pPr>
              <w:pStyle w:val="394"/>
              <w:bidi w:val="0"/>
              <w:rPr>
                <w:rFonts w:hint="eastAsia" w:eastAsia="宋体" w:cs="Times New Roman"/>
                <w:sz w:val="21"/>
                <w:szCs w:val="21"/>
                <w:lang w:eastAsia="zh-CN"/>
              </w:rPr>
            </w:pPr>
            <w:r>
              <w:rPr>
                <w:rFonts w:hint="eastAsia" w:cs="Times New Roman"/>
                <w:color w:val="auto"/>
                <w:highlight w:val="none"/>
                <w:lang w:val="en-US" w:eastAsia="zh-CN"/>
              </w:rPr>
              <w:t>1、</w:t>
            </w:r>
            <w:r>
              <w:rPr>
                <w:rFonts w:hint="default" w:ascii="Times New Roman" w:hAnsi="Times New Roman" w:cs="Times New Roman"/>
                <w:color w:val="auto"/>
                <w:highlight w:val="none"/>
              </w:rPr>
              <w:t>项目不属于合成革、电镀等行业，废气经处理达标后排放</w:t>
            </w:r>
            <w:r>
              <w:rPr>
                <w:rFonts w:hint="eastAsia" w:cs="Times New Roman"/>
                <w:color w:val="auto"/>
                <w:highlight w:val="none"/>
                <w:lang w:eastAsia="zh-CN"/>
              </w:rPr>
              <w:t>。</w:t>
            </w:r>
            <w:r>
              <w:rPr>
                <w:rFonts w:hint="eastAsia" w:cs="Times New Roman"/>
                <w:color w:val="auto"/>
                <w:highlight w:val="none"/>
                <w:lang w:val="en-US" w:eastAsia="zh-CN"/>
              </w:rPr>
              <w:t>项目</w:t>
            </w:r>
            <w:r>
              <w:rPr>
                <w:rFonts w:hint="default" w:ascii="Times New Roman" w:hAnsi="Times New Roman" w:eastAsia="宋体" w:cs="Times New Roman"/>
                <w:sz w:val="21"/>
                <w:szCs w:val="21"/>
              </w:rPr>
              <w:t>含银废水通过处理后不排放</w:t>
            </w:r>
            <w:r>
              <w:rPr>
                <w:rFonts w:hint="eastAsia" w:eastAsia="宋体" w:cs="Times New Roman"/>
                <w:sz w:val="21"/>
                <w:szCs w:val="21"/>
                <w:lang w:eastAsia="zh-CN"/>
              </w:rPr>
              <w:t>。</w:t>
            </w:r>
          </w:p>
          <w:p>
            <w:pPr>
              <w:pStyle w:val="394"/>
              <w:bidi w:val="0"/>
              <w:rPr>
                <w:rFonts w:hint="default" w:ascii="Times New Roman" w:hAnsi="Times New Roman" w:cs="Times New Roman"/>
                <w:color w:val="auto"/>
                <w:highlight w:val="none"/>
              </w:rPr>
            </w:pPr>
            <w:r>
              <w:rPr>
                <w:rFonts w:hint="eastAsia" w:eastAsia="宋体" w:cs="Times New Roman"/>
                <w:sz w:val="21"/>
                <w:szCs w:val="21"/>
                <w:lang w:val="en-US" w:eastAsia="zh-CN"/>
              </w:rPr>
              <w:t>3、</w:t>
            </w:r>
            <w:r>
              <w:rPr>
                <w:rFonts w:hint="eastAsia" w:cs="Times New Roman"/>
                <w:color w:val="auto"/>
                <w:highlight w:val="none"/>
                <w:lang w:val="en-US" w:eastAsia="zh-CN"/>
              </w:rPr>
              <w:t>项目</w:t>
            </w:r>
            <w:r>
              <w:rPr>
                <w:rFonts w:hint="default" w:ascii="Times New Roman" w:hAnsi="Times New Roman" w:cs="Times New Roman"/>
                <w:color w:val="auto"/>
                <w:highlight w:val="none"/>
              </w:rPr>
              <w:t>生产装置与现状居民区距离均超过</w:t>
            </w:r>
            <w:r>
              <w:rPr>
                <w:rFonts w:hint="eastAsia" w:cs="Times New Roman"/>
                <w:color w:val="auto"/>
                <w:highlight w:val="none"/>
                <w:lang w:val="en-US" w:eastAsia="zh-CN"/>
              </w:rPr>
              <w:t>915</w:t>
            </w:r>
            <w:r>
              <w:rPr>
                <w:rFonts w:hint="default" w:ascii="Times New Roman" w:hAnsi="Times New Roman" w:cs="Times New Roman"/>
                <w:color w:val="auto"/>
                <w:highlight w:val="none"/>
              </w:rPr>
              <w:t>m。</w:t>
            </w:r>
            <w:r>
              <w:rPr>
                <w:rFonts w:hint="default" w:ascii="Times New Roman" w:hAnsi="Times New Roman" w:cs="Times New Roman"/>
                <w:color w:val="auto"/>
                <w:highlight w:val="none"/>
                <w:lang w:val="en-US" w:eastAsia="zh-CN"/>
              </w:rPr>
              <w:t>项目废气经处理后达标排放。</w:t>
            </w:r>
            <w:r>
              <w:rPr>
                <w:rFonts w:hint="default" w:ascii="Times New Roman" w:hAnsi="Times New Roman" w:cs="Times New Roman"/>
                <w:color w:val="auto"/>
                <w:highlight w:val="none"/>
              </w:rPr>
              <w:t>项目环评提出要求：拟建工程建成后，项目防护距离内禁止新建居民住宅、学校、医院等建筑，规划部门也不应再将其规划为居住、文教等用地。符合空间布局要求。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vMerge w:val="continue"/>
            <w:noWrap w:val="0"/>
            <w:tcMar>
              <w:left w:w="57" w:type="dxa"/>
              <w:right w:w="57" w:type="dxa"/>
            </w:tcMar>
          </w:tcPr>
          <w:p/>
        </w:tc>
        <w:tc>
          <w:tcPr>
            <w:vMerge w:val="continue"/>
            <w:noWrap w:val="0"/>
            <w:tcMar>
              <w:left w:w="57" w:type="dxa"/>
              <w:right w:w="57" w:type="dxa"/>
            </w:tcMar>
          </w:tcPr>
          <w:p/>
        </w:tc>
        <w:tc>
          <w:tcPr>
            <w:vMerge w:val="continue"/>
            <w:noWrap w:val="0"/>
            <w:tcMar>
              <w:left w:w="57" w:type="dxa"/>
              <w:right w:w="57" w:type="dxa"/>
            </w:tcMar>
          </w:tcPr>
          <w:p/>
        </w:tc>
        <w:tc>
          <w:tcPr>
            <w:tcW w:w="1105" w:type="dxa"/>
            <w:noWrap w:val="0"/>
            <w:tcMar>
              <w:left w:w="57" w:type="dxa"/>
              <w:right w:w="57" w:type="dxa"/>
            </w:tcMar>
            <w:vAlign w:val="center"/>
          </w:tcPr>
          <w:p>
            <w:pPr>
              <w:pStyle w:val="39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污染物排放管控</w:t>
            </w:r>
          </w:p>
        </w:tc>
        <w:tc>
          <w:tcPr>
            <w:tcW w:w="6887" w:type="dxa"/>
            <w:noWrap w:val="0"/>
            <w:tcMar>
              <w:left w:w="57" w:type="dxa"/>
              <w:right w:w="57" w:type="dxa"/>
            </w:tcMar>
            <w:vAlign w:val="center"/>
          </w:tcPr>
          <w:p>
            <w:pPr>
              <w:pStyle w:val="39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1、加快推进江阴污水处理厂、配套污水收集管网和排海工程建设。</w:t>
            </w:r>
          </w:p>
          <w:p>
            <w:pPr>
              <w:pStyle w:val="39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2、新建涉VOCs项目，应实行VOCs区域内倍量削减替代。</w:t>
            </w:r>
          </w:p>
        </w:tc>
        <w:tc>
          <w:tcPr>
            <w:tcW w:w="3899" w:type="dxa"/>
            <w:noWrap w:val="0"/>
            <w:tcMar>
              <w:left w:w="57" w:type="dxa"/>
              <w:right w:w="57" w:type="dxa"/>
            </w:tcMar>
            <w:vAlign w:val="center"/>
          </w:tcPr>
          <w:p>
            <w:pPr>
              <w:pStyle w:val="394"/>
              <w:bidi w:val="0"/>
              <w:rPr>
                <w:rFonts w:hint="eastAsia" w:ascii="Times New Roman" w:hAnsi="Times New Roman" w:eastAsia="宋体" w:cs="Times New Roman"/>
                <w:color w:val="auto"/>
                <w:highlight w:val="none"/>
                <w:lang w:eastAsia="zh-CN"/>
              </w:rPr>
            </w:pPr>
            <w:r>
              <w:rPr>
                <w:rFonts w:hint="eastAsia" w:cs="Times New Roman"/>
                <w:color w:val="auto"/>
                <w:highlight w:val="none"/>
                <w:lang w:val="en-US" w:eastAsia="zh-CN"/>
              </w:rPr>
              <w:t>2、</w:t>
            </w:r>
            <w:r>
              <w:rPr>
                <w:rFonts w:hint="default" w:ascii="Times New Roman" w:hAnsi="Times New Roman" w:cs="Times New Roman"/>
                <w:color w:val="auto"/>
                <w:highlight w:val="none"/>
              </w:rPr>
              <w:t>项目VOCs</w:t>
            </w:r>
            <w:r>
              <w:rPr>
                <w:rFonts w:hint="default" w:ascii="Times New Roman" w:hAnsi="Times New Roman" w:cs="Times New Roman"/>
                <w:color w:val="auto"/>
                <w:highlight w:val="none"/>
                <w:lang w:val="en-US" w:eastAsia="zh-CN"/>
              </w:rPr>
              <w:t>排放</w:t>
            </w:r>
            <w:r>
              <w:rPr>
                <w:rFonts w:hint="eastAsia" w:cs="Times New Roman"/>
                <w:color w:val="auto"/>
                <w:highlight w:val="none"/>
                <w:lang w:val="en-US" w:eastAsia="zh-CN"/>
              </w:rPr>
              <w:t>应实行</w:t>
            </w:r>
            <w:r>
              <w:rPr>
                <w:rFonts w:hint="default" w:ascii="Times New Roman" w:hAnsi="Times New Roman" w:cs="Times New Roman"/>
                <w:color w:val="auto"/>
                <w:highlight w:val="none"/>
              </w:rPr>
              <w:t>区域内倍量削减替代</w:t>
            </w:r>
            <w:r>
              <w:rPr>
                <w:rFonts w:hint="eastAsia" w:cs="Times New Roman"/>
                <w:color w:val="auto"/>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vMerge w:val="continue"/>
            <w:noWrap w:val="0"/>
            <w:tcMar>
              <w:left w:w="57" w:type="dxa"/>
              <w:right w:w="57" w:type="dxa"/>
            </w:tcMar>
          </w:tcPr>
          <w:p/>
        </w:tc>
        <w:tc>
          <w:tcPr>
            <w:vMerge w:val="continue"/>
            <w:noWrap w:val="0"/>
            <w:tcMar>
              <w:left w:w="57" w:type="dxa"/>
              <w:right w:w="57" w:type="dxa"/>
            </w:tcMar>
          </w:tcPr>
          <w:p/>
        </w:tc>
        <w:tc>
          <w:tcPr>
            <w:vMerge w:val="continue"/>
            <w:noWrap w:val="0"/>
            <w:tcMar>
              <w:left w:w="57" w:type="dxa"/>
              <w:right w:w="57" w:type="dxa"/>
            </w:tcMar>
          </w:tcPr>
          <w:p/>
        </w:tc>
        <w:tc>
          <w:tcPr>
            <w:tcW w:w="1105" w:type="dxa"/>
            <w:noWrap w:val="0"/>
            <w:tcMar>
              <w:left w:w="57" w:type="dxa"/>
              <w:right w:w="57" w:type="dxa"/>
            </w:tcMar>
            <w:vAlign w:val="center"/>
          </w:tcPr>
          <w:p>
            <w:pPr>
              <w:pStyle w:val="39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环境风险防控</w:t>
            </w:r>
          </w:p>
        </w:tc>
        <w:tc>
          <w:tcPr>
            <w:tcW w:w="6887" w:type="dxa"/>
            <w:noWrap w:val="0"/>
            <w:tcMar>
              <w:left w:w="57" w:type="dxa"/>
              <w:right w:w="57" w:type="dxa"/>
            </w:tcMar>
            <w:vAlign w:val="center"/>
          </w:tcPr>
          <w:p>
            <w:pPr>
              <w:pStyle w:val="39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1、切实加强化工等重污染行业、企业污染及应急防控，所有化工企业，要配套建设事故应急池和雨水总排口切换阀，配备应急救援物资，安装特征污染物在线监控设施。</w:t>
            </w:r>
          </w:p>
          <w:p>
            <w:pPr>
              <w:pStyle w:val="39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2、建设企业、园区和周边水系三级环境风险防控工程，确保有效拦截、降污和导流；受园区排污影响的周边水系应建设应急闸门，防止泄漏物和消防水等排入外环境。</w:t>
            </w:r>
          </w:p>
          <w:p>
            <w:pPr>
              <w:pStyle w:val="39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3、应采取有效措施防止园区建设对区域地下水、土壤造成污染。</w:t>
            </w:r>
          </w:p>
        </w:tc>
        <w:tc>
          <w:tcPr>
            <w:tcW w:w="3899" w:type="dxa"/>
            <w:noWrap w:val="0"/>
            <w:tcMar>
              <w:left w:w="57" w:type="dxa"/>
              <w:right w:w="57" w:type="dxa"/>
            </w:tcMar>
            <w:vAlign w:val="center"/>
          </w:tcPr>
          <w:p>
            <w:pPr>
              <w:pStyle w:val="394"/>
              <w:bidi w:val="0"/>
              <w:rPr>
                <w:rFonts w:hint="eastAsia" w:ascii="Times New Roman" w:hAnsi="Times New Roman" w:eastAsia="宋体" w:cs="Times New Roman"/>
                <w:color w:val="auto"/>
                <w:highlight w:val="none"/>
                <w:lang w:eastAsia="zh-CN"/>
              </w:rPr>
            </w:pPr>
            <w:bookmarkStart w:id="517" w:name="_GoBack"/>
            <w:r>
              <w:rPr>
                <w:rFonts w:hint="eastAsia" w:cs="Times New Roman"/>
                <w:color w:val="auto"/>
                <w:highlight w:val="none"/>
                <w:lang w:val="en-US" w:eastAsia="zh-CN"/>
              </w:rPr>
              <w:t>1、</w:t>
            </w:r>
            <w:r>
              <w:rPr>
                <w:rFonts w:hint="default" w:ascii="Times New Roman" w:hAnsi="Times New Roman" w:cs="Times New Roman"/>
                <w:color w:val="auto"/>
                <w:highlight w:val="none"/>
              </w:rPr>
              <w:t>项目</w:t>
            </w:r>
            <w:r>
              <w:rPr>
                <w:rFonts w:hint="default" w:ascii="Times New Roman" w:hAnsi="Times New Roman" w:eastAsia="宋体" w:cs="Times New Roman"/>
                <w:sz w:val="21"/>
                <w:szCs w:val="21"/>
              </w:rPr>
              <w:t>装置区、罐区设置围堰，厂区建1</w:t>
            </w:r>
            <w:r>
              <w:rPr>
                <w:rFonts w:hint="default" w:ascii="Times New Roman" w:hAnsi="Times New Roman" w:eastAsia="宋体" w:cs="Times New Roman"/>
                <w:sz w:val="21"/>
                <w:szCs w:val="21"/>
                <w:lang w:val="en-US" w:eastAsia="zh-CN"/>
              </w:rPr>
              <w:t>4</w:t>
            </w:r>
            <w:r>
              <w:rPr>
                <w:rFonts w:hint="default" w:ascii="Times New Roman" w:hAnsi="Times New Roman" w:eastAsia="宋体" w:cs="Times New Roman"/>
                <w:sz w:val="21"/>
                <w:szCs w:val="21"/>
              </w:rPr>
              <w:t>00m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事故应急池</w:t>
            </w:r>
            <w:r>
              <w:rPr>
                <w:rFonts w:hint="default" w:ascii="Times New Roman" w:hAnsi="Times New Roman" w:eastAsia="宋体" w:cs="Times New Roman"/>
                <w:sz w:val="21"/>
                <w:szCs w:val="21"/>
                <w:lang w:val="zh-CN"/>
              </w:rPr>
              <w:t>及导流系统</w:t>
            </w:r>
            <w:r>
              <w:rPr>
                <w:rFonts w:hint="default" w:ascii="Times New Roman" w:hAnsi="Times New Roman" w:cs="Times New Roman"/>
                <w:color w:val="auto"/>
                <w:highlight w:val="none"/>
              </w:rPr>
              <w:t>，配套应急物资等</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建设三级防控措工程，另外以工业区</w:t>
            </w:r>
            <w:r>
              <w:rPr>
                <w:rFonts w:hint="default" w:ascii="Times New Roman" w:hAnsi="Times New Roman" w:cs="Times New Roman"/>
                <w:color w:val="auto"/>
                <w:highlight w:val="none"/>
                <w:lang w:eastAsia="zh-CN"/>
              </w:rPr>
              <w:t>公共事故应急池</w:t>
            </w:r>
            <w:r>
              <w:rPr>
                <w:rFonts w:hint="default" w:ascii="Times New Roman" w:hAnsi="Times New Roman" w:cs="Times New Roman"/>
                <w:color w:val="auto"/>
                <w:highlight w:val="none"/>
              </w:rPr>
              <w:t>作为本项目的第</w:t>
            </w:r>
            <w:r>
              <w:rPr>
                <w:rFonts w:hint="eastAsia" w:cs="Times New Roman"/>
                <w:color w:val="auto"/>
                <w:highlight w:val="none"/>
                <w:lang w:val="en-US" w:eastAsia="zh-CN"/>
              </w:rPr>
              <w:t>四</w:t>
            </w:r>
            <w:r>
              <w:rPr>
                <w:rFonts w:hint="default" w:ascii="Times New Roman" w:hAnsi="Times New Roman" w:cs="Times New Roman"/>
                <w:color w:val="auto"/>
                <w:highlight w:val="none"/>
              </w:rPr>
              <w:t>级防线，防止事故废水流入海域。建设单位采取防渗措施、制定了土壤自行监测方案，防止项目对地下水、土壤污染</w:t>
            </w:r>
            <w:r>
              <w:rPr>
                <w:rFonts w:hint="eastAsia" w:cs="Times New Roman"/>
                <w:color w:val="auto"/>
                <w:highlight w:val="none"/>
                <w:lang w:eastAsia="zh-CN"/>
              </w:rPr>
              <w:t>。</w:t>
            </w:r>
          </w:p>
          <w:bookmarkEnd w:id="517"/>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vMerge w:val="continue"/>
            <w:noWrap w:val="0"/>
            <w:tcMar>
              <w:left w:w="57" w:type="dxa"/>
              <w:right w:w="57" w:type="dxa"/>
            </w:tcMar>
          </w:tcPr>
          <w:p/>
        </w:tc>
        <w:tc>
          <w:tcPr>
            <w:vMerge w:val="continue"/>
            <w:noWrap w:val="0"/>
            <w:tcMar>
              <w:left w:w="57" w:type="dxa"/>
              <w:right w:w="57" w:type="dxa"/>
            </w:tcMar>
          </w:tcPr>
          <w:p/>
        </w:tc>
        <w:tc>
          <w:tcPr>
            <w:vMerge w:val="continue"/>
            <w:noWrap w:val="0"/>
            <w:tcMar>
              <w:left w:w="57" w:type="dxa"/>
              <w:right w:w="57" w:type="dxa"/>
            </w:tcMar>
          </w:tcPr>
          <w:p/>
        </w:tc>
        <w:tc>
          <w:tcPr>
            <w:tcW w:w="1105" w:type="dxa"/>
            <w:noWrap w:val="0"/>
            <w:tcMar>
              <w:left w:w="57" w:type="dxa"/>
              <w:right w:w="57" w:type="dxa"/>
            </w:tcMar>
            <w:vAlign w:val="center"/>
          </w:tcPr>
          <w:p>
            <w:pPr>
              <w:pStyle w:val="39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资源利用效率要求</w:t>
            </w:r>
          </w:p>
        </w:tc>
        <w:tc>
          <w:tcPr>
            <w:tcW w:w="6887" w:type="dxa"/>
            <w:noWrap w:val="0"/>
            <w:tcMar>
              <w:left w:w="57" w:type="dxa"/>
              <w:right w:w="57" w:type="dxa"/>
            </w:tcMar>
            <w:vAlign w:val="center"/>
          </w:tcPr>
          <w:p>
            <w:pPr>
              <w:pStyle w:val="39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推进园区集中供热，扩大产业区集中供热覆盖范围。</w:t>
            </w:r>
          </w:p>
        </w:tc>
        <w:tc>
          <w:tcPr>
            <w:tcW w:w="3899" w:type="dxa"/>
            <w:noWrap w:val="0"/>
            <w:tcMar>
              <w:left w:w="57" w:type="dxa"/>
              <w:right w:w="57" w:type="dxa"/>
            </w:tcMar>
            <w:vAlign w:val="center"/>
          </w:tcPr>
          <w:p>
            <w:pPr>
              <w:pStyle w:val="394"/>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本项目所需蒸汽均来自</w:t>
            </w:r>
            <w:r>
              <w:rPr>
                <w:rFonts w:hint="eastAsia" w:cs="Times New Roman"/>
                <w:color w:val="auto"/>
                <w:highlight w:val="none"/>
                <w:lang w:val="en-US" w:eastAsia="zh-CN"/>
              </w:rPr>
              <w:t>园区集中供热。</w:t>
            </w:r>
          </w:p>
        </w:tc>
      </w:tr>
    </w:tbl>
    <w:p>
      <w:pPr>
        <w:rPr>
          <w:rFonts w:hint="default"/>
          <w:lang w:val="en-GB"/>
        </w:rPr>
      </w:pPr>
    </w:p>
    <w:p>
      <w:pPr>
        <w:spacing w:line="360" w:lineRule="auto"/>
        <w:ind w:firstLine="0"/>
        <w:outlineLvl w:val="2"/>
        <w:rPr>
          <w:rFonts w:hint="default" w:ascii="Times New Roman" w:hAnsi="Times New Roman" w:eastAsia="黑体" w:cs="Times New Roman"/>
          <w:kern w:val="0"/>
          <w:sz w:val="30"/>
          <w:szCs w:val="30"/>
          <w:lang w:val="en-GB"/>
        </w:rPr>
      </w:pPr>
      <w:r>
        <w:rPr>
          <w:rFonts w:hint="default" w:ascii="Times New Roman" w:hAnsi="Times New Roman" w:eastAsia="黑体" w:cs="Times New Roman"/>
          <w:kern w:val="0"/>
          <w:sz w:val="30"/>
          <w:szCs w:val="30"/>
          <w:lang w:val="en-GB"/>
        </w:rPr>
        <w:t>3.</w:t>
      </w:r>
      <w:r>
        <w:rPr>
          <w:rFonts w:hint="eastAsia" w:ascii="Times New Roman" w:hAnsi="Times New Roman" w:eastAsia="黑体" w:cs="Times New Roman"/>
          <w:kern w:val="0"/>
          <w:sz w:val="30"/>
          <w:szCs w:val="30"/>
          <w:lang w:val="en-US" w:eastAsia="zh-CN"/>
        </w:rPr>
        <w:t>10</w:t>
      </w:r>
      <w:r>
        <w:rPr>
          <w:rFonts w:hint="default" w:ascii="Times New Roman" w:hAnsi="Times New Roman" w:eastAsia="黑体" w:cs="Times New Roman"/>
          <w:kern w:val="0"/>
          <w:sz w:val="30"/>
          <w:szCs w:val="30"/>
          <w:lang w:val="en-GB"/>
        </w:rPr>
        <w:t>.4小结</w:t>
      </w:r>
    </w:p>
    <w:p>
      <w:pPr>
        <w:spacing w:line="360" w:lineRule="auto"/>
        <w:ind w:firstLine="480"/>
        <w:rPr>
          <w:rFonts w:hint="default" w:ascii="Times New Roman" w:hAnsi="Times New Roman" w:eastAsia="宋体" w:cs="Times New Roman"/>
          <w:color w:val="000000"/>
          <w:kern w:val="0"/>
          <w:sz w:val="34"/>
        </w:rPr>
      </w:pPr>
      <w:r>
        <w:rPr>
          <w:rFonts w:hint="default" w:ascii="Times New Roman" w:hAnsi="Times New Roman" w:eastAsia="宋体" w:cs="Times New Roman"/>
          <w:kern w:val="0"/>
          <w:sz w:val="24"/>
          <w:szCs w:val="24"/>
        </w:rPr>
        <w:t>综上所述，拟建工程符合《江阴海港新城总体规划（2012-2030）》区域相关规划，与《福建省主体功能区规划》等环境规划基本协调。项目建设符合《国务院关于印发大气污染防治行动计划的通知》、《福建省人民政府关于印发大气污染防治行动计划实施细则的通知》、《挥发性有机物污染防治技术政策》、《福建省人民政府关于实施“三线一单”生态环境分区管控的通知》（闽政[2020]12号）等相关环保政策要求。</w:t>
      </w:r>
      <w:bookmarkEnd w:id="174"/>
      <w:bookmarkEnd w:id="175"/>
      <w:bookmarkEnd w:id="176"/>
    </w:p>
    <w:p>
      <w:pPr>
        <w:snapToGrid w:val="0"/>
        <w:spacing w:line="360" w:lineRule="auto"/>
        <w:ind w:firstLine="480"/>
        <w:rPr>
          <w:rFonts w:hint="default" w:ascii="Times New Roman" w:hAnsi="Times New Roman" w:eastAsia="宋体" w:cs="Times New Roman"/>
          <w:color w:val="000000"/>
          <w:sz w:val="24"/>
          <w:szCs w:val="28"/>
        </w:rPr>
        <w:sectPr>
          <w:pgSz w:w="16840" w:h="11907" w:orient="landscape"/>
          <w:pgMar w:top="1418" w:right="1418" w:bottom="1418" w:left="1418" w:header="851" w:footer="992" w:gutter="0"/>
          <w:pgNumType w:fmt="decimal"/>
          <w:cols w:space="720" w:num="1"/>
          <w:docGrid w:linePitch="389" w:charSpace="0"/>
        </w:sectPr>
      </w:pPr>
    </w:p>
    <w:p>
      <w:pPr>
        <w:keepNext/>
        <w:keepLines/>
        <w:spacing w:line="360" w:lineRule="auto"/>
        <w:ind w:firstLine="0"/>
        <w:outlineLvl w:val="0"/>
        <w:rPr>
          <w:rFonts w:hint="default" w:ascii="Times New Roman" w:hAnsi="Times New Roman" w:eastAsia="黑体" w:cs="Times New Roman"/>
          <w:bCs/>
          <w:kern w:val="44"/>
          <w:sz w:val="36"/>
          <w:szCs w:val="44"/>
        </w:rPr>
      </w:pPr>
      <w:bookmarkStart w:id="200" w:name="_Toc18707"/>
      <w:bookmarkStart w:id="201" w:name="_Toc3647"/>
      <w:r>
        <w:rPr>
          <w:rFonts w:hint="default" w:ascii="Times New Roman" w:hAnsi="Times New Roman" w:eastAsia="黑体" w:cs="Times New Roman"/>
          <w:bCs/>
          <w:kern w:val="44"/>
          <w:sz w:val="36"/>
          <w:szCs w:val="44"/>
        </w:rPr>
        <w:t>4环境现状调查与评价</w:t>
      </w:r>
      <w:bookmarkEnd w:id="200"/>
      <w:bookmarkEnd w:id="201"/>
    </w:p>
    <w:p>
      <w:pPr>
        <w:spacing w:line="360" w:lineRule="auto"/>
        <w:ind w:firstLine="0"/>
        <w:outlineLvl w:val="1"/>
        <w:rPr>
          <w:rFonts w:hint="default" w:ascii="Times New Roman" w:hAnsi="Times New Roman" w:eastAsia="黑体" w:cs="Times New Roman"/>
          <w:sz w:val="32"/>
          <w:szCs w:val="32"/>
        </w:rPr>
      </w:pPr>
      <w:bookmarkStart w:id="202" w:name="_Toc447011657"/>
      <w:bookmarkStart w:id="203" w:name="_Toc514864082"/>
      <w:bookmarkStart w:id="204" w:name="_Toc447010353"/>
      <w:bookmarkStart w:id="205" w:name="_Toc449085999"/>
      <w:bookmarkStart w:id="206" w:name="_Toc514988764"/>
      <w:bookmarkStart w:id="207" w:name="_Toc479338097"/>
      <w:bookmarkStart w:id="208" w:name="_Toc477341517"/>
      <w:bookmarkStart w:id="209" w:name="_Toc517780123"/>
      <w:bookmarkStart w:id="210" w:name="_Toc482668911"/>
      <w:bookmarkStart w:id="211" w:name="_Toc482774806"/>
      <w:bookmarkStart w:id="212" w:name="_Toc20570"/>
      <w:bookmarkStart w:id="213" w:name="_Toc476239499"/>
      <w:bookmarkStart w:id="214" w:name="_Toc322356134"/>
      <w:bookmarkStart w:id="215" w:name="_Toc275269686"/>
      <w:bookmarkStart w:id="216" w:name="_Toc1492"/>
      <w:r>
        <w:rPr>
          <w:rFonts w:hint="default" w:ascii="Times New Roman" w:hAnsi="Times New Roman" w:eastAsia="黑体" w:cs="Times New Roman"/>
          <w:sz w:val="32"/>
          <w:szCs w:val="32"/>
        </w:rPr>
        <w:t>4.1自然环境</w:t>
      </w:r>
      <w:bookmarkEnd w:id="202"/>
      <w:bookmarkEnd w:id="203"/>
      <w:bookmarkEnd w:id="204"/>
      <w:bookmarkEnd w:id="205"/>
      <w:bookmarkEnd w:id="206"/>
      <w:bookmarkEnd w:id="207"/>
      <w:bookmarkEnd w:id="208"/>
      <w:bookmarkEnd w:id="209"/>
      <w:bookmarkEnd w:id="210"/>
      <w:bookmarkEnd w:id="211"/>
      <w:r>
        <w:rPr>
          <w:rFonts w:hint="default" w:ascii="Times New Roman" w:hAnsi="Times New Roman" w:eastAsia="黑体" w:cs="Times New Roman"/>
          <w:sz w:val="32"/>
          <w:szCs w:val="32"/>
        </w:rPr>
        <w:t>状况</w:t>
      </w:r>
      <w:bookmarkEnd w:id="212"/>
      <w:bookmarkEnd w:id="213"/>
      <w:bookmarkEnd w:id="214"/>
      <w:bookmarkEnd w:id="215"/>
      <w:bookmarkEnd w:id="216"/>
    </w:p>
    <w:p>
      <w:pPr>
        <w:spacing w:line="360" w:lineRule="auto"/>
        <w:ind w:firstLine="0"/>
        <w:outlineLvl w:val="2"/>
        <w:rPr>
          <w:rFonts w:hint="default" w:ascii="Times New Roman" w:hAnsi="Times New Roman" w:eastAsia="黑体" w:cs="Times New Roman"/>
          <w:sz w:val="30"/>
          <w:szCs w:val="28"/>
        </w:rPr>
      </w:pPr>
      <w:r>
        <w:rPr>
          <w:rFonts w:hint="default" w:ascii="Times New Roman" w:hAnsi="Times New Roman" w:eastAsia="黑体" w:cs="Times New Roman"/>
          <w:sz w:val="30"/>
          <w:szCs w:val="28"/>
        </w:rPr>
        <w:t>4.1.1地理位置及周边概况</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江阴半岛坐落于福清市南部，位于兴化湾西北湾顶，西面分别与福清市渔溪镇、新厝镇接壤，与莆田市江口隔海相望。江阴半岛交通便捷，具有良好的区位条件，距福厦高速公路及筹建中的福厦铁路均12km，距福州市85km、福清市44km、莆田市65km；距长乐国际机场81.7km；距马尾港113海里，上海532海里，香港360海里；与台湾仅一水之隔，距基隆150海里，距台中100海里。</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福州江阴港城经济区位于福清市江阴半岛西南部，在福建省中部的兴化湾西北部，西面分别与福清市渔溪镇、新厝镇紧连，南与莆田市涵江区江口镇隔海相望。江阴工业集中区地理坐标为东经119°18′，北纬25°27′。区内新建的疏港大道即新江路可与324国道和福泉高速公路相接，工业区南部是正在建设中的五万吨级海湾码头，地理位置优越。</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本项目位于福州江阴港城经济区（中心坐标E 119°17′2.12018″，N 25°27′42.44083″），项目北临顺宝路，路对面为福化气体和宏业化工；东临京港大道，隔过道路为丽珠集团；南临南港大道，路对面为福抗药业；西面为科瑞药业。东江水厂位于项目东北面340m处，最近居民点为项目东北面</w:t>
      </w:r>
      <w:r>
        <w:rPr>
          <w:rFonts w:hint="eastAsia" w:ascii="Times New Roman" w:hAnsi="Times New Roman" w:eastAsia="宋体" w:cs="Times New Roman"/>
          <w:color w:val="000000"/>
          <w:sz w:val="24"/>
          <w:szCs w:val="24"/>
          <w:lang w:val="en-US" w:eastAsia="zh-CN"/>
        </w:rPr>
        <w:t>915</w:t>
      </w:r>
      <w:r>
        <w:rPr>
          <w:rFonts w:hint="default" w:ascii="Times New Roman" w:hAnsi="Times New Roman" w:eastAsia="宋体" w:cs="Times New Roman"/>
          <w:color w:val="000000"/>
          <w:sz w:val="24"/>
          <w:szCs w:val="24"/>
        </w:rPr>
        <w:t>m处的南曹村营兜。项目地理位置见图2.1-1，周边现状见图4.1-1。</w:t>
      </w:r>
    </w:p>
    <w:p>
      <w:pPr>
        <w:spacing w:line="360" w:lineRule="auto"/>
        <w:ind w:firstLine="0"/>
        <w:outlineLvl w:val="2"/>
        <w:rPr>
          <w:rFonts w:hint="default" w:ascii="Times New Roman" w:hAnsi="Times New Roman" w:eastAsia="黑体" w:cs="Times New Roman"/>
          <w:sz w:val="30"/>
          <w:szCs w:val="28"/>
        </w:rPr>
      </w:pPr>
      <w:r>
        <w:rPr>
          <w:rFonts w:hint="default" w:ascii="Times New Roman" w:hAnsi="Times New Roman" w:eastAsia="黑体" w:cs="Times New Roman"/>
          <w:sz w:val="30"/>
          <w:szCs w:val="28"/>
        </w:rPr>
        <w:t>4.1.2地形地貌</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江阴岛属地震引起的大陆断层，裂变穿过海峡形成内海海岛，岛形似柳叶状。岛内断裂带主要有海口-江阴的NNE-SSW向断裂带和NW-SE向断裂，岛内地势中间高，最高处是双髻峰海拔429米，岛内山地是NNE-SSE走向，岛四周较低平，尤其南部为低丘平地，是居民聚居区。江阴岛东北西向现有三条海堤与大陆相连。该岛海岸具有泥沙滩的回升侵蚀漏斗型低丘，台地岩岸，曲折破碎。地形以丘陵，岗台地为主，海积平地次之，滩涂面积大，总面积达2915.27ha。耕地面积占全岛总面积1/4强，大多数分布在平地和岗台地。低小丘陵旱地、盐田，水田广布全岛各处。</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区内地层自上而下为第四纪残积物、坡积物—深灰色淤泥—浅灰色中砂—浅灰绿色粘性土—强风化花岗岩、微风化花岗岩。江阴岛位于福建诏安地震带中，为多发震带，历史上在岛西南兴化湾中曾发生过6级地震，港区设防裂度等级为7级。</w:t>
      </w:r>
    </w:p>
    <w:p>
      <w:pPr>
        <w:spacing w:line="240" w:lineRule="auto"/>
        <w:ind w:firstLine="0"/>
        <w:rPr>
          <w:rFonts w:hint="default" w:ascii="Times New Roman" w:hAnsi="Times New Roman" w:eastAsia="宋体" w:cs="Times New Roman"/>
          <w:b/>
          <w:szCs w:val="28"/>
        </w:rPr>
        <w:sectPr>
          <w:pgSz w:w="11906" w:h="16838"/>
          <w:pgMar w:top="1304" w:right="1304" w:bottom="1304" w:left="1474" w:header="1191" w:footer="992" w:gutter="0"/>
          <w:pgNumType w:fmt="decimal"/>
          <w:cols w:space="720" w:num="1"/>
          <w:docGrid w:type="lines" w:linePitch="312" w:charSpace="0"/>
        </w:sectPr>
      </w:pPr>
    </w:p>
    <w:p>
      <w:pPr>
        <w:spacing w:after="120" w:line="240" w:lineRule="auto"/>
        <w:ind w:firstLine="0"/>
        <w:rPr>
          <w:rFonts w:hint="default" w:ascii="Times New Roman" w:hAnsi="Times New Roman" w:eastAsia="宋体" w:cs="Times New Roman"/>
          <w:sz w:val="21"/>
          <w:szCs w:val="22"/>
        </w:rPr>
      </w:pPr>
      <w:r>
        <mc:AlternateContent>
          <mc:Choice Requires="wps">
            <w:drawing>
              <wp:anchor distT="0" distB="0" distL="114300" distR="114300" simplePos="0" relativeHeight="251713536" behindDoc="0" locked="0" layoutInCell="1" allowOverlap="1">
                <wp:simplePos x="0" y="0"/>
                <wp:positionH relativeFrom="column">
                  <wp:posOffset>1985010</wp:posOffset>
                </wp:positionH>
                <wp:positionV relativeFrom="paragraph">
                  <wp:posOffset>1803400</wp:posOffset>
                </wp:positionV>
                <wp:extent cx="474345" cy="635000"/>
                <wp:effectExtent l="0" t="0" r="0" b="0"/>
                <wp:wrapNone/>
                <wp:docPr id="41" name="矩形 34"/>
                <wp:cNvGraphicFramePr/>
                <a:graphic xmlns:a="http://schemas.openxmlformats.org/drawingml/2006/main">
                  <a:graphicData uri="http://schemas.microsoft.com/office/word/2010/wordprocessingShape">
                    <wps:wsp>
                      <wps:cNvSpPr/>
                      <wps:spPr>
                        <a:xfrm rot="1380000">
                          <a:off x="0" y="0"/>
                          <a:ext cx="400050" cy="561975"/>
                        </a:xfrm>
                        <a:prstGeom prst="rect">
                          <a:avLst/>
                        </a:prstGeom>
                        <a:noFill/>
                        <a:ln w="12700" cap="flat" cmpd="sng" algn="ctr">
                          <a:noFill/>
                          <a:prstDash val="solid"/>
                          <a:miter lim="800000"/>
                        </a:ln>
                        <a:effectLst/>
                      </wps:spPr>
                      <wps:txbx>
                        <w:txbxContent>
                          <w:p>
                            <w:pPr>
                              <w:snapToGrid w:val="0"/>
                              <w:spacing w:line="240" w:lineRule="atLeast"/>
                              <w:ind w:firstLine="0"/>
                              <w:rPr>
                                <w:rFonts w:hint="eastAsia"/>
                                <w:b/>
                                <w:bCs/>
                              </w:rPr>
                            </w:pPr>
                            <w:r>
                              <w:rPr>
                                <w:rFonts w:hint="eastAsia"/>
                                <w:b/>
                                <w:bCs/>
                              </w:rPr>
                              <w:t>宏业</w:t>
                            </w:r>
                          </w:p>
                          <w:p>
                            <w:pPr>
                              <w:pStyle w:val="24"/>
                              <w:snapToGrid w:val="0"/>
                              <w:spacing w:after="0" w:line="240" w:lineRule="atLeast"/>
                              <w:ind w:left="0" w:leftChars="0" w:firstLine="0" w:firstLineChars="0"/>
                            </w:pPr>
                            <w:r>
                              <w:rPr>
                                <w:rFonts w:hint="eastAsia"/>
                                <w:b/>
                                <w:bCs/>
                              </w:rPr>
                              <w:t>化工</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4" o:spid="_x0000_s1026" o:spt="1" style="position:absolute;left:0pt;margin-left:156.3pt;margin-top:142pt;height:50pt;width:37.35pt;rotation:1507328f;z-index:251713536;v-text-anchor:middle;mso-width-relative:page;mso-height-relative:page;" filled="f" stroked="f" coordsize="21600,21600" o:gfxdata="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AyPkutoAAAALAQAADwAAAAAAAAABACAAAAAiAAAAZHJzL2Rvd25yZXYueG1sUEsB&#10;AhQAFAAAAAgAh07iQEaBvmBlAgAAugQAAA4AAAAAAAAAAQAgAAAAKQEAAGRycy9lMm9Eb2MueG1s&#10;UEsFBgAAAAAGAAYAWQEAAAAGAAAAAA==&#10;">
                <v:fill on="f" focussize="0,0"/>
                <v:stroke on="f" weight="1pt" miterlimit="8" joinstyle="miter"/>
                <v:imagedata o:title=""/>
                <o:lock v:ext="edit" aspectratio="f"/>
                <v:textbox inset="0mm,0mm,0mm,0mm">
                  <w:txbxContent>
                    <w:p>
                      <w:pPr>
                        <w:snapToGrid w:val="0"/>
                        <w:spacing w:line="240" w:lineRule="atLeast"/>
                        <w:ind w:firstLine="0"/>
                        <w:rPr>
                          <w:rFonts w:hint="eastAsia"/>
                          <w:b/>
                          <w:bCs/>
                        </w:rPr>
                      </w:pPr>
                      <w:r>
                        <w:rPr>
                          <w:rFonts w:hint="eastAsia"/>
                          <w:b/>
                          <w:bCs/>
                        </w:rPr>
                        <w:t>宏业</w:t>
                      </w:r>
                    </w:p>
                    <w:p>
                      <w:pPr>
                        <w:pStyle w:val="24"/>
                        <w:snapToGrid w:val="0"/>
                        <w:spacing w:after="0" w:line="240" w:lineRule="atLeast"/>
                        <w:ind w:left="0" w:leftChars="0" w:firstLine="0" w:firstLineChars="0"/>
                      </w:pPr>
                      <w:r>
                        <w:rPr>
                          <w:rFonts w:hint="eastAsia"/>
                          <w:b/>
                          <w:bCs/>
                        </w:rPr>
                        <w:t>化工</w:t>
                      </w:r>
                    </w:p>
                  </w:txbxContent>
                </v:textbox>
              </v:rect>
            </w:pict>
          </mc:Fallback>
        </mc:AlternateContent>
      </w:r>
      <w:r>
        <mc:AlternateContent>
          <mc:Choice Requires="wps">
            <w:drawing>
              <wp:anchor distT="0" distB="0" distL="114300" distR="114300" simplePos="0" relativeHeight="251728896" behindDoc="0" locked="0" layoutInCell="1" allowOverlap="1">
                <wp:simplePos x="0" y="0"/>
                <wp:positionH relativeFrom="column">
                  <wp:posOffset>602615</wp:posOffset>
                </wp:positionH>
                <wp:positionV relativeFrom="paragraph">
                  <wp:posOffset>1073785</wp:posOffset>
                </wp:positionV>
                <wp:extent cx="791210" cy="497205"/>
                <wp:effectExtent l="0" t="0" r="0" b="0"/>
                <wp:wrapNone/>
                <wp:docPr id="52" name="矩形 22"/>
                <wp:cNvGraphicFramePr/>
                <a:graphic xmlns:a="http://schemas.openxmlformats.org/drawingml/2006/main">
                  <a:graphicData uri="http://schemas.microsoft.com/office/word/2010/wordprocessingShape">
                    <wps:wsp>
                      <wps:cNvSpPr/>
                      <wps:spPr>
                        <a:xfrm>
                          <a:off x="1538605" y="1901825"/>
                          <a:ext cx="600075" cy="314325"/>
                        </a:xfrm>
                        <a:prstGeom prst="rect">
                          <a:avLst/>
                        </a:prstGeom>
                        <a:noFill/>
                        <a:ln w="12700" cap="flat" cmpd="sng" algn="ctr">
                          <a:noFill/>
                          <a:prstDash val="solid"/>
                          <a:miter lim="800000"/>
                        </a:ln>
                        <a:effectLst/>
                      </wps:spPr>
                      <wps:txbx>
                        <w:txbxContent>
                          <w:p>
                            <w:pPr>
                              <w:ind w:firstLine="0"/>
                              <w:rPr>
                                <w:rFonts w:eastAsia="宋体"/>
                                <w:b/>
                                <w:bCs/>
                              </w:rPr>
                            </w:pPr>
                            <w:r>
                              <w:rPr>
                                <w:rFonts w:hint="eastAsia"/>
                                <w:b/>
                                <w:bCs/>
                              </w:rPr>
                              <w:t>福化气体</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22" o:spid="_x0000_s1026" o:spt="1" style="position:absolute;left:0pt;margin-left:47.45pt;margin-top:84.55pt;height:39.15pt;width:62.3pt;z-index:251728896;v-text-anchor:middle;mso-width-relative:page;mso-height-relative:page;" filled="f" stroked="f" coordsize="21600,21600" o:gfxdata="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jz8n/aAAAACgEAAA8AAAAAAAAAAQAgAAAAIgAAAGRycy9kb3ducmV2Lnht&#10;bFBLAQIUABQAAAAIAIdO4kDFPzZGaQIAALgEAAAOAAAAAAAAAAEAIAAAACkBAABkcnMvZTJvRG9j&#10;LnhtbFBLBQYAAAAABgAGAFkBAAAEBgAAAAA=&#10;">
                <v:fill on="f" focussize="0,0"/>
                <v:stroke on="f" weight="1pt" miterlimit="8" joinstyle="miter"/>
                <v:imagedata o:title=""/>
                <o:lock v:ext="edit" aspectratio="f"/>
                <v:textbox inset="0mm,0mm,0mm,0mm">
                  <w:txbxContent>
                    <w:p>
                      <w:pPr>
                        <w:ind w:firstLine="0"/>
                        <w:rPr>
                          <w:rFonts w:eastAsia="宋体"/>
                          <w:b/>
                          <w:bCs/>
                        </w:rPr>
                      </w:pPr>
                      <w:r>
                        <w:rPr>
                          <w:rFonts w:hint="eastAsia"/>
                          <w:b/>
                          <w:bCs/>
                        </w:rPr>
                        <w:t>福化气体</w:t>
                      </w:r>
                    </w:p>
                  </w:txbxContent>
                </v:textbox>
              </v:rect>
            </w:pict>
          </mc:Fallback>
        </mc:AlternateContent>
      </w:r>
      <w:r>
        <mc:AlternateContent>
          <mc:Choice Requires="wps">
            <w:drawing>
              <wp:anchor distT="0" distB="0" distL="114300" distR="114300" simplePos="0" relativeHeight="251725824" behindDoc="0" locked="0" layoutInCell="1" allowOverlap="1">
                <wp:simplePos x="0" y="0"/>
                <wp:positionH relativeFrom="column">
                  <wp:posOffset>3383915</wp:posOffset>
                </wp:positionH>
                <wp:positionV relativeFrom="paragraph">
                  <wp:posOffset>1416685</wp:posOffset>
                </wp:positionV>
                <wp:extent cx="799465" cy="530860"/>
                <wp:effectExtent l="0" t="0" r="0" b="0"/>
                <wp:wrapNone/>
                <wp:docPr id="49" name="矩形 35"/>
                <wp:cNvGraphicFramePr/>
                <a:graphic xmlns:a="http://schemas.openxmlformats.org/drawingml/2006/main">
                  <a:graphicData uri="http://schemas.microsoft.com/office/word/2010/wordprocessingShape">
                    <wps:wsp>
                      <wps:cNvSpPr/>
                      <wps:spPr>
                        <a:xfrm>
                          <a:off x="0" y="0"/>
                          <a:ext cx="600075" cy="314325"/>
                        </a:xfrm>
                        <a:prstGeom prst="rect">
                          <a:avLst/>
                        </a:prstGeom>
                        <a:noFill/>
                        <a:ln w="12700" cap="flat" cmpd="sng" algn="ctr">
                          <a:noFill/>
                          <a:prstDash val="solid"/>
                          <a:miter lim="800000"/>
                        </a:ln>
                        <a:effectLst/>
                      </wps:spPr>
                      <wps:txbx>
                        <w:txbxContent>
                          <w:p>
                            <w:pPr>
                              <w:ind w:firstLine="0"/>
                              <w:rPr>
                                <w:rFonts w:eastAsia="宋体"/>
                                <w:b/>
                                <w:bCs/>
                                <w:color w:val="FFFFFF"/>
                              </w:rPr>
                            </w:pPr>
                            <w:r>
                              <w:rPr>
                                <w:rFonts w:hint="eastAsia"/>
                                <w:b/>
                                <w:bCs/>
                                <w:color w:val="FFFFFF"/>
                              </w:rPr>
                              <w:t>东江水厂</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5" o:spid="_x0000_s1026" o:spt="1" style="position:absolute;left:0pt;margin-left:266.45pt;margin-top:111.55pt;height:41.8pt;width:62.95pt;z-index:251725824;v-text-anchor:middle;mso-width-relative:page;mso-height-relative:page;" filled="f" stroked="f" coordsize="21600,21600" o:gfxdata="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VdX2Z9sAAAALAQAADwAAAAAAAAABACAAAAAiAAAAZHJzL2Rvd25yZXYueG1sUEsBAhQAFAAA&#10;AAgAh07iQMaph+leAgAArAQAAA4AAAAAAAAAAQAgAAAAKgEAAGRycy9lMm9Eb2MueG1sUEsFBgAA&#10;AAAGAAYAWQEAAPoFAAAAAA==&#10;">
                <v:fill on="f" focussize="0,0"/>
                <v:stroke on="f" weight="1pt" miterlimit="8" joinstyle="miter"/>
                <v:imagedata o:title=""/>
                <o:lock v:ext="edit" aspectratio="f"/>
                <v:textbox inset="0mm,0mm,0mm,0mm">
                  <w:txbxContent>
                    <w:p>
                      <w:pPr>
                        <w:ind w:firstLine="0"/>
                        <w:rPr>
                          <w:rFonts w:eastAsia="宋体"/>
                          <w:b/>
                          <w:bCs/>
                          <w:color w:val="FFFFFF"/>
                        </w:rPr>
                      </w:pPr>
                      <w:r>
                        <w:rPr>
                          <w:rFonts w:hint="eastAsia"/>
                          <w:b/>
                          <w:bCs/>
                          <w:color w:val="FFFFFF"/>
                        </w:rPr>
                        <w:t>东江水厂</w:t>
                      </w:r>
                    </w:p>
                  </w:txbxContent>
                </v:textbox>
              </v:rect>
            </w:pict>
          </mc:Fallback>
        </mc:AlternateContent>
      </w:r>
      <w:r>
        <mc:AlternateContent>
          <mc:Choice Requires="wps">
            <w:drawing>
              <wp:anchor distT="0" distB="0" distL="114300" distR="114300" simplePos="0" relativeHeight="251712512" behindDoc="0" locked="0" layoutInCell="1" allowOverlap="1">
                <wp:simplePos x="0" y="0"/>
                <wp:positionH relativeFrom="column">
                  <wp:posOffset>1269365</wp:posOffset>
                </wp:positionH>
                <wp:positionV relativeFrom="paragraph">
                  <wp:posOffset>4150360</wp:posOffset>
                </wp:positionV>
                <wp:extent cx="774700" cy="457200"/>
                <wp:effectExtent l="0" t="0" r="0" b="0"/>
                <wp:wrapNone/>
                <wp:docPr id="40" name="矩形 25"/>
                <wp:cNvGraphicFramePr/>
                <a:graphic xmlns:a="http://schemas.openxmlformats.org/drawingml/2006/main">
                  <a:graphicData uri="http://schemas.microsoft.com/office/word/2010/wordprocessingShape">
                    <wps:wsp>
                      <wps:cNvSpPr/>
                      <wps:spPr>
                        <a:xfrm>
                          <a:off x="0" y="0"/>
                          <a:ext cx="600075" cy="314325"/>
                        </a:xfrm>
                        <a:prstGeom prst="rect">
                          <a:avLst/>
                        </a:prstGeom>
                        <a:noFill/>
                        <a:ln w="12700" cap="flat" cmpd="sng" algn="ctr">
                          <a:noFill/>
                          <a:prstDash val="solid"/>
                          <a:miter lim="800000"/>
                        </a:ln>
                        <a:effectLst/>
                      </wps:spPr>
                      <wps:txbx>
                        <w:txbxContent>
                          <w:p>
                            <w:pPr>
                              <w:ind w:firstLine="0"/>
                              <w:rPr>
                                <w:rFonts w:eastAsia="宋体"/>
                                <w:b/>
                                <w:bCs/>
                              </w:rPr>
                            </w:pPr>
                            <w:r>
                              <w:rPr>
                                <w:rFonts w:hint="eastAsia"/>
                                <w:b/>
                                <w:bCs/>
                              </w:rPr>
                              <w:t>福抗药业</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25" o:spid="_x0000_s1026" o:spt="1" style="position:absolute;left:0pt;margin-left:99.95pt;margin-top:326.8pt;height:36pt;width:61pt;z-index:251712512;v-text-anchor:middle;mso-width-relative:page;mso-height-relative:page;" filled="f" stroked="f" coordsize="21600,21600" o:gfxdata="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AdJeZtoAAAALAQAADwAAAAAAAAABACAAAAAiAAAAZHJzL2Rvd25yZXYueG1sUEsBAhQAFAAAAAgA&#10;h07iQA2sG5xcAgAArAQAAA4AAAAAAAAAAQAgAAAAKQEAAGRycy9lMm9Eb2MueG1sUEsFBgAAAAAG&#10;AAYAWQEAAPcFAAAAAA==&#10;">
                <v:fill on="f" focussize="0,0"/>
                <v:stroke on="f" weight="1pt" miterlimit="8" joinstyle="miter"/>
                <v:imagedata o:title=""/>
                <o:lock v:ext="edit" aspectratio="f"/>
                <v:textbox inset="0mm,0mm,0mm,0mm">
                  <w:txbxContent>
                    <w:p>
                      <w:pPr>
                        <w:ind w:firstLine="0"/>
                        <w:rPr>
                          <w:rFonts w:eastAsia="宋体"/>
                          <w:b/>
                          <w:bCs/>
                        </w:rPr>
                      </w:pPr>
                      <w:r>
                        <w:rPr>
                          <w:rFonts w:hint="eastAsia"/>
                          <w:b/>
                          <w:bCs/>
                        </w:rPr>
                        <w:t>福抗药业</w:t>
                      </w:r>
                    </w:p>
                  </w:txbxContent>
                </v:textbox>
              </v:rect>
            </w:pict>
          </mc:Fallback>
        </mc:AlternateContent>
      </w:r>
      <w:r>
        <mc:AlternateContent>
          <mc:Choice Requires="wps">
            <w:drawing>
              <wp:anchor distT="0" distB="0" distL="114300" distR="114300" simplePos="0" relativeHeight="251722752" behindDoc="0" locked="0" layoutInCell="1" allowOverlap="1">
                <wp:simplePos x="0" y="0"/>
                <wp:positionH relativeFrom="column">
                  <wp:posOffset>1697990</wp:posOffset>
                </wp:positionH>
                <wp:positionV relativeFrom="paragraph">
                  <wp:posOffset>2645410</wp:posOffset>
                </wp:positionV>
                <wp:extent cx="600075" cy="568325"/>
                <wp:effectExtent l="0" t="0" r="0" b="0"/>
                <wp:wrapNone/>
                <wp:docPr id="46" name="矩形 30"/>
                <wp:cNvGraphicFramePr/>
                <a:graphic xmlns:a="http://schemas.openxmlformats.org/drawingml/2006/main">
                  <a:graphicData uri="http://schemas.microsoft.com/office/word/2010/wordprocessingShape">
                    <wps:wsp>
                      <wps:cNvSpPr/>
                      <wps:spPr>
                        <a:xfrm>
                          <a:off x="0" y="0"/>
                          <a:ext cx="600075" cy="314325"/>
                        </a:xfrm>
                        <a:prstGeom prst="rect">
                          <a:avLst/>
                        </a:prstGeom>
                        <a:noFill/>
                        <a:ln w="12700" cap="flat" cmpd="sng" algn="ctr">
                          <a:noFill/>
                          <a:prstDash val="solid"/>
                          <a:miter lim="800000"/>
                        </a:ln>
                        <a:effectLst/>
                      </wps:spPr>
                      <wps:txbx>
                        <w:txbxContent>
                          <w:p>
                            <w:pPr>
                              <w:snapToGrid w:val="0"/>
                              <w:spacing w:line="240" w:lineRule="atLeast"/>
                              <w:ind w:firstLine="0"/>
                              <w:rPr>
                                <w:rFonts w:eastAsia="宋体"/>
                                <w:b/>
                                <w:bCs/>
                              </w:rPr>
                            </w:pPr>
                            <w:r>
                              <w:rPr>
                                <w:rFonts w:hint="eastAsia"/>
                                <w:b/>
                                <w:bCs/>
                                <w:color w:val="FF0000"/>
                              </w:rPr>
                              <w:t>富轩科技</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0" o:spid="_x0000_s1026" o:spt="1" style="position:absolute;left:0pt;margin-left:133.7pt;margin-top:208.3pt;height:44.75pt;width:47.25pt;z-index:251722752;v-text-anchor:middle;mso-width-relative:page;mso-height-relative:page;" filled="f" stroked="f" coordsize="21600,21600" o:gfxdata="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LoJEhNsAAAALAQAADwAAAAAAAAABACAAAAAiAAAAZHJzL2Rvd25yZXYueG1sUEsBAhQAFAAAAAgA&#10;h07iQPyqYiJbAgAArAQAAA4AAAAAAAAAAQAgAAAAKgEAAGRycy9lMm9Eb2MueG1sUEsFBgAAAAAG&#10;AAYAWQEAAPcFAAAAAA==&#10;">
                <v:fill on="f" focussize="0,0"/>
                <v:stroke on="f" weight="1pt" miterlimit="8" joinstyle="miter"/>
                <v:imagedata o:title=""/>
                <o:lock v:ext="edit" aspectratio="f"/>
                <v:textbox inset="0mm,0mm,0mm,0mm">
                  <w:txbxContent>
                    <w:p>
                      <w:pPr>
                        <w:snapToGrid w:val="0"/>
                        <w:spacing w:line="240" w:lineRule="atLeast"/>
                        <w:ind w:firstLine="0"/>
                        <w:rPr>
                          <w:rFonts w:eastAsia="宋体"/>
                          <w:b/>
                          <w:bCs/>
                        </w:rPr>
                      </w:pPr>
                      <w:r>
                        <w:rPr>
                          <w:rFonts w:hint="eastAsia"/>
                          <w:b/>
                          <w:bCs/>
                          <w:color w:val="FF0000"/>
                        </w:rPr>
                        <w:t>富轩科技</w:t>
                      </w:r>
                    </w:p>
                  </w:txbxContent>
                </v:textbox>
              </v:rect>
            </w:pict>
          </mc:Fallback>
        </mc:AlternateContent>
      </w:r>
      <w:r>
        <mc:AlternateContent>
          <mc:Choice Requires="wps">
            <w:drawing>
              <wp:anchor distT="0" distB="0" distL="114300" distR="114300" simplePos="0" relativeHeight="251731968" behindDoc="0" locked="0" layoutInCell="1" allowOverlap="1">
                <wp:simplePos x="0" y="0"/>
                <wp:positionH relativeFrom="column">
                  <wp:posOffset>2332355</wp:posOffset>
                </wp:positionH>
                <wp:positionV relativeFrom="paragraph">
                  <wp:posOffset>1536065</wp:posOffset>
                </wp:positionV>
                <wp:extent cx="233680" cy="457835"/>
                <wp:effectExtent l="12700" t="6350" r="20320" b="12065"/>
                <wp:wrapNone/>
                <wp:docPr id="56" name="直接连接符 48"/>
                <wp:cNvGraphicFramePr/>
                <a:graphic xmlns:a="http://schemas.openxmlformats.org/drawingml/2006/main">
                  <a:graphicData uri="http://schemas.microsoft.com/office/word/2010/wordprocessingShape">
                    <wps:wsp>
                      <wps:cNvCnPr/>
                      <wps:spPr>
                        <a:xfrm flipV="1">
                          <a:off x="0" y="0"/>
                          <a:ext cx="233680" cy="457835"/>
                        </a:xfrm>
                        <a:prstGeom prst="line">
                          <a:avLst/>
                        </a:prstGeom>
                        <a:noFill/>
                        <a:ln w="28575" cap="flat" cmpd="sng" algn="ctr">
                          <a:solidFill>
                            <a:srgbClr val="000000"/>
                          </a:solidFill>
                          <a:prstDash val="solid"/>
                          <a:miter lim="800000"/>
                        </a:ln>
                        <a:effectLst/>
                      </wps:spPr>
                      <wps:bodyPr/>
                    </wps:wsp>
                  </a:graphicData>
                </a:graphic>
              </wp:anchor>
            </w:drawing>
          </mc:Choice>
          <mc:Fallback>
            <w:pict>
              <v:line id="直接连接符 48" o:spid="_x0000_s1026" o:spt="20" style="position:absolute;left:0pt;flip:y;margin-left:183.65pt;margin-top:120.95pt;height:36.05pt;width:18.4pt;z-index:251731968;mso-width-relative:page;mso-height-relative:page;" filled="f" stroked="t" coordsize="21600,21600" o:gfxdata="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wovmxtoAAAALAQAADwAAAAAAAAABACAAAAAiAAAAZHJzL2Rvd25yZXYueG1s&#10;UEsBAhQAFAAAAAgAh07iQAfqE472AQAA0AMAAA4AAAAAAAAAAQAgAAAAKQEAAGRycy9lMm9Eb2Mu&#10;eG1sUEsFBgAAAAAGAAYAWQEAAJEFAAAAAA==&#10;">
                <v:fill on="f" focussize="0,0"/>
                <v:stroke weight="2.25pt" color="#000000" miterlimit="8" joinstyle="miter"/>
                <v:imagedata o:title=""/>
                <o:lock v:ext="edit" aspectratio="f"/>
              </v:line>
            </w:pict>
          </mc:Fallback>
        </mc:AlternateContent>
      </w:r>
      <w:r>
        <mc:AlternateContent>
          <mc:Choice Requires="wps">
            <w:drawing>
              <wp:anchor distT="0" distB="0" distL="114300" distR="114300" simplePos="0" relativeHeight="251714560" behindDoc="0" locked="0" layoutInCell="1" allowOverlap="1">
                <wp:simplePos x="0" y="0"/>
                <wp:positionH relativeFrom="column">
                  <wp:posOffset>59690</wp:posOffset>
                </wp:positionH>
                <wp:positionV relativeFrom="paragraph">
                  <wp:posOffset>5425440</wp:posOffset>
                </wp:positionV>
                <wp:extent cx="171450" cy="76200"/>
                <wp:effectExtent l="9525" t="9525" r="9525" b="9525"/>
                <wp:wrapNone/>
                <wp:docPr id="271" name="矩形 65"/>
                <wp:cNvGraphicFramePr/>
                <a:graphic xmlns:a="http://schemas.openxmlformats.org/drawingml/2006/main">
                  <a:graphicData uri="http://schemas.microsoft.com/office/word/2010/wordprocessingShape">
                    <wps:wsp>
                      <wps:cNvSpPr/>
                      <wps:spPr>
                        <a:xfrm>
                          <a:off x="0" y="0"/>
                          <a:ext cx="171450" cy="76200"/>
                        </a:xfrm>
                        <a:prstGeom prst="rect">
                          <a:avLst/>
                        </a:prstGeom>
                        <a:noFill/>
                        <a:ln w="19050" cap="flat" cmpd="sng">
                          <a:solidFill>
                            <a:srgbClr val="FF0000"/>
                          </a:solidFill>
                          <a:prstDash val="solid"/>
                          <a:miter/>
                          <a:headEnd type="none" w="med" len="med"/>
                          <a:tailEnd type="none" w="med" len="med"/>
                        </a:ln>
                        <a:effectLst/>
                      </wps:spPr>
                      <wps:bodyPr wrap="square" upright="1"/>
                    </wps:wsp>
                  </a:graphicData>
                </a:graphic>
              </wp:anchor>
            </w:drawing>
          </mc:Choice>
          <mc:Fallback>
            <w:pict>
              <v:rect id="矩形 65" o:spid="_x0000_s1026" o:spt="1" style="position:absolute;left:0pt;margin-left:4.7pt;margin-top:427.2pt;height:6pt;width:13.5pt;z-index:251714560;mso-width-relative:page;mso-height-relative:page;" filled="f" stroked="t" coordsize="21600,21600" o:gfxdata="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EEkZHVAAAACAEAAA8AAAAAAAAAAQAgAAAAIgAAAGRycy9k&#10;b3ducmV2LnhtbFBLAQIUABQAAAAIAIdO4kDmS5szBQIAABMEAAAOAAAAAAAAAAEAIAAAACQBAABk&#10;cnMvZTJvRG9jLnhtbFBLBQYAAAAABgAGAFkBAACbBQAAAAA=&#10;">
                <v:fill on="f" focussize="0,0"/>
                <v:stroke weight="1.5pt" color="#FF0000" joinstyle="miter"/>
                <v:imagedata o:title=""/>
                <o:lock v:ext="edit" aspectratio="f"/>
              </v:rect>
            </w:pict>
          </mc:Fallback>
        </mc:AlternateContent>
      </w:r>
      <w:r>
        <mc:AlternateContent>
          <mc:Choice Requires="wps">
            <w:drawing>
              <wp:anchor distT="0" distB="0" distL="114300" distR="114300" simplePos="0" relativeHeight="251702272" behindDoc="0" locked="0" layoutInCell="1" allowOverlap="1">
                <wp:simplePos x="0" y="0"/>
                <wp:positionH relativeFrom="column">
                  <wp:posOffset>-18415</wp:posOffset>
                </wp:positionH>
                <wp:positionV relativeFrom="paragraph">
                  <wp:posOffset>5145405</wp:posOffset>
                </wp:positionV>
                <wp:extent cx="1236980" cy="513715"/>
                <wp:effectExtent l="0" t="0" r="1270" b="635"/>
                <wp:wrapNone/>
                <wp:docPr id="53" name="矩形 66"/>
                <wp:cNvGraphicFramePr/>
                <a:graphic xmlns:a="http://schemas.openxmlformats.org/drawingml/2006/main">
                  <a:graphicData uri="http://schemas.microsoft.com/office/word/2010/wordprocessingShape">
                    <wps:wsp>
                      <wps:cNvSpPr/>
                      <wps:spPr>
                        <a:xfrm>
                          <a:off x="0" y="0"/>
                          <a:ext cx="1236980" cy="513715"/>
                        </a:xfrm>
                        <a:prstGeom prst="rect">
                          <a:avLst/>
                        </a:prstGeom>
                        <a:solidFill>
                          <a:srgbClr val="FFFFFF">
                            <a:alpha val="39999"/>
                          </a:srgbClr>
                        </a:solidFill>
                        <a:ln w="9525">
                          <a:noFill/>
                        </a:ln>
                        <a:effectLst/>
                      </wps:spPr>
                      <wps:txbx>
                        <w:txbxContent>
                          <w:p>
                            <w:pPr>
                              <w:snapToGrid w:val="0"/>
                              <w:spacing w:line="240" w:lineRule="atLeast"/>
                              <w:jc w:val="center"/>
                              <w:rPr>
                                <w:rFonts w:hint="eastAsia"/>
                                <w:b/>
                                <w:bCs/>
                                <w:sz w:val="18"/>
                                <w:szCs w:val="18"/>
                              </w:rPr>
                            </w:pPr>
                            <w:r>
                              <w:rPr>
                                <w:rFonts w:hint="eastAsia"/>
                                <w:b/>
                                <w:bCs/>
                                <w:sz w:val="18"/>
                                <w:szCs w:val="18"/>
                              </w:rPr>
                              <w:t>图  例</w:t>
                            </w:r>
                          </w:p>
                          <w:p>
                            <w:pPr>
                              <w:snapToGrid w:val="0"/>
                              <w:spacing w:line="300" w:lineRule="atLeast"/>
                              <w:ind w:firstLine="361" w:firstLineChars="200"/>
                              <w:rPr>
                                <w:rFonts w:hint="eastAsia"/>
                                <w:b/>
                                <w:bCs/>
                                <w:sz w:val="18"/>
                                <w:szCs w:val="18"/>
                              </w:rPr>
                            </w:pPr>
                            <w:r>
                              <w:rPr>
                                <w:rFonts w:hint="eastAsia"/>
                                <w:b/>
                                <w:bCs/>
                                <w:sz w:val="18"/>
                                <w:szCs w:val="18"/>
                              </w:rPr>
                              <w:t>本项目用地红线</w:t>
                            </w:r>
                          </w:p>
                          <w:p>
                            <w:pPr>
                              <w:pStyle w:val="27"/>
                              <w:snapToGrid w:val="0"/>
                              <w:spacing w:line="240" w:lineRule="atLeast"/>
                              <w:rPr>
                                <w:rFonts w:hint="eastAsia" w:ascii="宋体" w:hAnsi="宋体" w:cs="宋体"/>
                              </w:rPr>
                            </w:pPr>
                          </w:p>
                        </w:txbxContent>
                      </wps:txbx>
                      <wps:bodyPr vert="horz" wrap="square" anchor="t" upright="1"/>
                    </wps:wsp>
                  </a:graphicData>
                </a:graphic>
              </wp:anchor>
            </w:drawing>
          </mc:Choice>
          <mc:Fallback>
            <w:pict>
              <v:rect id="矩形 66" o:spid="_x0000_s1026" o:spt="1" style="position:absolute;left:0pt;margin-left:-1.45pt;margin-top:405.15pt;height:40.45pt;width:97.4pt;z-index:251702272;mso-width-relative:page;mso-height-relative:page;" fillcolor="#FFFFFF" filled="t" stroked="f" coordsize="21600,21600" o:gfxdata="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f6nK5tkAAAAKAQAADwAAAAAAAAABACAAAAAiAAAAZHJzL2Rvd25yZXYueG1sUEsBAhQAFAAAAAgA&#10;h07iQJLvKjPrAQAAyQMAAA4AAAAAAAAAAQAgAAAAKAEAAGRycy9lMm9Eb2MueG1sUEsFBgAAAAAG&#10;AAYAWQEAAIUFAAAAAA==&#10;">
                <v:fill on="t" opacity="26213f" focussize="0,0"/>
                <v:stroke on="f"/>
                <v:imagedata o:title=""/>
                <o:lock v:ext="edit" aspectratio="f"/>
                <v:textbox>
                  <w:txbxContent>
                    <w:p>
                      <w:pPr>
                        <w:snapToGrid w:val="0"/>
                        <w:spacing w:line="240" w:lineRule="atLeast"/>
                        <w:jc w:val="center"/>
                        <w:rPr>
                          <w:rFonts w:hint="eastAsia"/>
                          <w:b/>
                          <w:bCs/>
                          <w:sz w:val="18"/>
                          <w:szCs w:val="18"/>
                        </w:rPr>
                      </w:pPr>
                      <w:r>
                        <w:rPr>
                          <w:rFonts w:hint="eastAsia"/>
                          <w:b/>
                          <w:bCs/>
                          <w:sz w:val="18"/>
                          <w:szCs w:val="18"/>
                        </w:rPr>
                        <w:t>图  例</w:t>
                      </w:r>
                    </w:p>
                    <w:p>
                      <w:pPr>
                        <w:snapToGrid w:val="0"/>
                        <w:spacing w:line="300" w:lineRule="atLeast"/>
                        <w:ind w:firstLine="361" w:firstLineChars="200"/>
                        <w:rPr>
                          <w:rFonts w:hint="eastAsia"/>
                          <w:b/>
                          <w:bCs/>
                          <w:sz w:val="18"/>
                          <w:szCs w:val="18"/>
                        </w:rPr>
                      </w:pPr>
                      <w:r>
                        <w:rPr>
                          <w:rFonts w:hint="eastAsia"/>
                          <w:b/>
                          <w:bCs/>
                          <w:sz w:val="18"/>
                          <w:szCs w:val="18"/>
                        </w:rPr>
                        <w:t>本项目用地红线</w:t>
                      </w:r>
                    </w:p>
                    <w:p>
                      <w:pPr>
                        <w:pStyle w:val="27"/>
                        <w:snapToGrid w:val="0"/>
                        <w:spacing w:line="240" w:lineRule="atLeast"/>
                        <w:rPr>
                          <w:rFonts w:hint="eastAsia" w:ascii="宋体" w:hAnsi="宋体" w:cs="宋体"/>
                        </w:rPr>
                      </w:pPr>
                    </w:p>
                  </w:txbxContent>
                </v:textbox>
              </v:rect>
            </w:pict>
          </mc:Fallback>
        </mc:AlternateContent>
      </w:r>
      <w:r>
        <mc:AlternateContent>
          <mc:Choice Requires="wps">
            <w:drawing>
              <wp:anchor distT="0" distB="0" distL="114300" distR="114300" simplePos="0" relativeHeight="251732992" behindDoc="0" locked="0" layoutInCell="1" allowOverlap="1">
                <wp:simplePos x="0" y="0"/>
                <wp:positionH relativeFrom="column">
                  <wp:posOffset>1541780</wp:posOffset>
                </wp:positionH>
                <wp:positionV relativeFrom="paragraph">
                  <wp:posOffset>3136900</wp:posOffset>
                </wp:positionV>
                <wp:extent cx="419100" cy="276225"/>
                <wp:effectExtent l="7620" t="12065" r="11430" b="16510"/>
                <wp:wrapNone/>
                <wp:docPr id="57" name="直接连接符 52"/>
                <wp:cNvGraphicFramePr/>
                <a:graphic xmlns:a="http://schemas.openxmlformats.org/drawingml/2006/main">
                  <a:graphicData uri="http://schemas.microsoft.com/office/word/2010/wordprocessingShape">
                    <wps:wsp>
                      <wps:cNvCnPr>
                        <a:endCxn id="55" idx="2"/>
                      </wps:cNvCnPr>
                      <wps:spPr>
                        <a:xfrm flipV="1">
                          <a:off x="0" y="0"/>
                          <a:ext cx="419100" cy="276225"/>
                        </a:xfrm>
                        <a:prstGeom prst="line">
                          <a:avLst/>
                        </a:prstGeom>
                        <a:noFill/>
                        <a:ln w="28575" cap="flat" cmpd="sng" algn="ctr">
                          <a:solidFill>
                            <a:srgbClr val="000000"/>
                          </a:solidFill>
                          <a:prstDash val="solid"/>
                          <a:miter lim="800000"/>
                        </a:ln>
                        <a:effectLst/>
                      </wps:spPr>
                      <wps:bodyPr/>
                    </wps:wsp>
                  </a:graphicData>
                </a:graphic>
              </wp:anchor>
            </w:drawing>
          </mc:Choice>
          <mc:Fallback>
            <w:pict>
              <v:line id="直接连接符 52" o:spid="_x0000_s1026" o:spt="20" style="position:absolute;left:0pt;flip:y;margin-left:121.4pt;margin-top:247pt;height:21.75pt;width:33pt;z-index:251732992;mso-width-relative:page;mso-height-relative:page;" filled="f" stroked="t" coordsize="21600,21600" o:gfxdata="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VPdxe2wAAAAsBAAAPAAAAAAAAAAEAIAAAACIA&#10;AABkcnMvZG93bnJldi54bWxQSwECFAAUAAAACACHTuJAyBdkOQYCAAD4AwAADgAAAAAAAAABACAA&#10;AAAqAQAAZHJzL2Uyb0RvYy54bWxQSwUGAAAAAAYABgBZAQAAogUAAAAA&#10;">
                <v:fill on="f" focussize="0,0"/>
                <v:stroke weight="2.25pt" color="#000000" miterlimit="8" joinstyle="miter"/>
                <v:imagedata o:title=""/>
                <o:lock v:ext="edit" aspectratio="f"/>
              </v:line>
            </w:pict>
          </mc:Fallback>
        </mc:AlternateContent>
      </w:r>
      <w:r>
        <mc:AlternateContent>
          <mc:Choice Requires="wps">
            <w:drawing>
              <wp:anchor distT="0" distB="0" distL="114300" distR="114300" simplePos="0" relativeHeight="251729920" behindDoc="0" locked="0" layoutInCell="1" allowOverlap="1">
                <wp:simplePos x="0" y="0"/>
                <wp:positionH relativeFrom="column">
                  <wp:posOffset>36830</wp:posOffset>
                </wp:positionH>
                <wp:positionV relativeFrom="paragraph">
                  <wp:posOffset>2393950</wp:posOffset>
                </wp:positionV>
                <wp:extent cx="1505585" cy="1190625"/>
                <wp:effectExtent l="13970" t="13970" r="23495" b="14605"/>
                <wp:wrapNone/>
                <wp:docPr id="54" name="矩形 49"/>
                <wp:cNvGraphicFramePr/>
                <a:graphic xmlns:a="http://schemas.openxmlformats.org/drawingml/2006/main">
                  <a:graphicData uri="http://schemas.microsoft.com/office/word/2010/wordprocessingShape">
                    <wps:wsp>
                      <wps:cNvSpPr/>
                      <wps:spPr>
                        <a:xfrm>
                          <a:off x="0" y="0"/>
                          <a:ext cx="1505585" cy="1190625"/>
                        </a:xfrm>
                        <a:prstGeom prst="rect">
                          <a:avLst/>
                        </a:prstGeom>
                        <a:solidFill>
                          <a:srgbClr val="FFFFFF"/>
                        </a:solidFill>
                        <a:ln w="28575" cap="flat" cmpd="sng" algn="ctr">
                          <a:solidFill>
                            <a:srgbClr val="000000"/>
                          </a:solidFill>
                          <a:prstDash val="solid"/>
                          <a:miter lim="800000"/>
                        </a:ln>
                        <a:effectLst/>
                      </wps:spPr>
                      <wps:txbx>
                        <w:txbxContent>
                          <w:p>
                            <w:pPr>
                              <w:ind w:firstLine="0"/>
                              <w:jc w:val="center"/>
                              <w:rPr>
                                <w:rFonts w:hint="eastAsia" w:eastAsia="宋体"/>
                              </w:rPr>
                            </w:pPr>
                            <w:r>
                              <w:rPr>
                                <w:rFonts w:hint="eastAsia" w:eastAsia="宋体"/>
                              </w:rPr>
                              <w:drawing>
                                <wp:inline distT="0" distB="0" distL="114300" distR="114300">
                                  <wp:extent cx="1538605" cy="1111885"/>
                                  <wp:effectExtent l="0" t="0" r="4445" b="12065"/>
                                  <wp:docPr id="93" name="图片 51" descr="项目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1" descr="项目地"/>
                                          <pic:cNvPicPr>
                                            <a:picLocks noChangeAspect="1"/>
                                          </pic:cNvPicPr>
                                        </pic:nvPicPr>
                                        <pic:blipFill>
                                          <a:blip r:embed="rId42"/>
                                          <a:srcRect r="22134"/>
                                          <a:stretch>
                                            <a:fillRect/>
                                          </a:stretch>
                                        </pic:blipFill>
                                        <pic:spPr>
                                          <a:xfrm>
                                            <a:off x="0" y="0"/>
                                            <a:ext cx="1538605" cy="111188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49" o:spid="_x0000_s1026" o:spt="1" style="position:absolute;left:0pt;margin-left:2.9pt;margin-top:188.5pt;height:93.75pt;width:118.55pt;z-index:251729920;v-text-anchor:middle;mso-width-relative:page;mso-height-relative:page;" fillcolor="#FFFFFF" filled="t" stroked="t" coordsize="21600,21600" o:gfxdata="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d7AgsdkAAAAJAQAADwAAAAAAAAABACAAAAAiAAAAZHJz&#10;L2Rvd25yZXYueG1sUEsBAhQAFAAAAAgAh07iQMFEv6d1AgAAAAUAAA4AAAAAAAAAAQAgAAAAKAEA&#10;AGRycy9lMm9Eb2MueG1sUEsFBgAAAAAGAAYAWQEAAA8GAAAAAA==&#10;">
                <v:fill on="t" focussize="0,0"/>
                <v:stroke weight="2.25pt" color="#000000" miterlimit="8" joinstyle="miter"/>
                <v:imagedata o:title=""/>
                <o:lock v:ext="edit" aspectratio="f"/>
                <v:textbox inset="0mm,0mm,0mm,0mm">
                  <w:txbxContent>
                    <w:p>
                      <w:pPr>
                        <w:ind w:firstLine="0"/>
                        <w:jc w:val="center"/>
                        <w:rPr>
                          <w:rFonts w:hint="eastAsia" w:eastAsia="宋体"/>
                        </w:rPr>
                      </w:pPr>
                      <w:r>
                        <w:rPr>
                          <w:rFonts w:hint="eastAsia" w:eastAsia="宋体"/>
                        </w:rPr>
                        <w:drawing>
                          <wp:inline distT="0" distB="0" distL="114300" distR="114300">
                            <wp:extent cx="1538605" cy="1111885"/>
                            <wp:effectExtent l="0" t="0" r="4445" b="12065"/>
                            <wp:docPr id="93" name="图片 51" descr="项目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1" descr="项目地"/>
                                    <pic:cNvPicPr>
                                      <a:picLocks noChangeAspect="1"/>
                                    </pic:cNvPicPr>
                                  </pic:nvPicPr>
                                  <pic:blipFill>
                                    <a:blip r:embed="rId42"/>
                                    <a:srcRect r="22134"/>
                                    <a:stretch>
                                      <a:fillRect/>
                                    </a:stretch>
                                  </pic:blipFill>
                                  <pic:spPr>
                                    <a:xfrm>
                                      <a:off x="0" y="0"/>
                                      <a:ext cx="1538605" cy="1111885"/>
                                    </a:xfrm>
                                    <a:prstGeom prst="rect">
                                      <a:avLst/>
                                    </a:prstGeom>
                                    <a:noFill/>
                                    <a:ln>
                                      <a:noFill/>
                                    </a:ln>
                                  </pic:spPr>
                                </pic:pic>
                              </a:graphicData>
                            </a:graphic>
                          </wp:inline>
                        </w:drawing>
                      </w:r>
                    </w:p>
                  </w:txbxContent>
                </v:textbox>
              </v:rect>
            </w:pict>
          </mc:Fallback>
        </mc:AlternateContent>
      </w:r>
      <w:r>
        <mc:AlternateContent>
          <mc:Choice Requires="wps">
            <w:drawing>
              <wp:anchor distT="0" distB="0" distL="114300" distR="114300" simplePos="0" relativeHeight="251730944" behindDoc="0" locked="0" layoutInCell="1" allowOverlap="1">
                <wp:simplePos x="0" y="0"/>
                <wp:positionH relativeFrom="column">
                  <wp:posOffset>1865630</wp:posOffset>
                </wp:positionH>
                <wp:positionV relativeFrom="paragraph">
                  <wp:posOffset>506730</wp:posOffset>
                </wp:positionV>
                <wp:extent cx="1400175" cy="1029335"/>
                <wp:effectExtent l="13970" t="13970" r="14605" b="23495"/>
                <wp:wrapNone/>
                <wp:docPr id="55" name="矩形 45"/>
                <wp:cNvGraphicFramePr/>
                <a:graphic xmlns:a="http://schemas.openxmlformats.org/drawingml/2006/main">
                  <a:graphicData uri="http://schemas.microsoft.com/office/word/2010/wordprocessingShape">
                    <wps:wsp>
                      <wps:cNvSpPr/>
                      <wps:spPr>
                        <a:xfrm>
                          <a:off x="0" y="0"/>
                          <a:ext cx="1400175" cy="1029335"/>
                        </a:xfrm>
                        <a:prstGeom prst="rect">
                          <a:avLst/>
                        </a:prstGeom>
                        <a:solidFill>
                          <a:srgbClr val="FFFFFF"/>
                        </a:solidFill>
                        <a:ln w="28575" cap="flat" cmpd="sng" algn="ctr">
                          <a:solidFill>
                            <a:srgbClr val="000000"/>
                          </a:solidFill>
                          <a:prstDash val="solid"/>
                          <a:miter lim="800000"/>
                        </a:ln>
                        <a:effectLst/>
                      </wps:spPr>
                      <wps:txbx>
                        <w:txbxContent>
                          <w:p>
                            <w:pPr>
                              <w:ind w:firstLine="0"/>
                              <w:jc w:val="center"/>
                              <w:rPr>
                                <w:rFonts w:hint="eastAsia" w:eastAsia="宋体"/>
                              </w:rPr>
                            </w:pPr>
                            <w:r>
                              <w:rPr>
                                <w:rFonts w:hint="eastAsia" w:eastAsia="宋体"/>
                              </w:rPr>
                              <w:drawing>
                                <wp:inline distT="0" distB="0" distL="114300" distR="114300">
                                  <wp:extent cx="1681480" cy="1123315"/>
                                  <wp:effectExtent l="0" t="0" r="13970" b="635"/>
                                  <wp:docPr id="94" name="图片 47" descr="宏业化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7" descr="宏业化工"/>
                                          <pic:cNvPicPr>
                                            <a:picLocks noChangeAspect="1"/>
                                          </pic:cNvPicPr>
                                        </pic:nvPicPr>
                                        <pic:blipFill>
                                          <a:blip r:embed="rId43"/>
                                          <a:srcRect r="15768"/>
                                          <a:stretch>
                                            <a:fillRect/>
                                          </a:stretch>
                                        </pic:blipFill>
                                        <pic:spPr>
                                          <a:xfrm>
                                            <a:off x="0" y="0"/>
                                            <a:ext cx="1681480" cy="112331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45" o:spid="_x0000_s1026" o:spt="1" style="position:absolute;left:0pt;margin-left:146.9pt;margin-top:39.9pt;height:81.05pt;width:110.25pt;z-index:251730944;v-text-anchor:middle;mso-width-relative:page;mso-height-relative:page;" fillcolor="#FFFFFF" filled="t" stroked="t" coordsize="21600,21600" o:gfxdata="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g04yI2gAAAAoBAAAPAAAAAAAAAAEAIAAAACIAAABk&#10;cnMvZG93bnJldi54bWxQSwECFAAUAAAACACHTuJASwsi33YCAAAABQAADgAAAAAAAAABACAAAAAp&#10;AQAAZHJzL2Uyb0RvYy54bWxQSwUGAAAAAAYABgBZAQAAEQYAAAAA&#10;">
                <v:fill on="t" focussize="0,0"/>
                <v:stroke weight="2.25pt" color="#000000" miterlimit="8" joinstyle="miter"/>
                <v:imagedata o:title=""/>
                <o:lock v:ext="edit" aspectratio="f"/>
                <v:textbox inset="0mm,0mm,0mm,0mm">
                  <w:txbxContent>
                    <w:p>
                      <w:pPr>
                        <w:ind w:firstLine="0"/>
                        <w:jc w:val="center"/>
                        <w:rPr>
                          <w:rFonts w:hint="eastAsia" w:eastAsia="宋体"/>
                        </w:rPr>
                      </w:pPr>
                      <w:r>
                        <w:rPr>
                          <w:rFonts w:hint="eastAsia" w:eastAsia="宋体"/>
                        </w:rPr>
                        <w:drawing>
                          <wp:inline distT="0" distB="0" distL="114300" distR="114300">
                            <wp:extent cx="1681480" cy="1123315"/>
                            <wp:effectExtent l="0" t="0" r="13970" b="635"/>
                            <wp:docPr id="94" name="图片 47" descr="宏业化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7" descr="宏业化工"/>
                                    <pic:cNvPicPr>
                                      <a:picLocks noChangeAspect="1"/>
                                    </pic:cNvPicPr>
                                  </pic:nvPicPr>
                                  <pic:blipFill>
                                    <a:blip r:embed="rId43"/>
                                    <a:srcRect r="15768"/>
                                    <a:stretch>
                                      <a:fillRect/>
                                    </a:stretch>
                                  </pic:blipFill>
                                  <pic:spPr>
                                    <a:xfrm>
                                      <a:off x="0" y="0"/>
                                      <a:ext cx="1681480" cy="1123315"/>
                                    </a:xfrm>
                                    <a:prstGeom prst="rect">
                                      <a:avLst/>
                                    </a:prstGeom>
                                    <a:noFill/>
                                    <a:ln>
                                      <a:noFill/>
                                    </a:ln>
                                  </pic:spPr>
                                </pic:pic>
                              </a:graphicData>
                            </a:graphic>
                          </wp:inline>
                        </w:drawing>
                      </w:r>
                    </w:p>
                  </w:txbxContent>
                </v:textbox>
              </v:rect>
            </w:pict>
          </mc:Fallback>
        </mc:AlternateContent>
      </w:r>
      <w:r>
        <mc:AlternateContent>
          <mc:Choice Requires="wps">
            <w:drawing>
              <wp:anchor distT="0" distB="0" distL="114300" distR="114300" simplePos="0" relativeHeight="251711488" behindDoc="0" locked="0" layoutInCell="1" allowOverlap="1">
                <wp:simplePos x="0" y="0"/>
                <wp:positionH relativeFrom="column">
                  <wp:posOffset>2360930</wp:posOffset>
                </wp:positionH>
                <wp:positionV relativeFrom="paragraph">
                  <wp:posOffset>4270375</wp:posOffset>
                </wp:positionV>
                <wp:extent cx="419100" cy="276225"/>
                <wp:effectExtent l="7620" t="12065" r="11430" b="16510"/>
                <wp:wrapNone/>
                <wp:docPr id="44" name="直接连接符 44"/>
                <wp:cNvGraphicFramePr/>
                <a:graphic xmlns:a="http://schemas.openxmlformats.org/drawingml/2006/main">
                  <a:graphicData uri="http://schemas.microsoft.com/office/word/2010/wordprocessingShape">
                    <wps:wsp>
                      <wps:cNvCnPr>
                        <a:endCxn id="55" idx="2"/>
                      </wps:cNvCnPr>
                      <wps:spPr>
                        <a:xfrm flipV="1">
                          <a:off x="3296920" y="5098415"/>
                          <a:ext cx="419100" cy="276225"/>
                        </a:xfrm>
                        <a:prstGeom prst="line">
                          <a:avLst/>
                        </a:prstGeom>
                        <a:noFill/>
                        <a:ln w="28575"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flip:y;margin-left:185.9pt;margin-top:336.25pt;height:21.75pt;width:33pt;z-index:251711488;mso-width-relative:page;mso-height-relative:page;" filled="f" stroked="t" coordsize="21600,21600" o:gfxdata="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CE8HxjbAAAACwEAAA8A&#10;AAAAAAAAAQAgAAAAIgAAAGRycy9kb3ducmV2LnhtbFBLAQIUABQAAAAIAIdO4kBzGG2LFAIAAAQE&#10;AAAOAAAAAAAAAAEAIAAAACoBAABkcnMvZTJvRG9jLnhtbFBLBQYAAAAABgAGAFkBAACwBQAAAAA=&#10;">
                <v:fill on="f" focussize="0,0"/>
                <v:stroke weight="2.25pt" color="#000000" miterlimit="8" joinstyle="miter"/>
                <v:imagedata o:title=""/>
                <o:lock v:ext="edit" aspectratio="f"/>
              </v:line>
            </w:pict>
          </mc:Fallback>
        </mc:AlternateContent>
      </w:r>
      <w:r>
        <mc:AlternateContent>
          <mc:Choice Requires="wps">
            <w:drawing>
              <wp:anchor distT="0" distB="0" distL="114300" distR="114300" simplePos="0" relativeHeight="251710464" behindDoc="0" locked="0" layoutInCell="1" allowOverlap="1">
                <wp:simplePos x="0" y="0"/>
                <wp:positionH relativeFrom="column">
                  <wp:posOffset>2846705</wp:posOffset>
                </wp:positionH>
                <wp:positionV relativeFrom="paragraph">
                  <wp:posOffset>3527425</wp:posOffset>
                </wp:positionV>
                <wp:extent cx="1505585" cy="1190625"/>
                <wp:effectExtent l="13970" t="13970" r="23495" b="14605"/>
                <wp:wrapNone/>
                <wp:docPr id="42" name="矩形 42"/>
                <wp:cNvGraphicFramePr/>
                <a:graphic xmlns:a="http://schemas.openxmlformats.org/drawingml/2006/main">
                  <a:graphicData uri="http://schemas.microsoft.com/office/word/2010/wordprocessingShape">
                    <wps:wsp>
                      <wps:cNvSpPr/>
                      <wps:spPr>
                        <a:xfrm>
                          <a:off x="3630295" y="4650740"/>
                          <a:ext cx="1505585" cy="1190625"/>
                        </a:xfrm>
                        <a:prstGeom prst="rect">
                          <a:avLst/>
                        </a:prstGeom>
                        <a:solidFill>
                          <a:srgbClr val="FFFFFF"/>
                        </a:solidFill>
                        <a:ln w="28575" cap="flat" cmpd="sng" algn="ctr">
                          <a:solidFill>
                            <a:srgbClr val="000000"/>
                          </a:solidFill>
                          <a:prstDash val="solid"/>
                          <a:miter lim="800000"/>
                        </a:ln>
                        <a:effectLst/>
                      </wps:spPr>
                      <wps:txbx>
                        <w:txbxContent>
                          <w:p>
                            <w:pPr>
                              <w:ind w:firstLine="0"/>
                              <w:jc w:val="center"/>
                              <w:rPr>
                                <w:rFonts w:hint="eastAsia" w:eastAsia="宋体"/>
                              </w:rPr>
                            </w:pPr>
                            <w:r>
                              <w:rPr>
                                <w:rFonts w:hint="eastAsia" w:eastAsia="宋体"/>
                              </w:rPr>
                              <w:drawing>
                                <wp:inline distT="0" distB="0" distL="114300" distR="114300">
                                  <wp:extent cx="1535430" cy="1122045"/>
                                  <wp:effectExtent l="0" t="0" r="7620" b="1905"/>
                                  <wp:docPr id="95" name="图片 43" descr="福抗药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3" descr="福抗药业"/>
                                          <pic:cNvPicPr>
                                            <a:picLocks noChangeAspect="1"/>
                                          </pic:cNvPicPr>
                                        </pic:nvPicPr>
                                        <pic:blipFill>
                                          <a:blip r:embed="rId44"/>
                                          <a:srcRect l="9187" r="13783"/>
                                          <a:stretch>
                                            <a:fillRect/>
                                          </a:stretch>
                                        </pic:blipFill>
                                        <pic:spPr>
                                          <a:xfrm>
                                            <a:off x="0" y="0"/>
                                            <a:ext cx="1535430" cy="112204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224.15pt;margin-top:277.75pt;height:93.75pt;width:118.55pt;z-index:251710464;v-text-anchor:middle;mso-width-relative:page;mso-height-relative:page;" fillcolor="#FFFFFF" filled="t" stroked="t" coordsize="21600,21600" o:gfxdata="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KNbdPzaAAAACwEAAA8AAAAAAAAA&#10;AQAgAAAAIgAAAGRycy9kb3ducmV2LnhtbFBLAQIUABQAAAAIAIdO4kBuypJGgQIAAAwFAAAOAAAA&#10;AAAAAAEAIAAAACkBAABkcnMvZTJvRG9jLnhtbFBLBQYAAAAABgAGAFkBAAAcBgAAAAA=&#10;">
                <v:fill on="t" focussize="0,0"/>
                <v:stroke weight="2.25pt" color="#000000" miterlimit="8" joinstyle="miter"/>
                <v:imagedata o:title=""/>
                <o:lock v:ext="edit" aspectratio="f"/>
                <v:textbox inset="0mm,0mm,0mm,0mm">
                  <w:txbxContent>
                    <w:p>
                      <w:pPr>
                        <w:ind w:firstLine="0"/>
                        <w:jc w:val="center"/>
                        <w:rPr>
                          <w:rFonts w:hint="eastAsia" w:eastAsia="宋体"/>
                        </w:rPr>
                      </w:pPr>
                      <w:r>
                        <w:rPr>
                          <w:rFonts w:hint="eastAsia" w:eastAsia="宋体"/>
                        </w:rPr>
                        <w:drawing>
                          <wp:inline distT="0" distB="0" distL="114300" distR="114300">
                            <wp:extent cx="1535430" cy="1122045"/>
                            <wp:effectExtent l="0" t="0" r="7620" b="1905"/>
                            <wp:docPr id="95" name="图片 43" descr="福抗药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3" descr="福抗药业"/>
                                    <pic:cNvPicPr>
                                      <a:picLocks noChangeAspect="1"/>
                                    </pic:cNvPicPr>
                                  </pic:nvPicPr>
                                  <pic:blipFill>
                                    <a:blip r:embed="rId44"/>
                                    <a:srcRect l="9187" r="13783"/>
                                    <a:stretch>
                                      <a:fillRect/>
                                    </a:stretch>
                                  </pic:blipFill>
                                  <pic:spPr>
                                    <a:xfrm>
                                      <a:off x="0" y="0"/>
                                      <a:ext cx="1535430" cy="1122045"/>
                                    </a:xfrm>
                                    <a:prstGeom prst="rect">
                                      <a:avLst/>
                                    </a:prstGeom>
                                    <a:noFill/>
                                    <a:ln>
                                      <a:noFill/>
                                    </a:ln>
                                  </pic:spPr>
                                </pic:pic>
                              </a:graphicData>
                            </a:graphic>
                          </wp:inline>
                        </w:drawing>
                      </w:r>
                    </w:p>
                  </w:txbxContent>
                </v:textbox>
              </v:rect>
            </w:pict>
          </mc:Fallback>
        </mc:AlternateContent>
      </w:r>
      <w:r>
        <mc:AlternateContent>
          <mc:Choice Requires="wps">
            <w:drawing>
              <wp:anchor distT="0" distB="0" distL="114300" distR="114300" simplePos="0" relativeHeight="251709440" behindDoc="0" locked="0" layoutInCell="1" allowOverlap="1">
                <wp:simplePos x="0" y="0"/>
                <wp:positionH relativeFrom="column">
                  <wp:posOffset>5117465</wp:posOffset>
                </wp:positionH>
                <wp:positionV relativeFrom="paragraph">
                  <wp:posOffset>1550035</wp:posOffset>
                </wp:positionV>
                <wp:extent cx="600075" cy="314325"/>
                <wp:effectExtent l="0" t="0" r="0" b="0"/>
                <wp:wrapNone/>
                <wp:docPr id="39" name="矩形 36"/>
                <wp:cNvGraphicFramePr/>
                <a:graphic xmlns:a="http://schemas.openxmlformats.org/drawingml/2006/main">
                  <a:graphicData uri="http://schemas.microsoft.com/office/word/2010/wordprocessingShape">
                    <wps:wsp>
                      <wps:cNvSpPr/>
                      <wps:spPr>
                        <a:xfrm>
                          <a:off x="0" y="0"/>
                          <a:ext cx="600075" cy="314325"/>
                        </a:xfrm>
                        <a:prstGeom prst="rect">
                          <a:avLst/>
                        </a:prstGeom>
                        <a:noFill/>
                        <a:ln w="12700" cap="flat" cmpd="sng" algn="ctr">
                          <a:noFill/>
                          <a:prstDash val="solid"/>
                          <a:miter lim="800000"/>
                        </a:ln>
                        <a:effectLst/>
                      </wps:spPr>
                      <wps:txbx>
                        <w:txbxContent>
                          <w:p>
                            <w:pPr>
                              <w:ind w:firstLine="0"/>
                              <w:rPr>
                                <w:rFonts w:eastAsia="宋体"/>
                                <w:b/>
                                <w:bCs/>
                                <w:color w:val="FFFFFF"/>
                              </w:rPr>
                            </w:pPr>
                            <w:r>
                              <w:rPr>
                                <w:rFonts w:hint="eastAsia"/>
                                <w:b/>
                                <w:bCs/>
                                <w:color w:val="FFFFFF"/>
                              </w:rPr>
                              <w:t>营兜村</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6" o:spid="_x0000_s1026" o:spt="1" style="position:absolute;left:0pt;margin-left:402.95pt;margin-top:122.05pt;height:24.75pt;width:47.25pt;z-index:251709440;v-text-anchor:middle;mso-width-relative:page;mso-height-relative:page;" filled="f" stroked="f" coordsize="21600,21600" o:gfxdata="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UNM6W2gAAAAsBAAAPAAAAAAAAAAEAIAAAACIAAABkcnMvZG93bnJldi54bWxQSwECFAAUAAAA&#10;CACHTuJAd+v8JV4CAACsBAAADgAAAAAAAAABACAAAAApAQAAZHJzL2Uyb0RvYy54bWxQSwUGAAAA&#10;AAYABgBZAQAA+QUAAAAA&#10;">
                <v:fill on="f" focussize="0,0"/>
                <v:stroke on="f" weight="1pt" miterlimit="8" joinstyle="miter"/>
                <v:imagedata o:title=""/>
                <o:lock v:ext="edit" aspectratio="f"/>
                <v:textbox inset="0mm,0mm,0mm,0mm">
                  <w:txbxContent>
                    <w:p>
                      <w:pPr>
                        <w:ind w:firstLine="0"/>
                        <w:rPr>
                          <w:rFonts w:eastAsia="宋体"/>
                          <w:b/>
                          <w:bCs/>
                          <w:color w:val="FFFFFF"/>
                        </w:rPr>
                      </w:pPr>
                      <w:r>
                        <w:rPr>
                          <w:rFonts w:hint="eastAsia"/>
                          <w:b/>
                          <w:bCs/>
                          <w:color w:val="FFFFFF"/>
                        </w:rPr>
                        <w:t>营兜村</w:t>
                      </w:r>
                    </w:p>
                  </w:txbxContent>
                </v:textbox>
              </v:rect>
            </w:pict>
          </mc:Fallback>
        </mc:AlternateContent>
      </w:r>
      <w:r>
        <w:drawing>
          <wp:inline distT="0" distB="0" distL="114300" distR="114300">
            <wp:extent cx="5796280" cy="5634990"/>
            <wp:effectExtent l="0" t="0" r="13970" b="3810"/>
            <wp:docPr id="96" name="图片 21" descr="1623118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1" descr="1623118347(1)"/>
                    <pic:cNvPicPr>
                      <a:picLocks noChangeAspect="1"/>
                    </pic:cNvPicPr>
                  </pic:nvPicPr>
                  <pic:blipFill>
                    <a:blip r:embed="rId45">
                      <a:clrChange>
                        <a:clrFrom>
                          <a:srgbClr val="E0E19B"/>
                        </a:clrFrom>
                        <a:clrTo>
                          <a:srgbClr val="E0E19B">
                            <a:alpha val="0"/>
                          </a:srgbClr>
                        </a:clrTo>
                      </a:clrChange>
                    </a:blip>
                    <a:stretch>
                      <a:fillRect/>
                    </a:stretch>
                  </pic:blipFill>
                  <pic:spPr>
                    <a:xfrm>
                      <a:off x="0" y="0"/>
                      <a:ext cx="5796280" cy="5634990"/>
                    </a:xfrm>
                    <a:prstGeom prst="rect">
                      <a:avLst/>
                    </a:prstGeom>
                    <a:noFill/>
                    <a:ln>
                      <a:noFill/>
                    </a:ln>
                  </pic:spPr>
                </pic:pic>
              </a:graphicData>
            </a:graphic>
          </wp:inline>
        </w:drawing>
      </w:r>
      <w:r>
        <mc:AlternateContent>
          <mc:Choice Requires="wps">
            <w:drawing>
              <wp:anchor distT="0" distB="0" distL="114300" distR="114300" simplePos="0" relativeHeight="251705344" behindDoc="0" locked="0" layoutInCell="1" allowOverlap="1">
                <wp:simplePos x="0" y="0"/>
                <wp:positionH relativeFrom="column">
                  <wp:posOffset>821690</wp:posOffset>
                </wp:positionH>
                <wp:positionV relativeFrom="paragraph">
                  <wp:posOffset>3007360</wp:posOffset>
                </wp:positionV>
                <wp:extent cx="600075" cy="314325"/>
                <wp:effectExtent l="0" t="0" r="0" b="0"/>
                <wp:wrapNone/>
                <wp:docPr id="35" name="矩形 31"/>
                <wp:cNvGraphicFramePr/>
                <a:graphic xmlns:a="http://schemas.openxmlformats.org/drawingml/2006/main">
                  <a:graphicData uri="http://schemas.microsoft.com/office/word/2010/wordprocessingShape">
                    <wps:wsp>
                      <wps:cNvSpPr/>
                      <wps:spPr>
                        <a:xfrm>
                          <a:off x="0" y="0"/>
                          <a:ext cx="600075" cy="314325"/>
                        </a:xfrm>
                        <a:prstGeom prst="rect">
                          <a:avLst/>
                        </a:prstGeom>
                        <a:noFill/>
                        <a:ln w="12700" cap="flat" cmpd="sng" algn="ctr">
                          <a:noFill/>
                          <a:prstDash val="solid"/>
                          <a:miter lim="800000"/>
                        </a:ln>
                        <a:effectLst/>
                      </wps:spPr>
                      <wps:txbx>
                        <w:txbxContent>
                          <w:p>
                            <w:pPr>
                              <w:jc w:val="center"/>
                              <w:rPr>
                                <w:rFonts w:eastAsia="宋体"/>
                                <w:b/>
                                <w:bCs/>
                              </w:rPr>
                            </w:pPr>
                            <w:r>
                              <w:rPr>
                                <w:rFonts w:hint="eastAsia"/>
                                <w:b/>
                                <w:bCs/>
                              </w:rPr>
                              <w:t xml:space="preserve">科瑞药业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1" o:spid="_x0000_s1026" o:spt="1" style="position:absolute;left:0pt;margin-left:64.7pt;margin-top:236.8pt;height:24.75pt;width:47.25pt;z-index:251705344;v-text-anchor:middle;mso-width-relative:page;mso-height-relative:page;" filled="f" stroked="f" coordsize="21600,21600" o:gfxdata="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aFA012wAAAAsBAAAPAAAAAAAAAAEAIAAAACIAAABkcnMvZG93bnJldi54bWxQSwECFAAUAAAA&#10;CACHTuJA59g/9V0CAACsBAAADgAAAAAAAAABACAAAAAqAQAAZHJzL2Uyb0RvYy54bWxQSwUGAAAA&#10;AAYABgBZAQAA+QUAAAAA&#10;">
                <v:fill on="f" focussize="0,0"/>
                <v:stroke on="f" weight="1pt" miterlimit="8" joinstyle="miter"/>
                <v:imagedata o:title=""/>
                <o:lock v:ext="edit" aspectratio="f"/>
                <v:textbox inset="0mm,0mm,0mm,0mm">
                  <w:txbxContent>
                    <w:p>
                      <w:pPr>
                        <w:jc w:val="center"/>
                        <w:rPr>
                          <w:rFonts w:eastAsia="宋体"/>
                          <w:b/>
                          <w:bCs/>
                        </w:rPr>
                      </w:pPr>
                      <w:r>
                        <w:rPr>
                          <w:rFonts w:hint="eastAsia"/>
                          <w:b/>
                          <w:bCs/>
                        </w:rPr>
                        <w:t xml:space="preserve">科瑞药业 </w:t>
                      </w:r>
                    </w:p>
                  </w:txbxContent>
                </v:textbox>
              </v:rect>
            </w:pict>
          </mc:Fallback>
        </mc:AlternateContent>
      </w:r>
      <w:r>
        <mc:AlternateContent>
          <mc:Choice Requires="wps">
            <w:drawing>
              <wp:anchor distT="0" distB="0" distL="114300" distR="114300" simplePos="0" relativeHeight="251706368" behindDoc="0" locked="0" layoutInCell="1" allowOverlap="1">
                <wp:simplePos x="0" y="0"/>
                <wp:positionH relativeFrom="column">
                  <wp:posOffset>2555240</wp:posOffset>
                </wp:positionH>
                <wp:positionV relativeFrom="paragraph">
                  <wp:posOffset>2569210</wp:posOffset>
                </wp:positionV>
                <wp:extent cx="733425" cy="514350"/>
                <wp:effectExtent l="0" t="0" r="0" b="0"/>
                <wp:wrapNone/>
                <wp:docPr id="36" name="矩形 29"/>
                <wp:cNvGraphicFramePr/>
                <a:graphic xmlns:a="http://schemas.openxmlformats.org/drawingml/2006/main">
                  <a:graphicData uri="http://schemas.microsoft.com/office/word/2010/wordprocessingShape">
                    <wps:wsp>
                      <wps:cNvSpPr/>
                      <wps:spPr>
                        <a:xfrm>
                          <a:off x="0" y="0"/>
                          <a:ext cx="733425" cy="514350"/>
                        </a:xfrm>
                        <a:prstGeom prst="rect">
                          <a:avLst/>
                        </a:prstGeom>
                        <a:noFill/>
                        <a:ln w="12700" cap="flat" cmpd="sng" algn="ctr">
                          <a:noFill/>
                          <a:prstDash val="solid"/>
                          <a:miter lim="800000"/>
                        </a:ln>
                        <a:effectLst/>
                      </wps:spPr>
                      <wps:txbx>
                        <w:txbxContent>
                          <w:p>
                            <w:pPr>
                              <w:snapToGrid w:val="0"/>
                              <w:ind w:firstLine="0"/>
                              <w:rPr>
                                <w:rFonts w:hint="eastAsia"/>
                                <w:b/>
                                <w:bCs/>
                              </w:rPr>
                            </w:pPr>
                            <w:r>
                              <w:rPr>
                                <w:rFonts w:hint="eastAsia"/>
                                <w:b/>
                                <w:bCs/>
                              </w:rPr>
                              <w:t>丽珠集团</w:t>
                            </w:r>
                          </w:p>
                          <w:p>
                            <w:pPr>
                              <w:pStyle w:val="24"/>
                              <w:snapToGrid w:val="0"/>
                              <w:ind w:left="0" w:leftChars="0" w:firstLine="0" w:firstLineChars="0"/>
                            </w:pPr>
                            <w:r>
                              <w:rPr>
                                <w:rFonts w:hint="eastAsia"/>
                                <w:b/>
                                <w:bCs/>
                              </w:rPr>
                              <w:t>福兴药业</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29" o:spid="_x0000_s1026" o:spt="1" style="position:absolute;left:0pt;margin-left:201.2pt;margin-top:202.3pt;height:40.5pt;width:57.75pt;z-index:251706368;v-text-anchor:middle;mso-width-relative:page;mso-height-relative:page;" filled="f" stroked="f" coordsize="21600,21600" o:gfxdata="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OJwidDbAAAACwEAAA8AAAAAAAAAAQAgAAAAIgAAAGRycy9kb3ducmV2LnhtbFBLAQIUABQA&#10;AAAIAIdO4kBZYt8rXwIAAKwEAAAOAAAAAAAAAAEAIAAAACoBAABkcnMvZTJvRG9jLnhtbFBLBQYA&#10;AAAABgAGAFkBAAD7BQAAAAA=&#10;">
                <v:fill on="f" focussize="0,0"/>
                <v:stroke on="f" weight="1pt" miterlimit="8" joinstyle="miter"/>
                <v:imagedata o:title=""/>
                <o:lock v:ext="edit" aspectratio="f"/>
                <v:textbox inset="0mm,0mm,0mm,0mm">
                  <w:txbxContent>
                    <w:p>
                      <w:pPr>
                        <w:snapToGrid w:val="0"/>
                        <w:ind w:firstLine="0"/>
                        <w:rPr>
                          <w:rFonts w:hint="eastAsia"/>
                          <w:b/>
                          <w:bCs/>
                        </w:rPr>
                      </w:pPr>
                      <w:r>
                        <w:rPr>
                          <w:rFonts w:hint="eastAsia"/>
                          <w:b/>
                          <w:bCs/>
                        </w:rPr>
                        <w:t>丽珠集团</w:t>
                      </w:r>
                    </w:p>
                    <w:p>
                      <w:pPr>
                        <w:pStyle w:val="24"/>
                        <w:snapToGrid w:val="0"/>
                        <w:ind w:left="0" w:leftChars="0" w:firstLine="0" w:firstLineChars="0"/>
                      </w:pPr>
                      <w:r>
                        <w:rPr>
                          <w:rFonts w:hint="eastAsia"/>
                          <w:b/>
                          <w:bCs/>
                        </w:rPr>
                        <w:t>福兴药业</w:t>
                      </w:r>
                    </w:p>
                  </w:txbxContent>
                </v:textbox>
              </v:rect>
            </w:pict>
          </mc:Fallback>
        </mc:AlternateContent>
      </w:r>
    </w:p>
    <w:p>
      <w:pPr>
        <w:spacing w:line="240" w:lineRule="auto"/>
        <w:ind w:firstLine="0"/>
        <w:jc w:val="center"/>
        <w:rPr>
          <w:rFonts w:hint="default" w:ascii="Times New Roman" w:hAnsi="Times New Roman" w:eastAsia="黑体" w:cs="Times New Roman"/>
          <w:sz w:val="24"/>
          <w:szCs w:val="24"/>
        </w:rPr>
      </w:pPr>
      <w:r>
        <mc:AlternateContent>
          <mc:Choice Requires="wps">
            <w:drawing>
              <wp:anchor distT="0" distB="0" distL="114300" distR="114300" simplePos="0" relativeHeight="251719680" behindDoc="0" locked="0" layoutInCell="1" allowOverlap="1">
                <wp:simplePos x="0" y="0"/>
                <wp:positionH relativeFrom="column">
                  <wp:posOffset>4111625</wp:posOffset>
                </wp:positionH>
                <wp:positionV relativeFrom="paragraph">
                  <wp:posOffset>5866130</wp:posOffset>
                </wp:positionV>
                <wp:extent cx="194310" cy="635"/>
                <wp:effectExtent l="0" t="0" r="0" b="0"/>
                <wp:wrapNone/>
                <wp:docPr id="128" name="直线 523"/>
                <wp:cNvGraphicFramePr/>
                <a:graphic xmlns:a="http://schemas.openxmlformats.org/drawingml/2006/main">
                  <a:graphicData uri="http://schemas.microsoft.com/office/word/2010/wordprocessingShape">
                    <wps:wsp>
                      <wps:cNvCnPr>
                        <a:endCxn id="55" idx="2"/>
                      </wps:cNvCnPr>
                      <wps:spPr>
                        <a:xfrm>
                          <a:off x="0" y="0"/>
                          <a:ext cx="194310" cy="635"/>
                        </a:xfrm>
                        <a:prstGeom prst="line">
                          <a:avLst/>
                        </a:prstGeom>
                        <a:ln w="19050" cap="flat" cmpd="sng">
                          <a:solidFill>
                            <a:srgbClr val="FFFF00"/>
                          </a:solidFill>
                          <a:prstDash val="solid"/>
                          <a:headEnd type="none" w="med" len="med"/>
                          <a:tailEnd type="none" w="med" len="med"/>
                        </a:ln>
                        <a:effectLst/>
                      </wps:spPr>
                      <wps:bodyPr upright="1"/>
                    </wps:wsp>
                  </a:graphicData>
                </a:graphic>
              </wp:anchor>
            </w:drawing>
          </mc:Choice>
          <mc:Fallback>
            <w:pict>
              <v:line id="直线 523" o:spid="_x0000_s1026" o:spt="20" style="position:absolute;left:0pt;margin-left:323.75pt;margin-top:461.9pt;height:0.05pt;width:15.3pt;z-index:251719680;mso-width-relative:page;mso-height-relative:page;" filled="f" stroked="t" coordsize="21600,21600" o:gfxdata="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&#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oFDWe2wAAAAsBAAAPAAAAAAAAAAEAIAAAACIAAABk&#10;cnMvZG93bnJldi54bWxQSwECFAAUAAAACACHTuJALzZssAMCAAAXBAAADgAAAAAAAAABACAAAAAq&#10;AQAAZHJzL2Uyb0RvYy54bWxQSwUGAAAAAAYABgBZAQAAnwUAAAAA&#10;">
                <v:fill on="f" focussize="0,0"/>
                <v:stroke weight="1.5pt" color="#FFFF00" joinstyle="round"/>
                <v:imagedata o:title=""/>
                <o:lock v:ext="edit" aspectratio="f"/>
              </v:line>
            </w:pict>
          </mc:Fallback>
        </mc:AlternateContent>
      </w:r>
      <w:r>
        <w:rPr>
          <w:rFonts w:hint="default" w:ascii="Times New Roman" w:hAnsi="Times New Roman" w:eastAsia="黑体" w:cs="Times New Roman"/>
          <w:sz w:val="24"/>
          <w:szCs w:val="24"/>
        </w:rPr>
        <w:t>图4.1-1 周边现状及周边关系示意图</w:t>
      </w:r>
    </w:p>
    <w:p>
      <w:pPr>
        <w:spacing w:line="360" w:lineRule="auto"/>
        <w:ind w:firstLine="0"/>
        <w:outlineLvl w:val="2"/>
        <w:rPr>
          <w:rFonts w:hint="default" w:ascii="Times New Roman" w:hAnsi="Times New Roman" w:eastAsia="黑体" w:cs="Times New Roman"/>
          <w:sz w:val="30"/>
          <w:szCs w:val="28"/>
        </w:rPr>
      </w:pPr>
      <w:r>
        <w:rPr>
          <w:rFonts w:hint="default" w:ascii="Times New Roman" w:hAnsi="Times New Roman" w:eastAsia="黑体" w:cs="Times New Roman"/>
          <w:sz w:val="30"/>
          <w:szCs w:val="28"/>
        </w:rPr>
        <w:t>4.1.3气候气象</w:t>
      </w:r>
    </w:p>
    <w:p>
      <w:pPr>
        <w:snapToGri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江阴岛属南亚热带海洋性季风气候，气候温和，日照充足，雨水充沛，台风影响季节较长，有明显的干湿季之分，冬无严寒，夏无酷暑。参考相关的气象资料，本区域各主要气象要素如下：</w:t>
      </w:r>
    </w:p>
    <w:p>
      <w:pPr>
        <w:snapToGri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(1)气温</w:t>
      </w:r>
    </w:p>
    <w:p>
      <w:pPr>
        <w:snapToGri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本地区年平均气温19.6℃，最热月7月或8月平均气温27.9℃，最低月1月或2月平均气温10.4℃，极端最高气温39.4℃，极端最低气温-0.6℃，气温日变化呈峰谷型，日最高气温出现在午后，日最低气温出现在清晨。</w:t>
      </w:r>
    </w:p>
    <w:p>
      <w:pPr>
        <w:snapToGri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(2)气压</w:t>
      </w:r>
    </w:p>
    <w:p>
      <w:pPr>
        <w:snapToGri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本地区年平均气压为101.17kPa，年最高气压为100.32kPa，年最低气压为102.15kPa。</w:t>
      </w:r>
    </w:p>
    <w:p>
      <w:pPr>
        <w:snapToGri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(3)降水</w:t>
      </w:r>
    </w:p>
    <w:p>
      <w:pPr>
        <w:snapToGrid w:val="0"/>
        <w:spacing w:line="360" w:lineRule="auto"/>
        <w:ind w:firstLine="480"/>
        <w:rPr>
          <w:rFonts w:hint="default"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lang w:val="en-US" w:eastAsia="zh-CN"/>
        </w:rPr>
        <w:t>项目区</w:t>
      </w:r>
      <w:r>
        <w:rPr>
          <w:rFonts w:hint="default" w:ascii="Times New Roman" w:hAnsi="Times New Roman" w:eastAsia="宋体" w:cs="Times New Roman"/>
          <w:color w:val="000000"/>
          <w:sz w:val="24"/>
          <w:szCs w:val="24"/>
        </w:rPr>
        <w:t>年降水量</w:t>
      </w:r>
      <w:r>
        <w:rPr>
          <w:rFonts w:hint="eastAsia" w:ascii="Times New Roman" w:hAnsi="Times New Roman" w:eastAsia="宋体" w:cs="Times New Roman"/>
          <w:color w:val="000000"/>
          <w:sz w:val="24"/>
          <w:szCs w:val="24"/>
          <w:lang w:val="en-US" w:eastAsia="zh-CN"/>
        </w:rPr>
        <w:t>1604.5</w:t>
      </w:r>
      <w:r>
        <w:rPr>
          <w:rFonts w:hint="default" w:ascii="Times New Roman" w:hAnsi="Times New Roman" w:eastAsia="宋体" w:cs="Times New Roman"/>
          <w:color w:val="000000"/>
          <w:sz w:val="24"/>
          <w:szCs w:val="24"/>
        </w:rPr>
        <w:t>mm，是全省少降水地区之一。春、夏季降水量占全年降水量的85.5%，秋、冬季降水时只占全年的15.0%。年降水日数全年平均124.6天，但各月分配不均，5-6月雨日占全月一半，2月、8-9月雨日占全月的1/3天数，3-4月雨日平均为13-14天，其他月份平均6-8天。日降水量≥50.0mm的暴雨日数全年平均50天，主要出现在雨季的5-6月和夏季6-9月。历年最大降水量1832.6mm，历年最少降水量713.3mm，日最大降水量297mm。最长连续降水日数全年最多为18天(出现在3月)，2-9月各月都在10天以上。</w:t>
      </w:r>
    </w:p>
    <w:p>
      <w:pPr>
        <w:snapToGri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(4)风向、风速</w:t>
      </w:r>
    </w:p>
    <w:p>
      <w:pPr>
        <w:snapToGri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常年主导风向NE频率达34%；次常风向N和NNE，频率分别为14%和13%；强风向为NNE，平均风速最大可达10.1m/s，实测最大风速34m/s。福建沿海常受台风袭击，据多年资料统计，台风平均每年在福建境内登陆2次，对沿海有影响的台风平均每年4～5次。7～9月为台风登陆期，约占全年的88%，台风过境时，一般风力达8～10级，瞬时最大风速为60m/s。</w:t>
      </w:r>
    </w:p>
    <w:p>
      <w:pPr>
        <w:snapToGri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(5)光照</w:t>
      </w:r>
    </w:p>
    <w:p>
      <w:pPr>
        <w:snapToGri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全年平均日照时数约为日照时数2025小时，日照百分率为45%，年太阳辐射量117.51kcal/cm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；全年无霜期平均347天。</w:t>
      </w:r>
    </w:p>
    <w:p>
      <w:pPr>
        <w:snapToGri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(6)雾、相对湿度</w:t>
      </w:r>
    </w:p>
    <w:p>
      <w:pPr>
        <w:snapToGri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多年平均雾日数23天，多发生在3～5月份，5～8时最多；多年平均相对湿度77%。</w:t>
      </w:r>
    </w:p>
    <w:p>
      <w:pPr>
        <w:snapToGri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(7)自然灾害</w:t>
      </w:r>
    </w:p>
    <w:p>
      <w:pPr>
        <w:snapToGri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本区域主要的自然灾害为干旱，其它常见的自然灾害包括台风、暴雨、大潮以及寒潮。</w:t>
      </w:r>
    </w:p>
    <w:p>
      <w:pPr>
        <w:spacing w:line="360" w:lineRule="auto"/>
        <w:ind w:firstLine="0"/>
        <w:outlineLvl w:val="2"/>
        <w:rPr>
          <w:rFonts w:hint="default" w:ascii="Times New Roman" w:hAnsi="Times New Roman" w:eastAsia="黑体" w:cs="Times New Roman"/>
          <w:sz w:val="30"/>
          <w:szCs w:val="28"/>
        </w:rPr>
      </w:pPr>
      <w:r>
        <w:rPr>
          <w:rFonts w:hint="default" w:ascii="Times New Roman" w:hAnsi="Times New Roman" w:eastAsia="黑体" w:cs="Times New Roman"/>
          <w:sz w:val="30"/>
          <w:szCs w:val="28"/>
        </w:rPr>
        <w:t>4.1.4水文特征</w:t>
      </w:r>
    </w:p>
    <w:p>
      <w:pPr>
        <w:spacing w:line="360" w:lineRule="auto"/>
        <w:ind w:firstLine="0"/>
        <w:outlineLvl w:val="3"/>
        <w:rPr>
          <w:rFonts w:hint="default" w:ascii="Times New Roman" w:hAnsi="Times New Roman" w:eastAsia="黑体" w:cs="Times New Roman"/>
          <w:bCs/>
          <w:szCs w:val="24"/>
        </w:rPr>
      </w:pPr>
      <w:r>
        <w:rPr>
          <w:rFonts w:hint="default" w:ascii="Times New Roman" w:hAnsi="Times New Roman" w:eastAsia="黑体" w:cs="Times New Roman"/>
          <w:bCs/>
          <w:szCs w:val="24"/>
        </w:rPr>
        <w:t>4.1.4.1地表水</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江阴岛内水系受地形影响，呈放射状由中央向四周流入海湾，河流短小，最大的为沾泽河全长11km，集水面积21.7km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发源于双髻山南麓，穿过内坑底水库，经洋门，浔头入沾泽湖，出源后于何厝注入兴化湾。其下游的沾泽洋低洼地平均高程3.2-3.7m。据江阴水利站资料载，近年最高洪水高程为4.15m，洪水多发于6-8月，淹没范围为沾泽洋附近的低地，面积为1-2k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，排洪时间在20h内，经钱塘水闸排入兴化湾。钱塘水闸为五孔闸，每孔宽2.5m，高2m，其上游桥孔是2×6m，闸门理论泄洪能力为100m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/t。</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福州江阴港城西部产业区（即原江阴港城）用地现状多为农田、滩涂和水体，而现状村镇用地多在山脚下，地势相对较高；依靠农田、滩涂和水体蓄洪滞洪作用，现状洪涝灾害并不严重。在过桥山附近、下袭港北侧及钱塘村附近均设有水闸。</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江阴港城按照相关的防洪排涝规范的规定，采用50年一遇防海潮标准，10年一遇的防山洪标准，5年一遇涝水不漫溢的排涝标准设防。江阴港城不受周围山洪的威胁。</w:t>
      </w:r>
    </w:p>
    <w:p>
      <w:pPr>
        <w:spacing w:line="360" w:lineRule="auto"/>
        <w:ind w:firstLine="0"/>
        <w:outlineLvl w:val="3"/>
        <w:rPr>
          <w:rFonts w:hint="default" w:ascii="Times New Roman" w:hAnsi="Times New Roman" w:eastAsia="黑体" w:cs="Times New Roman"/>
          <w:bCs/>
          <w:color w:val="000000"/>
          <w:szCs w:val="24"/>
        </w:rPr>
      </w:pPr>
      <w:r>
        <w:rPr>
          <w:rFonts w:hint="default" w:ascii="Times New Roman" w:hAnsi="Times New Roman" w:eastAsia="黑体" w:cs="Times New Roman"/>
          <w:bCs/>
          <w:color w:val="000000"/>
          <w:szCs w:val="24"/>
        </w:rPr>
        <w:t>4.1.4.2地下水</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全岛多数地区地下水属浅层，滨海和河口一带为咸水及半咸水，矿化度为2.41～12.04g/L，而长门、潘厝等坡地、冲积地的地下淡水中等，单井涌水量为31～143m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/d，矿化度在lg/L以下。岛内无明显的地下河床，地下水源主要靠降雨沉积而成，加之海水过滤渗透极快，地下可利用水量较大，目前岛内仍有较大比例的生活和生产用水仍取自地下水。</w:t>
      </w:r>
    </w:p>
    <w:p>
      <w:pPr>
        <w:spacing w:line="360" w:lineRule="auto"/>
        <w:ind w:firstLine="0"/>
        <w:outlineLvl w:val="3"/>
        <w:rPr>
          <w:rFonts w:hint="default" w:ascii="Times New Roman" w:hAnsi="Times New Roman" w:eastAsia="黑体" w:cs="Times New Roman"/>
          <w:bCs/>
          <w:color w:val="000000"/>
          <w:szCs w:val="24"/>
        </w:rPr>
      </w:pPr>
      <w:r>
        <w:rPr>
          <w:rFonts w:hint="default" w:ascii="Times New Roman" w:hAnsi="Times New Roman" w:eastAsia="黑体" w:cs="Times New Roman"/>
          <w:bCs/>
          <w:color w:val="000000"/>
          <w:szCs w:val="24"/>
        </w:rPr>
        <w:t>4.1.4.3水库</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岛内现有里下府、磨房坑、岳岭坝、古山府、迳江等五个水库。里下府水库最大库容141万m³，正常库容114万m³，磨房坑水库最大库容69.8万m³，正常库容67.8万m³；迳江水库总库容1320万m³，现状可利用库容l千万m³。迳江水库通过电灌站，可将水引到西渠，灌溉6000亩的土地。</w:t>
      </w:r>
    </w:p>
    <w:p>
      <w:pPr>
        <w:spacing w:line="360" w:lineRule="auto"/>
        <w:ind w:firstLine="0"/>
        <w:outlineLvl w:val="3"/>
        <w:rPr>
          <w:rFonts w:hint="default" w:ascii="Times New Roman" w:hAnsi="Times New Roman" w:eastAsia="黑体" w:cs="Times New Roman"/>
          <w:bCs/>
          <w:color w:val="000000"/>
          <w:szCs w:val="24"/>
        </w:rPr>
      </w:pPr>
      <w:r>
        <w:rPr>
          <w:rFonts w:hint="default" w:ascii="Times New Roman" w:hAnsi="Times New Roman" w:eastAsia="黑体" w:cs="Times New Roman"/>
          <w:bCs/>
          <w:color w:val="000000"/>
          <w:szCs w:val="24"/>
        </w:rPr>
        <w:t>4.1.4.4潮汐</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该地潮汐属规则半日潮，K=(HO+HKl) /HM2=0.25，潮位一天呈现二高二低现象，潮波呈驻波形态，涨落潮历时基本相等。其潮汐特征值如下： </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历年最高潮位：           4.82m（黄海，下同） </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历年最低潮位：           -3.17m </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平均高潮位：             2.41m </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平均低潮位：             -2.02m </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平均潮差；                4.43m </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最大潮差：                7.51m </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最小潮差；                2.95m </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平均涨潮历时：            5h59min</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平均落潮历时：            6h26min </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50年一遇设计高潮位：      5.59m </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100年一遇设计高潮位：     5.77m</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200年一遇设计高潮位：     5.95m</w:t>
      </w:r>
    </w:p>
    <w:p>
      <w:pPr>
        <w:spacing w:line="360" w:lineRule="auto"/>
        <w:ind w:firstLine="0"/>
        <w:outlineLvl w:val="3"/>
        <w:rPr>
          <w:rFonts w:hint="default" w:ascii="Times New Roman" w:hAnsi="Times New Roman" w:eastAsia="黑体" w:cs="Times New Roman"/>
          <w:bCs/>
          <w:color w:val="000000"/>
          <w:szCs w:val="24"/>
        </w:rPr>
      </w:pPr>
      <w:r>
        <w:rPr>
          <w:rFonts w:hint="default" w:ascii="Times New Roman" w:hAnsi="Times New Roman" w:eastAsia="黑体" w:cs="Times New Roman"/>
          <w:bCs/>
          <w:color w:val="000000"/>
          <w:szCs w:val="24"/>
        </w:rPr>
        <w:t>4.1.4.5潮流</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兴化湾潮流为正规半日浅海潮流，流向受地形控制，基本为往复流，涨落潮流向较为稳定。潮波型式为驻波，最大涨落潮流速出现在中潮位附近。涨潮流流向WNW，落潮流流向ESE。余流总的趋势是指向WNW向，各层次余流值均稳定流向湾内，且大潮时观测的余流值大于小潮时的余流值。</w:t>
      </w:r>
    </w:p>
    <w:p>
      <w:pPr>
        <w:spacing w:line="360" w:lineRule="auto"/>
        <w:ind w:firstLine="0"/>
        <w:outlineLvl w:val="3"/>
        <w:rPr>
          <w:rFonts w:hint="default" w:ascii="Times New Roman" w:hAnsi="Times New Roman" w:eastAsia="黑体" w:cs="Times New Roman"/>
          <w:bCs/>
          <w:color w:val="000000"/>
          <w:szCs w:val="24"/>
        </w:rPr>
      </w:pPr>
      <w:r>
        <w:rPr>
          <w:rFonts w:hint="default" w:ascii="Times New Roman" w:hAnsi="Times New Roman" w:eastAsia="黑体" w:cs="Times New Roman"/>
          <w:bCs/>
          <w:color w:val="000000"/>
          <w:szCs w:val="24"/>
        </w:rPr>
        <w:t>4.1.4.6波浪</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由于兴化湾内分布有众多岛屿，江阴南区各段岸线受掩护条件较好，常浪为NE，频率46.6 %，次常浪为SSW，频率11.7%；强浪向SE，最大波高7.5m，次强浪向为S，最大波高5.5m，平均波高0.7m，最大平均波高0.8m(SSW、SW、S)，频率0.1%。</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50年一遇最大设计波高(H1％)为5.28m，波向(ESE)，相应周期6.85s。主要方向设计波浪要素见表4.1-1。</w:t>
      </w:r>
    </w:p>
    <w:p>
      <w:pPr>
        <w:spacing w:line="240" w:lineRule="auto"/>
        <w:ind w:firstLine="0"/>
        <w:jc w:val="center"/>
        <w:outlineLvl w:val="4"/>
        <w:rPr>
          <w:rFonts w:hint="default" w:ascii="Times New Roman" w:hAnsi="Times New Roman" w:eastAsia="黑体" w:cs="Times New Roman"/>
          <w:sz w:val="24"/>
          <w:szCs w:val="24"/>
        </w:rPr>
      </w:pPr>
      <w:r>
        <w:rPr>
          <w:rFonts w:hint="default" w:ascii="Times New Roman" w:hAnsi="Times New Roman" w:eastAsia="黑体" w:cs="Times New Roman"/>
          <w:sz w:val="24"/>
          <w:szCs w:val="24"/>
        </w:rPr>
        <w:t>表4.1-1  主要方向设计波浪要素</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1"/>
        <w:gridCol w:w="1136"/>
        <w:gridCol w:w="1134"/>
        <w:gridCol w:w="1134"/>
        <w:gridCol w:w="1134"/>
        <w:gridCol w:w="1134"/>
        <w:gridCol w:w="1136"/>
        <w:gridCol w:w="11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7" w:type="dxa"/>
            <w:gridSpan w:val="2"/>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ESE</w:t>
            </w:r>
          </w:p>
        </w:tc>
        <w:tc>
          <w:tcPr>
            <w:tcW w:w="2268" w:type="dxa"/>
            <w:gridSpan w:val="2"/>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SE</w:t>
            </w:r>
          </w:p>
        </w:tc>
        <w:tc>
          <w:tcPr>
            <w:tcW w:w="2268" w:type="dxa"/>
            <w:gridSpan w:val="2"/>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SSW</w:t>
            </w:r>
          </w:p>
        </w:tc>
        <w:tc>
          <w:tcPr>
            <w:tcW w:w="2268" w:type="dxa"/>
            <w:gridSpan w:val="2"/>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SW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H1%</w:t>
            </w:r>
          </w:p>
        </w:tc>
        <w:tc>
          <w:tcPr>
            <w:tcW w:w="1136"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T</w:t>
            </w:r>
          </w:p>
        </w:tc>
        <w:tc>
          <w:tcPr>
            <w:tcW w:w="1134"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H1%</w:t>
            </w:r>
          </w:p>
        </w:tc>
        <w:tc>
          <w:tcPr>
            <w:tcW w:w="1134"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T</w:t>
            </w:r>
          </w:p>
        </w:tc>
        <w:tc>
          <w:tcPr>
            <w:tcW w:w="1134"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H1%</w:t>
            </w:r>
          </w:p>
        </w:tc>
        <w:tc>
          <w:tcPr>
            <w:tcW w:w="1134"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T</w:t>
            </w:r>
          </w:p>
        </w:tc>
        <w:tc>
          <w:tcPr>
            <w:tcW w:w="1136"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H1%</w:t>
            </w:r>
          </w:p>
        </w:tc>
        <w:tc>
          <w:tcPr>
            <w:tcW w:w="1132"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5.28</w:t>
            </w:r>
          </w:p>
        </w:tc>
        <w:tc>
          <w:tcPr>
            <w:tcW w:w="1136"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6.85</w:t>
            </w:r>
          </w:p>
        </w:tc>
        <w:tc>
          <w:tcPr>
            <w:tcW w:w="1134"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4.29</w:t>
            </w:r>
          </w:p>
        </w:tc>
        <w:tc>
          <w:tcPr>
            <w:tcW w:w="1134"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3.56</w:t>
            </w:r>
          </w:p>
        </w:tc>
        <w:tc>
          <w:tcPr>
            <w:tcW w:w="1134"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3.56</w:t>
            </w:r>
          </w:p>
        </w:tc>
        <w:tc>
          <w:tcPr>
            <w:tcW w:w="1134"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7.37</w:t>
            </w:r>
          </w:p>
        </w:tc>
        <w:tc>
          <w:tcPr>
            <w:tcW w:w="1136"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2.32</w:t>
            </w:r>
          </w:p>
        </w:tc>
        <w:tc>
          <w:tcPr>
            <w:tcW w:w="1132"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5.19</w:t>
            </w:r>
          </w:p>
        </w:tc>
        <w:tc>
          <w:tcPr>
            <w:tcW w:w="1136"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6.76</w:t>
            </w:r>
          </w:p>
        </w:tc>
        <w:tc>
          <w:tcPr>
            <w:tcW w:w="1134"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4.19</w:t>
            </w:r>
          </w:p>
        </w:tc>
        <w:tc>
          <w:tcPr>
            <w:tcW w:w="1134"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8.16</w:t>
            </w:r>
          </w:p>
        </w:tc>
        <w:tc>
          <w:tcPr>
            <w:tcW w:w="1134"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3.67</w:t>
            </w:r>
          </w:p>
        </w:tc>
        <w:tc>
          <w:tcPr>
            <w:tcW w:w="1134"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7.29</w:t>
            </w:r>
          </w:p>
        </w:tc>
        <w:tc>
          <w:tcPr>
            <w:tcW w:w="1136"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2.8</w:t>
            </w:r>
          </w:p>
        </w:tc>
        <w:tc>
          <w:tcPr>
            <w:tcW w:w="1132"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6.14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4.11</w:t>
            </w:r>
          </w:p>
        </w:tc>
        <w:tc>
          <w:tcPr>
            <w:tcW w:w="1136"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5.91</w:t>
            </w:r>
          </w:p>
        </w:tc>
        <w:tc>
          <w:tcPr>
            <w:tcW w:w="1134"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3.26</w:t>
            </w:r>
          </w:p>
        </w:tc>
        <w:tc>
          <w:tcPr>
            <w:tcW w:w="1134"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7.33</w:t>
            </w:r>
          </w:p>
        </w:tc>
        <w:tc>
          <w:tcPr>
            <w:tcW w:w="1134"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2.6</w:t>
            </w:r>
          </w:p>
        </w:tc>
        <w:tc>
          <w:tcPr>
            <w:tcW w:w="1134"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6.48</w:t>
            </w:r>
          </w:p>
        </w:tc>
        <w:tc>
          <w:tcPr>
            <w:tcW w:w="1136"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1.82</w:t>
            </w:r>
          </w:p>
        </w:tc>
        <w:tc>
          <w:tcPr>
            <w:tcW w:w="1132" w:type="dxa"/>
            <w:noWrap w:val="0"/>
            <w:vAlign w:val="center"/>
          </w:tcPr>
          <w:p>
            <w:pPr>
              <w:autoSpaceDE w:val="0"/>
              <w:autoSpaceDN w:val="0"/>
              <w:adjustRightInd w:val="0"/>
              <w:snapToGrid w:val="0"/>
              <w:spacing w:line="300" w:lineRule="exact"/>
              <w:ind w:firstLine="0"/>
              <w:jc w:val="center"/>
              <w:textAlignment w:val="baseline"/>
              <w:rPr>
                <w:rFonts w:hint="default" w:ascii="Times New Roman" w:hAnsi="Times New Roman" w:eastAsia="宋体" w:cs="Times New Roman"/>
                <w:color w:val="000000"/>
                <w:sz w:val="24"/>
                <w:szCs w:val="21"/>
              </w:rPr>
            </w:pPr>
            <w:r>
              <w:rPr>
                <w:rFonts w:hint="default" w:ascii="Times New Roman" w:hAnsi="Times New Roman" w:eastAsia="宋体" w:cs="Times New Roman"/>
                <w:color w:val="000000"/>
                <w:sz w:val="24"/>
                <w:szCs w:val="21"/>
              </w:rPr>
              <w:t>5.5</w:t>
            </w:r>
          </w:p>
        </w:tc>
      </w:tr>
    </w:tbl>
    <w:p>
      <w:pPr>
        <w:spacing w:line="360" w:lineRule="auto"/>
        <w:ind w:firstLine="480"/>
        <w:rPr>
          <w:rFonts w:hint="default" w:ascii="Times New Roman" w:hAnsi="Times New Roman" w:eastAsia="宋体" w:cs="Times New Roman"/>
          <w:b/>
          <w:bCs/>
          <w:color w:val="000000"/>
          <w:sz w:val="24"/>
          <w:szCs w:val="24"/>
        </w:rPr>
      </w:pPr>
      <w:r>
        <w:rPr>
          <w:rFonts w:hint="default" w:ascii="Times New Roman" w:hAnsi="Times New Roman" w:eastAsia="宋体" w:cs="Times New Roman"/>
          <w:color w:val="000000"/>
          <w:sz w:val="24"/>
          <w:szCs w:val="24"/>
        </w:rPr>
        <w:t>总之，本海区波浪主要受风的控制，在兴化湾口受外海风浪影响为主，风区长，波高较大。在湾内，由于岛屿的遮挡及浅滩的阻滞，外海风浪影响甚少，且风区短，波高较小。</w:t>
      </w:r>
    </w:p>
    <w:p>
      <w:pPr>
        <w:spacing w:line="360" w:lineRule="auto"/>
        <w:ind w:firstLine="0"/>
        <w:outlineLvl w:val="3"/>
        <w:rPr>
          <w:rFonts w:hint="default" w:ascii="Times New Roman" w:hAnsi="Times New Roman" w:eastAsia="黑体" w:cs="Times New Roman"/>
          <w:bCs/>
          <w:color w:val="000000"/>
          <w:szCs w:val="24"/>
        </w:rPr>
      </w:pPr>
      <w:r>
        <w:rPr>
          <w:rFonts w:hint="default" w:ascii="Times New Roman" w:hAnsi="Times New Roman" w:eastAsia="黑体" w:cs="Times New Roman"/>
          <w:bCs/>
          <w:color w:val="000000"/>
          <w:szCs w:val="24"/>
        </w:rPr>
        <w:t>4.1.4.7含沙量</w:t>
      </w:r>
    </w:p>
    <w:p>
      <w:pPr>
        <w:spacing w:line="360" w:lineRule="auto"/>
        <w:ind w:firstLine="480"/>
        <w:rPr>
          <w:rFonts w:hint="default" w:ascii="Times New Roman" w:hAnsi="Times New Roman" w:eastAsia="宋体" w:cs="Times New Roman"/>
          <w:b/>
          <w:bCs/>
          <w:color w:val="0000FF"/>
          <w:sz w:val="24"/>
          <w:szCs w:val="24"/>
        </w:rPr>
      </w:pPr>
      <w:r>
        <w:rPr>
          <w:rFonts w:hint="default" w:ascii="Times New Roman" w:hAnsi="Times New Roman" w:eastAsia="宋体" w:cs="Times New Roman"/>
          <w:color w:val="000000"/>
          <w:sz w:val="24"/>
          <w:szCs w:val="24"/>
        </w:rPr>
        <w:t>根据实测资料，江阴港区水域平均含沙量0.0756~0.0798kg/m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，湾内平均含沙量0.0288~0.0387kg/m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FF"/>
          <w:sz w:val="24"/>
          <w:szCs w:val="24"/>
        </w:rPr>
        <w:t>。</w:t>
      </w:r>
    </w:p>
    <w:p>
      <w:pPr>
        <w:spacing w:line="360" w:lineRule="auto"/>
        <w:ind w:firstLine="0"/>
        <w:outlineLvl w:val="2"/>
        <w:rPr>
          <w:rFonts w:hint="default" w:ascii="Times New Roman" w:hAnsi="Times New Roman" w:eastAsia="黑体" w:cs="Times New Roman"/>
          <w:color w:val="000000"/>
          <w:sz w:val="30"/>
          <w:szCs w:val="28"/>
        </w:rPr>
      </w:pPr>
      <w:r>
        <w:rPr>
          <w:rFonts w:hint="default" w:ascii="Times New Roman" w:hAnsi="Times New Roman" w:eastAsia="黑体" w:cs="Times New Roman"/>
          <w:color w:val="000000"/>
          <w:sz w:val="30"/>
          <w:szCs w:val="28"/>
        </w:rPr>
        <w:t>4.1.5陆域生态环境</w:t>
      </w:r>
      <w:bookmarkStart w:id="217" w:name="_Toc517780124"/>
      <w:bookmarkStart w:id="218" w:name="_Toc514988765"/>
      <w:bookmarkStart w:id="219" w:name="_Toc514864083"/>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江阴半岛地域生境多样，涵盖低丘台地、荒坡杂地、农田、盐田、湖塘、滩涂海岸等生态环境，植物资源种类及其群落类型多样，具有陆生、水生、沙生、盐生等资源种类及其群落类型，以及人工耕作农田作物等。</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根据实地调查，岛内土壤类型有赤红壤、红壤、盐土，以及经水耕熟化而成的水稻土等。</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岛上植被主要有森林植被和农田植被两大类，原生植被已消灭、森林植被主要是次生相思林和木麻黄；还有少量马尾松，农田植被主要是小麦、甘薯、花生、大豆等旱作物，也有一些水稻和蔬菜。</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海岸与湖塘岸边的植被类型大多为小群落类型分布，主要典型的有海滨藜群落、南方碱蓬群落、狗牙跟群落、铺地黍群落、小藜群落等多种类型。这些植被广泛分布于各地段的海岸与湖塘岸梗。</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目前江阴岛共有防护林2644.8hm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，其中防护林1325hm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，防风固沙林100.7hm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，水土保持林1218.3hm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。防护林主要树种有木麻黄、黑松、台湾相思等。</w:t>
      </w:r>
    </w:p>
    <w:p>
      <w:pPr>
        <w:spacing w:line="360" w:lineRule="auto"/>
        <w:ind w:firstLine="0"/>
        <w:outlineLvl w:val="2"/>
        <w:rPr>
          <w:rFonts w:hint="default" w:ascii="Times New Roman" w:hAnsi="Times New Roman" w:eastAsia="黑体" w:cs="Times New Roman"/>
          <w:color w:val="000000"/>
          <w:sz w:val="30"/>
          <w:szCs w:val="28"/>
        </w:rPr>
      </w:pPr>
      <w:r>
        <w:rPr>
          <w:rFonts w:hint="default" w:ascii="Times New Roman" w:hAnsi="Times New Roman" w:eastAsia="黑体" w:cs="Times New Roman"/>
          <w:color w:val="000000"/>
          <w:sz w:val="30"/>
          <w:szCs w:val="28"/>
        </w:rPr>
        <w:t>4.1.6海域生态</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兴化湾理化条件较好，海水中营养盐丰富，水质肥沃，海洋渔业资源丰富。据《中国海湾志》第七分册，兴化湾水产生物中经济种达200种，其中底栖生物（包括潮间带）经济种初估有130多种，可供增养殖的有数十种。鱼类主要有马鲛鱼、鳓鱼、带鱼、三角鱼、鲳鱼、黄姑鱼、鲷鱼、中华海鲶、餾鱼、小公鱼、弹涂鱼等；贝类主要有褶牡蛎、菲律宾蛤仔、缢蛏、寻氏肌蛤、文蛤、青蛤、四角蛤蜊、泥蚶、栉江鳐、杂色蛤子、波纹巴菲蛤等；甲壳动物主要有长毛对虾、日本对虾、哈氏仿对虾、周氏新对虾、独角新对虾、近缘新对虾、中华管鞭虾、三疣梭子蟹、锯缘青蟹等；经济藻类以海带、紫菜、石花菜和江蓠等为常见种。目前兴化湾的海水养殖品种主要有鱼类、甲壳类、贝类和藻类等四大类。兴化湾海域底栖生物种类相当丰富，生物种类数达307种。其中多毛类108种，占总数的35%；软体动物82种，占27%；甲壳动物疣海平均总生物量28.10g/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，是福建省海岸带平均总生物量的7/10，比漳港海域（33.43g/m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）低，高出湄洲湾海域（9.46g/m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）两倍多。生物量组成中棘皮动物居首位，占总生物量39%，多毛类次之，占25%。</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兴化湾面积达619.4km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零米线以上的滩涂约占整个海湾面积1/3以上，而且大部分属淤积型岸滩、高潮滩。海湾周边乡镇人口多耕地少，解放后，大规模地进行围海造田，围垦面积万亩以上的工程有：江镜农场（25550亩，1957年）、潭边军垦农场（10500亩，1965年）、柯屿围垦（27000亩，1981年）和后海围垦（30300亩），以及江阴乡围垦（19550亩，1988年）等，总面积达11.29万亩。</w:t>
      </w:r>
    </w:p>
    <w:bookmarkEnd w:id="217"/>
    <w:bookmarkEnd w:id="218"/>
    <w:bookmarkEnd w:id="219"/>
    <w:p>
      <w:pPr>
        <w:spacing w:line="360" w:lineRule="auto"/>
        <w:ind w:firstLine="0"/>
        <w:outlineLvl w:val="1"/>
        <w:rPr>
          <w:rFonts w:hint="default" w:ascii="Times New Roman" w:hAnsi="Times New Roman" w:eastAsia="黑体" w:cs="Times New Roman"/>
          <w:sz w:val="32"/>
          <w:szCs w:val="32"/>
        </w:rPr>
      </w:pPr>
      <w:bookmarkStart w:id="220" w:name="_Toc301963859"/>
      <w:bookmarkStart w:id="221" w:name="_Toc332120903"/>
      <w:bookmarkStart w:id="222" w:name="_Toc476239500"/>
      <w:bookmarkStart w:id="223" w:name="_Toc27275"/>
      <w:bookmarkStart w:id="224" w:name="_Toc19407"/>
      <w:r>
        <w:rPr>
          <w:rFonts w:hint="default" w:ascii="Times New Roman" w:hAnsi="Times New Roman" w:eastAsia="黑体" w:cs="Times New Roman"/>
          <w:sz w:val="32"/>
          <w:szCs w:val="32"/>
        </w:rPr>
        <w:t>4.</w:t>
      </w:r>
      <w:bookmarkEnd w:id="220"/>
      <w:bookmarkEnd w:id="221"/>
      <w:r>
        <w:rPr>
          <w:rFonts w:hint="default" w:ascii="Times New Roman" w:hAnsi="Times New Roman" w:eastAsia="黑体" w:cs="Times New Roman"/>
          <w:sz w:val="32"/>
          <w:szCs w:val="32"/>
        </w:rPr>
        <w:t>2</w:t>
      </w:r>
      <w:bookmarkEnd w:id="222"/>
      <w:r>
        <w:rPr>
          <w:rFonts w:hint="default" w:ascii="Times New Roman" w:hAnsi="Times New Roman" w:eastAsia="黑体" w:cs="Times New Roman"/>
          <w:sz w:val="32"/>
          <w:szCs w:val="32"/>
        </w:rPr>
        <w:t>福州江阴港城总体规划（2018-2035）概况</w:t>
      </w:r>
      <w:bookmarkEnd w:id="223"/>
      <w:bookmarkEnd w:id="224"/>
    </w:p>
    <w:p>
      <w:pPr>
        <w:spacing w:line="360" w:lineRule="auto"/>
        <w:ind w:firstLine="0"/>
        <w:outlineLvl w:val="2"/>
        <w:rPr>
          <w:rFonts w:hint="default" w:ascii="Times New Roman" w:hAnsi="Times New Roman" w:eastAsia="黑体" w:cs="Times New Roman"/>
          <w:color w:val="000000"/>
          <w:sz w:val="30"/>
          <w:szCs w:val="28"/>
        </w:rPr>
      </w:pPr>
      <w:r>
        <w:rPr>
          <w:rFonts w:hint="default" w:ascii="Times New Roman" w:hAnsi="Times New Roman" w:eastAsia="黑体" w:cs="Times New Roman"/>
          <w:color w:val="000000"/>
          <w:sz w:val="30"/>
          <w:szCs w:val="28"/>
        </w:rPr>
        <w:t>4.2.1 规划概况</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福州江阴港城总体规划（2018-2035年）》由上海同济城市规划设计研究院完成。该规划对江阴港城的定位与上一版本2013年经福州市人民政府批复的江阴海港新城总体规划（2012-2030）中的规划定位方向（以临港石化、现代物流、海洋产业、现代服务业等为核心）基本一致，与福州市发展战略目标吻合。</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福州江阴港城经济区位于福清市江阴半岛南端，三面临海，距福州市区约85公里，距厦门市区约200公里，与台湾台中市隔海相望。江阴港城经济区始建于2001年6月，2006年4月经省政府批准，国家发改委核准，升格为省级开发区，是具有福州新区、自贸区福州片区、21世纪海上丝绸之路核心区、生态文明先行示范区和自主创新示范区“五区叠加”优势的开放开发大平台。</w:t>
      </w:r>
    </w:p>
    <w:p>
      <w:pPr>
        <w:spacing w:line="360" w:lineRule="auto"/>
        <w:ind w:firstLine="482"/>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（1）规划期限</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本规划期限为2018-2035年，其中，近期：2018-2025年；远期：2026-2035年；远景：2035年以后。</w:t>
      </w:r>
    </w:p>
    <w:p>
      <w:pPr>
        <w:spacing w:line="360" w:lineRule="auto"/>
        <w:ind w:firstLine="482"/>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（2）产业发展</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①产业整体格局：依托江阴港和保税区，沿江阴湾、兴化湾设置产业片区，形成临港产业环湾发展的产业格局。其中在江阴湾北部设置滨海商务休闲区，形成城市级的生产性服务业中心，对各产业片区进行有效支撑；依托港口在江阴港城南部设置物流园区，建设海西的物流枢纽，形成区域的对外开放窗口。</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②产业片区空间布局：规划江阴港城重点引导形成8个产业园区，分别为滨海商务休闲区、现代服务业集聚区、商贸物流区、新厝先进制造业基地、月亮湾先进制造业基地、东部临港产业区、西部临港产业区和港口运输物流仓储区，分别承担城市的临港化工产业、现代商贸物流业、现代服务业和先进制。</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A东部临港产业区、西部临港产业区：东部临港产业区位于基地东南部，用地规模为1024.22公顷；西部临港产业区位于基地西南部，用地规模为1307.72公顷。主要承载临港化工产业。在对现状企业进行保留提升的基础上，注重完善重化企业的布局和配套服务体系，促进下游产业的快速形成，形成上下游链条参与竞争合作。</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B港口运输物流仓储区、商贸物流区：港口运输物流仓储区和商贸物流区位于江阴港城南部，依托江阴港设置。其中港口运输物流仓储区用地规模为1641.85公顷，商贸物流区用地规模为509.78公顷。江阴港是福州市重要的集装箱枢纽港，发挥江阴港自身优越条件，通过填海向外扩展，逐步发展通用码头、集装箱码头，发展过陆上交通系统和交通接驳的完善，形成便捷的海陆交通，为港口腹地提供集疏运条件，着力打造现代商贸物流业。结合汽车整车进口的展示商贸区，依托港口物流优势发展航运服务业，促进现代物流业的尽快形成。</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C滨海商务休闲区、现代服务业集聚区：滨海商务休闲区位于基地东部、纬五路以北，用地规模为136.56公顷，现代服务业集聚区位于南港大道以南、新江公路以东、江阴大道以西，用地规模为395.70公顷。在滨海商务休闲区、现代服务业集聚区配套专业服务、展示交易、商业商务等职能，为居民和生产体系服务，成为江阴港城的“智核”和服务中心。</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D新厝先进制造业基地、月亮湾先进制造业基地：新厝先进制造业基地位于新厝片区，用地规模为920.39公顷；月亮湾先进制造业基地位于江阴湾沿线，用地规模为1083.32公顷。利用江阴港城优越的地理区位和运输条件，形成相对集中、有一定规模的高新技术产业区，分别发展新材料、新能源、生物医药、装备制造、飞机零配件制造等先进制造业。</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福州江阴港城总体规划见图4.2-1，城乡产业空间布局规划见图4.2-2。</w:t>
      </w:r>
    </w:p>
    <w:p>
      <w:pPr>
        <w:spacing w:line="360" w:lineRule="auto"/>
        <w:ind w:firstLine="482"/>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（3）环保隔离带</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本区重化工工业集聚区应设置环保隔离带和环保控制带，制造业集聚区应设置环保隔离带。</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环保隔离带：重化工集聚区以化工区边界外扩500m区域设置为环保隔离带。</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环保控制带：环保隔离带与化工区风险事故应急疏散范围间设为环保控制带。</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①西部临港产业区内化工区环保隔离带及控制带设置：规划要求以现状西部化工区东侧边界（即自北向南临林芝路、圣发路、高港路、陈嘉路、华兴路）外扩500m区域设置为环保隔离带，环保隔离带与化工区风险事故应急疏散范围（即为巴陵石化、天辰耀隆、东南电化3家企业2000m疏散范围）之间设置为环保控制带。</w:t>
      </w:r>
    </w:p>
    <w:p>
      <w:pPr>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rPr>
        <w:t>②东部临港产业区内化工区环保隔离带及控制带设置：东部临港产业区内化工区主要包括友谊集团三类工业用地、缘泰石油化工、以及乙烯下游产业预留用地。规划要求以东部化工区北侧边界外扩500米区域设置为环保隔离带；环保隔离带与化工区风险事故应急疏散范围（即东部化工区边界外扩2000m）之间作为环保控制带。</w:t>
      </w:r>
    </w:p>
    <w:p>
      <w:pPr>
        <w:spacing w:line="360" w:lineRule="auto"/>
        <w:ind w:firstLine="420"/>
        <w:rPr>
          <w:rFonts w:hint="default" w:ascii="Times New Roman" w:hAnsi="Times New Roman" w:eastAsia="宋体" w:cs="Times New Roman"/>
          <w:sz w:val="21"/>
          <w:szCs w:val="22"/>
        </w:rPr>
        <w:sectPr>
          <w:pgSz w:w="11906" w:h="16838"/>
          <w:pgMar w:top="1304" w:right="1304" w:bottom="1304" w:left="1474" w:header="1191" w:footer="992" w:gutter="0"/>
          <w:pgNumType w:fmt="decimal"/>
          <w:cols w:space="720" w:num="1"/>
          <w:docGrid w:type="lines" w:linePitch="312" w:charSpace="0"/>
        </w:sectPr>
      </w:pPr>
    </w:p>
    <w:p>
      <w:pPr>
        <w:adjustRightInd w:val="0"/>
        <w:snapToGrid w:val="0"/>
        <w:spacing w:line="240" w:lineRule="auto"/>
        <w:ind w:firstLine="0"/>
        <w:jc w:val="center"/>
        <w:rPr>
          <w:rFonts w:hint="default" w:ascii="Times New Roman" w:hAnsi="Times New Roman" w:eastAsia="宋体" w:cs="Times New Roman"/>
          <w:b/>
          <w:bCs/>
          <w:sz w:val="21"/>
          <w:szCs w:val="22"/>
        </w:rPr>
      </w:pPr>
      <w:r>
        <mc:AlternateContent>
          <mc:Choice Requires="wps">
            <w:drawing>
              <wp:anchor distT="0" distB="0" distL="114300" distR="114300" simplePos="0" relativeHeight="251720704" behindDoc="0" locked="0" layoutInCell="1" allowOverlap="1">
                <wp:simplePos x="0" y="0"/>
                <wp:positionH relativeFrom="column">
                  <wp:posOffset>2983865</wp:posOffset>
                </wp:positionH>
                <wp:positionV relativeFrom="paragraph">
                  <wp:posOffset>2933065</wp:posOffset>
                </wp:positionV>
                <wp:extent cx="1130300" cy="317500"/>
                <wp:effectExtent l="398780" t="4445" r="13970" b="478155"/>
                <wp:wrapNone/>
                <wp:docPr id="43" name="矩形标注 65"/>
                <wp:cNvGraphicFramePr/>
                <a:graphic xmlns:a="http://schemas.openxmlformats.org/drawingml/2006/main">
                  <a:graphicData uri="http://schemas.microsoft.com/office/word/2010/wordprocessingShape">
                    <wps:wsp>
                      <wps:cNvSpPr/>
                      <wps:spPr>
                        <a:xfrm>
                          <a:off x="0" y="0"/>
                          <a:ext cx="1130300" cy="317500"/>
                        </a:xfrm>
                        <a:prstGeom prst="wedgeRectCallout">
                          <a:avLst>
                            <a:gd name="adj1" fmla="val -82415"/>
                            <a:gd name="adj2" fmla="val 191000"/>
                          </a:avLst>
                        </a:prstGeom>
                        <a:solidFill>
                          <a:srgbClr val="FFFFFF"/>
                        </a:solidFill>
                        <a:ln w="9525" cap="flat" cmpd="sng">
                          <a:solidFill>
                            <a:srgbClr val="000000"/>
                          </a:solidFill>
                          <a:prstDash val="solid"/>
                          <a:miter/>
                          <a:headEnd type="none" w="med" len="med"/>
                          <a:tailEnd type="none" w="med" len="med"/>
                        </a:ln>
                        <a:effectLst/>
                      </wps:spPr>
                      <wps:txbx>
                        <w:txbxContent>
                          <w:p>
                            <w:pPr>
                              <w:ind w:firstLine="0"/>
                              <w:rPr>
                                <w:rFonts w:hint="eastAsia" w:ascii="宋体" w:hAnsi="宋体" w:eastAsia="宋体" w:cs="宋体"/>
                                <w:b/>
                                <w:bCs/>
                                <w:sz w:val="24"/>
                                <w:szCs w:val="24"/>
                              </w:rPr>
                            </w:pPr>
                            <w:r>
                              <w:rPr>
                                <w:rFonts w:hint="eastAsia" w:ascii="宋体" w:hAnsi="宋体" w:eastAsia="宋体" w:cs="宋体"/>
                                <w:b/>
                                <w:bCs/>
                                <w:sz w:val="24"/>
                                <w:szCs w:val="24"/>
                              </w:rPr>
                              <w:t>项目所在地</w:t>
                            </w:r>
                          </w:p>
                        </w:txbxContent>
                      </wps:txbx>
                      <wps:bodyPr vert="horz" wrap="square" lIns="0" tIns="54000" rIns="0" bIns="0" anchor="t" upright="1"/>
                    </wps:wsp>
                  </a:graphicData>
                </a:graphic>
              </wp:anchor>
            </w:drawing>
          </mc:Choice>
          <mc:Fallback>
            <w:pict>
              <v:shape id="矩形标注 65" o:spid="_x0000_s1026" o:spt="61" type="#_x0000_t61" style="position:absolute;left:0pt;margin-left:234.95pt;margin-top:230.95pt;height:25pt;width:89pt;z-index:251720704;mso-width-relative:page;mso-height-relative:page;" fillcolor="#FFFFFF" filled="t" stroked="t" coordsize="21600,21600" o:gfxdata="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eWtUO2AAAAAsBAAAPAAAAAAAAAAEAIAAAACIAAABkcnMvZG93bnJl&#10;di54bWxQSwECFAAUAAAACACHTuJAK/kUk28CAADrBAAADgAAAAAAAAABACAAAAAnAQAAZHJzL2Uy&#10;b0RvYy54bWxQSwUGAAAAAAYABgBZAQAACAYAAAAA&#10;" adj="-7002,52056">
                <v:fill on="t" focussize="0,0"/>
                <v:stroke color="#000000" joinstyle="miter"/>
                <v:imagedata o:title=""/>
                <o:lock v:ext="edit" aspectratio="f"/>
                <v:textbox inset="0mm,1.5mm,0mm,0mm">
                  <w:txbxContent>
                    <w:p>
                      <w:pPr>
                        <w:ind w:firstLine="0"/>
                        <w:rPr>
                          <w:rFonts w:hint="eastAsia" w:ascii="宋体" w:hAnsi="宋体" w:eastAsia="宋体" w:cs="宋体"/>
                          <w:b/>
                          <w:bCs/>
                          <w:sz w:val="24"/>
                          <w:szCs w:val="24"/>
                        </w:rPr>
                      </w:pPr>
                      <w:r>
                        <w:rPr>
                          <w:rFonts w:hint="eastAsia" w:ascii="宋体" w:hAnsi="宋体" w:eastAsia="宋体" w:cs="宋体"/>
                          <w:b/>
                          <w:bCs/>
                          <w:sz w:val="24"/>
                          <w:szCs w:val="24"/>
                        </w:rPr>
                        <w:t>项目所在地</w:t>
                      </w:r>
                    </w:p>
                  </w:txbxContent>
                </v:textbox>
              </v:shape>
            </w:pict>
          </mc:Fallback>
        </mc:AlternateContent>
      </w:r>
      <w:r>
        <mc:AlternateContent>
          <mc:Choice Requires="wps">
            <w:drawing>
              <wp:anchor distT="0" distB="0" distL="114300" distR="114300" simplePos="0" relativeHeight="251721728" behindDoc="0" locked="0" layoutInCell="1" allowOverlap="1">
                <wp:simplePos x="0" y="0"/>
                <wp:positionH relativeFrom="column">
                  <wp:posOffset>2483485</wp:posOffset>
                </wp:positionH>
                <wp:positionV relativeFrom="paragraph">
                  <wp:posOffset>3673475</wp:posOffset>
                </wp:positionV>
                <wp:extent cx="142875" cy="133350"/>
                <wp:effectExtent l="0" t="0" r="9525" b="0"/>
                <wp:wrapNone/>
                <wp:docPr id="45" name="五角星 3"/>
                <wp:cNvGraphicFramePr/>
                <a:graphic xmlns:a="http://schemas.openxmlformats.org/drawingml/2006/main">
                  <a:graphicData uri="http://schemas.microsoft.com/office/word/2010/wordprocessingShape">
                    <wps:wsp>
                      <wps:cNvSpPr/>
                      <wps:spPr>
                        <a:xfrm>
                          <a:off x="0" y="0"/>
                          <a:ext cx="142875" cy="133350"/>
                        </a:xfrm>
                        <a:prstGeom prst="star5">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3" o:spid="_x0000_s1026" style="position:absolute;left:0pt;margin-left:195.55pt;margin-top:289.25pt;height:10.5pt;width:11.25pt;z-index:251721728;v-text-anchor:middle;mso-width-relative:page;mso-height-relative:page;" fillcolor="#FF0000" filled="t" stroked="f" coordsize="142875,133350" o:gfxdata="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FeEYi3aAAAACwEAAA8AAAAAAAAAAQAgAAAAIgAA&#10;AGRycy9kb3ducmV2LnhtbFBLAQIUABQAAAAIAIdO4kDPTsWCeAIAAN0EAAAOAAAAAAAAAAEAIAAA&#10;ACkBAABkcnMvZTJvRG9jLnhtbFBLBQYAAAAABgAGAFkBAAATBgAAAAA=&#10;" path="m0,50935l54573,50935,71437,0,88301,50935,142874,50935,98723,82414,115588,133349,71437,101869,27286,133349,44151,82414xe">
                <v:path o:connectlocs="71437,0;0,50935;27286,133349;115588,133349;142874,50935" o:connectangles="247,164,82,82,0"/>
                <v:fill on="t" focussize="0,0"/>
                <v:stroke on="f" weight="1pt" miterlimit="8" joinstyle="miter"/>
                <v:imagedata o:title=""/>
                <o:lock v:ext="edit" aspectratio="f"/>
              </v:shape>
            </w:pict>
          </mc:Fallback>
        </mc:AlternateContent>
      </w:r>
      <w:r>
        <w:drawing>
          <wp:inline distT="0" distB="0" distL="114300" distR="114300">
            <wp:extent cx="5497195" cy="6921500"/>
            <wp:effectExtent l="19050" t="19050" r="27305" b="31750"/>
            <wp:docPr id="97" name="图片 127" descr="规划对比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27" descr="规划对比图1"/>
                    <pic:cNvPicPr>
                      <a:picLocks noChangeAspect="1"/>
                    </pic:cNvPicPr>
                  </pic:nvPicPr>
                  <pic:blipFill>
                    <a:blip r:embed="rId46"/>
                    <a:srcRect l="49959" t="10760" r="2234" b="4210"/>
                    <a:stretch>
                      <a:fillRect/>
                    </a:stretch>
                  </pic:blipFill>
                  <pic:spPr>
                    <a:xfrm>
                      <a:off x="0" y="0"/>
                      <a:ext cx="5497195" cy="6921500"/>
                    </a:xfrm>
                    <a:prstGeom prst="rect">
                      <a:avLst/>
                    </a:prstGeom>
                    <a:noFill/>
                    <a:ln w="19050" cap="flat" cmpd="sng">
                      <a:solidFill>
                        <a:srgbClr val="000000"/>
                      </a:solidFill>
                      <a:prstDash val="solid"/>
                      <a:miter/>
                      <a:headEnd type="none" w="med" len="med"/>
                      <a:tailEnd type="none" w="med" len="med"/>
                    </a:ln>
                  </pic:spPr>
                </pic:pic>
              </a:graphicData>
            </a:graphic>
          </wp:inline>
        </w:drawing>
      </w:r>
    </w:p>
    <w:p>
      <w:pPr>
        <w:spacing w:line="240" w:lineRule="auto"/>
        <w:ind w:firstLine="0"/>
        <w:jc w:val="center"/>
        <w:outlineLvl w:val="4"/>
        <w:rPr>
          <w:rFonts w:hint="default" w:ascii="Times New Roman" w:hAnsi="Times New Roman" w:eastAsia="黑体" w:cs="Times New Roman"/>
          <w:b/>
          <w:sz w:val="24"/>
          <w:szCs w:val="24"/>
        </w:rPr>
      </w:pPr>
      <w:r>
        <w:rPr>
          <w:rFonts w:hint="default" w:ascii="Times New Roman" w:hAnsi="Times New Roman" w:eastAsia="黑体" w:cs="Times New Roman"/>
          <w:b/>
          <w:sz w:val="24"/>
          <w:szCs w:val="24"/>
        </w:rPr>
        <w:t>图4.2-1 福州江阴港城总体规划图</w:t>
      </w:r>
    </w:p>
    <w:p>
      <w:pPr>
        <w:widowControl/>
        <w:adjustRightInd w:val="0"/>
        <w:snapToGrid w:val="0"/>
        <w:spacing w:line="240" w:lineRule="auto"/>
        <w:ind w:firstLine="0"/>
        <w:jc w:val="center"/>
        <w:rPr>
          <w:rFonts w:hint="default" w:ascii="Times New Roman" w:hAnsi="Times New Roman" w:eastAsia="宋体" w:cs="Times New Roman"/>
          <w:sz w:val="24"/>
          <w:szCs w:val="21"/>
        </w:rPr>
      </w:pPr>
      <w:r>
        <w:rPr>
          <w:rFonts w:hint="default" w:ascii="Times New Roman" w:hAnsi="Times New Roman" w:eastAsia="宋体" w:cs="Times New Roman"/>
          <w:b/>
          <w:sz w:val="24"/>
          <w:szCs w:val="21"/>
        </w:rPr>
        <w:br w:type="page"/>
      </w:r>
      <w:r>
        <mc:AlternateContent>
          <mc:Choice Requires="wps">
            <w:drawing>
              <wp:anchor distT="0" distB="0" distL="114300" distR="114300" simplePos="0" relativeHeight="251723776" behindDoc="0" locked="0" layoutInCell="1" allowOverlap="1">
                <wp:simplePos x="0" y="0"/>
                <wp:positionH relativeFrom="column">
                  <wp:posOffset>3031490</wp:posOffset>
                </wp:positionH>
                <wp:positionV relativeFrom="paragraph">
                  <wp:posOffset>3618865</wp:posOffset>
                </wp:positionV>
                <wp:extent cx="1130300" cy="317500"/>
                <wp:effectExtent l="398780" t="4445" r="13970" b="478155"/>
                <wp:wrapNone/>
                <wp:docPr id="47" name="矩形标注 65"/>
                <wp:cNvGraphicFramePr/>
                <a:graphic xmlns:a="http://schemas.openxmlformats.org/drawingml/2006/main">
                  <a:graphicData uri="http://schemas.microsoft.com/office/word/2010/wordprocessingShape">
                    <wps:wsp>
                      <wps:cNvSpPr/>
                      <wps:spPr>
                        <a:xfrm>
                          <a:off x="0" y="0"/>
                          <a:ext cx="1130300" cy="317500"/>
                        </a:xfrm>
                        <a:prstGeom prst="wedgeRectCallout">
                          <a:avLst>
                            <a:gd name="adj1" fmla="val -82415"/>
                            <a:gd name="adj2" fmla="val 191000"/>
                          </a:avLst>
                        </a:prstGeom>
                        <a:solidFill>
                          <a:srgbClr val="FFFFFF"/>
                        </a:solidFill>
                        <a:ln w="9525" cap="flat" cmpd="sng">
                          <a:solidFill>
                            <a:srgbClr val="000000"/>
                          </a:solidFill>
                          <a:prstDash val="solid"/>
                          <a:miter/>
                          <a:headEnd type="none" w="med" len="med"/>
                          <a:tailEnd type="none" w="med" len="med"/>
                        </a:ln>
                        <a:effectLst/>
                      </wps:spPr>
                      <wps:txbx>
                        <w:txbxContent>
                          <w:p>
                            <w:pPr>
                              <w:ind w:firstLine="0"/>
                              <w:rPr>
                                <w:rFonts w:hint="eastAsia" w:ascii="宋体" w:hAnsi="宋体" w:eastAsia="宋体" w:cs="宋体"/>
                                <w:b/>
                                <w:bCs/>
                                <w:sz w:val="24"/>
                                <w:szCs w:val="24"/>
                              </w:rPr>
                            </w:pPr>
                            <w:r>
                              <w:rPr>
                                <w:rFonts w:hint="eastAsia" w:ascii="宋体" w:hAnsi="宋体" w:eastAsia="宋体" w:cs="宋体"/>
                                <w:b/>
                                <w:bCs/>
                                <w:sz w:val="24"/>
                                <w:szCs w:val="24"/>
                              </w:rPr>
                              <w:t>项目所在地</w:t>
                            </w:r>
                          </w:p>
                        </w:txbxContent>
                      </wps:txbx>
                      <wps:bodyPr vert="horz" wrap="square" lIns="0" tIns="54000" rIns="0" bIns="0" anchor="t" upright="1"/>
                    </wps:wsp>
                  </a:graphicData>
                </a:graphic>
              </wp:anchor>
            </w:drawing>
          </mc:Choice>
          <mc:Fallback>
            <w:pict>
              <v:shape id="矩形标注 65" o:spid="_x0000_s1026" o:spt="61" type="#_x0000_t61" style="position:absolute;left:0pt;margin-left:238.7pt;margin-top:284.95pt;height:25pt;width:89pt;z-index:251723776;mso-width-relative:page;mso-height-relative:page;" fillcolor="#FFFFFF" filled="t" stroked="t" coordsize="21600,21600" o:gfxdata="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UVw9PdkAAAALAQAADwAAAAAAAAABACAAAAAiAAAAZHJzL2Rvd25y&#10;ZXYueG1sUEsBAhQAFAAAAAgAh07iQHU6ho9vAgAA6wQAAA4AAAAAAAAAAQAgAAAAKAEAAGRycy9l&#10;Mm9Eb2MueG1sUEsFBgAAAAAGAAYAWQEAAAkGAAAAAA==&#10;" adj="-7002,52056">
                <v:fill on="t" focussize="0,0"/>
                <v:stroke color="#000000" joinstyle="miter"/>
                <v:imagedata o:title=""/>
                <o:lock v:ext="edit" aspectratio="f"/>
                <v:textbox inset="0mm,1.5mm,0mm,0mm">
                  <w:txbxContent>
                    <w:p>
                      <w:pPr>
                        <w:ind w:firstLine="0"/>
                        <w:rPr>
                          <w:rFonts w:hint="eastAsia" w:ascii="宋体" w:hAnsi="宋体" w:eastAsia="宋体" w:cs="宋体"/>
                          <w:b/>
                          <w:bCs/>
                          <w:sz w:val="24"/>
                          <w:szCs w:val="24"/>
                        </w:rPr>
                      </w:pPr>
                      <w:r>
                        <w:rPr>
                          <w:rFonts w:hint="eastAsia" w:ascii="宋体" w:hAnsi="宋体" w:eastAsia="宋体" w:cs="宋体"/>
                          <w:b/>
                          <w:bCs/>
                          <w:sz w:val="24"/>
                          <w:szCs w:val="24"/>
                        </w:rPr>
                        <w:t>项目所在地</w:t>
                      </w:r>
                    </w:p>
                  </w:txbxContent>
                </v:textbox>
              </v:shape>
            </w:pict>
          </mc:Fallback>
        </mc:AlternateContent>
      </w:r>
      <w:r>
        <mc:AlternateContent>
          <mc:Choice Requires="wps">
            <w:drawing>
              <wp:anchor distT="0" distB="0" distL="114300" distR="114300" simplePos="0" relativeHeight="251724800" behindDoc="0" locked="0" layoutInCell="1" allowOverlap="1">
                <wp:simplePos x="0" y="0"/>
                <wp:positionH relativeFrom="column">
                  <wp:posOffset>2531110</wp:posOffset>
                </wp:positionH>
                <wp:positionV relativeFrom="paragraph">
                  <wp:posOffset>4359275</wp:posOffset>
                </wp:positionV>
                <wp:extent cx="142875" cy="133350"/>
                <wp:effectExtent l="0" t="0" r="9525" b="0"/>
                <wp:wrapNone/>
                <wp:docPr id="48" name="五角星 8"/>
                <wp:cNvGraphicFramePr/>
                <a:graphic xmlns:a="http://schemas.openxmlformats.org/drawingml/2006/main">
                  <a:graphicData uri="http://schemas.microsoft.com/office/word/2010/wordprocessingShape">
                    <wps:wsp>
                      <wps:cNvSpPr/>
                      <wps:spPr>
                        <a:xfrm>
                          <a:off x="0" y="0"/>
                          <a:ext cx="142875" cy="133350"/>
                        </a:xfrm>
                        <a:prstGeom prst="star5">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8" o:spid="_x0000_s1026" style="position:absolute;left:0pt;margin-left:199.3pt;margin-top:343.25pt;height:10.5pt;width:11.25pt;z-index:251724800;v-text-anchor:middle;mso-width-relative:page;mso-height-relative:page;" fillcolor="#FF0000" filled="t" stroked="f" coordsize="142875,133350" o:gfxdata="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pWQM72gAAAAsBAAAPAAAAAAAAAAEAIAAAACIA&#10;AABkcnMvZG93bnJldi54bWxQSwECFAAUAAAACACHTuJAgLC3BXkCAADdBAAADgAAAAAAAAABACAA&#10;AAApAQAAZHJzL2Uyb0RvYy54bWxQSwUGAAAAAAYABgBZAQAAFAYAAAAA&#10;" path="m0,50935l54573,50935,71437,0,88301,50935,142874,50935,98723,82414,115588,133349,71437,101869,27286,133349,44151,82414xe">
                <v:path o:connectlocs="71437,0;0,50935;27286,133349;115588,133349;142874,50935" o:connectangles="247,164,82,82,0"/>
                <v:fill on="t" focussize="0,0"/>
                <v:stroke on="f" weight="1pt" miterlimit="8" joinstyle="miter"/>
                <v:imagedata o:title=""/>
                <o:lock v:ext="edit" aspectratio="f"/>
              </v:shape>
            </w:pict>
          </mc:Fallback>
        </mc:AlternateContent>
      </w:r>
      <w:r>
        <w:drawing>
          <wp:inline distT="0" distB="0" distL="114300" distR="114300">
            <wp:extent cx="5646420" cy="7943850"/>
            <wp:effectExtent l="0" t="0" r="11430" b="0"/>
            <wp:docPr id="98" name="图片 11" descr="QQ截图2018051516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1" descr="QQ截图20180515162557"/>
                    <pic:cNvPicPr>
                      <a:picLocks noChangeAspect="1"/>
                    </pic:cNvPicPr>
                  </pic:nvPicPr>
                  <pic:blipFill>
                    <a:blip r:embed="rId47"/>
                    <a:stretch>
                      <a:fillRect/>
                    </a:stretch>
                  </pic:blipFill>
                  <pic:spPr>
                    <a:xfrm>
                      <a:off x="0" y="0"/>
                      <a:ext cx="5646420" cy="7943850"/>
                    </a:xfrm>
                    <a:prstGeom prst="rect">
                      <a:avLst/>
                    </a:prstGeom>
                    <a:noFill/>
                    <a:ln>
                      <a:noFill/>
                    </a:ln>
                  </pic:spPr>
                </pic:pic>
              </a:graphicData>
            </a:graphic>
          </wp:inline>
        </w:drawing>
      </w:r>
    </w:p>
    <w:p>
      <w:pPr>
        <w:spacing w:line="240" w:lineRule="auto"/>
        <w:ind w:firstLine="0"/>
        <w:jc w:val="center"/>
        <w:outlineLvl w:val="4"/>
        <w:rPr>
          <w:rFonts w:hint="default" w:ascii="Times New Roman" w:hAnsi="Times New Roman" w:eastAsia="黑体" w:cs="Times New Roman"/>
          <w:b/>
          <w:sz w:val="24"/>
          <w:szCs w:val="24"/>
        </w:rPr>
      </w:pPr>
      <w:r>
        <w:rPr>
          <w:rFonts w:hint="default" w:ascii="Times New Roman" w:hAnsi="Times New Roman" w:eastAsia="黑体" w:cs="Times New Roman"/>
          <w:b/>
          <w:sz w:val="24"/>
          <w:szCs w:val="24"/>
        </w:rPr>
        <w:t>图4.2-2 城乡产业空间布局规划图</w:t>
      </w:r>
    </w:p>
    <w:p>
      <w:pPr>
        <w:widowControl/>
        <w:spacing w:before="62" w:beforeLines="20" w:after="93" w:afterLines="30" w:line="360" w:lineRule="auto"/>
        <w:ind w:firstLine="0"/>
        <w:rPr>
          <w:rFonts w:hint="default" w:ascii="Times New Roman" w:hAnsi="Times New Roman" w:eastAsia="宋体" w:cs="Times New Roman"/>
          <w:sz w:val="24"/>
          <w:szCs w:val="21"/>
        </w:rPr>
      </w:pPr>
    </w:p>
    <w:p>
      <w:pPr>
        <w:spacing w:line="360" w:lineRule="auto"/>
        <w:ind w:firstLine="480"/>
        <w:rPr>
          <w:rFonts w:hint="default" w:ascii="Times New Roman" w:hAnsi="Times New Roman" w:eastAsia="宋体" w:cs="Times New Roman"/>
          <w:sz w:val="24"/>
          <w:szCs w:val="24"/>
        </w:rPr>
        <w:sectPr>
          <w:pgSz w:w="11906" w:h="16838"/>
          <w:pgMar w:top="1588" w:right="1418" w:bottom="1418" w:left="1701" w:header="1021" w:footer="907" w:gutter="0"/>
          <w:pgNumType w:fmt="decimal"/>
          <w:cols w:space="720" w:num="1"/>
          <w:docGrid w:type="linesAndChars" w:linePitch="312" w:charSpace="0"/>
        </w:sectPr>
      </w:pPr>
    </w:p>
    <w:p>
      <w:pPr>
        <w:spacing w:line="360" w:lineRule="auto"/>
        <w:ind w:firstLine="0"/>
        <w:jc w:val="center"/>
        <w:rPr>
          <w:rFonts w:hint="default" w:ascii="Times New Roman" w:hAnsi="Times New Roman" w:eastAsia="宋体" w:cs="Times New Roman"/>
          <w:sz w:val="21"/>
          <w:szCs w:val="22"/>
        </w:rPr>
      </w:pPr>
      <w:r>
        <mc:AlternateContent>
          <mc:Choice Requires="wps">
            <w:drawing>
              <wp:anchor distT="0" distB="0" distL="114300" distR="114300" simplePos="0" relativeHeight="251727872" behindDoc="0" locked="0" layoutInCell="1" allowOverlap="1">
                <wp:simplePos x="0" y="0"/>
                <wp:positionH relativeFrom="column">
                  <wp:posOffset>3054985</wp:posOffset>
                </wp:positionH>
                <wp:positionV relativeFrom="paragraph">
                  <wp:posOffset>3444875</wp:posOffset>
                </wp:positionV>
                <wp:extent cx="200025" cy="190500"/>
                <wp:effectExtent l="0" t="0" r="9525" b="0"/>
                <wp:wrapNone/>
                <wp:docPr id="51" name="五角星 10"/>
                <wp:cNvGraphicFramePr/>
                <a:graphic xmlns:a="http://schemas.openxmlformats.org/drawingml/2006/main">
                  <a:graphicData uri="http://schemas.microsoft.com/office/word/2010/wordprocessingShape">
                    <wps:wsp>
                      <wps:cNvSpPr/>
                      <wps:spPr>
                        <a:xfrm>
                          <a:off x="0" y="0"/>
                          <a:ext cx="200025" cy="190500"/>
                        </a:xfrm>
                        <a:prstGeom prst="star5">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10" o:spid="_x0000_s1026" style="position:absolute;left:0pt;margin-left:240.55pt;margin-top:271.25pt;height:15pt;width:15.75pt;z-index:251727872;v-text-anchor:middle;mso-width-relative:page;mso-height-relative:page;" fillcolor="#FF0000" filled="t" stroked="f" coordsize="200025,190500" o:gfxdata="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LCCmL9cAAAALAQAADwAAAAAAAAABACAAAAAiAAAAZHJzL2Rv&#10;d25yZXYueG1sUEsBAhQAFAAAAAgAh07iQJppWtx0AgAA3gQAAA4AAAAAAAAAAQAgAAAAJgEAAGRy&#10;cy9lMm9Eb2MueG1sUEsFBgAAAAAGAAYAWQEAAAwGAAAAAA==&#10;" path="m0,72764l76403,72764,100012,0,123621,72764,200024,72764,138213,117734,161823,190499,100012,145528,38201,190499,61811,117734xe">
                <v:path o:connectlocs="100012,0;0,72764;38201,190499;161823,190499;200024,72764" o:connectangles="247,164,82,82,0"/>
                <v:fill on="t" focussize="0,0"/>
                <v:stroke on="f" weight="1pt" miterlimit="8" joinstyle="miter"/>
                <v:imagedata o:title=""/>
                <o:lock v:ext="edit" aspectratio="f"/>
              </v:shape>
            </w:pict>
          </mc:Fallback>
        </mc:AlternateContent>
      </w:r>
      <w:r>
        <mc:AlternateContent>
          <mc:Choice Requires="wps">
            <w:drawing>
              <wp:anchor distT="0" distB="0" distL="114300" distR="114300" simplePos="0" relativeHeight="251726848" behindDoc="0" locked="0" layoutInCell="1" allowOverlap="1">
                <wp:simplePos x="0" y="0"/>
                <wp:positionH relativeFrom="column">
                  <wp:posOffset>3583940</wp:posOffset>
                </wp:positionH>
                <wp:positionV relativeFrom="paragraph">
                  <wp:posOffset>2704465</wp:posOffset>
                </wp:positionV>
                <wp:extent cx="1130300" cy="317500"/>
                <wp:effectExtent l="398780" t="4445" r="13970" b="478155"/>
                <wp:wrapNone/>
                <wp:docPr id="50" name="矩形标注 65"/>
                <wp:cNvGraphicFramePr/>
                <a:graphic xmlns:a="http://schemas.openxmlformats.org/drawingml/2006/main">
                  <a:graphicData uri="http://schemas.microsoft.com/office/word/2010/wordprocessingShape">
                    <wps:wsp>
                      <wps:cNvSpPr/>
                      <wps:spPr>
                        <a:xfrm>
                          <a:off x="0" y="0"/>
                          <a:ext cx="1130300" cy="317500"/>
                        </a:xfrm>
                        <a:prstGeom prst="wedgeRectCallout">
                          <a:avLst>
                            <a:gd name="adj1" fmla="val -82415"/>
                            <a:gd name="adj2" fmla="val 191000"/>
                          </a:avLst>
                        </a:prstGeom>
                        <a:solidFill>
                          <a:srgbClr val="FFFFFF"/>
                        </a:solidFill>
                        <a:ln w="9525" cap="flat" cmpd="sng">
                          <a:solidFill>
                            <a:srgbClr val="000000"/>
                          </a:solidFill>
                          <a:prstDash val="solid"/>
                          <a:miter/>
                          <a:headEnd type="none" w="med" len="med"/>
                          <a:tailEnd type="none" w="med" len="med"/>
                        </a:ln>
                        <a:effectLst/>
                      </wps:spPr>
                      <wps:txbx>
                        <w:txbxContent>
                          <w:p>
                            <w:pPr>
                              <w:ind w:firstLine="0"/>
                              <w:rPr>
                                <w:rFonts w:hint="eastAsia" w:ascii="宋体" w:hAnsi="宋体" w:eastAsia="宋体" w:cs="宋体"/>
                                <w:b/>
                                <w:bCs/>
                                <w:sz w:val="24"/>
                                <w:szCs w:val="24"/>
                              </w:rPr>
                            </w:pPr>
                            <w:r>
                              <w:rPr>
                                <w:rFonts w:hint="eastAsia" w:ascii="宋体" w:hAnsi="宋体" w:eastAsia="宋体" w:cs="宋体"/>
                                <w:b/>
                                <w:bCs/>
                                <w:sz w:val="24"/>
                                <w:szCs w:val="24"/>
                              </w:rPr>
                              <w:t>项目所在地</w:t>
                            </w:r>
                          </w:p>
                        </w:txbxContent>
                      </wps:txbx>
                      <wps:bodyPr vert="horz" wrap="square" lIns="0" tIns="54000" rIns="0" bIns="0" anchor="t" upright="1"/>
                    </wps:wsp>
                  </a:graphicData>
                </a:graphic>
              </wp:anchor>
            </w:drawing>
          </mc:Choice>
          <mc:Fallback>
            <w:pict>
              <v:shape id="矩形标注 65" o:spid="_x0000_s1026" o:spt="61" type="#_x0000_t61" style="position:absolute;left:0pt;margin-left:282.2pt;margin-top:212.95pt;height:25pt;width:89pt;z-index:251726848;mso-width-relative:page;mso-height-relative:page;" fillcolor="#FFFFFF" filled="t" stroked="t" coordsize="21600,21600" o:gfxdata="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HzCVd2QAAAAsBAAAPAAAAAAAAAAEAIAAAACIAAABkcnMvZG93bnJl&#10;di54bWxQSwECFAAUAAAACACHTuJA/1DyVG4CAADrBAAADgAAAAAAAAABACAAAAAoAQAAZHJzL2Uy&#10;b0RvYy54bWxQSwUGAAAAAAYABgBZAQAACAYAAAAA&#10;" adj="-7002,52056">
                <v:fill on="t" focussize="0,0"/>
                <v:stroke color="#000000" joinstyle="miter"/>
                <v:imagedata o:title=""/>
                <o:lock v:ext="edit" aspectratio="f"/>
                <v:textbox inset="0mm,1.5mm,0mm,0mm">
                  <w:txbxContent>
                    <w:p>
                      <w:pPr>
                        <w:ind w:firstLine="0"/>
                        <w:rPr>
                          <w:rFonts w:hint="eastAsia" w:ascii="宋体" w:hAnsi="宋体" w:eastAsia="宋体" w:cs="宋体"/>
                          <w:b/>
                          <w:bCs/>
                          <w:sz w:val="24"/>
                          <w:szCs w:val="24"/>
                        </w:rPr>
                      </w:pPr>
                      <w:r>
                        <w:rPr>
                          <w:rFonts w:hint="eastAsia" w:ascii="宋体" w:hAnsi="宋体" w:eastAsia="宋体" w:cs="宋体"/>
                          <w:b/>
                          <w:bCs/>
                          <w:sz w:val="24"/>
                          <w:szCs w:val="24"/>
                        </w:rPr>
                        <w:t>项目所在地</w:t>
                      </w:r>
                    </w:p>
                  </w:txbxContent>
                </v:textbox>
              </v:shape>
            </w:pict>
          </mc:Fallback>
        </mc:AlternateContent>
      </w:r>
      <w:r>
        <w:drawing>
          <wp:inline distT="0" distB="0" distL="114300" distR="114300">
            <wp:extent cx="5030470" cy="6741160"/>
            <wp:effectExtent l="19050" t="19050" r="36830" b="21590"/>
            <wp:docPr id="99" name="图片 123" descr="图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23" descr="图12"/>
                    <pic:cNvPicPr>
                      <a:picLocks noChangeAspect="1"/>
                    </pic:cNvPicPr>
                  </pic:nvPicPr>
                  <pic:blipFill>
                    <a:blip r:embed="rId48"/>
                    <a:stretch>
                      <a:fillRect/>
                    </a:stretch>
                  </pic:blipFill>
                  <pic:spPr>
                    <a:xfrm>
                      <a:off x="0" y="0"/>
                      <a:ext cx="5030470" cy="6741160"/>
                    </a:xfrm>
                    <a:prstGeom prst="rect">
                      <a:avLst/>
                    </a:prstGeom>
                    <a:noFill/>
                    <a:ln w="19050" cap="flat" cmpd="sng">
                      <a:solidFill>
                        <a:srgbClr val="000000"/>
                      </a:solidFill>
                      <a:prstDash val="solid"/>
                      <a:miter/>
                      <a:headEnd type="none" w="med" len="med"/>
                      <a:tailEnd type="none" w="med" len="med"/>
                    </a:ln>
                  </pic:spPr>
                </pic:pic>
              </a:graphicData>
            </a:graphic>
          </wp:inline>
        </w:drawing>
      </w:r>
    </w:p>
    <w:p>
      <w:pPr>
        <w:spacing w:line="240" w:lineRule="auto"/>
        <w:ind w:firstLine="0"/>
        <w:jc w:val="center"/>
        <w:outlineLvl w:val="4"/>
        <w:rPr>
          <w:rFonts w:hint="default" w:ascii="Times New Roman" w:hAnsi="Times New Roman" w:eastAsia="黑体" w:cs="Times New Roman"/>
          <w:b/>
          <w:sz w:val="24"/>
          <w:szCs w:val="24"/>
        </w:rPr>
      </w:pPr>
      <w:r>
        <w:rPr>
          <w:rFonts w:hint="default" w:ascii="Times New Roman" w:hAnsi="Times New Roman" w:eastAsia="黑体" w:cs="Times New Roman"/>
          <w:b/>
          <w:sz w:val="24"/>
          <w:szCs w:val="24"/>
        </w:rPr>
        <w:t>图4.2-3 江阴港城西部产业区环保隔离带设置情况示意图</w:t>
      </w:r>
    </w:p>
    <w:p>
      <w:pPr>
        <w:spacing w:line="360" w:lineRule="auto"/>
        <w:ind w:firstLine="480"/>
        <w:outlineLvl w:val="4"/>
        <w:rPr>
          <w:rFonts w:hint="default" w:ascii="Times New Roman" w:hAnsi="Times New Roman" w:eastAsia="宋体" w:cs="Times New Roman"/>
          <w:sz w:val="24"/>
          <w:szCs w:val="24"/>
        </w:rPr>
        <w:sectPr>
          <w:pgSz w:w="11906" w:h="16838"/>
          <w:pgMar w:top="1588" w:right="1418" w:bottom="1418" w:left="1701" w:header="1021" w:footer="907" w:gutter="0"/>
          <w:pgNumType w:fmt="decimal"/>
          <w:cols w:space="720" w:num="1"/>
          <w:docGrid w:type="linesAndChars" w:linePitch="312" w:charSpace="0"/>
        </w:sectPr>
      </w:pPr>
    </w:p>
    <w:p>
      <w:pPr>
        <w:widowControl/>
        <w:snapToGrid w:val="0"/>
        <w:spacing w:line="360" w:lineRule="auto"/>
        <w:ind w:firstLine="0"/>
        <w:jc w:val="center"/>
        <w:rPr>
          <w:rFonts w:hint="default" w:ascii="Times New Roman" w:hAnsi="Times New Roman" w:eastAsia="宋体" w:cs="Times New Roman"/>
          <w:b/>
          <w:kern w:val="0"/>
          <w:sz w:val="24"/>
        </w:rPr>
      </w:pPr>
      <w:r>
        <mc:AlternateContent>
          <mc:Choice Requires="wps">
            <w:drawing>
              <wp:anchor distT="0" distB="0" distL="114300" distR="114300" simplePos="0" relativeHeight="251715584" behindDoc="0" locked="0" layoutInCell="1" allowOverlap="1">
                <wp:simplePos x="0" y="0"/>
                <wp:positionH relativeFrom="column">
                  <wp:posOffset>4142740</wp:posOffset>
                </wp:positionH>
                <wp:positionV relativeFrom="paragraph">
                  <wp:posOffset>6005195</wp:posOffset>
                </wp:positionV>
                <wp:extent cx="914400" cy="297180"/>
                <wp:effectExtent l="4445" t="4445" r="14605" b="22225"/>
                <wp:wrapNone/>
                <wp:docPr id="272" name="文本框 79"/>
                <wp:cNvGraphicFramePr/>
                <a:graphic xmlns:a="http://schemas.openxmlformats.org/drawingml/2006/main">
                  <a:graphicData uri="http://schemas.microsoft.com/office/word/2010/wordprocessingShape">
                    <wps:wsp>
                      <wps:cNvSpPr txBox="1"/>
                      <wps:spPr>
                        <a:xfrm>
                          <a:off x="0" y="0"/>
                          <a:ext cx="914400" cy="297180"/>
                        </a:xfrm>
                        <a:prstGeom prst="rect">
                          <a:avLst/>
                        </a:prstGeom>
                        <a:solidFill>
                          <a:srgbClr val="FFFFFF"/>
                        </a:solidFill>
                        <a:ln w="9525" cap="flat" cmpd="sng">
                          <a:solidFill>
                            <a:srgbClr val="FF00FF"/>
                          </a:solidFill>
                          <a:prstDash val="solid"/>
                          <a:miter/>
                          <a:headEnd type="none" w="med" len="med"/>
                          <a:tailEnd type="none" w="med" len="med"/>
                        </a:ln>
                        <a:effectLst/>
                      </wps:spPr>
                      <wps:txbx>
                        <w:txbxContent>
                          <w:p>
                            <w:pPr>
                              <w:ind w:firstLine="0"/>
                              <w:rPr>
                                <w:color w:val="FF00FF"/>
                                <w:szCs w:val="21"/>
                              </w:rPr>
                            </w:pPr>
                            <w:r>
                              <w:rPr>
                                <w:rFonts w:hint="eastAsia"/>
                                <w:color w:val="FF00FF"/>
                                <w:szCs w:val="21"/>
                              </w:rPr>
                              <w:t>环保隔离带</w:t>
                            </w:r>
                          </w:p>
                        </w:txbxContent>
                      </wps:txbx>
                      <wps:bodyPr wrap="square" lIns="0" tIns="0" rIns="0" bIns="0" upright="1"/>
                    </wps:wsp>
                  </a:graphicData>
                </a:graphic>
              </wp:anchor>
            </w:drawing>
          </mc:Choice>
          <mc:Fallback>
            <w:pict>
              <v:shape id="文本框 79" o:spid="_x0000_s1026" o:spt="202" type="#_x0000_t202" style="position:absolute;left:0pt;margin-left:326.2pt;margin-top:472.85pt;height:23.4pt;width:72pt;z-index:251715584;mso-width-relative:page;mso-height-relative:page;" fillcolor="#FFFFFF" filled="t" stroked="t" coordsize="21600,21600" o:gfxdata="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cnyIraAAAACwEAAA8AAAAAAAAAAQAgAAAAIgAAAGRycy9kb3ducmV2LnhtbFBL&#10;AQIUABQAAAAIAIdO4kAj0fcqLQIAAHgEAAAOAAAAAAAAAAEAIAAAACkBAABkcnMvZTJvRG9jLnht&#10;bFBLBQYAAAAABgAGAFkBAADIBQAAAAA=&#10;">
                <v:fill on="t" focussize="0,0"/>
                <v:stroke color="#FF00FF" joinstyle="miter"/>
                <v:imagedata o:title=""/>
                <o:lock v:ext="edit" aspectratio="f"/>
                <v:textbox inset="0mm,0mm,0mm,0mm">
                  <w:txbxContent>
                    <w:p>
                      <w:pPr>
                        <w:ind w:firstLine="0"/>
                        <w:rPr>
                          <w:color w:val="FF00FF"/>
                          <w:szCs w:val="21"/>
                        </w:rPr>
                      </w:pPr>
                      <w:r>
                        <w:rPr>
                          <w:rFonts w:hint="eastAsia"/>
                          <w:color w:val="FF00FF"/>
                          <w:szCs w:val="21"/>
                        </w:rPr>
                        <w:t>环保隔离带</w:t>
                      </w:r>
                    </w:p>
                  </w:txbxContent>
                </v:textbox>
              </v:shape>
            </w:pict>
          </mc:Fallback>
        </mc:AlternateContent>
      </w:r>
      <w:r>
        <mc:AlternateContent>
          <mc:Choice Requires="wps">
            <w:drawing>
              <wp:anchor distT="0" distB="0" distL="114300" distR="114300" simplePos="0" relativeHeight="251716608" behindDoc="0" locked="0" layoutInCell="1" allowOverlap="1">
                <wp:simplePos x="0" y="0"/>
                <wp:positionH relativeFrom="column">
                  <wp:posOffset>3752215</wp:posOffset>
                </wp:positionH>
                <wp:positionV relativeFrom="paragraph">
                  <wp:posOffset>5624830</wp:posOffset>
                </wp:positionV>
                <wp:extent cx="390525" cy="380365"/>
                <wp:effectExtent l="10160" t="10160" r="18415" b="28575"/>
                <wp:wrapNone/>
                <wp:docPr id="273" name="自选图形 80"/>
                <wp:cNvGraphicFramePr/>
                <a:graphic xmlns:a="http://schemas.openxmlformats.org/drawingml/2006/main">
                  <a:graphicData uri="http://schemas.microsoft.com/office/word/2010/wordprocessingShape">
                    <wps:wsp>
                      <wps:cNvCnPr>
                        <a:endCxn id="55" idx="2"/>
                      </wps:cNvCnPr>
                      <wps:spPr>
                        <a:xfrm>
                          <a:off x="0" y="0"/>
                          <a:ext cx="390525" cy="380365"/>
                        </a:xfrm>
                        <a:prstGeom prst="straightConnector1">
                          <a:avLst/>
                        </a:prstGeom>
                        <a:ln w="28575" cap="flat" cmpd="sng">
                          <a:solidFill>
                            <a:srgbClr val="FF00FF"/>
                          </a:solidFill>
                          <a:prstDash val="solid"/>
                          <a:headEnd type="none" w="med" len="med"/>
                          <a:tailEnd type="none" w="med" len="med"/>
                        </a:ln>
                        <a:effectLst/>
                      </wps:spPr>
                      <wps:bodyPr/>
                    </wps:wsp>
                  </a:graphicData>
                </a:graphic>
              </wp:anchor>
            </w:drawing>
          </mc:Choice>
          <mc:Fallback>
            <w:pict>
              <v:shape id="自选图形 80" o:spid="_x0000_s1026" o:spt="32" type="#_x0000_t32" style="position:absolute;left:0pt;margin-left:295.45pt;margin-top:442.9pt;height:29.95pt;width:30.75pt;z-index:251716608;mso-width-relative:page;mso-height-relative:page;" filled="f" stroked="t" coordsize="21600,21600" o:gfxdata="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moVGFtsAAAALAQAADwAA&#10;AAAAAAABACAAAAAiAAAAZHJzL2Rvd25yZXYueG1sUEsBAhQAFAAAAAgAh07iQOvXZ+sTAgAAIQQA&#10;AA4AAAAAAAAAAQAgAAAAKgEAAGRycy9lMm9Eb2MueG1sUEsFBgAAAAAGAAYAWQEAAK8FAAAAAA==&#10;">
                <v:fill on="f" focussize="0,0"/>
                <v:stroke weight="2.25pt" color="#FF00FF" joinstyle="round"/>
                <v:imagedata o:title=""/>
                <o:lock v:ext="edit" aspectratio="f"/>
              </v:shape>
            </w:pict>
          </mc:Fallback>
        </mc:AlternateContent>
      </w:r>
      <w:r>
        <w:drawing>
          <wp:inline distT="0" distB="0" distL="114300" distR="114300">
            <wp:extent cx="5548630" cy="8223250"/>
            <wp:effectExtent l="28575" t="9525" r="42545" b="34925"/>
            <wp:docPr id="100" name="图片 48" descr="图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8" descr="图12"/>
                    <pic:cNvPicPr>
                      <a:picLocks noChangeAspect="1"/>
                    </pic:cNvPicPr>
                  </pic:nvPicPr>
                  <pic:blipFill>
                    <a:blip r:embed="rId49"/>
                    <a:stretch>
                      <a:fillRect/>
                    </a:stretch>
                  </pic:blipFill>
                  <pic:spPr>
                    <a:xfrm>
                      <a:off x="0" y="0"/>
                      <a:ext cx="5548630" cy="8223250"/>
                    </a:xfrm>
                    <a:prstGeom prst="rect">
                      <a:avLst/>
                    </a:prstGeom>
                    <a:noFill/>
                    <a:ln w="28575" cap="flat" cmpd="sng">
                      <a:solidFill>
                        <a:srgbClr val="000000"/>
                      </a:solidFill>
                      <a:prstDash val="solid"/>
                      <a:round/>
                      <a:headEnd type="none" w="med" len="med"/>
                      <a:tailEnd type="none" w="med" len="med"/>
                    </a:ln>
                  </pic:spPr>
                </pic:pic>
              </a:graphicData>
            </a:graphic>
          </wp:inline>
        </w:drawing>
      </w:r>
    </w:p>
    <w:p>
      <w:pPr>
        <w:spacing w:line="240" w:lineRule="auto"/>
        <w:ind w:firstLine="0"/>
        <w:jc w:val="center"/>
        <w:outlineLvl w:val="4"/>
        <w:rPr>
          <w:rFonts w:hint="default" w:ascii="Times New Roman" w:hAnsi="Times New Roman" w:eastAsia="黑体" w:cs="Times New Roman"/>
          <w:b/>
          <w:sz w:val="24"/>
          <w:szCs w:val="24"/>
        </w:rPr>
      </w:pPr>
      <w:bookmarkStart w:id="225" w:name="_Ref523493865"/>
      <w:r>
        <w:rPr>
          <w:rFonts w:hint="default" w:ascii="Times New Roman" w:hAnsi="Times New Roman" w:eastAsia="黑体" w:cs="Times New Roman"/>
          <w:b/>
          <w:sz w:val="24"/>
          <w:szCs w:val="24"/>
        </w:rPr>
        <w:t>图</w:t>
      </w:r>
      <w:bookmarkEnd w:id="225"/>
      <w:r>
        <w:rPr>
          <w:rFonts w:hint="default" w:ascii="Times New Roman" w:hAnsi="Times New Roman" w:eastAsia="黑体" w:cs="Times New Roman"/>
          <w:b/>
          <w:sz w:val="24"/>
          <w:szCs w:val="24"/>
        </w:rPr>
        <w:t>4.2-4  江阴港城东部产业区环保隔离带设置情况示意图</w:t>
      </w:r>
    </w:p>
    <w:p>
      <w:pPr>
        <w:spacing w:line="240" w:lineRule="auto"/>
        <w:ind w:firstLine="480"/>
        <w:outlineLvl w:val="4"/>
        <w:rPr>
          <w:rFonts w:hint="default" w:ascii="Times New Roman" w:hAnsi="Times New Roman" w:eastAsia="宋体" w:cs="Times New Roman"/>
          <w:sz w:val="21"/>
          <w:szCs w:val="22"/>
        </w:rPr>
        <w:sectPr>
          <w:pgSz w:w="11906" w:h="16838"/>
          <w:pgMar w:top="1417" w:right="1701" w:bottom="1587" w:left="1418" w:header="1021" w:footer="907" w:gutter="0"/>
          <w:pgNumType w:fmt="decimal"/>
          <w:cols w:space="720" w:num="1"/>
          <w:docGrid w:type="linesAndChars" w:linePitch="312" w:charSpace="884"/>
        </w:sectPr>
      </w:pPr>
    </w:p>
    <w:p>
      <w:pPr>
        <w:spacing w:line="360" w:lineRule="auto"/>
        <w:ind w:firstLine="0"/>
        <w:outlineLvl w:val="2"/>
        <w:rPr>
          <w:rFonts w:hint="default" w:ascii="Times New Roman" w:hAnsi="Times New Roman" w:eastAsia="黑体" w:cs="Times New Roman"/>
          <w:sz w:val="30"/>
          <w:szCs w:val="28"/>
        </w:rPr>
      </w:pPr>
      <w:r>
        <w:rPr>
          <w:rFonts w:hint="default" w:ascii="Times New Roman" w:hAnsi="Times New Roman" w:eastAsia="黑体" w:cs="Times New Roman"/>
          <w:sz w:val="30"/>
          <w:szCs w:val="28"/>
        </w:rPr>
        <w:t>4.2.2福州江阴港城经济区配套基础设施建设概况</w:t>
      </w:r>
    </w:p>
    <w:p>
      <w:pPr>
        <w:spacing w:line="360" w:lineRule="auto"/>
        <w:ind w:firstLine="0"/>
        <w:outlineLvl w:val="3"/>
        <w:rPr>
          <w:rFonts w:hint="default" w:ascii="Times New Roman" w:hAnsi="Times New Roman" w:eastAsia="黑体" w:cs="Times New Roman"/>
          <w:bCs/>
          <w:color w:val="000000"/>
          <w:szCs w:val="24"/>
        </w:rPr>
      </w:pPr>
      <w:r>
        <w:rPr>
          <w:rFonts w:hint="default" w:ascii="Times New Roman" w:hAnsi="Times New Roman" w:eastAsia="黑体" w:cs="Times New Roman"/>
          <w:bCs/>
          <w:color w:val="000000"/>
          <w:szCs w:val="24"/>
        </w:rPr>
        <w:t>4.2.2.1供水设施</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规划区江阴组团供水近期由闽江调水江阴支线及东张水库至江阴新港城原水输送工程供水；远期北水南调水源进入东张水库，闽调江阴支线及东张水库共同作为水源。</w:t>
      </w:r>
    </w:p>
    <w:p>
      <w:pPr>
        <w:spacing w:line="360" w:lineRule="auto"/>
        <w:ind w:firstLine="480"/>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00"/>
          <w:sz w:val="24"/>
          <w:szCs w:val="24"/>
        </w:rPr>
        <w:t>江阴一、二水厂和原水厂水源取自闽江调水江阴支线，并以建新水库至江阴输水支线为备用；江阴再生水处理厂以紧挨布置的江阴港城污水处理厂尾水作为水源。规划保留江阴一水厂，近期扩建至10.0万m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/d，直供原水20万m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/d，预留用地10hm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；远期江阴一水厂调整为工业用水水厂。远期新建江阴二水厂，设计规模为22万m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/d，预留用地22hm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。规划远期建设江阴再生水处理厂，设计规模为4万m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/d，预留用地4hm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。至2035年，三座水厂总供水能力为56万m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/d。沿贯通全区的干道布置给水干管DN500～DN1000，新建和改造道路沿路敷设给水支干管DN200～DN400，近期先建成枝状管网，远期建设成环。规划将里下底水库作为江阴二水厂的应急备用水源地。</w:t>
      </w:r>
    </w:p>
    <w:p>
      <w:pPr>
        <w:spacing w:line="360" w:lineRule="auto"/>
        <w:ind w:firstLine="0"/>
        <w:outlineLvl w:val="3"/>
        <w:rPr>
          <w:rFonts w:hint="default" w:ascii="Times New Roman" w:hAnsi="Times New Roman" w:eastAsia="黑体" w:cs="Times New Roman"/>
          <w:bCs/>
          <w:color w:val="000000"/>
          <w:szCs w:val="24"/>
        </w:rPr>
      </w:pPr>
      <w:r>
        <w:rPr>
          <w:rFonts w:hint="default" w:ascii="Times New Roman" w:hAnsi="Times New Roman" w:eastAsia="黑体" w:cs="Times New Roman"/>
          <w:bCs/>
          <w:color w:val="000000"/>
          <w:szCs w:val="24"/>
        </w:rPr>
        <w:t>4.2.2.2供电设施</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保留江阴火电厂。规划建设1座专用、4座公用220kV变电站，11座专用、16座公用110kV变电站为江阴港城供电。</w:t>
      </w:r>
    </w:p>
    <w:p>
      <w:pPr>
        <w:spacing w:line="360" w:lineRule="auto"/>
        <w:ind w:firstLine="0"/>
        <w:outlineLvl w:val="3"/>
        <w:rPr>
          <w:rFonts w:hint="default" w:ascii="Times New Roman" w:hAnsi="Times New Roman" w:eastAsia="黑体" w:cs="Times New Roman"/>
          <w:bCs/>
          <w:color w:val="000000"/>
          <w:szCs w:val="24"/>
        </w:rPr>
      </w:pPr>
      <w:r>
        <w:rPr>
          <w:rFonts w:hint="default" w:ascii="Times New Roman" w:hAnsi="Times New Roman" w:eastAsia="黑体" w:cs="Times New Roman"/>
          <w:bCs/>
          <w:color w:val="000000"/>
          <w:szCs w:val="24"/>
        </w:rPr>
        <w:t>4.2.2.3集中供热</w:t>
      </w:r>
    </w:p>
    <w:p>
      <w:pPr>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目前江阴港城经济区供热范围内，国能(福州)热电有限公司是唯一的集中供热热源点，一期拥有2x600MW超临界燃煤发电机组，并于2010年9月完成技改实现对外供热。为满足园区热负荷日益增长的需要，国能(福州)热电有限公司持续对一期机组进行供热改造。2020年9月，供热改造工程通过环保阶段性竣工验收。2020年11月，一期2x600MW机组供热扩容改造工程通过验收。2021年1月，电厂1号机组获得福建省工信厅热电联产机组的认定。目前国能(福州)热电有限公司单台机组(一用一备)具备高压供热(42MPa/420℃)能力100t/h，中压供热(2.1MPa/300℃)能力200t/h，中排低压供热(0.9MPa/300℃)能力290t/h，合计供热能力590t/h。</w:t>
      </w:r>
    </w:p>
    <w:p>
      <w:pPr>
        <w:spacing w:line="360" w:lineRule="auto"/>
        <w:ind w:firstLine="480"/>
        <w:rPr>
          <w:rFonts w:hint="default" w:ascii="Times New Roman" w:hAnsi="Times New Roman" w:eastAsia="宋体" w:cs="Times New Roman"/>
          <w:color w:val="0000FF"/>
          <w:sz w:val="24"/>
          <w:szCs w:val="24"/>
        </w:rPr>
      </w:pPr>
      <w:r>
        <w:rPr>
          <w:rFonts w:hint="default" w:ascii="Times New Roman" w:hAnsi="Times New Roman" w:eastAsia="宋体" w:cs="Times New Roman"/>
          <w:sz w:val="24"/>
          <w:szCs w:val="24"/>
        </w:rPr>
        <w:t>江阴港城经济区热负荷以生产热负荷为主，主要集中在西部临港产业区、东部临港产业区和新厝先进制造业基地。国能(福州)热由有限公司已对规划范围内的大部分企业集中供热，个别企业(如东南电化、耀隆化工)建设了自备电站。目前电厂外的供热管网由和特能源(福建)股份有限公司建设运营。现有四条供热(高中低压)母管对外供热，国能(福州)热电有限公司现阶段给47家用热企业供热。国能(福州)热电有限公司提供了2020年供汽平均热负荷为265.5t/h。园区供热管网详见图4.2-5。</w:t>
      </w:r>
    </w:p>
    <w:p>
      <w:pPr>
        <w:widowControl/>
        <w:spacing w:line="360" w:lineRule="auto"/>
        <w:ind w:firstLine="480"/>
        <w:rPr>
          <w:rFonts w:hint="default" w:ascii="Times New Roman" w:hAnsi="Times New Roman" w:eastAsia="宋体" w:cs="Times New Roman"/>
          <w:sz w:val="24"/>
          <w:szCs w:val="22"/>
        </w:rPr>
        <w:sectPr>
          <w:pgSz w:w="11906" w:h="16838"/>
          <w:pgMar w:top="1134" w:right="1440" w:bottom="1134" w:left="1503" w:header="851" w:footer="850" w:gutter="0"/>
          <w:pgNumType w:fmt="decimal"/>
          <w:cols w:space="720" w:num="1"/>
          <w:docGrid w:linePitch="326" w:charSpace="0"/>
        </w:sectPr>
      </w:pPr>
    </w:p>
    <w:p>
      <w:pPr>
        <w:widowControl/>
        <w:spacing w:before="48" w:beforeLines="20" w:after="72" w:afterLines="30" w:line="360" w:lineRule="auto"/>
        <w:ind w:firstLine="480"/>
        <w:jc w:val="center"/>
        <w:rPr>
          <w:rFonts w:hint="default" w:ascii="Times New Roman" w:hAnsi="Times New Roman" w:eastAsia="宋体" w:cs="Times New Roman"/>
          <w:sz w:val="24"/>
          <w:szCs w:val="21"/>
        </w:rPr>
      </w:pPr>
      <w:r>
        <mc:AlternateContent>
          <mc:Choice Requires="wps">
            <w:drawing>
              <wp:anchor distT="0" distB="0" distL="114300" distR="114300" simplePos="0" relativeHeight="251703296" behindDoc="0" locked="0" layoutInCell="1" allowOverlap="1">
                <wp:simplePos x="0" y="0"/>
                <wp:positionH relativeFrom="column">
                  <wp:posOffset>3202940</wp:posOffset>
                </wp:positionH>
                <wp:positionV relativeFrom="paragraph">
                  <wp:posOffset>1921510</wp:posOffset>
                </wp:positionV>
                <wp:extent cx="1130300" cy="317500"/>
                <wp:effectExtent l="398780" t="4445" r="13970" b="478155"/>
                <wp:wrapNone/>
                <wp:docPr id="33" name="矩形标注 65"/>
                <wp:cNvGraphicFramePr/>
                <a:graphic xmlns:a="http://schemas.openxmlformats.org/drawingml/2006/main">
                  <a:graphicData uri="http://schemas.microsoft.com/office/word/2010/wordprocessingShape">
                    <wps:wsp>
                      <wps:cNvSpPr/>
                      <wps:spPr>
                        <a:xfrm>
                          <a:off x="0" y="0"/>
                          <a:ext cx="1130300" cy="317500"/>
                        </a:xfrm>
                        <a:prstGeom prst="wedgeRectCallout">
                          <a:avLst>
                            <a:gd name="adj1" fmla="val -82415"/>
                            <a:gd name="adj2" fmla="val 191000"/>
                          </a:avLst>
                        </a:prstGeom>
                        <a:solidFill>
                          <a:srgbClr val="FFFFFF"/>
                        </a:solidFill>
                        <a:ln w="9525" cap="flat" cmpd="sng">
                          <a:solidFill>
                            <a:srgbClr val="000000"/>
                          </a:solidFill>
                          <a:prstDash val="solid"/>
                          <a:miter/>
                          <a:headEnd type="none" w="med" len="med"/>
                          <a:tailEnd type="none" w="med" len="med"/>
                        </a:ln>
                        <a:effectLst/>
                      </wps:spPr>
                      <wps:txbx>
                        <w:txbxContent>
                          <w:p>
                            <w:pPr>
                              <w:ind w:firstLine="241" w:firstLineChars="100"/>
                              <w:rPr>
                                <w:rFonts w:hint="eastAsia" w:ascii="宋体" w:hAnsi="宋体" w:eastAsia="宋体" w:cs="宋体"/>
                                <w:b/>
                                <w:bCs/>
                                <w:sz w:val="24"/>
                                <w:szCs w:val="24"/>
                              </w:rPr>
                            </w:pPr>
                            <w:r>
                              <w:rPr>
                                <w:rFonts w:hint="eastAsia" w:ascii="宋体" w:hAnsi="宋体" w:eastAsia="宋体" w:cs="宋体"/>
                                <w:b/>
                                <w:bCs/>
                                <w:sz w:val="24"/>
                                <w:szCs w:val="24"/>
                              </w:rPr>
                              <w:t>项目所在地</w:t>
                            </w:r>
                          </w:p>
                        </w:txbxContent>
                      </wps:txbx>
                      <wps:bodyPr vert="horz" wrap="square" lIns="0" tIns="54000" rIns="0" bIns="0" anchor="t" upright="1"/>
                    </wps:wsp>
                  </a:graphicData>
                </a:graphic>
              </wp:anchor>
            </w:drawing>
          </mc:Choice>
          <mc:Fallback>
            <w:pict>
              <v:shape id="矩形标注 65" o:spid="_x0000_s1026" o:spt="61" type="#_x0000_t61" style="position:absolute;left:0pt;margin-left:252.2pt;margin-top:151.3pt;height:25pt;width:89pt;z-index:251703296;mso-width-relative:page;mso-height-relative:page;" fillcolor="#FFFFFF" filled="t" stroked="t" coordsize="21600,21600" o:gfxdata="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XDrat2QAAAAsBAAAPAAAAAAAAAAEAIAAAACIAAABkcnMvZG93bnJl&#10;di54bWxQSwECFAAUAAAACACHTuJAjxuPem4CAADrBAAADgAAAAAAAAABACAAAAAoAQAAZHJzL2Uy&#10;b0RvYy54bWxQSwUGAAAAAAYABgBZAQAACAYAAAAA&#10;" adj="-7002,52056">
                <v:fill on="t" focussize="0,0"/>
                <v:stroke color="#000000" joinstyle="miter"/>
                <v:imagedata o:title=""/>
                <o:lock v:ext="edit" aspectratio="f"/>
                <v:textbox inset="0mm,1.5mm,0mm,0mm">
                  <w:txbxContent>
                    <w:p>
                      <w:pPr>
                        <w:ind w:firstLine="241" w:firstLineChars="100"/>
                        <w:rPr>
                          <w:rFonts w:hint="eastAsia" w:ascii="宋体" w:hAnsi="宋体" w:eastAsia="宋体" w:cs="宋体"/>
                          <w:b/>
                          <w:bCs/>
                          <w:sz w:val="24"/>
                          <w:szCs w:val="24"/>
                        </w:rPr>
                      </w:pPr>
                      <w:r>
                        <w:rPr>
                          <w:rFonts w:hint="eastAsia" w:ascii="宋体" w:hAnsi="宋体" w:eastAsia="宋体" w:cs="宋体"/>
                          <w:b/>
                          <w:bCs/>
                          <w:sz w:val="24"/>
                          <w:szCs w:val="24"/>
                        </w:rPr>
                        <w:t>项目所在地</w:t>
                      </w:r>
                    </w:p>
                  </w:txbxContent>
                </v:textbox>
              </v:shape>
            </w:pict>
          </mc:Fallback>
        </mc:AlternateContent>
      </w:r>
      <w:r>
        <mc:AlternateContent>
          <mc:Choice Requires="wps">
            <w:drawing>
              <wp:anchor distT="0" distB="0" distL="114300" distR="114300" simplePos="0" relativeHeight="251704320" behindDoc="0" locked="0" layoutInCell="1" allowOverlap="1">
                <wp:simplePos x="0" y="0"/>
                <wp:positionH relativeFrom="column">
                  <wp:posOffset>2712085</wp:posOffset>
                </wp:positionH>
                <wp:positionV relativeFrom="paragraph">
                  <wp:posOffset>2681605</wp:posOffset>
                </wp:positionV>
                <wp:extent cx="142875" cy="133350"/>
                <wp:effectExtent l="0" t="0" r="9525" b="0"/>
                <wp:wrapNone/>
                <wp:docPr id="34" name="五角星 12"/>
                <wp:cNvGraphicFramePr/>
                <a:graphic xmlns:a="http://schemas.openxmlformats.org/drawingml/2006/main">
                  <a:graphicData uri="http://schemas.microsoft.com/office/word/2010/wordprocessingShape">
                    <wps:wsp>
                      <wps:cNvSpPr/>
                      <wps:spPr>
                        <a:xfrm>
                          <a:off x="0" y="0"/>
                          <a:ext cx="142875" cy="133350"/>
                        </a:xfrm>
                        <a:prstGeom prst="star5">
                          <a:avLst/>
                        </a:prstGeom>
                        <a:solidFill>
                          <a:srgbClr val="FF0000"/>
                        </a:solidFill>
                        <a:ln w="12700" cap="flat" cmpd="sng" algn="ctr">
                          <a:no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12" o:spid="_x0000_s1026" style="position:absolute;left:0pt;margin-left:213.55pt;margin-top:211.15pt;height:10.5pt;width:11.25pt;z-index:251704320;v-text-anchor:middle;mso-width-relative:page;mso-height-relative:page;" fillcolor="#FF0000" filled="t" stroked="f" coordsize="142875,133350" o:gfxdata="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OoExpjXAAAACwEAAA8AAAAAAAAAAQAg&#10;AAAAIgAAAGRycy9kb3ducmV2LnhtbFBLAQIUABQAAAAIAIdO4kDSicRbgQIAAOkEAAAOAAAAAAAA&#10;AAEAIAAAACYBAABkcnMvZTJvRG9jLnhtbFBLBQYAAAAABgAGAFkBAAAZBgAAAAA=&#10;" path="m0,50935l54573,50935,71437,0,88301,50935,142874,50935,98723,82414,115588,133349,71437,101869,27286,133349,44151,82414xe">
                <v:path textboxrect="0,0,142875,133350" o:connectlocs="71437,0;0,50935;27286,133349;115588,133349;142874,50935" o:connectangles="247,164,82,82,0"/>
                <v:fill on="t" focussize="0,0"/>
                <v:stroke on="f" weight="1pt" miterlimit="8" joinstyle="miter"/>
                <v:imagedata o:title=""/>
                <o:lock v:ext="edit" aspectratio="f"/>
                <v:textbox>
                  <w:txbxContent>
                    <w:p>
                      <w:pPr>
                        <w:jc w:val="center"/>
                      </w:pPr>
                    </w:p>
                  </w:txbxContent>
                </v:textbox>
              </v:shape>
            </w:pict>
          </mc:Fallback>
        </mc:AlternateContent>
      </w:r>
      <w:r>
        <w:drawing>
          <wp:inline distT="0" distB="0" distL="114300" distR="114300">
            <wp:extent cx="7059930" cy="4965700"/>
            <wp:effectExtent l="0" t="0" r="7620" b="6350"/>
            <wp:docPr id="101" name="图片 20" descr="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0" descr="图3"/>
                    <pic:cNvPicPr>
                      <a:picLocks noChangeAspect="1"/>
                    </pic:cNvPicPr>
                  </pic:nvPicPr>
                  <pic:blipFill>
                    <a:blip r:embed="rId50"/>
                    <a:srcRect b="4990"/>
                    <a:stretch>
                      <a:fillRect/>
                    </a:stretch>
                  </pic:blipFill>
                  <pic:spPr>
                    <a:xfrm>
                      <a:off x="0" y="0"/>
                      <a:ext cx="7059930" cy="4965700"/>
                    </a:xfrm>
                    <a:prstGeom prst="rect">
                      <a:avLst/>
                    </a:prstGeom>
                    <a:noFill/>
                    <a:ln>
                      <a:noFill/>
                    </a:ln>
                  </pic:spPr>
                </pic:pic>
              </a:graphicData>
            </a:graphic>
          </wp:inline>
        </w:drawing>
      </w:r>
    </w:p>
    <w:p>
      <w:pPr>
        <w:spacing w:line="240" w:lineRule="auto"/>
        <w:ind w:firstLine="0"/>
        <w:jc w:val="center"/>
        <w:outlineLvl w:val="4"/>
        <w:rPr>
          <w:rFonts w:hint="default" w:ascii="Times New Roman" w:hAnsi="Times New Roman" w:eastAsia="黑体" w:cs="Times New Roman"/>
          <w:b/>
          <w:sz w:val="24"/>
          <w:szCs w:val="24"/>
        </w:rPr>
      </w:pPr>
      <w:r>
        <w:rPr>
          <w:rFonts w:hint="default" w:ascii="Times New Roman" w:hAnsi="Times New Roman" w:eastAsia="黑体" w:cs="Times New Roman"/>
          <w:b/>
          <w:sz w:val="24"/>
          <w:szCs w:val="24"/>
        </w:rPr>
        <w:t>图4.2-5 江阴港城区内热网规划示意图</w:t>
      </w:r>
    </w:p>
    <w:p>
      <w:pPr>
        <w:adjustRightInd w:val="0"/>
        <w:snapToGrid w:val="0"/>
        <w:spacing w:before="97" w:line="240" w:lineRule="auto"/>
        <w:ind w:firstLine="0"/>
        <w:jc w:val="center"/>
        <w:outlineLvl w:val="6"/>
        <w:rPr>
          <w:rFonts w:hint="default" w:ascii="Times New Roman" w:hAnsi="Times New Roman" w:eastAsia="宋体" w:cs="Times New Roman"/>
          <w:b/>
          <w:sz w:val="21"/>
          <w:szCs w:val="22"/>
        </w:rPr>
        <w:sectPr>
          <w:pgSz w:w="16838" w:h="11906" w:orient="landscape"/>
          <w:pgMar w:top="1418" w:right="1418" w:bottom="1418" w:left="1418" w:header="851" w:footer="850" w:gutter="0"/>
          <w:pgNumType w:fmt="decimal"/>
          <w:cols w:space="720" w:num="1"/>
          <w:docGrid w:linePitch="326" w:charSpace="0"/>
        </w:sectPr>
      </w:pPr>
    </w:p>
    <w:p>
      <w:pPr>
        <w:spacing w:line="360" w:lineRule="auto"/>
        <w:ind w:firstLine="0"/>
        <w:outlineLvl w:val="3"/>
        <w:rPr>
          <w:rFonts w:hint="default" w:ascii="Times New Roman" w:hAnsi="Times New Roman" w:eastAsia="黑体" w:cs="Times New Roman"/>
          <w:bCs/>
          <w:color w:val="000000"/>
          <w:szCs w:val="24"/>
        </w:rPr>
      </w:pPr>
      <w:r>
        <w:rPr>
          <w:rFonts w:hint="default" w:ascii="Times New Roman" w:hAnsi="Times New Roman" w:eastAsia="黑体" w:cs="Times New Roman"/>
          <w:bCs/>
          <w:color w:val="000000"/>
          <w:szCs w:val="24"/>
        </w:rPr>
        <w:t>4.2.2.4污水集中处理设施</w:t>
      </w:r>
    </w:p>
    <w:p>
      <w:pPr>
        <w:spacing w:line="360" w:lineRule="auto"/>
        <w:ind w:firstLine="480"/>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1、江阴港城污水处理厂</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工业集中区内规划建设有完善的排水系统，采用雨、污分流制。雨水经厂区雨水管排入工业集中区的市政排水管；生产废水和生活污水经过工厂污水预处理站处理达到企业与园区污水处理厂商定标准后，送入集中区污水处理厂作最终处理。</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江阴港城污水处理厂位于福州江阴港城西部工业区规划地块内，总用地16公顷，总设计规模12万吨/日，主要负责江阴港城启动区13.8km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范围内的污水处理，拟分期建设，近期4万m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/d、中期8万m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/d、远期12万m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/d。近期4万m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/d分两阶段建设，污水处理厂近期一、二阶段工程平均处理污水量均为2万m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/d，目前近期一阶段已建成2万m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/d规模，2009年3月已投入运行；近期二阶段2万m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/d规模，2012年9月底完工投入运行。其中近期一阶段2万m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/d工程及深海排放管道已于2011年11月通过环保竣工验收，2015年11月通过一期提标及二期工程阶段环保验收。根据运行记录，江阴港城区污水处理厂现实际处理能力达到4万m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/d，实际处理量为</w:t>
      </w:r>
      <w:r>
        <w:rPr>
          <w:rFonts w:hint="eastAsia" w:ascii="Times New Roman" w:hAnsi="Times New Roman" w:eastAsia="宋体" w:cs="Times New Roman"/>
          <w:color w:val="000000"/>
          <w:sz w:val="24"/>
          <w:szCs w:val="24"/>
          <w:lang w:val="en-US" w:eastAsia="zh-CN"/>
        </w:rPr>
        <w:t>4</w:t>
      </w:r>
      <w:r>
        <w:rPr>
          <w:rFonts w:hint="default" w:ascii="Times New Roman" w:hAnsi="Times New Roman" w:eastAsia="宋体" w:cs="Times New Roman"/>
          <w:color w:val="000000"/>
          <w:sz w:val="24"/>
          <w:szCs w:val="24"/>
        </w:rPr>
        <w:t>万m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/d。</w:t>
      </w:r>
    </w:p>
    <w:p>
      <w:pPr>
        <w:spacing w:line="360" w:lineRule="auto"/>
        <w:ind w:firstLine="480"/>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2、配套管网</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目前，污水处理厂厂前管网收集系统已建设6.1km，污水排海管网陆上段5.4km，海上段968m。厂址所在区域的污水收集管网已铺设至厂界处。</w:t>
      </w:r>
    </w:p>
    <w:p>
      <w:pPr>
        <w:spacing w:line="360" w:lineRule="auto"/>
        <w:ind w:firstLine="480"/>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3、深海排放口</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2005年6月福建省环保局批复《福州市江阴港城污水处理工程环境影响报告表》该项目建设。2009年4月福州市海洋与渔业局也批复了《福州市江阴港城污水处理工程海洋环境影响报告表》，“同意启动区工业污水处理厂尾水排放口设于江阴港区1#泊位南部，靠近航道处，即《福建省海洋功能区划》划定的江阴排污预留区”。江阴排污预留区的中心坐标为：E 119°17′53.79″、N 25°24′24.57″。工程坐标为X=2811356.156，Y=429393.612</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为切实按照环保部和省政府要求加快江阴港城排海工程建设步伐，福州市江阴港城管委会委托上海市政工程设计研究院进行排海管网设计，由江苏神龙海洋工程有限公司中标开展排海管道施工。设计中为避免污水排海管道与江阴港区进港航道交叉，提高通航和排放口设施运行的安全性，减少江阴港区未建的东侧泊位工程对排海管道的不利影响，降低环境风险概率，经工可单位和设计施工单位技术人员多方论证，拟将深海排放口扩散器位置最终确定在1#码头南侧前沿约768m位置（距离国际集装箱进港船道边约100m），排放口中心坐标为X=2811381.247，Y=428466.241，该位置水深-18m，实际设计的深海排放口与江阴排污预留区的中心坐标点相比较，向南偏移约25m，向西偏移约927m，远离江阴港区，靠近航道区域。目前，福州市江阴港城污水处理工程尾水排放口变更工程，已建成竣工验收。</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排污口及园区污水管线具体位置见图4.2-6。</w:t>
      </w:r>
    </w:p>
    <w:p>
      <w:pPr>
        <w:spacing w:line="360" w:lineRule="auto"/>
        <w:ind w:firstLine="480"/>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00"/>
          <w:sz w:val="24"/>
          <w:szCs w:val="24"/>
        </w:rPr>
        <w:t>同时根据江阴港城总体规划，园区计划在东部工业区也建设一座东部污水处理厂，近期6万m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/d，远期15万m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/d，规划预留用地16hm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。接管水质满足《污水综合排放标准》（GB8978-1996）中三级级标准的要求，东部污水厂尾水排放执行《城镇污水处理厂污染物综合排放标准》（GB19819-2002）中一级B标准。</w:t>
      </w:r>
    </w:p>
    <w:p>
      <w:pPr>
        <w:spacing w:line="360" w:lineRule="auto"/>
        <w:ind w:firstLine="0"/>
        <w:outlineLvl w:val="3"/>
        <w:rPr>
          <w:rFonts w:hint="default" w:ascii="Times New Roman" w:hAnsi="Times New Roman" w:eastAsia="黑体" w:cs="Times New Roman"/>
          <w:bCs/>
          <w:color w:val="000000"/>
          <w:szCs w:val="24"/>
        </w:rPr>
      </w:pPr>
      <w:r>
        <w:rPr>
          <w:rFonts w:hint="default" w:ascii="Times New Roman" w:hAnsi="Times New Roman" w:eastAsia="黑体" w:cs="Times New Roman"/>
          <w:bCs/>
          <w:color w:val="000000"/>
          <w:szCs w:val="24"/>
        </w:rPr>
        <w:t>4.2.2.5环卫工程</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生活垃圾集中后运往福清市垃圾焚烧发电厂处理，一般工业固体废物送至福清市垃圾处理场处理，工业危险废物危险品运往福建省固体废物处置有限公司处理。</w:t>
      </w:r>
    </w:p>
    <w:p>
      <w:pPr>
        <w:widowControl/>
        <w:spacing w:line="360" w:lineRule="auto"/>
        <w:ind w:firstLine="480"/>
        <w:rPr>
          <w:rFonts w:hint="default" w:ascii="Times New Roman" w:hAnsi="Times New Roman" w:eastAsia="宋体" w:cs="Times New Roman"/>
          <w:color w:val="0000FF"/>
          <w:sz w:val="24"/>
          <w:szCs w:val="22"/>
        </w:rPr>
      </w:pPr>
    </w:p>
    <w:p>
      <w:pPr>
        <w:widowControl/>
        <w:spacing w:line="360" w:lineRule="auto"/>
        <w:ind w:firstLine="480"/>
        <w:rPr>
          <w:rFonts w:hint="default" w:ascii="Times New Roman" w:hAnsi="Times New Roman" w:eastAsia="宋体" w:cs="Times New Roman"/>
          <w:color w:val="0000FF"/>
          <w:sz w:val="24"/>
          <w:szCs w:val="22"/>
        </w:rPr>
        <w:sectPr>
          <w:pgSz w:w="11906" w:h="16838"/>
          <w:pgMar w:top="1588" w:right="1418" w:bottom="1418" w:left="1701" w:header="1021" w:footer="907" w:gutter="0"/>
          <w:pgNumType w:fmt="decimal"/>
          <w:cols w:space="720" w:num="1"/>
          <w:docGrid w:type="linesAndChars" w:linePitch="312" w:charSpace="0"/>
        </w:sectPr>
      </w:pPr>
    </w:p>
    <w:p>
      <w:pPr>
        <w:widowControl/>
        <w:adjustRightInd w:val="0"/>
        <w:snapToGrid w:val="0"/>
        <w:spacing w:line="240" w:lineRule="auto"/>
        <w:ind w:firstLine="0"/>
        <w:jc w:val="center"/>
        <w:rPr>
          <w:rFonts w:hint="default" w:ascii="Times New Roman" w:hAnsi="Times New Roman" w:eastAsia="宋体" w:cs="Times New Roman"/>
          <w:sz w:val="24"/>
          <w:szCs w:val="21"/>
        </w:rPr>
      </w:pPr>
      <w:r>
        <mc:AlternateContent>
          <mc:Choice Requires="wps">
            <w:drawing>
              <wp:anchor distT="0" distB="0" distL="114300" distR="114300" simplePos="0" relativeHeight="251717632" behindDoc="0" locked="0" layoutInCell="1" allowOverlap="1">
                <wp:simplePos x="0" y="0"/>
                <wp:positionH relativeFrom="column">
                  <wp:posOffset>1926590</wp:posOffset>
                </wp:positionH>
                <wp:positionV relativeFrom="paragraph">
                  <wp:posOffset>5598795</wp:posOffset>
                </wp:positionV>
                <wp:extent cx="609600" cy="309880"/>
                <wp:effectExtent l="4445" t="4445" r="128905" b="314325"/>
                <wp:wrapNone/>
                <wp:docPr id="383" name="自选图形 2097"/>
                <wp:cNvGraphicFramePr/>
                <a:graphic xmlns:a="http://schemas.openxmlformats.org/drawingml/2006/main">
                  <a:graphicData uri="http://schemas.microsoft.com/office/word/2010/wordprocessingShape">
                    <wps:wsp>
                      <wps:cNvSpPr>
                        <a:spLocks noChangeArrowheads="1"/>
                      </wps:cNvSpPr>
                      <wps:spPr bwMode="auto">
                        <a:xfrm>
                          <a:off x="2969895" y="6543675"/>
                          <a:ext cx="609600" cy="278130"/>
                        </a:xfrm>
                        <a:prstGeom prst="wedgeRoundRectCallout">
                          <a:avLst>
                            <a:gd name="adj1" fmla="val 65000"/>
                            <a:gd name="adj2" fmla="val 139269"/>
                            <a:gd name="adj3" fmla="val 16667"/>
                          </a:avLst>
                        </a:prstGeom>
                        <a:solidFill>
                          <a:srgbClr val="FFFFFF"/>
                        </a:solidFill>
                        <a:ln w="9525">
                          <a:solidFill>
                            <a:srgbClr val="000000"/>
                          </a:solidFill>
                          <a:miter lim="800000"/>
                        </a:ln>
                        <a:effectLst/>
                      </wps:spPr>
                      <wps:txbx>
                        <w:txbxContent>
                          <w:p>
                            <w:pPr>
                              <w:ind w:firstLine="0"/>
                            </w:pPr>
                            <w:r>
                              <w:rPr>
                                <w:rFonts w:hint="eastAsia"/>
                              </w:rPr>
                              <w:t>排海口</w:t>
                            </w:r>
                          </w:p>
                        </w:txbxContent>
                      </wps:txbx>
                      <wps:bodyPr rot="0" vert="horz" wrap="square" lIns="0" tIns="0" rIns="0" bIns="0" anchor="t" anchorCtr="0" upright="1">
                        <a:noAutofit/>
                      </wps:bodyPr>
                    </wps:wsp>
                  </a:graphicData>
                </a:graphic>
              </wp:anchor>
            </w:drawing>
          </mc:Choice>
          <mc:Fallback>
            <w:pict>
              <v:shape id="自选图形 2097" o:spid="_x0000_s1026" o:spt="62" type="#_x0000_t62" style="position:absolute;left:0pt;margin-left:151.7pt;margin-top:440.85pt;height:24.4pt;width:48pt;z-index:251717632;mso-width-relative:page;mso-height-relative:page;" fillcolor="#FFFFFF" filled="t" stroked="t" coordsize="21600,21600" o:gfxdata="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CE1O34&#10;3AAAAAsBAAAPAAAAAAAAAAEAIAAAACIAAABkcnMvZG93bnJldi54bWxQSwECFAAUAAAACACHTuJA&#10;ullPpY8CAAAVBQAADgAAAAAAAAABACAAAAArAQAAZHJzL2Uyb0RvYy54bWxQSwUGAAAAAAYABgBZ&#10;AQAALAYAAAAA&#10;" adj="24840,40882,14400">
                <v:fill on="t" focussize="0,0"/>
                <v:stroke color="#000000" miterlimit="8" joinstyle="miter"/>
                <v:imagedata o:title=""/>
                <o:lock v:ext="edit" aspectratio="f"/>
                <v:textbox inset="0mm,0mm,0mm,0mm">
                  <w:txbxContent>
                    <w:p>
                      <w:pPr>
                        <w:ind w:firstLine="0"/>
                      </w:pPr>
                      <w:r>
                        <w:rPr>
                          <w:rFonts w:hint="eastAsia"/>
                        </w:rPr>
                        <w:t>排海口</w:t>
                      </w:r>
                    </w:p>
                  </w:txbxContent>
                </v:textbox>
              </v:shape>
            </w:pict>
          </mc:Fallback>
        </mc:AlternateContent>
      </w:r>
      <w:r>
        <mc:AlternateContent>
          <mc:Choice Requires="wps">
            <w:drawing>
              <wp:anchor distT="0" distB="0" distL="114300" distR="114300" simplePos="0" relativeHeight="251707392" behindDoc="0" locked="0" layoutInCell="1" allowOverlap="1">
                <wp:simplePos x="0" y="0"/>
                <wp:positionH relativeFrom="column">
                  <wp:posOffset>1028065</wp:posOffset>
                </wp:positionH>
                <wp:positionV relativeFrom="paragraph">
                  <wp:posOffset>3686810</wp:posOffset>
                </wp:positionV>
                <wp:extent cx="1130300" cy="317500"/>
                <wp:effectExtent l="4445" t="4445" r="484505" b="325755"/>
                <wp:wrapNone/>
                <wp:docPr id="37" name="矩形标注 65"/>
                <wp:cNvGraphicFramePr/>
                <a:graphic xmlns:a="http://schemas.openxmlformats.org/drawingml/2006/main">
                  <a:graphicData uri="http://schemas.microsoft.com/office/word/2010/wordprocessingShape">
                    <wps:wsp>
                      <wps:cNvSpPr/>
                      <wps:spPr>
                        <a:xfrm>
                          <a:off x="0" y="0"/>
                          <a:ext cx="1130300" cy="317500"/>
                        </a:xfrm>
                        <a:prstGeom prst="wedgeRectCallout">
                          <a:avLst>
                            <a:gd name="adj1" fmla="val 89325"/>
                            <a:gd name="adj2" fmla="val 147200"/>
                          </a:avLst>
                        </a:prstGeom>
                        <a:solidFill>
                          <a:srgbClr val="FFFFFF"/>
                        </a:solidFill>
                        <a:ln w="9525" cap="flat" cmpd="sng">
                          <a:solidFill>
                            <a:srgbClr val="000000"/>
                          </a:solidFill>
                          <a:prstDash val="solid"/>
                          <a:miter/>
                          <a:headEnd type="none" w="med" len="med"/>
                          <a:tailEnd type="none" w="med" len="med"/>
                        </a:ln>
                        <a:effectLst/>
                      </wps:spPr>
                      <wps:txbx>
                        <w:txbxContent>
                          <w:p>
                            <w:pPr>
                              <w:ind w:firstLine="0"/>
                              <w:rPr>
                                <w:rFonts w:hint="eastAsia" w:ascii="宋体" w:hAnsi="宋体" w:eastAsia="宋体" w:cs="宋体"/>
                                <w:b/>
                                <w:bCs/>
                                <w:sz w:val="24"/>
                                <w:szCs w:val="24"/>
                              </w:rPr>
                            </w:pPr>
                            <w:r>
                              <w:rPr>
                                <w:rFonts w:hint="eastAsia" w:ascii="宋体" w:hAnsi="宋体" w:eastAsia="宋体" w:cs="宋体"/>
                                <w:b/>
                                <w:bCs/>
                                <w:sz w:val="24"/>
                                <w:szCs w:val="24"/>
                              </w:rPr>
                              <w:t>项目所在地</w:t>
                            </w:r>
                          </w:p>
                        </w:txbxContent>
                      </wps:txbx>
                      <wps:bodyPr vert="horz" wrap="square" lIns="0" tIns="54000" rIns="0" bIns="0" anchor="t" upright="1"/>
                    </wps:wsp>
                  </a:graphicData>
                </a:graphic>
              </wp:anchor>
            </w:drawing>
          </mc:Choice>
          <mc:Fallback>
            <w:pict>
              <v:shape id="矩形标注 65" o:spid="_x0000_s1026" o:spt="61" type="#_x0000_t61" style="position:absolute;left:0pt;margin-left:80.95pt;margin-top:290.3pt;height:25pt;width:89pt;z-index:251707392;mso-width-relative:page;mso-height-relative:page;" fillcolor="#FFFFFF" filled="t" stroked="t" coordsize="21600,21600" o:gfxdata="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0RvsHtgAAAALAQAADwAAAAAAAAABACAAAAAiAAAAZHJzL2Rvd25yZXYu&#10;eG1sUEsBAhQAFAAAAAgAh07iQLlVamZtAgAA6gQAAA4AAAAAAAAAAQAgAAAAJwEAAGRycy9lMm9E&#10;b2MueG1sUEsFBgAAAAAGAAYAWQEAAAYGAAAAAA==&#10;" adj="30094,42595">
                <v:fill on="t" focussize="0,0"/>
                <v:stroke color="#000000" joinstyle="miter"/>
                <v:imagedata o:title=""/>
                <o:lock v:ext="edit" aspectratio="f"/>
                <v:textbox inset="0mm,1.5mm,0mm,0mm">
                  <w:txbxContent>
                    <w:p>
                      <w:pPr>
                        <w:ind w:firstLine="0"/>
                        <w:rPr>
                          <w:rFonts w:hint="eastAsia" w:ascii="宋体" w:hAnsi="宋体" w:eastAsia="宋体" w:cs="宋体"/>
                          <w:b/>
                          <w:bCs/>
                          <w:sz w:val="24"/>
                          <w:szCs w:val="24"/>
                        </w:rPr>
                      </w:pPr>
                      <w:r>
                        <w:rPr>
                          <w:rFonts w:hint="eastAsia" w:ascii="宋体" w:hAnsi="宋体" w:eastAsia="宋体" w:cs="宋体"/>
                          <w:b/>
                          <w:bCs/>
                          <w:sz w:val="24"/>
                          <w:szCs w:val="24"/>
                        </w:rPr>
                        <w:t>项目所在地</w:t>
                      </w:r>
                    </w:p>
                  </w:txbxContent>
                </v:textbox>
              </v:shape>
            </w:pict>
          </mc:Fallback>
        </mc:AlternateContent>
      </w:r>
      <w:r>
        <mc:AlternateContent>
          <mc:Choice Requires="wps">
            <w:drawing>
              <wp:anchor distT="0" distB="0" distL="114300" distR="114300" simplePos="0" relativeHeight="251708416" behindDoc="0" locked="0" layoutInCell="1" allowOverlap="1">
                <wp:simplePos x="0" y="0"/>
                <wp:positionH relativeFrom="column">
                  <wp:posOffset>2578735</wp:posOffset>
                </wp:positionH>
                <wp:positionV relativeFrom="paragraph">
                  <wp:posOffset>4310380</wp:posOffset>
                </wp:positionV>
                <wp:extent cx="142875" cy="133350"/>
                <wp:effectExtent l="0" t="0" r="9525" b="0"/>
                <wp:wrapNone/>
                <wp:docPr id="38" name="五角星 17"/>
                <wp:cNvGraphicFramePr/>
                <a:graphic xmlns:a="http://schemas.openxmlformats.org/drawingml/2006/main">
                  <a:graphicData uri="http://schemas.microsoft.com/office/word/2010/wordprocessingShape">
                    <wps:wsp>
                      <wps:cNvSpPr/>
                      <wps:spPr>
                        <a:xfrm>
                          <a:off x="0" y="0"/>
                          <a:ext cx="142875" cy="133350"/>
                        </a:xfrm>
                        <a:prstGeom prst="star5">
                          <a:avLst/>
                        </a:prstGeom>
                        <a:solidFill>
                          <a:srgbClr val="FF0000"/>
                        </a:solidFill>
                        <a:ln w="12700" cap="flat" cmpd="sng" algn="ctr">
                          <a:no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17" o:spid="_x0000_s1026" style="position:absolute;left:0pt;margin-left:203.05pt;margin-top:339.4pt;height:10.5pt;width:11.25pt;z-index:251708416;v-text-anchor:middle;mso-width-relative:page;mso-height-relative:page;" fillcolor="#FF0000" filled="t" stroked="f" coordsize="142875,133350" o:gfxdata="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srRjA2AAAAAsBAAAPAAAAAAAAAAEA&#10;IAAAACIAAABkcnMvZG93bnJldi54bWxQSwECFAAUAAAACACHTuJAu1hc4IECAADpBAAADgAAAAAA&#10;AAABACAAAAAnAQAAZHJzL2Uyb0RvYy54bWxQSwUGAAAAAAYABgBZAQAAGgYAAAAA&#10;" path="m0,50935l54573,50935,71437,0,88301,50935,142874,50935,98723,82414,115588,133349,71437,101869,27286,133349,44151,82414xe">
                <v:path textboxrect="0,0,142875,133350" o:connectlocs="71437,0;0,50935;27286,133349;115588,133349;142874,50935" o:connectangles="247,164,82,82,0"/>
                <v:fill on="t" focussize="0,0"/>
                <v:stroke on="f" weight="1pt" miterlimit="8" joinstyle="miter"/>
                <v:imagedata o:title=""/>
                <o:lock v:ext="edit" aspectratio="f"/>
                <v:textbox>
                  <w:txbxContent>
                    <w:p>
                      <w:pPr>
                        <w:jc w:val="center"/>
                      </w:pPr>
                    </w:p>
                  </w:txbxContent>
                </v:textbox>
              </v:shape>
            </w:pict>
          </mc:Fallback>
        </mc:AlternateContent>
      </w:r>
      <w:r>
        <w:drawing>
          <wp:inline distT="0" distB="0" distL="114300" distR="114300">
            <wp:extent cx="5730875" cy="7996555"/>
            <wp:effectExtent l="0" t="0" r="3175" b="4445"/>
            <wp:docPr id="102" name="图片 120" descr="QQ截图2018051516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20" descr="QQ截图20180515162714"/>
                    <pic:cNvPicPr>
                      <a:picLocks noChangeAspect="1"/>
                    </pic:cNvPicPr>
                  </pic:nvPicPr>
                  <pic:blipFill>
                    <a:blip r:embed="rId51"/>
                    <a:stretch>
                      <a:fillRect/>
                    </a:stretch>
                  </pic:blipFill>
                  <pic:spPr>
                    <a:xfrm>
                      <a:off x="0" y="0"/>
                      <a:ext cx="5730875" cy="7996555"/>
                    </a:xfrm>
                    <a:prstGeom prst="rect">
                      <a:avLst/>
                    </a:prstGeom>
                    <a:noFill/>
                    <a:ln>
                      <a:noFill/>
                    </a:ln>
                  </pic:spPr>
                </pic:pic>
              </a:graphicData>
            </a:graphic>
          </wp:inline>
        </w:drawing>
      </w:r>
      <w:r>
        <mc:AlternateContent>
          <mc:Choice Requires="wps">
            <w:drawing>
              <wp:anchor distT="0" distB="0" distL="114300" distR="114300" simplePos="0" relativeHeight="251718656" behindDoc="0" locked="0" layoutInCell="1" allowOverlap="1">
                <wp:simplePos x="0" y="0"/>
                <wp:positionH relativeFrom="column">
                  <wp:posOffset>3355340</wp:posOffset>
                </wp:positionH>
                <wp:positionV relativeFrom="paragraph">
                  <wp:posOffset>3538220</wp:posOffset>
                </wp:positionV>
                <wp:extent cx="1431925" cy="375920"/>
                <wp:effectExtent l="593090" t="4445" r="13335" b="876935"/>
                <wp:wrapNone/>
                <wp:docPr id="58" name="自选图形 2096"/>
                <wp:cNvGraphicFramePr/>
                <a:graphic xmlns:a="http://schemas.openxmlformats.org/drawingml/2006/main">
                  <a:graphicData uri="http://schemas.microsoft.com/office/word/2010/wordprocessingShape">
                    <wps:wsp>
                      <wps:cNvSpPr/>
                      <wps:spPr>
                        <a:xfrm>
                          <a:off x="0" y="0"/>
                          <a:ext cx="1431925" cy="375920"/>
                        </a:xfrm>
                        <a:prstGeom prst="wedgeRoundRectCallout">
                          <a:avLst>
                            <a:gd name="adj1" fmla="val -89375"/>
                            <a:gd name="adj2" fmla="val 275505"/>
                            <a:gd name="adj3" fmla="val 16667"/>
                          </a:avLst>
                        </a:prstGeom>
                        <a:solidFill>
                          <a:srgbClr val="FFFFFF"/>
                        </a:solidFill>
                        <a:ln w="9525" cap="flat" cmpd="sng">
                          <a:solidFill>
                            <a:srgbClr val="000000"/>
                          </a:solidFill>
                          <a:prstDash val="solid"/>
                          <a:miter/>
                          <a:headEnd type="none" w="med" len="med"/>
                          <a:tailEnd type="none" w="med" len="med"/>
                        </a:ln>
                        <a:effectLst/>
                      </wps:spPr>
                      <wps:txbx>
                        <w:txbxContent>
                          <w:p>
                            <w:pPr>
                              <w:ind w:firstLine="0"/>
                              <w:rPr>
                                <w:b/>
                                <w:bCs/>
                                <w:sz w:val="18"/>
                                <w:szCs w:val="18"/>
                              </w:rPr>
                            </w:pPr>
                            <w:r>
                              <w:rPr>
                                <w:rFonts w:hint="eastAsia"/>
                                <w:b/>
                                <w:bCs/>
                                <w:sz w:val="18"/>
                                <w:szCs w:val="18"/>
                              </w:rPr>
                              <w:t>江阴工业区污水处理厂</w:t>
                            </w:r>
                          </w:p>
                        </w:txbxContent>
                      </wps:txbx>
                      <wps:bodyPr vert="horz" wrap="square" anchor="t" upright="1"/>
                    </wps:wsp>
                  </a:graphicData>
                </a:graphic>
              </wp:anchor>
            </w:drawing>
          </mc:Choice>
          <mc:Fallback>
            <w:pict>
              <v:shape id="自选图形 2096" o:spid="_x0000_s1026" o:spt="62" type="#_x0000_t62" style="position:absolute;left:0pt;margin-left:264.2pt;margin-top:278.6pt;height:29.6pt;width:112.75pt;z-index:251718656;mso-width-relative:page;mso-height-relative:page;" fillcolor="#FFFFFF" filled="t" stroked="t" coordsize="21600,21600" o:gfxdata="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rSYRotoAAAALAQAADwAAAAAAAAABACAAAAAiAAAAZHJzL2Rvd25yZXYu&#10;eG1sUEsBAhQAFAAAAAgAh07iQMwBX/trAgAA7gQAAA4AAAAAAAAAAQAgAAAAKQEAAGRycy9lMm9E&#10;b2MueG1sUEsFBgAAAAAGAAYAWQEAAAYGAAAAAA==&#10;" adj="-8505,70309,14400">
                <v:fill on="t" focussize="0,0"/>
                <v:stroke color="#000000" joinstyle="miter"/>
                <v:imagedata o:title=""/>
                <o:lock v:ext="edit" aspectratio="f"/>
                <v:textbox>
                  <w:txbxContent>
                    <w:p>
                      <w:pPr>
                        <w:ind w:firstLine="0"/>
                        <w:rPr>
                          <w:b/>
                          <w:bCs/>
                          <w:sz w:val="18"/>
                          <w:szCs w:val="18"/>
                        </w:rPr>
                      </w:pPr>
                      <w:r>
                        <w:rPr>
                          <w:rFonts w:hint="eastAsia"/>
                          <w:b/>
                          <w:bCs/>
                          <w:sz w:val="18"/>
                          <w:szCs w:val="18"/>
                        </w:rPr>
                        <w:t>江阴工业区污水处理厂</w:t>
                      </w:r>
                    </w:p>
                  </w:txbxContent>
                </v:textbox>
              </v:shape>
            </w:pict>
          </mc:Fallback>
        </mc:AlternateContent>
      </w:r>
    </w:p>
    <w:p>
      <w:pPr>
        <w:spacing w:line="360" w:lineRule="auto"/>
        <w:ind w:firstLine="0"/>
        <w:jc w:val="center"/>
        <w:outlineLvl w:val="4"/>
        <w:rPr>
          <w:rFonts w:hint="default" w:ascii="Times New Roman" w:hAnsi="Times New Roman" w:eastAsia="黑体" w:cs="Times New Roman"/>
          <w:b/>
          <w:bCs/>
          <w:sz w:val="24"/>
          <w:szCs w:val="24"/>
        </w:rPr>
        <w:sectPr>
          <w:pgSz w:w="11906" w:h="16838"/>
          <w:pgMar w:top="1588" w:right="1418" w:bottom="1418" w:left="1701" w:header="1021" w:footer="907" w:gutter="0"/>
          <w:pgNumType w:fmt="decimal"/>
          <w:cols w:space="720" w:num="1"/>
          <w:docGrid w:type="linesAndChars" w:linePitch="312" w:charSpace="0"/>
        </w:sectPr>
      </w:pPr>
      <w:r>
        <w:rPr>
          <w:rFonts w:hint="default" w:ascii="Times New Roman" w:hAnsi="Times New Roman" w:eastAsia="黑体" w:cs="Times New Roman"/>
          <w:b/>
          <w:bCs/>
          <w:sz w:val="24"/>
          <w:szCs w:val="24"/>
        </w:rPr>
        <w:t>图4.2-6 江阴港城污水处理厂及配套管网布置情况示意图</w:t>
      </w:r>
    </w:p>
    <w:p>
      <w:pPr>
        <w:spacing w:line="360" w:lineRule="auto"/>
        <w:ind w:firstLine="0"/>
        <w:outlineLvl w:val="2"/>
        <w:rPr>
          <w:rFonts w:hint="default" w:ascii="Times New Roman" w:hAnsi="Times New Roman" w:eastAsia="黑体" w:cs="Times New Roman"/>
          <w:sz w:val="30"/>
          <w:szCs w:val="28"/>
        </w:rPr>
      </w:pPr>
      <w:r>
        <w:rPr>
          <w:rFonts w:hint="default" w:ascii="Times New Roman" w:hAnsi="Times New Roman" w:eastAsia="黑体" w:cs="Times New Roman"/>
          <w:sz w:val="30"/>
          <w:szCs w:val="28"/>
        </w:rPr>
        <w:t>4.2.3区域污染源情况</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江阴海港新城内西部产业区入驻的企业包括制药、化工、农药、食品、制革、纺织印染、仓储等。东部的国电，意向入驻的有建材类企业(福耀玻璃)、化工类企业(利达化工)等。江阴海港新城内东、西部产业区入驻的企业见表4.2-1。江阴海港新城东、西产业片区污染源的产生情况及特点主要表现在以下几方面：</w:t>
      </w:r>
    </w:p>
    <w:p>
      <w:pPr>
        <w:spacing w:line="360" w:lineRule="auto"/>
        <w:ind w:firstLine="480"/>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（1）大气污染源</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现有的大气污染源主要有江阴国电锅炉烟气、各类工业企业产生的工艺废气和恶臭气体，主要来自于制药、化工、污水处理厂等，其主要特征污染物包括臭气(综合指标)、氨、硫化氢、酸雾、甲醛、DMF、非甲烷总烃、“三苯”废气等。</w:t>
      </w:r>
    </w:p>
    <w:p>
      <w:pPr>
        <w:spacing w:line="360" w:lineRule="auto"/>
        <w:ind w:firstLine="480"/>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（2）废水污染源</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西部产业区现有医药、化工、化肥、废塑料加工、食品、仓储等。西片片区废水特征污染物主要由福抗药业、福兴医药等企业产生的制药废水。其中，福抗药业、福兴医药废水特征污染物为氨氮、COD、磷酸盐等，占江阴西部产业区废(污)水量的75%。</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西部产业区内的投产企业的生产、生活污水已全部接入污水管网进入江阴污水处理厂处理，部分在建企业也已接入污水管网；重点排污企业如福抗药业、福兴医药、濠锦化纤等已配套污水处理设施，污水处理达标后排入江阴污水处理厂污水管网；濠锦化纤、江阴污水厂、福抗、福兴等四家重点企业已安装流量、COD、pH等指标的在线监测设备，并与福州市环保局联网。</w:t>
      </w:r>
    </w:p>
    <w:p>
      <w:pPr>
        <w:spacing w:line="360" w:lineRule="auto"/>
        <w:ind w:firstLine="480"/>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（3）工业固体废物</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一般工业固废主要是锅炉煤渣、电厂粉煤灰、污水站污泥、废包装物及边角料等，企业通过回收利用或外售进行综合处置。危险废物主要是菌丝渣、废活性炭、废残渣、废油漆桶、废包装材料、废机油、废催化剂、废残液等，其中菌丝渣通过外售资源化再利用，其它的危险废物由各企业委托有资质的危险废物处理场进行处置。</w:t>
      </w:r>
    </w:p>
    <w:p>
      <w:pPr>
        <w:spacing w:line="360" w:lineRule="auto"/>
        <w:ind w:firstLine="480"/>
        <w:rPr>
          <w:rFonts w:hint="default" w:ascii="Times New Roman" w:hAnsi="Times New Roman" w:eastAsia="宋体" w:cs="Times New Roman"/>
          <w:sz w:val="24"/>
          <w:szCs w:val="24"/>
        </w:rPr>
      </w:pPr>
    </w:p>
    <w:p>
      <w:pPr>
        <w:snapToGrid w:val="0"/>
        <w:spacing w:line="360" w:lineRule="auto"/>
        <w:ind w:firstLine="480"/>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p>
      <w:pPr>
        <w:spacing w:line="360" w:lineRule="auto"/>
        <w:ind w:firstLine="0"/>
        <w:outlineLvl w:val="2"/>
        <w:rPr>
          <w:rFonts w:hint="default" w:ascii="Times New Roman" w:hAnsi="Times New Roman" w:eastAsia="宋体" w:cs="Times New Roman"/>
          <w:b/>
          <w:szCs w:val="28"/>
        </w:rPr>
        <w:sectPr>
          <w:pgSz w:w="11906" w:h="16838"/>
          <w:pgMar w:top="1588" w:right="1418" w:bottom="1418" w:left="1701" w:header="1021" w:footer="907" w:gutter="0"/>
          <w:pgNumType w:fmt="decimal"/>
          <w:cols w:space="720" w:num="1"/>
          <w:docGrid w:type="linesAndChars" w:linePitch="312" w:charSpace="0"/>
        </w:sectPr>
      </w:pPr>
    </w:p>
    <w:p>
      <w:pPr>
        <w:snapToGrid w:val="0"/>
        <w:spacing w:line="360" w:lineRule="auto"/>
        <w:ind w:firstLine="0"/>
        <w:outlineLvl w:val="1"/>
        <w:rPr>
          <w:rFonts w:hint="default" w:ascii="Times New Roman" w:hAnsi="Times New Roman" w:eastAsia="黑体" w:cs="Times New Roman"/>
          <w:sz w:val="32"/>
          <w:szCs w:val="32"/>
        </w:rPr>
      </w:pPr>
      <w:bookmarkStart w:id="226" w:name="_Toc523230963"/>
      <w:bookmarkStart w:id="227" w:name="_Toc18807"/>
      <w:bookmarkStart w:id="228" w:name="_Toc20988655"/>
      <w:bookmarkStart w:id="229" w:name="_Toc19845"/>
      <w:bookmarkStart w:id="230" w:name="_Toc322360056"/>
      <w:r>
        <w:rPr>
          <w:rFonts w:hint="default" w:ascii="Times New Roman" w:hAnsi="Times New Roman" w:eastAsia="黑体" w:cs="Times New Roman"/>
          <w:sz w:val="32"/>
          <w:szCs w:val="32"/>
        </w:rPr>
        <w:t>4.3环境质量现状调查与评价</w:t>
      </w:r>
      <w:bookmarkEnd w:id="226"/>
      <w:bookmarkEnd w:id="227"/>
      <w:bookmarkEnd w:id="228"/>
      <w:bookmarkEnd w:id="229"/>
    </w:p>
    <w:p>
      <w:pPr>
        <w:snapToGrid w:val="0"/>
        <w:spacing w:line="360" w:lineRule="auto"/>
        <w:ind w:firstLine="482"/>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bookmarkEnd w:id="230"/>
    <w:p>
      <w:pPr>
        <w:spacing w:line="240" w:lineRule="auto"/>
        <w:ind w:firstLine="0"/>
        <w:rPr>
          <w:rFonts w:hint="default" w:ascii="Times New Roman" w:hAnsi="Times New Roman" w:eastAsia="宋体" w:cs="Times New Roman"/>
          <w:sz w:val="21"/>
          <w:szCs w:val="22"/>
        </w:rPr>
      </w:pPr>
    </w:p>
    <w:p>
      <w:pPr>
        <w:snapToGrid w:val="0"/>
        <w:spacing w:line="360" w:lineRule="auto"/>
        <w:ind w:firstLine="480"/>
        <w:rPr>
          <w:rFonts w:hint="default" w:ascii="Times New Roman" w:hAnsi="Times New Roman" w:eastAsia="宋体" w:cs="Times New Roman"/>
          <w:color w:val="000000"/>
          <w:sz w:val="24"/>
          <w:szCs w:val="28"/>
        </w:rPr>
        <w:sectPr>
          <w:pgSz w:w="16840" w:h="11907" w:orient="landscape"/>
          <w:pgMar w:top="1418" w:right="1418" w:bottom="1418" w:left="1418" w:header="851" w:footer="992" w:gutter="0"/>
          <w:pgNumType w:fmt="decimal"/>
          <w:cols w:space="720" w:num="1"/>
          <w:docGrid w:linePitch="389" w:charSpace="0"/>
        </w:sectPr>
      </w:pPr>
    </w:p>
    <w:p>
      <w:pPr>
        <w:keepNext w:val="0"/>
        <w:keepLines w:val="0"/>
        <w:pageBreakBefore w:val="0"/>
        <w:widowControl/>
        <w:kinsoku/>
        <w:wordWrap/>
        <w:overflowPunct/>
        <w:topLinePunct w:val="0"/>
        <w:autoSpaceDE/>
        <w:autoSpaceDN/>
        <w:bidi w:val="0"/>
        <w:snapToGrid w:val="0"/>
        <w:spacing w:line="360" w:lineRule="auto"/>
        <w:ind w:firstLine="0"/>
        <w:jc w:val="left"/>
        <w:textAlignment w:val="auto"/>
        <w:outlineLvl w:val="0"/>
        <w:rPr>
          <w:rFonts w:hint="default" w:ascii="Times New Roman" w:hAnsi="Times New Roman" w:eastAsia="黑体" w:cs="Times New Roman"/>
          <w:bCs/>
          <w:sz w:val="36"/>
          <w:szCs w:val="24"/>
        </w:rPr>
      </w:pPr>
      <w:bookmarkStart w:id="231" w:name="_Toc13396"/>
      <w:r>
        <w:rPr>
          <w:rFonts w:hint="default" w:ascii="Times New Roman" w:hAnsi="Times New Roman" w:eastAsia="黑体" w:cs="Times New Roman"/>
          <w:bCs/>
          <w:sz w:val="36"/>
          <w:szCs w:val="24"/>
        </w:rPr>
        <w:t>5环境影响评价与预测</w:t>
      </w:r>
      <w:bookmarkEnd w:id="231"/>
    </w:p>
    <w:p>
      <w:pPr>
        <w:keepNext w:val="0"/>
        <w:keepLines w:val="0"/>
        <w:pageBreakBefore w:val="0"/>
        <w:widowControl/>
        <w:kinsoku/>
        <w:wordWrap/>
        <w:overflowPunct/>
        <w:topLinePunct w:val="0"/>
        <w:autoSpaceDE/>
        <w:autoSpaceDN/>
        <w:bidi w:val="0"/>
        <w:snapToGrid w:val="0"/>
        <w:spacing w:line="360" w:lineRule="auto"/>
        <w:ind w:firstLine="0"/>
        <w:jc w:val="left"/>
        <w:textAlignment w:val="auto"/>
        <w:outlineLvl w:val="1"/>
        <w:rPr>
          <w:rFonts w:hint="default" w:ascii="Times New Roman" w:hAnsi="Times New Roman" w:eastAsia="黑体" w:cs="Times New Roman"/>
          <w:sz w:val="32"/>
          <w:szCs w:val="28"/>
        </w:rPr>
      </w:pPr>
      <w:bookmarkStart w:id="232" w:name="_Toc211795849"/>
      <w:bookmarkStart w:id="233" w:name="_Toc474486954"/>
      <w:bookmarkStart w:id="234" w:name="_Toc485972383"/>
      <w:bookmarkStart w:id="235" w:name="_Toc474486599"/>
      <w:bookmarkStart w:id="236" w:name="_Toc203983782"/>
      <w:bookmarkStart w:id="237" w:name="_Toc474486898"/>
      <w:bookmarkStart w:id="238" w:name="_Toc211796083"/>
      <w:bookmarkStart w:id="239" w:name="_Toc486684291"/>
      <w:bookmarkStart w:id="240" w:name="_Toc474486926"/>
      <w:bookmarkStart w:id="241" w:name="_Toc485180061"/>
      <w:bookmarkStart w:id="242" w:name="_Toc474486982"/>
      <w:bookmarkStart w:id="243" w:name="_Toc203983454"/>
      <w:bookmarkStart w:id="244" w:name="_Toc9087"/>
      <w:r>
        <w:rPr>
          <w:rFonts w:hint="default" w:ascii="Times New Roman" w:hAnsi="Times New Roman" w:eastAsia="黑体" w:cs="Times New Roman"/>
          <w:sz w:val="32"/>
          <w:szCs w:val="28"/>
        </w:rPr>
        <w:t>5.1</w:t>
      </w:r>
      <w:bookmarkEnd w:id="232"/>
      <w:bookmarkEnd w:id="233"/>
      <w:bookmarkEnd w:id="234"/>
      <w:bookmarkEnd w:id="235"/>
      <w:bookmarkEnd w:id="236"/>
      <w:bookmarkEnd w:id="237"/>
      <w:bookmarkEnd w:id="238"/>
      <w:bookmarkEnd w:id="239"/>
      <w:bookmarkEnd w:id="240"/>
      <w:bookmarkEnd w:id="241"/>
      <w:bookmarkEnd w:id="242"/>
      <w:bookmarkEnd w:id="243"/>
      <w:r>
        <w:rPr>
          <w:rFonts w:hint="default" w:ascii="Times New Roman" w:hAnsi="Times New Roman" w:eastAsia="黑体" w:cs="Times New Roman"/>
          <w:sz w:val="32"/>
          <w:szCs w:val="28"/>
        </w:rPr>
        <w:t>水环境影响评价</w:t>
      </w:r>
      <w:bookmarkEnd w:id="244"/>
    </w:p>
    <w:p>
      <w:pPr>
        <w:keepNext w:val="0"/>
        <w:keepLines w:val="0"/>
        <w:pageBreakBefore w:val="0"/>
        <w:widowControl/>
        <w:kinsoku/>
        <w:wordWrap/>
        <w:overflowPunct/>
        <w:topLinePunct w:val="0"/>
        <w:autoSpaceDE/>
        <w:autoSpaceDN/>
        <w:bidi w:val="0"/>
        <w:snapToGrid w:val="0"/>
        <w:spacing w:line="360" w:lineRule="auto"/>
        <w:ind w:firstLine="0"/>
        <w:jc w:val="left"/>
        <w:textAlignment w:val="auto"/>
        <w:outlineLvl w:val="2"/>
        <w:rPr>
          <w:rFonts w:hint="default" w:ascii="Times New Roman" w:hAnsi="Times New Roman" w:eastAsia="黑体" w:cs="Times New Roman"/>
          <w:bCs/>
          <w:sz w:val="30"/>
          <w:szCs w:val="30"/>
        </w:rPr>
      </w:pPr>
      <w:r>
        <w:rPr>
          <w:rFonts w:hint="default" w:ascii="Times New Roman" w:hAnsi="Times New Roman" w:eastAsia="黑体" w:cs="Times New Roman"/>
          <w:bCs/>
          <w:sz w:val="30"/>
          <w:szCs w:val="30"/>
        </w:rPr>
        <w:t>5.1.1项目废水产生情况及排放去向</w:t>
      </w:r>
    </w:p>
    <w:p>
      <w:pPr>
        <w:snapToGrid w:val="0"/>
        <w:spacing w:line="360" w:lineRule="auto"/>
        <w:ind w:firstLine="480"/>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p>
      <w:pPr>
        <w:keepNext w:val="0"/>
        <w:keepLines w:val="0"/>
        <w:pageBreakBefore w:val="0"/>
        <w:widowControl/>
        <w:kinsoku/>
        <w:wordWrap/>
        <w:overflowPunct/>
        <w:topLinePunct w:val="0"/>
        <w:autoSpaceDE/>
        <w:autoSpaceDN/>
        <w:bidi w:val="0"/>
        <w:adjustRightInd/>
        <w:snapToGrid w:val="0"/>
        <w:spacing w:line="360" w:lineRule="auto"/>
        <w:ind w:firstLine="0"/>
        <w:jc w:val="left"/>
        <w:textAlignment w:val="auto"/>
        <w:outlineLvl w:val="2"/>
        <w:rPr>
          <w:rFonts w:hint="default" w:ascii="Times New Roman" w:hAnsi="Times New Roman" w:eastAsia="黑体" w:cs="Times New Roman"/>
          <w:bCs/>
          <w:color w:val="auto"/>
          <w:sz w:val="30"/>
          <w:szCs w:val="30"/>
        </w:rPr>
      </w:pPr>
      <w:r>
        <w:rPr>
          <w:rFonts w:hint="default" w:ascii="Times New Roman" w:hAnsi="Times New Roman" w:eastAsia="黑体" w:cs="Times New Roman"/>
          <w:bCs/>
          <w:color w:val="auto"/>
          <w:sz w:val="30"/>
          <w:szCs w:val="30"/>
        </w:rPr>
        <w:t>5.1.2项目废水进入江阴工业集中区污水处理厂可行性分析</w:t>
      </w:r>
    </w:p>
    <w:p>
      <w:pPr>
        <w:keepNext w:val="0"/>
        <w:keepLines w:val="0"/>
        <w:pageBreakBefore w:val="0"/>
        <w:widowControl/>
        <w:kinsoku/>
        <w:wordWrap/>
        <w:overflowPunct/>
        <w:topLinePunct w:val="0"/>
        <w:autoSpaceDE/>
        <w:autoSpaceDN/>
        <w:bidi w:val="0"/>
        <w:adjustRightInd/>
        <w:snapToGrid w:val="0"/>
        <w:spacing w:line="360" w:lineRule="auto"/>
        <w:ind w:firstLine="0"/>
        <w:jc w:val="left"/>
        <w:textAlignment w:val="auto"/>
        <w:outlineLvl w:val="3"/>
        <w:rPr>
          <w:rFonts w:hint="default" w:ascii="Times New Roman" w:hAnsi="Times New Roman" w:eastAsia="黑体" w:cs="Times New Roman"/>
          <w:bCs/>
          <w:color w:val="auto"/>
          <w:sz w:val="24"/>
          <w:szCs w:val="28"/>
        </w:rPr>
      </w:pPr>
      <w:r>
        <w:rPr>
          <w:rFonts w:hint="default" w:ascii="Times New Roman" w:hAnsi="Times New Roman" w:eastAsia="黑体" w:cs="Times New Roman"/>
          <w:bCs/>
          <w:color w:val="auto"/>
          <w:sz w:val="24"/>
          <w:szCs w:val="28"/>
        </w:rPr>
        <w:t>5.1.2.1江阴工业集中区污水处理厂建设概况</w:t>
      </w:r>
    </w:p>
    <w:p>
      <w:pPr>
        <w:keepNext w:val="0"/>
        <w:keepLines w:val="0"/>
        <w:pageBreakBefore w:val="0"/>
        <w:kinsoku/>
        <w:wordWrap/>
        <w:overflowPunct/>
        <w:topLinePunct w:val="0"/>
        <w:autoSpaceDE/>
        <w:autoSpaceDN/>
        <w:bidi w:val="0"/>
        <w:adjustRightInd/>
        <w:snapToGrid w:val="0"/>
        <w:spacing w:line="360" w:lineRule="auto"/>
        <w:ind w:firstLine="480"/>
        <w:textAlignment w:val="auto"/>
        <w:rPr>
          <w:rFonts w:hint="default" w:ascii="Times New Roman" w:hAnsi="Times New Roman" w:cs="Times New Roman"/>
          <w:b/>
          <w:bCs/>
          <w:color w:val="auto"/>
          <w:sz w:val="24"/>
          <w:szCs w:val="24"/>
        </w:rPr>
      </w:pPr>
      <w:r>
        <w:rPr>
          <w:rFonts w:hint="default" w:ascii="Times New Roman" w:hAnsi="Times New Roman" w:eastAsia="宋体" w:cs="Times New Roman"/>
          <w:b/>
          <w:bCs/>
          <w:color w:val="auto"/>
          <w:sz w:val="24"/>
          <w:szCs w:val="24"/>
        </w:rPr>
        <w:t>1、污水处理厂建设规模</w:t>
      </w:r>
    </w:p>
    <w:p>
      <w:pPr>
        <w:keepNext w:val="0"/>
        <w:keepLines w:val="0"/>
        <w:pageBreakBefore w:val="0"/>
        <w:kinsoku/>
        <w:wordWrap/>
        <w:overflowPunct/>
        <w:topLinePunct w:val="0"/>
        <w:autoSpaceDE/>
        <w:autoSpaceDN/>
        <w:bidi w:val="0"/>
        <w:adjustRightInd/>
        <w:snapToGrid w:val="0"/>
        <w:spacing w:line="360" w:lineRule="auto"/>
        <w:ind w:firstLine="480"/>
        <w:textAlignment w:val="auto"/>
        <w:rPr>
          <w:rFonts w:hint="default" w:ascii="Times New Roman" w:hAnsi="Times New Roman" w:cs="Times New Roman"/>
          <w:sz w:val="24"/>
          <w:szCs w:val="24"/>
        </w:rPr>
      </w:pPr>
      <w:r>
        <w:rPr>
          <w:rFonts w:hint="default" w:ascii="Times New Roman" w:hAnsi="Times New Roman" w:eastAsia="宋体" w:cs="Times New Roman"/>
          <w:color w:val="auto"/>
          <w:sz w:val="24"/>
          <w:szCs w:val="24"/>
        </w:rPr>
        <w:t>江阴港城污水处理厂位于福州江阴工业集中区西部工业区规划地块内，总用地16公顷，总设计规模12万m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/d，主要负责江阴港城启动区13.8km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范围内的污水处理，分期建设，近期4万m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/d、中期8万m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/d、远期</w:t>
      </w:r>
      <w:r>
        <w:rPr>
          <w:rFonts w:hint="default" w:ascii="Times New Roman" w:hAnsi="Times New Roman" w:eastAsia="宋体" w:cs="Times New Roman"/>
          <w:sz w:val="24"/>
          <w:szCs w:val="24"/>
        </w:rPr>
        <w:t>12万m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/d。近期4万m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/d分两阶段建设，江阴港城污水处理厂近期一、二期工程平均处理污水量约为2万m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/d，目前近期一期已建成2万m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/d规模，2009年5月进入试运行，2011年11月通过竣工环保验收；二期2万m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/d规模，已于2012年9月底完成投入试运行，2015年11月通过一期提标及二期工程阶段环保验收。同时，提标及改造工程于2017年6月建成，2017年9月投入试运行，并于2018年2月6日通过竣工环境保护验收。</w:t>
      </w:r>
    </w:p>
    <w:p>
      <w:pPr>
        <w:keepNext w:val="0"/>
        <w:keepLines w:val="0"/>
        <w:pageBreakBefore w:val="0"/>
        <w:kinsoku/>
        <w:wordWrap/>
        <w:overflowPunct/>
        <w:topLinePunct w:val="0"/>
        <w:autoSpaceDE/>
        <w:autoSpaceDN/>
        <w:bidi w:val="0"/>
        <w:adjustRightInd/>
        <w:snapToGrid w:val="0"/>
        <w:spacing w:line="360" w:lineRule="auto"/>
        <w:ind w:firstLine="480"/>
        <w:textAlignment w:val="auto"/>
        <w:rPr>
          <w:rFonts w:hint="default" w:ascii="Times New Roman" w:hAnsi="Times New Roman" w:cs="Times New Roman"/>
          <w:b/>
          <w:bCs/>
          <w:sz w:val="24"/>
          <w:szCs w:val="24"/>
        </w:rPr>
      </w:pPr>
      <w:r>
        <w:rPr>
          <w:rFonts w:hint="default" w:ascii="Times New Roman" w:hAnsi="Times New Roman" w:eastAsia="宋体" w:cs="Times New Roman"/>
          <w:b/>
          <w:bCs/>
          <w:sz w:val="24"/>
          <w:szCs w:val="24"/>
        </w:rPr>
        <w:t>2、污水处理厂服务范围和企业污水主要特征</w:t>
      </w:r>
    </w:p>
    <w:p>
      <w:pPr>
        <w:keepNext w:val="0"/>
        <w:keepLines w:val="0"/>
        <w:pageBreakBefore w:val="0"/>
        <w:kinsoku/>
        <w:wordWrap/>
        <w:overflowPunct/>
        <w:topLinePunct w:val="0"/>
        <w:autoSpaceDE/>
        <w:autoSpaceDN/>
        <w:bidi w:val="0"/>
        <w:adjustRightInd/>
        <w:snapToGrid w:val="0"/>
        <w:spacing w:line="360" w:lineRule="auto"/>
        <w:ind w:firstLine="480"/>
        <w:textAlignment w:val="auto"/>
        <w:rPr>
          <w:rFonts w:hint="default" w:ascii="Times New Roman" w:hAnsi="Times New Roman" w:cs="Times New Roman"/>
          <w:sz w:val="24"/>
          <w:szCs w:val="24"/>
        </w:rPr>
      </w:pPr>
      <w:r>
        <w:rPr>
          <w:rFonts w:hint="default" w:ascii="Times New Roman" w:hAnsi="Times New Roman" w:eastAsia="宋体" w:cs="Times New Roman"/>
          <w:sz w:val="24"/>
          <w:szCs w:val="24"/>
        </w:rPr>
        <w:t>江阴污水处理厂近期主要服务范围是工业启动区块新江公路以西，现状海岸线以东，港口以北，福兴制药厂以南地块，面积约4.4km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污水组成包括工业废水和生活污水，主要由工业废水组成。工业废水来自综合工业集中区内生产过程中产生的废水，包括工厂内部的生活污水；生活污水来自新江公路以北，西山村以西的生活及公建区。污水处理厂厂前管网收集系统的管网已建设6.1km，污水处理厂厂后尾水排污管线已建设5.4km，海上段已建968m。现有工业集中区内企业污水已经全部纳入污水厂管网收集服务系统服务范围。</w:t>
      </w:r>
    </w:p>
    <w:p>
      <w:pPr>
        <w:keepNext w:val="0"/>
        <w:keepLines w:val="0"/>
        <w:pageBreakBefore w:val="0"/>
        <w:kinsoku/>
        <w:wordWrap/>
        <w:overflowPunct/>
        <w:topLinePunct w:val="0"/>
        <w:autoSpaceDE/>
        <w:autoSpaceDN/>
        <w:bidi w:val="0"/>
        <w:adjustRightInd/>
        <w:snapToGrid w:val="0"/>
        <w:spacing w:line="360" w:lineRule="auto"/>
        <w:ind w:firstLine="480"/>
        <w:textAlignment w:val="auto"/>
        <w:rPr>
          <w:rFonts w:hint="default" w:ascii="Times New Roman" w:hAnsi="Times New Roman" w:cs="Times New Roman"/>
          <w:sz w:val="24"/>
          <w:szCs w:val="24"/>
        </w:rPr>
      </w:pPr>
      <w:r>
        <w:rPr>
          <w:rFonts w:hint="default" w:ascii="Times New Roman" w:hAnsi="Times New Roman" w:eastAsia="宋体" w:cs="Times New Roman"/>
          <w:sz w:val="24"/>
          <w:szCs w:val="24"/>
        </w:rPr>
        <w:t>江阴污水处理厂远期（12万m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d）主要服务范围为整个江阴工业集中区及新厝出口加工区内的企业污水和生活配套区生活污水。根据江阴工业集中区总体规划，工业集中区主要发展化工、医药、金属加工、塑料、造船等工业，排污水量较大的企业有福抗药业公司、福兴医药公司，东南电化、建滔化工公司、福兴化纤公司、联合重工公司、耀隆化工公司等。</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3、设计进出水指标</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福州市近岸海域环境保护规划（2014-2020）》和《江阴港城总体规划（2018-2035）环境影响报告书》的要求，江阴工业集中区污水处理厂现出水水质要求需由《污水综合排放标准》（GB8978-1996）一级标准提高至《城镇污水处理厂污染物排放标准》（GB18918-2002）一级A标准。</w:t>
      </w:r>
    </w:p>
    <w:p>
      <w:pPr>
        <w:adjustRightInd w:val="0"/>
        <w:snapToGrid w:val="0"/>
        <w:spacing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rPr>
        <w:t>针对提标改造工程，福州江阴港城经济区管委会主持召开了《福州市江阴工业集中区污水处理厂提标改造工程设计方案》讨论会，会上确定本次提标改造工程设计进水水质。园区污水处理厂进出水水质指标见表5.1-2。</w:t>
      </w:r>
    </w:p>
    <w:p>
      <w:pPr>
        <w:snapToGrid w:val="0"/>
        <w:spacing w:line="360" w:lineRule="auto"/>
        <w:ind w:firstLine="0"/>
        <w:jc w:val="center"/>
        <w:outlineLvl w:val="4"/>
        <w:rPr>
          <w:rFonts w:hint="default" w:ascii="Times New Roman" w:hAnsi="Times New Roman" w:eastAsia="黑体" w:cs="Times New Roman"/>
          <w:bCs/>
          <w:sz w:val="24"/>
          <w:szCs w:val="24"/>
          <w:lang w:val="en-GB"/>
        </w:rPr>
      </w:pPr>
      <w:r>
        <w:rPr>
          <w:rFonts w:hint="default" w:ascii="Times New Roman" w:hAnsi="Times New Roman" w:eastAsia="黑体" w:cs="Times New Roman"/>
          <w:bCs/>
          <w:sz w:val="24"/>
          <w:szCs w:val="24"/>
          <w:lang w:val="en-GB"/>
        </w:rPr>
        <w:t>表5.1-2  设计进、出水水质及处理程度单位：mg/L</w:t>
      </w:r>
    </w:p>
    <w:tbl>
      <w:tblPr>
        <w:tblStyle w:val="90"/>
        <w:tblpPr w:leftFromText="181" w:rightFromText="181" w:vertAnchor="text" w:horzAnchor="page" w:tblpX="1407"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44"/>
        <w:gridCol w:w="1174"/>
        <w:gridCol w:w="1174"/>
        <w:gridCol w:w="1174"/>
        <w:gridCol w:w="1174"/>
        <w:gridCol w:w="1174"/>
        <w:gridCol w:w="1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244" w:type="dxa"/>
            <w:noWrap w:val="0"/>
            <w:vAlign w:val="center"/>
          </w:tcPr>
          <w:p>
            <w:pPr>
              <w:widowControl/>
              <w:snapToGrid w:val="0"/>
              <w:spacing w:line="240" w:lineRule="auto"/>
              <w:ind w:firstLine="1470"/>
              <w:rPr>
                <w:rFonts w:hint="default" w:ascii="Times New Roman" w:hAnsi="Times New Roman" w:eastAsia="宋体" w:cs="Times New Roman"/>
                <w:kern w:val="0"/>
                <w:sz w:val="21"/>
              </w:rPr>
            </w:pPr>
            <w:r>
              <w:rPr>
                <w:rFonts w:hint="default" w:ascii="Times New Roman" w:hAnsi="Times New Roman" w:eastAsia="宋体" w:cs="Times New Roman"/>
                <w:kern w:val="0"/>
                <w:sz w:val="21"/>
              </w:rPr>
              <w:t>类别</w:t>
            </w:r>
          </w:p>
          <w:p>
            <w:pPr>
              <w:widowControl/>
              <w:snapToGrid w:val="0"/>
              <w:spacing w:line="240" w:lineRule="auto"/>
              <w:ind w:firstLine="0"/>
              <w:rPr>
                <w:rFonts w:hint="default" w:ascii="Times New Roman" w:hAnsi="Times New Roman" w:eastAsia="宋体" w:cs="Times New Roman"/>
                <w:kern w:val="0"/>
                <w:sz w:val="21"/>
              </w:rPr>
            </w:pPr>
            <w:r>
              <w:rPr>
                <w:rFonts w:hint="default" w:ascii="Times New Roman" w:hAnsi="Times New Roman" w:eastAsia="宋体" w:cs="Times New Roman"/>
                <w:kern w:val="0"/>
                <w:sz w:val="21"/>
              </w:rPr>
              <w:t>项目</w:t>
            </w:r>
          </w:p>
        </w:tc>
        <w:tc>
          <w:tcPr>
            <w:tcW w:w="117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COD</w:t>
            </w:r>
          </w:p>
        </w:tc>
        <w:tc>
          <w:tcPr>
            <w:tcW w:w="117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BOD</w:t>
            </w:r>
            <w:r>
              <w:rPr>
                <w:rFonts w:hint="default" w:ascii="Times New Roman" w:hAnsi="Times New Roman" w:eastAsia="宋体" w:cs="Times New Roman"/>
                <w:kern w:val="0"/>
                <w:sz w:val="21"/>
                <w:vertAlign w:val="subscript"/>
              </w:rPr>
              <w:t>5</w:t>
            </w:r>
          </w:p>
        </w:tc>
        <w:tc>
          <w:tcPr>
            <w:tcW w:w="117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SS</w:t>
            </w:r>
          </w:p>
        </w:tc>
        <w:tc>
          <w:tcPr>
            <w:tcW w:w="117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NH</w:t>
            </w:r>
            <w:r>
              <w:rPr>
                <w:rFonts w:hint="default" w:ascii="Times New Roman" w:hAnsi="Times New Roman" w:eastAsia="宋体" w:cs="Times New Roman"/>
                <w:kern w:val="0"/>
                <w:sz w:val="21"/>
                <w:vertAlign w:val="subscript"/>
              </w:rPr>
              <w:t>3</w:t>
            </w:r>
            <w:r>
              <w:rPr>
                <w:rFonts w:hint="default" w:ascii="Times New Roman" w:hAnsi="Times New Roman" w:eastAsia="宋体" w:cs="Times New Roman"/>
                <w:kern w:val="0"/>
                <w:sz w:val="21"/>
                <w:vertAlign w:val="superscript"/>
              </w:rPr>
              <w:t>-</w:t>
            </w:r>
            <w:r>
              <w:rPr>
                <w:rFonts w:hint="default" w:ascii="Times New Roman" w:hAnsi="Times New Roman" w:eastAsia="宋体" w:cs="Times New Roman"/>
                <w:kern w:val="0"/>
                <w:sz w:val="21"/>
              </w:rPr>
              <w:t>N</w:t>
            </w:r>
          </w:p>
        </w:tc>
        <w:tc>
          <w:tcPr>
            <w:tcW w:w="117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PO</w:t>
            </w:r>
            <w:r>
              <w:rPr>
                <w:rFonts w:hint="default" w:ascii="Times New Roman" w:hAnsi="Times New Roman" w:eastAsia="宋体" w:cs="Times New Roman"/>
                <w:kern w:val="0"/>
                <w:sz w:val="21"/>
                <w:vertAlign w:val="subscript"/>
              </w:rPr>
              <w:t>4</w:t>
            </w:r>
            <w:r>
              <w:rPr>
                <w:rFonts w:hint="default" w:ascii="Times New Roman" w:hAnsi="Times New Roman" w:eastAsia="宋体" w:cs="Times New Roman"/>
                <w:kern w:val="0"/>
                <w:sz w:val="21"/>
                <w:vertAlign w:val="superscript"/>
              </w:rPr>
              <w:t>3</w:t>
            </w:r>
            <w:r>
              <w:rPr>
                <w:rFonts w:hint="default" w:ascii="Times New Roman" w:hAnsi="Times New Roman" w:eastAsia="宋体" w:cs="Times New Roman"/>
                <w:kern w:val="0"/>
                <w:sz w:val="21"/>
              </w:rPr>
              <w:noBreakHyphen/>
            </w:r>
            <w:r>
              <w:rPr>
                <w:rFonts w:hint="default" w:ascii="Times New Roman" w:hAnsi="Times New Roman" w:eastAsia="宋体" w:cs="Times New Roman"/>
                <w:kern w:val="0"/>
                <w:sz w:val="21"/>
              </w:rPr>
              <w:t>P</w:t>
            </w:r>
          </w:p>
        </w:tc>
        <w:tc>
          <w:tcPr>
            <w:tcW w:w="1172"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设计进水水质</w:t>
            </w:r>
          </w:p>
        </w:tc>
        <w:tc>
          <w:tcPr>
            <w:tcW w:w="117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500</w:t>
            </w:r>
          </w:p>
        </w:tc>
        <w:tc>
          <w:tcPr>
            <w:tcW w:w="117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300</w:t>
            </w:r>
          </w:p>
        </w:tc>
        <w:tc>
          <w:tcPr>
            <w:tcW w:w="117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400</w:t>
            </w:r>
          </w:p>
        </w:tc>
        <w:tc>
          <w:tcPr>
            <w:tcW w:w="117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60</w:t>
            </w:r>
          </w:p>
        </w:tc>
        <w:tc>
          <w:tcPr>
            <w:tcW w:w="117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8</w:t>
            </w:r>
          </w:p>
        </w:tc>
        <w:tc>
          <w:tcPr>
            <w:tcW w:w="1172"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设计出水水质</w:t>
            </w:r>
          </w:p>
        </w:tc>
        <w:tc>
          <w:tcPr>
            <w:tcW w:w="117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50</w:t>
            </w:r>
          </w:p>
        </w:tc>
        <w:tc>
          <w:tcPr>
            <w:tcW w:w="117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10</w:t>
            </w:r>
          </w:p>
        </w:tc>
        <w:tc>
          <w:tcPr>
            <w:tcW w:w="117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10</w:t>
            </w:r>
          </w:p>
        </w:tc>
        <w:tc>
          <w:tcPr>
            <w:tcW w:w="117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5（8）</w:t>
            </w:r>
          </w:p>
        </w:tc>
        <w:tc>
          <w:tcPr>
            <w:tcW w:w="117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0.5</w:t>
            </w:r>
          </w:p>
        </w:tc>
        <w:tc>
          <w:tcPr>
            <w:tcW w:w="1172"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处理率（%）</w:t>
            </w:r>
          </w:p>
        </w:tc>
        <w:tc>
          <w:tcPr>
            <w:tcW w:w="117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90</w:t>
            </w:r>
          </w:p>
        </w:tc>
        <w:tc>
          <w:tcPr>
            <w:tcW w:w="117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97</w:t>
            </w:r>
          </w:p>
        </w:tc>
        <w:tc>
          <w:tcPr>
            <w:tcW w:w="117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98</w:t>
            </w:r>
          </w:p>
        </w:tc>
        <w:tc>
          <w:tcPr>
            <w:tcW w:w="117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92（87）</w:t>
            </w:r>
          </w:p>
        </w:tc>
        <w:tc>
          <w:tcPr>
            <w:tcW w:w="1174"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94</w:t>
            </w:r>
          </w:p>
        </w:tc>
        <w:tc>
          <w:tcPr>
            <w:tcW w:w="1172" w:type="dxa"/>
            <w:noWrap w:val="0"/>
            <w:vAlign w:val="center"/>
          </w:tcPr>
          <w:p>
            <w:pPr>
              <w:widowControl/>
              <w:snapToGrid w:val="0"/>
              <w:spacing w:line="240" w:lineRule="auto"/>
              <w:ind w:firstLine="0"/>
              <w:jc w:val="center"/>
              <w:rPr>
                <w:rFonts w:hint="default" w:ascii="Times New Roman" w:hAnsi="Times New Roman" w:eastAsia="宋体" w:cs="Times New Roman"/>
                <w:kern w:val="0"/>
                <w:sz w:val="21"/>
              </w:rPr>
            </w:pPr>
            <w:r>
              <w:rPr>
                <w:rFonts w:hint="default" w:ascii="Times New Roman" w:hAnsi="Times New Roman" w:eastAsia="宋体" w:cs="Times New Roman"/>
                <w:kern w:val="0"/>
                <w:sz w:val="21"/>
              </w:rPr>
              <w:t>95</w:t>
            </w:r>
          </w:p>
        </w:tc>
      </w:tr>
    </w:tbl>
    <w:p>
      <w:pPr>
        <w:keepNext w:val="0"/>
        <w:keepLines w:val="0"/>
        <w:pageBreakBefore w:val="0"/>
        <w:kinsoku/>
        <w:wordWrap/>
        <w:overflowPunct/>
        <w:topLinePunct w:val="0"/>
        <w:autoSpaceDE/>
        <w:autoSpaceDN/>
        <w:bidi w:val="0"/>
        <w:snapToGrid w:val="0"/>
        <w:spacing w:line="360" w:lineRule="auto"/>
        <w:ind w:firstLine="48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园区污水处理厂尾水排放口位于兴化湾1#码头南侧前沿约768m位置（距离国际集装箱进港航道边约100m），排放口中心坐标为X＝2811381.247，Y＝428466.241，采用深海离岸、扩散器排放方式，该位置水深-18米。</w:t>
      </w:r>
    </w:p>
    <w:p>
      <w:pPr>
        <w:keepNext w:val="0"/>
        <w:keepLines w:val="0"/>
        <w:pageBreakBefore w:val="0"/>
        <w:kinsoku/>
        <w:wordWrap/>
        <w:overflowPunct/>
        <w:topLinePunct w:val="0"/>
        <w:autoSpaceDE/>
        <w:autoSpaceDN/>
        <w:bidi w:val="0"/>
        <w:snapToGrid w:val="0"/>
        <w:spacing w:line="360" w:lineRule="auto"/>
        <w:ind w:firstLine="480"/>
        <w:textAlignment w:val="auto"/>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4、处理工艺流程</w:t>
      </w:r>
    </w:p>
    <w:p>
      <w:pPr>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江阴港城经济区污水处理厂提标改造后污水预处理方案采用“机械絮凝+平流沉淀池”工艺，主体生化工艺采用“多级A/O”工艺，除磷工艺采用“混凝—沉淀—过滤”工艺，深度处理工艺采用“芬顿”工艺。</w:t>
      </w:r>
    </w:p>
    <w:p>
      <w:pPr>
        <w:keepNext w:val="0"/>
        <w:keepLines w:val="0"/>
        <w:pageBreakBefore w:val="0"/>
        <w:widowControl/>
        <w:kinsoku/>
        <w:wordWrap/>
        <w:overflowPunct/>
        <w:topLinePunct w:val="0"/>
        <w:autoSpaceDE/>
        <w:autoSpaceDN/>
        <w:bidi w:val="0"/>
        <w:snapToGrid w:val="0"/>
        <w:spacing w:line="360" w:lineRule="auto"/>
        <w:ind w:firstLine="0"/>
        <w:jc w:val="left"/>
        <w:textAlignment w:val="auto"/>
        <w:outlineLvl w:val="3"/>
        <w:rPr>
          <w:rFonts w:hint="default" w:ascii="Times New Roman" w:hAnsi="Times New Roman" w:eastAsia="黑体" w:cs="Times New Roman"/>
          <w:bCs/>
          <w:color w:val="auto"/>
          <w:sz w:val="24"/>
          <w:szCs w:val="28"/>
        </w:rPr>
      </w:pPr>
      <w:r>
        <w:rPr>
          <w:rFonts w:hint="default" w:ascii="Times New Roman" w:hAnsi="Times New Roman" w:eastAsia="黑体" w:cs="Times New Roman"/>
          <w:bCs/>
          <w:color w:val="auto"/>
          <w:sz w:val="24"/>
          <w:szCs w:val="28"/>
        </w:rPr>
        <w:t>5.1.2.2污水纳入工业区污水厂可行性分析</w:t>
      </w:r>
    </w:p>
    <w:p>
      <w:pPr>
        <w:keepNext w:val="0"/>
        <w:keepLines w:val="0"/>
        <w:pageBreakBefore w:val="0"/>
        <w:kinsoku/>
        <w:wordWrap/>
        <w:overflowPunct/>
        <w:topLinePunct w:val="0"/>
        <w:autoSpaceDE/>
        <w:autoSpaceDN/>
        <w:bidi w:val="0"/>
        <w:snapToGrid w:val="0"/>
        <w:spacing w:line="360" w:lineRule="auto"/>
        <w:ind w:firstLine="480"/>
        <w:textAlignment w:val="auto"/>
        <w:rPr>
          <w:rFonts w:hint="default" w:ascii="Times New Roman" w:hAnsi="Times New Roman" w:eastAsia="宋体" w:cs="Times New Roman"/>
          <w:b/>
          <w:bCs/>
          <w:color w:val="auto"/>
          <w:sz w:val="24"/>
          <w:szCs w:val="24"/>
          <w:lang w:val="en-GB"/>
        </w:rPr>
      </w:pPr>
      <w:r>
        <w:rPr>
          <w:rFonts w:hint="default" w:ascii="Times New Roman" w:hAnsi="Times New Roman" w:eastAsia="宋体" w:cs="Times New Roman"/>
          <w:b/>
          <w:bCs/>
          <w:color w:val="auto"/>
          <w:sz w:val="24"/>
          <w:szCs w:val="24"/>
          <w:lang w:val="en-GB"/>
        </w:rPr>
        <w:t>(1)水质接纳可行性分析</w:t>
      </w:r>
    </w:p>
    <w:p>
      <w:pPr>
        <w:adjustRightInd w:val="0"/>
        <w:snapToGrid w:val="0"/>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szCs w:val="24"/>
        </w:rPr>
        <w:t>项目循环水站</w:t>
      </w:r>
      <w:r>
        <w:rPr>
          <w:rFonts w:hint="eastAsia" w:ascii="Times New Roman" w:hAnsi="Times New Roman" w:eastAsia="宋体" w:cs="Times New Roman"/>
          <w:color w:val="auto"/>
          <w:sz w:val="24"/>
          <w:szCs w:val="24"/>
          <w:lang w:val="en-US" w:eastAsia="zh-CN"/>
        </w:rPr>
        <w:t>间接冷却排水</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去离子水站排水、初期雨水经沉淀后达到《无机化学工业污染物排放标准》（GB31573-2015）表1（间接排放标准）经工业废水排放口</w:t>
      </w:r>
      <w:r>
        <w:rPr>
          <w:rFonts w:hint="default" w:ascii="Times New Roman" w:hAnsi="Times New Roman" w:eastAsia="宋体" w:cs="Times New Roman"/>
          <w:color w:val="auto"/>
          <w:sz w:val="24"/>
          <w:szCs w:val="24"/>
        </w:rPr>
        <w:t>进入江阴工业集中区污水处理厂集中处理</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生活污</w:t>
      </w:r>
      <w:r>
        <w:rPr>
          <w:rFonts w:hint="default" w:ascii="Times New Roman" w:hAnsi="Times New Roman" w:eastAsia="宋体" w:cs="Times New Roman"/>
          <w:color w:val="auto"/>
          <w:sz w:val="24"/>
          <w:szCs w:val="24"/>
        </w:rPr>
        <w:t>水</w:t>
      </w:r>
      <w:r>
        <w:rPr>
          <w:rFonts w:hint="eastAsia" w:ascii="Times New Roman" w:hAnsi="Times New Roman" w:eastAsia="宋体" w:cs="Times New Roman"/>
          <w:color w:val="auto"/>
          <w:sz w:val="24"/>
          <w:szCs w:val="24"/>
          <w:lang w:val="en-US" w:eastAsia="zh-CN"/>
        </w:rPr>
        <w:t>经化粪池处理后达到</w:t>
      </w:r>
      <w:r>
        <w:rPr>
          <w:rFonts w:hint="default" w:ascii="Times New Roman" w:hAnsi="Times New Roman" w:eastAsia="宋体" w:cs="Times New Roman"/>
          <w:color w:val="auto"/>
          <w:sz w:val="24"/>
          <w:szCs w:val="24"/>
        </w:rPr>
        <w:t>《污水综合排放标准》(GB8978-1996)中表4三级标准（其中NH</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-N参照执行《污水排入城镇下水道水质标准》（GB/T 31962-2015）表1中的B级标准）</w:t>
      </w:r>
      <w:r>
        <w:rPr>
          <w:rFonts w:hint="eastAsia" w:ascii="Times New Roman" w:hAnsi="Times New Roman" w:eastAsia="宋体" w:cs="Times New Roman"/>
          <w:color w:val="auto"/>
          <w:sz w:val="24"/>
          <w:szCs w:val="24"/>
          <w:lang w:val="en-US" w:eastAsia="zh-CN"/>
        </w:rPr>
        <w:t>后通过生活污水排放口</w:t>
      </w:r>
      <w:r>
        <w:rPr>
          <w:rFonts w:hint="default" w:ascii="Times New Roman" w:hAnsi="Times New Roman" w:eastAsia="宋体" w:cs="Times New Roman"/>
          <w:color w:val="auto"/>
          <w:sz w:val="24"/>
          <w:szCs w:val="24"/>
        </w:rPr>
        <w:t>排入</w:t>
      </w:r>
      <w:r>
        <w:rPr>
          <w:rFonts w:hint="eastAsia" w:ascii="Times New Roman" w:hAnsi="Times New Roman" w:eastAsia="宋体" w:cs="Times New Roman"/>
          <w:color w:val="auto"/>
          <w:sz w:val="24"/>
          <w:szCs w:val="24"/>
          <w:lang w:val="en-US" w:eastAsia="zh-CN"/>
        </w:rPr>
        <w:t>江阴污水处理厂</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项目废水水质与园区污水厂接管水质要求见表5.1-3。</w:t>
      </w:r>
    </w:p>
    <w:p>
      <w:pPr>
        <w:snapToGrid w:val="0"/>
        <w:spacing w:line="360" w:lineRule="auto"/>
        <w:ind w:firstLine="0"/>
        <w:jc w:val="center"/>
        <w:outlineLvl w:val="4"/>
        <w:rPr>
          <w:rFonts w:hint="default" w:ascii="Times New Roman" w:hAnsi="Times New Roman" w:eastAsia="黑体" w:cs="Times New Roman"/>
          <w:bCs/>
          <w:color w:val="auto"/>
          <w:sz w:val="24"/>
          <w:szCs w:val="24"/>
          <w:lang w:val="en-GB"/>
        </w:rPr>
      </w:pPr>
      <w:r>
        <w:rPr>
          <w:rFonts w:hint="default" w:ascii="Times New Roman" w:hAnsi="Times New Roman" w:eastAsia="黑体" w:cs="Times New Roman"/>
          <w:bCs/>
          <w:color w:val="auto"/>
          <w:sz w:val="24"/>
          <w:szCs w:val="24"/>
          <w:lang w:val="en-GB"/>
        </w:rPr>
        <w:t>表5.1-3   项目废水出水水质、水量及园区污水厂接管水质要求</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651"/>
        <w:gridCol w:w="1223"/>
        <w:gridCol w:w="1358"/>
        <w:gridCol w:w="655"/>
        <w:gridCol w:w="759"/>
        <w:gridCol w:w="637"/>
        <w:gridCol w:w="878"/>
        <w:gridCol w:w="9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51" w:type="dxa"/>
            <w:noWrap w:val="0"/>
            <w:vAlign w:val="center"/>
          </w:tcPr>
          <w:p>
            <w:pPr>
              <w:adjustRightInd w:val="0"/>
              <w:snapToGrid w:val="0"/>
              <w:spacing w:line="240" w:lineRule="atLeast"/>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污水</w:t>
            </w:r>
          </w:p>
        </w:tc>
        <w:tc>
          <w:tcPr>
            <w:tcW w:w="1223" w:type="dxa"/>
            <w:noWrap w:val="0"/>
            <w:vAlign w:val="center"/>
          </w:tcPr>
          <w:p>
            <w:pPr>
              <w:adjustRightInd w:val="0"/>
              <w:snapToGrid w:val="0"/>
              <w:spacing w:line="240" w:lineRule="atLeast"/>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流量（t/a）</w:t>
            </w:r>
          </w:p>
        </w:tc>
        <w:tc>
          <w:tcPr>
            <w:tcW w:w="1358" w:type="dxa"/>
            <w:noWrap w:val="0"/>
            <w:vAlign w:val="center"/>
          </w:tcPr>
          <w:p>
            <w:pPr>
              <w:adjustRightInd w:val="0"/>
              <w:snapToGrid w:val="0"/>
              <w:spacing w:line="240" w:lineRule="atLeast"/>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浓度单位</w:t>
            </w:r>
          </w:p>
        </w:tc>
        <w:tc>
          <w:tcPr>
            <w:tcW w:w="655" w:type="dxa"/>
            <w:noWrap w:val="0"/>
            <w:vAlign w:val="center"/>
          </w:tcPr>
          <w:p>
            <w:pPr>
              <w:adjustRightInd w:val="0"/>
              <w:snapToGrid w:val="0"/>
              <w:spacing w:line="240" w:lineRule="atLeast"/>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COD</w:t>
            </w:r>
          </w:p>
        </w:tc>
        <w:tc>
          <w:tcPr>
            <w:tcW w:w="759" w:type="dxa"/>
            <w:noWrap w:val="0"/>
            <w:vAlign w:val="center"/>
          </w:tcPr>
          <w:p>
            <w:pPr>
              <w:adjustRightInd w:val="0"/>
              <w:snapToGrid w:val="0"/>
              <w:spacing w:line="240" w:lineRule="atLeast"/>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BOD</w:t>
            </w:r>
            <w:r>
              <w:rPr>
                <w:rFonts w:hint="default" w:ascii="Times New Roman" w:hAnsi="Times New Roman" w:eastAsia="宋体" w:cs="Times New Roman"/>
                <w:color w:val="auto"/>
                <w:sz w:val="21"/>
                <w:szCs w:val="21"/>
                <w:vertAlign w:val="subscript"/>
              </w:rPr>
              <w:t>5</w:t>
            </w:r>
          </w:p>
        </w:tc>
        <w:tc>
          <w:tcPr>
            <w:tcW w:w="637" w:type="dxa"/>
            <w:noWrap w:val="0"/>
            <w:vAlign w:val="center"/>
          </w:tcPr>
          <w:p>
            <w:pPr>
              <w:adjustRightInd w:val="0"/>
              <w:snapToGrid w:val="0"/>
              <w:spacing w:line="240" w:lineRule="atLeast"/>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SS</w:t>
            </w:r>
          </w:p>
        </w:tc>
        <w:tc>
          <w:tcPr>
            <w:tcW w:w="878" w:type="dxa"/>
            <w:noWrap w:val="0"/>
            <w:vAlign w:val="center"/>
          </w:tcPr>
          <w:p>
            <w:pPr>
              <w:adjustRightInd w:val="0"/>
              <w:snapToGrid w:val="0"/>
              <w:spacing w:line="240" w:lineRule="atLeast"/>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w:t>
            </w:r>
          </w:p>
        </w:tc>
        <w:tc>
          <w:tcPr>
            <w:tcW w:w="922" w:type="dxa"/>
            <w:noWrap w:val="0"/>
            <w:vAlign w:val="center"/>
          </w:tcPr>
          <w:p>
            <w:pPr>
              <w:adjustRightInd w:val="0"/>
              <w:snapToGrid w:val="0"/>
              <w:spacing w:line="240" w:lineRule="atLeast"/>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盐份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51" w:type="dxa"/>
            <w:noWrap w:val="0"/>
            <w:vAlign w:val="center"/>
          </w:tcPr>
          <w:p>
            <w:pPr>
              <w:adjustRightInd w:val="0"/>
              <w:snapToGrid w:val="0"/>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w:t>
            </w:r>
            <w:r>
              <w:rPr>
                <w:rFonts w:hint="eastAsia" w:ascii="Times New Roman" w:hAnsi="Times New Roman" w:eastAsia="宋体" w:cs="Times New Roman"/>
                <w:color w:val="auto"/>
                <w:sz w:val="21"/>
                <w:szCs w:val="21"/>
                <w:lang w:val="en-US" w:eastAsia="zh-CN"/>
              </w:rPr>
              <w:t>循环水站间接冷却排水、去离子水站排水、初期雨水</w:t>
            </w:r>
          </w:p>
        </w:tc>
        <w:tc>
          <w:tcPr>
            <w:tcW w:w="1223" w:type="dxa"/>
            <w:noWrap w:val="0"/>
            <w:vAlign w:val="center"/>
          </w:tcPr>
          <w:p>
            <w:pPr>
              <w:adjustRightInd w:val="0"/>
              <w:snapToGrid w:val="0"/>
              <w:spacing w:line="240" w:lineRule="atLeast"/>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33780</w:t>
            </w:r>
          </w:p>
        </w:tc>
        <w:tc>
          <w:tcPr>
            <w:tcW w:w="1358" w:type="dxa"/>
            <w:noWrap w:val="0"/>
            <w:vAlign w:val="center"/>
          </w:tcPr>
          <w:p>
            <w:pPr>
              <w:adjustRightInd w:val="0"/>
              <w:snapToGrid w:val="0"/>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mg/L</w:t>
            </w:r>
          </w:p>
        </w:tc>
        <w:tc>
          <w:tcPr>
            <w:tcW w:w="655" w:type="dxa"/>
            <w:noWrap w:val="0"/>
            <w:vAlign w:val="center"/>
          </w:tcPr>
          <w:p>
            <w:pPr>
              <w:adjustRightInd w:val="0"/>
              <w:snapToGrid w:val="0"/>
              <w:spacing w:line="240" w:lineRule="atLeast"/>
              <w:ind w:firstLine="0"/>
              <w:jc w:val="center"/>
              <w:rPr>
                <w:rFonts w:hint="default" w:ascii="Times New Roman" w:hAnsi="Times New Roman" w:eastAsia="仿宋_GB2312"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88.2</w:t>
            </w:r>
          </w:p>
        </w:tc>
        <w:tc>
          <w:tcPr>
            <w:tcW w:w="759" w:type="dxa"/>
            <w:noWrap w:val="0"/>
            <w:vAlign w:val="center"/>
          </w:tcPr>
          <w:p>
            <w:pPr>
              <w:adjustRightInd w:val="0"/>
              <w:snapToGrid w:val="0"/>
              <w:spacing w:line="240" w:lineRule="atLeast"/>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37" w:type="dxa"/>
            <w:noWrap w:val="0"/>
            <w:vAlign w:val="center"/>
          </w:tcPr>
          <w:p>
            <w:pPr>
              <w:adjustRightInd w:val="0"/>
              <w:snapToGrid w:val="0"/>
              <w:spacing w:line="240" w:lineRule="atLeast"/>
              <w:ind w:firstLine="0"/>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84.1</w:t>
            </w:r>
          </w:p>
        </w:tc>
        <w:tc>
          <w:tcPr>
            <w:tcW w:w="878" w:type="dxa"/>
            <w:noWrap w:val="0"/>
            <w:vAlign w:val="center"/>
          </w:tcPr>
          <w:p>
            <w:pPr>
              <w:adjustRightInd w:val="0"/>
              <w:snapToGrid w:val="0"/>
              <w:spacing w:line="240" w:lineRule="atLeast"/>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3.2</w:t>
            </w:r>
          </w:p>
        </w:tc>
        <w:tc>
          <w:tcPr>
            <w:tcW w:w="922" w:type="dxa"/>
            <w:noWrap w:val="0"/>
            <w:vAlign w:val="center"/>
          </w:tcPr>
          <w:p>
            <w:pPr>
              <w:adjustRightInd w:val="0"/>
              <w:snapToGrid w:val="0"/>
              <w:spacing w:line="240" w:lineRule="atLeast"/>
              <w:ind w:firstLine="0"/>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339.6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51" w:type="dxa"/>
            <w:noWrap w:val="0"/>
            <w:vAlign w:val="center"/>
          </w:tcPr>
          <w:p>
            <w:pPr>
              <w:adjustRightInd w:val="0"/>
              <w:snapToGrid w:val="0"/>
              <w:spacing w:line="240" w:lineRule="atLeast"/>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生活污水排水</w:t>
            </w:r>
          </w:p>
        </w:tc>
        <w:tc>
          <w:tcPr>
            <w:tcW w:w="1223" w:type="dxa"/>
            <w:noWrap w:val="0"/>
            <w:vAlign w:val="center"/>
          </w:tcPr>
          <w:p>
            <w:pPr>
              <w:adjustRightInd w:val="0"/>
              <w:snapToGrid w:val="0"/>
              <w:spacing w:line="240" w:lineRule="atLeast"/>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2496</w:t>
            </w:r>
          </w:p>
        </w:tc>
        <w:tc>
          <w:tcPr>
            <w:tcW w:w="1358" w:type="dxa"/>
            <w:noWrap w:val="0"/>
            <w:vAlign w:val="center"/>
          </w:tcPr>
          <w:p>
            <w:pPr>
              <w:adjustRightInd w:val="0"/>
              <w:snapToGrid w:val="0"/>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mg/L</w:t>
            </w:r>
          </w:p>
        </w:tc>
        <w:tc>
          <w:tcPr>
            <w:tcW w:w="655" w:type="dxa"/>
            <w:noWrap w:val="0"/>
            <w:vAlign w:val="center"/>
          </w:tcPr>
          <w:p>
            <w:pPr>
              <w:adjustRightInd w:val="0"/>
              <w:snapToGrid w:val="0"/>
              <w:spacing w:line="240" w:lineRule="atLeast"/>
              <w:ind w:firstLine="0"/>
              <w:jc w:val="center"/>
              <w:rPr>
                <w:rFonts w:hint="default" w:ascii="Times New Roman" w:hAnsi="Times New Roman" w:eastAsia="仿宋_GB2312"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200</w:t>
            </w:r>
          </w:p>
        </w:tc>
        <w:tc>
          <w:tcPr>
            <w:tcW w:w="759" w:type="dxa"/>
            <w:noWrap w:val="0"/>
            <w:vAlign w:val="center"/>
          </w:tcPr>
          <w:p>
            <w:pPr>
              <w:adjustRightInd w:val="0"/>
              <w:snapToGrid w:val="0"/>
              <w:spacing w:line="240" w:lineRule="atLeast"/>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637" w:type="dxa"/>
            <w:noWrap w:val="0"/>
            <w:vAlign w:val="center"/>
          </w:tcPr>
          <w:p>
            <w:pPr>
              <w:adjustRightInd w:val="0"/>
              <w:snapToGrid w:val="0"/>
              <w:spacing w:line="240" w:lineRule="atLeast"/>
              <w:ind w:firstLine="0"/>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150</w:t>
            </w:r>
          </w:p>
        </w:tc>
        <w:tc>
          <w:tcPr>
            <w:tcW w:w="878" w:type="dxa"/>
            <w:noWrap w:val="0"/>
            <w:vAlign w:val="center"/>
          </w:tcPr>
          <w:p>
            <w:pPr>
              <w:adjustRightInd w:val="0"/>
              <w:snapToGrid w:val="0"/>
              <w:spacing w:line="240" w:lineRule="atLeast"/>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35</w:t>
            </w:r>
          </w:p>
        </w:tc>
        <w:tc>
          <w:tcPr>
            <w:tcW w:w="922" w:type="dxa"/>
            <w:noWrap w:val="0"/>
            <w:vAlign w:val="center"/>
          </w:tcPr>
          <w:p>
            <w:pPr>
              <w:adjustRightInd w:val="0"/>
              <w:snapToGrid w:val="0"/>
              <w:spacing w:line="240" w:lineRule="atLeast"/>
              <w:ind w:firstLine="0"/>
              <w:jc w:val="center"/>
              <w:rPr>
                <w:rFonts w:hint="eastAsia"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51" w:type="dxa"/>
            <w:noWrap w:val="0"/>
            <w:vAlign w:val="center"/>
          </w:tcPr>
          <w:p>
            <w:pPr>
              <w:adjustRightInd w:val="0"/>
              <w:snapToGrid w:val="0"/>
              <w:spacing w:line="240" w:lineRule="atLeast"/>
              <w:ind w:firstLine="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《无机化学工业污染物排放标准》（GB31573-2015）表1</w:t>
            </w:r>
          </w:p>
        </w:tc>
        <w:tc>
          <w:tcPr>
            <w:tcW w:w="1223" w:type="dxa"/>
            <w:noWrap w:val="0"/>
            <w:vAlign w:val="center"/>
          </w:tcPr>
          <w:p>
            <w:pPr>
              <w:adjustRightInd w:val="0"/>
              <w:snapToGrid w:val="0"/>
              <w:spacing w:line="240" w:lineRule="atLeast"/>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358" w:type="dxa"/>
            <w:noWrap w:val="0"/>
            <w:vAlign w:val="center"/>
          </w:tcPr>
          <w:p>
            <w:pPr>
              <w:adjustRightInd w:val="0"/>
              <w:snapToGrid w:val="0"/>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mg/L</w:t>
            </w:r>
          </w:p>
        </w:tc>
        <w:tc>
          <w:tcPr>
            <w:tcW w:w="655" w:type="dxa"/>
            <w:noWrap w:val="0"/>
            <w:vAlign w:val="center"/>
          </w:tcPr>
          <w:p>
            <w:pPr>
              <w:adjustRightInd w:val="0"/>
              <w:snapToGrid w:val="0"/>
              <w:spacing w:line="240" w:lineRule="atLeast"/>
              <w:ind w:firstLine="0"/>
              <w:jc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200</w:t>
            </w:r>
          </w:p>
        </w:tc>
        <w:tc>
          <w:tcPr>
            <w:tcW w:w="759" w:type="dxa"/>
            <w:noWrap w:val="0"/>
            <w:vAlign w:val="center"/>
          </w:tcPr>
          <w:p>
            <w:pPr>
              <w:adjustRightInd w:val="0"/>
              <w:snapToGrid w:val="0"/>
              <w:spacing w:line="240" w:lineRule="atLeast"/>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300</w:t>
            </w:r>
          </w:p>
        </w:tc>
        <w:tc>
          <w:tcPr>
            <w:tcW w:w="637" w:type="dxa"/>
            <w:noWrap w:val="0"/>
            <w:vAlign w:val="center"/>
          </w:tcPr>
          <w:p>
            <w:pPr>
              <w:adjustRightInd w:val="0"/>
              <w:snapToGrid w:val="0"/>
              <w:spacing w:line="240" w:lineRule="atLeast"/>
              <w:ind w:firstLine="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100</w:t>
            </w:r>
          </w:p>
        </w:tc>
        <w:tc>
          <w:tcPr>
            <w:tcW w:w="878" w:type="dxa"/>
            <w:noWrap w:val="0"/>
            <w:vAlign w:val="center"/>
          </w:tcPr>
          <w:p>
            <w:pPr>
              <w:adjustRightInd w:val="0"/>
              <w:snapToGrid w:val="0"/>
              <w:spacing w:line="240" w:lineRule="atLeast"/>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w:t>
            </w:r>
          </w:p>
        </w:tc>
        <w:tc>
          <w:tcPr>
            <w:tcW w:w="922" w:type="dxa"/>
            <w:noWrap w:val="0"/>
            <w:vAlign w:val="center"/>
          </w:tcPr>
          <w:p>
            <w:pPr>
              <w:adjustRightInd w:val="0"/>
              <w:snapToGrid w:val="0"/>
              <w:spacing w:line="240" w:lineRule="atLeast"/>
              <w:ind w:firstLine="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51" w:type="dxa"/>
            <w:noWrap w:val="0"/>
            <w:vAlign w:val="center"/>
          </w:tcPr>
          <w:p>
            <w:pPr>
              <w:adjustRightInd w:val="0"/>
              <w:snapToGrid w:val="0"/>
              <w:spacing w:line="240" w:lineRule="atLeast"/>
              <w:ind w:firstLine="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rPr>
              <w:t>《污水综合排放标准》（GB8978-1996）表4三级</w:t>
            </w:r>
          </w:p>
        </w:tc>
        <w:tc>
          <w:tcPr>
            <w:tcW w:w="1223" w:type="dxa"/>
            <w:noWrap w:val="0"/>
            <w:vAlign w:val="center"/>
          </w:tcPr>
          <w:p>
            <w:pPr>
              <w:adjustRightInd w:val="0"/>
              <w:snapToGrid w:val="0"/>
              <w:spacing w:line="240" w:lineRule="atLeast"/>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358" w:type="dxa"/>
            <w:noWrap w:val="0"/>
            <w:vAlign w:val="center"/>
          </w:tcPr>
          <w:p>
            <w:pPr>
              <w:adjustRightInd w:val="0"/>
              <w:snapToGrid w:val="0"/>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mg/L</w:t>
            </w:r>
          </w:p>
        </w:tc>
        <w:tc>
          <w:tcPr>
            <w:tcW w:w="655" w:type="dxa"/>
            <w:noWrap w:val="0"/>
            <w:vAlign w:val="center"/>
          </w:tcPr>
          <w:p>
            <w:pPr>
              <w:adjustRightInd w:val="0"/>
              <w:snapToGrid w:val="0"/>
              <w:spacing w:line="240" w:lineRule="atLeast"/>
              <w:ind w:firstLine="0"/>
              <w:jc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500</w:t>
            </w:r>
          </w:p>
        </w:tc>
        <w:tc>
          <w:tcPr>
            <w:tcW w:w="759" w:type="dxa"/>
            <w:noWrap w:val="0"/>
            <w:vAlign w:val="center"/>
          </w:tcPr>
          <w:p>
            <w:pPr>
              <w:adjustRightInd w:val="0"/>
              <w:snapToGrid w:val="0"/>
              <w:spacing w:line="240" w:lineRule="atLeast"/>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300</w:t>
            </w:r>
          </w:p>
        </w:tc>
        <w:tc>
          <w:tcPr>
            <w:tcW w:w="637" w:type="dxa"/>
            <w:noWrap w:val="0"/>
            <w:vAlign w:val="center"/>
          </w:tcPr>
          <w:p>
            <w:pPr>
              <w:adjustRightInd w:val="0"/>
              <w:snapToGrid w:val="0"/>
              <w:spacing w:line="240" w:lineRule="atLeast"/>
              <w:ind w:firstLine="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400</w:t>
            </w:r>
          </w:p>
        </w:tc>
        <w:tc>
          <w:tcPr>
            <w:tcW w:w="878" w:type="dxa"/>
            <w:noWrap w:val="0"/>
            <w:vAlign w:val="center"/>
          </w:tcPr>
          <w:p>
            <w:pPr>
              <w:adjustRightInd w:val="0"/>
              <w:snapToGrid w:val="0"/>
              <w:spacing w:line="240" w:lineRule="atLeast"/>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45</w:t>
            </w:r>
          </w:p>
        </w:tc>
        <w:tc>
          <w:tcPr>
            <w:tcW w:w="922" w:type="dxa"/>
            <w:noWrap w:val="0"/>
            <w:vAlign w:val="center"/>
          </w:tcPr>
          <w:p>
            <w:pPr>
              <w:adjustRightInd w:val="0"/>
              <w:snapToGrid w:val="0"/>
              <w:spacing w:line="240" w:lineRule="atLeast"/>
              <w:ind w:firstLine="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51" w:type="dxa"/>
            <w:noWrap w:val="0"/>
            <w:vAlign w:val="center"/>
          </w:tcPr>
          <w:p>
            <w:pPr>
              <w:adjustRightInd w:val="0"/>
              <w:snapToGrid w:val="0"/>
              <w:spacing w:line="240" w:lineRule="atLeast"/>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园区污水厂接管标准</w:t>
            </w:r>
          </w:p>
        </w:tc>
        <w:tc>
          <w:tcPr>
            <w:tcW w:w="1223" w:type="dxa"/>
            <w:noWrap w:val="0"/>
            <w:vAlign w:val="center"/>
          </w:tcPr>
          <w:p>
            <w:pPr>
              <w:adjustRightInd w:val="0"/>
              <w:snapToGrid w:val="0"/>
              <w:spacing w:line="240" w:lineRule="atLeast"/>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w:t>
            </w:r>
          </w:p>
        </w:tc>
        <w:tc>
          <w:tcPr>
            <w:tcW w:w="1358" w:type="dxa"/>
            <w:noWrap w:val="0"/>
            <w:vAlign w:val="center"/>
          </w:tcPr>
          <w:p>
            <w:pPr>
              <w:adjustRightInd w:val="0"/>
              <w:snapToGrid w:val="0"/>
              <w:spacing w:line="240" w:lineRule="atLeast"/>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mg/L</w:t>
            </w:r>
          </w:p>
        </w:tc>
        <w:tc>
          <w:tcPr>
            <w:tcW w:w="655" w:type="dxa"/>
            <w:noWrap w:val="0"/>
            <w:vAlign w:val="center"/>
          </w:tcPr>
          <w:p>
            <w:pPr>
              <w:adjustRightInd w:val="0"/>
              <w:snapToGrid w:val="0"/>
              <w:spacing w:line="240" w:lineRule="atLeast"/>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500</w:t>
            </w:r>
          </w:p>
        </w:tc>
        <w:tc>
          <w:tcPr>
            <w:tcW w:w="759" w:type="dxa"/>
            <w:noWrap w:val="0"/>
            <w:vAlign w:val="center"/>
          </w:tcPr>
          <w:p>
            <w:pPr>
              <w:adjustRightInd w:val="0"/>
              <w:snapToGrid w:val="0"/>
              <w:spacing w:line="240" w:lineRule="atLeast"/>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300</w:t>
            </w:r>
          </w:p>
        </w:tc>
        <w:tc>
          <w:tcPr>
            <w:tcW w:w="637" w:type="dxa"/>
            <w:noWrap w:val="0"/>
            <w:vAlign w:val="center"/>
          </w:tcPr>
          <w:p>
            <w:pPr>
              <w:adjustRightInd w:val="0"/>
              <w:snapToGrid w:val="0"/>
              <w:spacing w:line="240" w:lineRule="atLeast"/>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400</w:t>
            </w:r>
          </w:p>
        </w:tc>
        <w:tc>
          <w:tcPr>
            <w:tcW w:w="878" w:type="dxa"/>
            <w:noWrap w:val="0"/>
            <w:vAlign w:val="center"/>
          </w:tcPr>
          <w:p>
            <w:pPr>
              <w:adjustRightInd w:val="0"/>
              <w:snapToGrid w:val="0"/>
              <w:spacing w:line="240" w:lineRule="atLeast"/>
              <w:ind w:firstLine="0"/>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w:t>
            </w:r>
          </w:p>
        </w:tc>
        <w:tc>
          <w:tcPr>
            <w:tcW w:w="922" w:type="dxa"/>
            <w:noWrap w:val="0"/>
            <w:vAlign w:val="center"/>
          </w:tcPr>
          <w:p>
            <w:pPr>
              <w:adjustRightInd w:val="0"/>
              <w:snapToGrid w:val="0"/>
              <w:spacing w:line="240" w:lineRule="atLeast"/>
              <w:ind w:firstLine="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w:t>
            </w:r>
          </w:p>
        </w:tc>
      </w:tr>
    </w:tbl>
    <w:p>
      <w:pPr>
        <w:adjustRightInd w:val="0"/>
        <w:snapToGrid w:val="0"/>
        <w:spacing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rPr>
        <w:t>由上表可知，项目外排废水各项指标均能达到</w:t>
      </w:r>
      <w:r>
        <w:rPr>
          <w:rFonts w:hint="eastAsia" w:ascii="Times New Roman" w:hAnsi="Times New Roman" w:eastAsia="宋体" w:cs="Times New Roman"/>
          <w:sz w:val="24"/>
          <w:lang w:val="en-US" w:eastAsia="zh-CN"/>
        </w:rPr>
        <w:t>排放标准限值及</w:t>
      </w:r>
      <w:r>
        <w:rPr>
          <w:rFonts w:hint="default" w:ascii="Times New Roman" w:hAnsi="Times New Roman" w:eastAsia="宋体" w:cs="Times New Roman"/>
          <w:sz w:val="24"/>
        </w:rPr>
        <w:t>园区污水厂接管指标要求，从接管水质分析是可以满足要求的。</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default" w:ascii="Times New Roman" w:hAnsi="Times New Roman" w:eastAsia="宋体" w:cs="Times New Roman"/>
          <w:b/>
          <w:bCs/>
          <w:color w:val="auto"/>
          <w:sz w:val="24"/>
          <w:szCs w:val="24"/>
          <w:lang w:val="en-GB"/>
        </w:rPr>
      </w:pPr>
      <w:r>
        <w:rPr>
          <w:rFonts w:hint="default" w:ascii="Times New Roman" w:hAnsi="Times New Roman" w:eastAsia="宋体" w:cs="Times New Roman"/>
          <w:b/>
          <w:bCs/>
          <w:color w:val="auto"/>
          <w:sz w:val="24"/>
          <w:szCs w:val="24"/>
          <w:lang w:val="en-GB"/>
        </w:rPr>
        <w:t>(2)水量接纳可行性分析</w:t>
      </w: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根据调查，</w:t>
      </w:r>
      <w:r>
        <w:rPr>
          <w:rFonts w:hint="default" w:ascii="Times New Roman" w:hAnsi="Times New Roman" w:eastAsia="宋体" w:cs="Times New Roman"/>
          <w:color w:val="auto"/>
          <w:sz w:val="24"/>
          <w:szCs w:val="24"/>
          <w:highlight w:val="none"/>
          <w:lang w:val="en-US" w:eastAsia="zh-CN"/>
        </w:rPr>
        <w:t>截止</w:t>
      </w:r>
      <w:r>
        <w:rPr>
          <w:rFonts w:hint="default" w:ascii="Times New Roman" w:hAnsi="Times New Roman" w:eastAsia="宋体" w:cs="Times New Roman"/>
          <w:color w:val="auto"/>
          <w:sz w:val="24"/>
          <w:szCs w:val="24"/>
          <w:highlight w:val="none"/>
        </w:rPr>
        <w:t>2021年</w:t>
      </w:r>
      <w:r>
        <w:rPr>
          <w:rFonts w:hint="default"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月</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与</w:t>
      </w:r>
      <w:r>
        <w:rPr>
          <w:rFonts w:hint="default" w:ascii="Times New Roman" w:hAnsi="Times New Roman" w:eastAsia="宋体" w:cs="Times New Roman"/>
          <w:color w:val="auto"/>
          <w:sz w:val="24"/>
          <w:szCs w:val="24"/>
          <w:highlight w:val="none"/>
        </w:rPr>
        <w:t>江阴污水处理厂</w:t>
      </w:r>
      <w:r>
        <w:rPr>
          <w:rFonts w:hint="default" w:ascii="Times New Roman" w:hAnsi="Times New Roman" w:eastAsia="宋体" w:cs="Times New Roman"/>
          <w:color w:val="auto"/>
          <w:sz w:val="24"/>
          <w:szCs w:val="24"/>
          <w:highlight w:val="none"/>
          <w:lang w:val="en-US" w:eastAsia="zh-CN"/>
        </w:rPr>
        <w:t>签订废水接纳协议企业81家，已投产接管企业140家（只排放生活污水的企业无需签订废水接纳协议），2021年1-8月</w:t>
      </w:r>
      <w:r>
        <w:rPr>
          <w:rFonts w:hint="default" w:ascii="Times New Roman" w:hAnsi="Times New Roman" w:eastAsia="宋体" w:cs="Times New Roman"/>
          <w:color w:val="auto"/>
          <w:sz w:val="24"/>
          <w:szCs w:val="24"/>
          <w:highlight w:val="none"/>
        </w:rPr>
        <w:t>平均污水处理量达</w:t>
      </w:r>
      <w:r>
        <w:rPr>
          <w:rFonts w:hint="default" w:ascii="Times New Roman" w:hAnsi="Times New Roman" w:eastAsia="宋体" w:cs="Times New Roman"/>
          <w:color w:val="auto"/>
          <w:sz w:val="24"/>
          <w:szCs w:val="24"/>
          <w:highlight w:val="none"/>
          <w:lang w:val="en-US" w:eastAsia="zh-CN"/>
        </w:rPr>
        <w:t>36000</w:t>
      </w:r>
      <w:r>
        <w:rPr>
          <w:rFonts w:hint="default" w:ascii="Times New Roman" w:hAnsi="Times New Roman" w:eastAsia="宋体" w:cs="Times New Roman"/>
          <w:color w:val="auto"/>
          <w:sz w:val="24"/>
          <w:szCs w:val="24"/>
          <w:highlight w:val="none"/>
        </w:rPr>
        <w:t>t/d，已</w:t>
      </w:r>
      <w:r>
        <w:rPr>
          <w:rFonts w:hint="default" w:ascii="Times New Roman" w:hAnsi="Times New Roman" w:eastAsia="宋体" w:cs="Times New Roman"/>
          <w:color w:val="auto"/>
          <w:sz w:val="24"/>
          <w:szCs w:val="24"/>
          <w:lang w:val="en-US" w:eastAsia="zh-CN"/>
        </w:rPr>
        <w:t>接近</w:t>
      </w:r>
      <w:r>
        <w:rPr>
          <w:rFonts w:hint="default" w:ascii="Times New Roman" w:hAnsi="Times New Roman" w:eastAsia="宋体" w:cs="Times New Roman"/>
          <w:color w:val="auto"/>
          <w:sz w:val="24"/>
          <w:szCs w:val="24"/>
        </w:rPr>
        <w:t>满负荷运行；通过近期园区已批复未排放的企业进行统计，在建项目</w:t>
      </w:r>
      <w:r>
        <w:rPr>
          <w:rStyle w:val="217"/>
          <w:rFonts w:hint="default" w:ascii="Times New Roman" w:hAnsi="Times New Roman" w:eastAsia="宋体" w:cs="Times New Roman"/>
          <w:color w:val="auto"/>
          <w:sz w:val="24"/>
          <w:szCs w:val="24"/>
        </w:rPr>
        <w:t>污水排放量约</w:t>
      </w:r>
      <w:r>
        <w:rPr>
          <w:rStyle w:val="217"/>
          <w:rFonts w:hint="eastAsia" w:ascii="Times New Roman" w:hAnsi="Times New Roman" w:eastAsia="宋体" w:cs="Times New Roman"/>
          <w:color w:val="auto"/>
          <w:sz w:val="24"/>
          <w:szCs w:val="24"/>
          <w:lang w:val="en-US" w:eastAsia="zh-CN"/>
        </w:rPr>
        <w:t>41706.861</w:t>
      </w:r>
      <w:r>
        <w:rPr>
          <w:rStyle w:val="217"/>
          <w:rFonts w:hint="default" w:ascii="Times New Roman" w:hAnsi="Times New Roman" w:eastAsia="宋体" w:cs="Times New Roman"/>
          <w:color w:val="auto"/>
          <w:sz w:val="24"/>
          <w:szCs w:val="24"/>
        </w:rPr>
        <w:t>t/d；</w:t>
      </w:r>
      <w:r>
        <w:rPr>
          <w:rFonts w:hint="default" w:ascii="Times New Roman" w:hAnsi="Times New Roman" w:eastAsia="宋体" w:cs="Times New Roman"/>
          <w:color w:val="auto"/>
          <w:sz w:val="24"/>
          <w:szCs w:val="24"/>
        </w:rPr>
        <w:t>工业区现有已投产运行和已批在建项目的污水总量达</w:t>
      </w:r>
      <w:r>
        <w:rPr>
          <w:rFonts w:hint="eastAsia" w:ascii="Times New Roman" w:hAnsi="Times New Roman" w:eastAsia="宋体" w:cs="Times New Roman"/>
          <w:color w:val="auto"/>
          <w:sz w:val="24"/>
          <w:szCs w:val="24"/>
          <w:lang w:val="en-US" w:eastAsia="zh-CN"/>
        </w:rPr>
        <w:t>77706.861</w:t>
      </w:r>
      <w:r>
        <w:rPr>
          <w:rFonts w:hint="default" w:ascii="Times New Roman" w:hAnsi="Times New Roman" w:eastAsia="宋体" w:cs="Times New Roman"/>
          <w:color w:val="auto"/>
          <w:sz w:val="24"/>
          <w:szCs w:val="24"/>
        </w:rPr>
        <w:t>t/d</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调查结果见表5.1-4</w:t>
      </w:r>
      <w:r>
        <w:rPr>
          <w:rFonts w:hint="default" w:ascii="Times New Roman" w:hAnsi="Times New Roman" w:eastAsia="宋体" w:cs="Times New Roman"/>
          <w:color w:val="auto"/>
          <w:sz w:val="24"/>
          <w:szCs w:val="24"/>
        </w:rPr>
        <w:t>。江阴污水处理厂中期工程（4万t/d）已启动，</w:t>
      </w:r>
      <w:r>
        <w:rPr>
          <w:rFonts w:hint="default" w:ascii="Times New Roman" w:hAnsi="Times New Roman" w:eastAsia="宋体" w:cs="Times New Roman"/>
          <w:color w:val="auto"/>
          <w:sz w:val="24"/>
          <w:szCs w:val="24"/>
          <w:lang w:val="en-US" w:eastAsia="zh-CN"/>
        </w:rPr>
        <w:t>预计2022年底建成，</w:t>
      </w:r>
      <w:r>
        <w:rPr>
          <w:rFonts w:hint="default" w:ascii="Times New Roman" w:hAnsi="Times New Roman" w:eastAsia="宋体" w:cs="Times New Roman"/>
          <w:color w:val="auto"/>
          <w:sz w:val="24"/>
          <w:szCs w:val="24"/>
        </w:rPr>
        <w:t>建成后总污水处理能力可达8万t/d，确保工业区各企业污水可纳入工业区污水处理厂集中处理排放。</w:t>
      </w:r>
    </w:p>
    <w:p>
      <w:pPr>
        <w:snapToGrid w:val="0"/>
        <w:spacing w:line="360" w:lineRule="auto"/>
        <w:ind w:firstLine="480"/>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(3)管网接纳可行性分析</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江阴工业区西区片污水工程专项规划的污水管网规划及已建、待建情况详见图5.1-1。本项目位于江阴港城经济区启动区工业污水处理厂服务区范围之内，项目东面高港大道已敷设污水接收管道，项目排放的污水可由东面高港大道已敷设污水接收管道。</w:t>
      </w:r>
    </w:p>
    <w:p>
      <w:pPr>
        <w:adjustRightInd w:val="0"/>
        <w:snapToGrid w:val="0"/>
        <w:spacing w:line="360" w:lineRule="auto"/>
        <w:ind w:firstLine="480"/>
        <w:rPr>
          <w:rFonts w:hint="default" w:ascii="Times New Roman" w:hAnsi="Times New Roman" w:eastAsia="宋体" w:cs="Times New Roman"/>
          <w:color w:val="000000"/>
          <w:sz w:val="24"/>
          <w:szCs w:val="22"/>
        </w:rPr>
        <w:sectPr>
          <w:headerReference r:id="rId14" w:type="default"/>
          <w:footerReference r:id="rId15" w:type="default"/>
          <w:pgSz w:w="11906" w:h="16838"/>
          <w:pgMar w:top="1418" w:right="1418" w:bottom="1418" w:left="1418" w:header="851" w:footer="992" w:gutter="0"/>
          <w:pgNumType w:fmt="decimal"/>
          <w:cols w:space="720" w:num="1"/>
          <w:docGrid w:type="linesAndChars" w:linePitch="381" w:charSpace="0"/>
        </w:sectPr>
      </w:pPr>
      <w:r>
        <w:rPr>
          <w:rFonts w:hint="default" w:ascii="Times New Roman" w:hAnsi="Times New Roman" w:eastAsia="宋体" w:cs="Times New Roman"/>
          <w:color w:val="000000"/>
          <w:sz w:val="24"/>
          <w:szCs w:val="22"/>
        </w:rPr>
        <w:t>综合以上分析，本项目位于江阴港城经济区启动区工业污水处理厂近期服务区范围之内，从污水处理厂的处理工艺及接管标准要求分析，本项目废水经厂内预处理后出水水质可以达到工业区污水厂的接管标准要求，可以纳入工业污水处理厂。但本项目建设后，工业区现有已建和已批在建的项目的污水总量达</w:t>
      </w:r>
      <w:r>
        <w:rPr>
          <w:rFonts w:hint="eastAsia" w:ascii="Times New Roman" w:hAnsi="Times New Roman" w:eastAsia="宋体" w:cs="Times New Roman"/>
          <w:color w:val="000000"/>
          <w:sz w:val="24"/>
          <w:szCs w:val="22"/>
          <w:lang w:val="en-US" w:eastAsia="zh-CN"/>
        </w:rPr>
        <w:t>77706.861</w:t>
      </w:r>
      <w:r>
        <w:rPr>
          <w:rFonts w:hint="default" w:ascii="Times New Roman" w:hAnsi="Times New Roman" w:eastAsia="宋体" w:cs="Times New Roman"/>
          <w:color w:val="000000"/>
          <w:sz w:val="24"/>
          <w:szCs w:val="22"/>
        </w:rPr>
        <w:t>t/d，已超出近期污水处理厂4万m</w:t>
      </w:r>
      <w:r>
        <w:rPr>
          <w:rFonts w:hint="default" w:ascii="Times New Roman" w:hAnsi="Times New Roman" w:eastAsia="宋体" w:cs="Times New Roman"/>
          <w:color w:val="000000"/>
          <w:sz w:val="24"/>
          <w:szCs w:val="22"/>
          <w:vertAlign w:val="superscript"/>
        </w:rPr>
        <w:t>3</w:t>
      </w:r>
      <w:r>
        <w:rPr>
          <w:rFonts w:hint="default" w:ascii="Times New Roman" w:hAnsi="Times New Roman" w:eastAsia="宋体" w:cs="Times New Roman"/>
          <w:color w:val="000000"/>
          <w:sz w:val="24"/>
          <w:szCs w:val="22"/>
        </w:rPr>
        <w:t>/d的处理规模。江阴污水处理厂中期工程（4万t/d）已启动，建成后总污水处理能力可达8万t/d</w:t>
      </w:r>
      <w:r>
        <w:rPr>
          <w:rFonts w:hint="default" w:ascii="Times New Roman" w:hAnsi="Times New Roman" w:eastAsia="宋体" w:cs="Times New Roman"/>
          <w:color w:val="000000"/>
          <w:sz w:val="24"/>
          <w:szCs w:val="22"/>
          <w:lang w:eastAsia="zh-CN"/>
        </w:rPr>
        <w:t>，确保工业区各企业污水可纳入工业区污水处理厂集中处理排放。</w:t>
      </w:r>
      <w:r>
        <w:rPr>
          <w:rFonts w:hint="default" w:ascii="Times New Roman" w:hAnsi="Times New Roman" w:eastAsia="宋体" w:cs="Times New Roman"/>
          <w:color w:val="000000"/>
          <w:sz w:val="24"/>
          <w:szCs w:val="22"/>
        </w:rPr>
        <w:t>因此，企业建设时，应及时与园区管委会、园区污水厂沟通，应将园区污水厂中期工程建设排上日程，适时扩大园区污水厂处理规模，确保工业区各企业污水可纳入工业区污水处理厂集中处理排放。</w:t>
      </w:r>
    </w:p>
    <w:p>
      <w:pPr>
        <w:pageBreakBefore w:val="0"/>
        <w:widowControl w:val="0"/>
        <w:kinsoku/>
        <w:wordWrap/>
        <w:overflowPunct/>
        <w:topLinePunct w:val="0"/>
        <w:autoSpaceDE/>
        <w:autoSpaceDN/>
        <w:bidi w:val="0"/>
        <w:adjustRightInd w:val="0"/>
        <w:snapToGrid w:val="0"/>
        <w:spacing w:line="360" w:lineRule="auto"/>
        <w:ind w:firstLine="480"/>
        <w:jc w:val="center"/>
        <w:textAlignment w:val="auto"/>
        <w:rPr>
          <w:rFonts w:hint="default" w:ascii="Times New Roman" w:hAnsi="Times New Roman" w:eastAsia="宋体" w:cs="Times New Roman"/>
          <w:sz w:val="24"/>
        </w:rPr>
        <w:sectPr>
          <w:pgSz w:w="16783" w:h="23757"/>
          <w:pgMar w:top="1418" w:right="1418" w:bottom="1418" w:left="1418" w:header="851" w:footer="992" w:gutter="0"/>
          <w:pgNumType w:fmt="decimal"/>
          <w:cols w:space="720" w:num="1"/>
          <w:docGrid w:type="linesAndChars" w:linePitch="381" w:charSpace="0"/>
        </w:sectPr>
      </w:pPr>
      <w:r>
        <mc:AlternateContent>
          <mc:Choice Requires="wps">
            <w:drawing>
              <wp:anchor distT="0" distB="0" distL="114300" distR="114300" simplePos="0" relativeHeight="251752448" behindDoc="0" locked="0" layoutInCell="1" allowOverlap="1">
                <wp:simplePos x="0" y="0"/>
                <wp:positionH relativeFrom="column">
                  <wp:posOffset>1288415</wp:posOffset>
                </wp:positionH>
                <wp:positionV relativeFrom="paragraph">
                  <wp:posOffset>12861925</wp:posOffset>
                </wp:positionV>
                <wp:extent cx="6381115" cy="342900"/>
                <wp:effectExtent l="0" t="0" r="635" b="0"/>
                <wp:wrapNone/>
                <wp:docPr id="82" name="文本框 1089"/>
                <wp:cNvGraphicFramePr/>
                <a:graphic xmlns:a="http://schemas.openxmlformats.org/drawingml/2006/main">
                  <a:graphicData uri="http://schemas.microsoft.com/office/word/2010/wordprocessingShape">
                    <wps:wsp>
                      <wps:cNvSpPr txBox="1"/>
                      <wps:spPr>
                        <a:xfrm>
                          <a:off x="0" y="0"/>
                          <a:ext cx="6381115" cy="342900"/>
                        </a:xfrm>
                        <a:prstGeom prst="rect">
                          <a:avLst/>
                        </a:prstGeom>
                        <a:solidFill>
                          <a:srgbClr val="FFFFFF"/>
                        </a:solidFill>
                        <a:ln>
                          <a:noFill/>
                        </a:ln>
                      </wps:spPr>
                      <wps:txbx>
                        <w:txbxContent>
                          <w:p>
                            <w:bookmarkStart w:id="515" w:name="_Ref423790538"/>
                            <w:r>
                              <w:rPr>
                                <w:rFonts w:hint="default" w:ascii="Times New Roman" w:hAnsi="Times New Roman" w:eastAsia="黑体" w:cs="Times New Roman"/>
                                <w:bCs/>
                                <w:color w:val="000000"/>
                                <w:sz w:val="24"/>
                                <w:szCs w:val="24"/>
                                <w:lang w:val="en-GB"/>
                              </w:rPr>
                              <w:t>图</w:t>
                            </w:r>
                            <w:bookmarkEnd w:id="515"/>
                            <w:r>
                              <w:rPr>
                                <w:rFonts w:hint="default" w:ascii="Times New Roman" w:hAnsi="Times New Roman" w:eastAsia="黑体" w:cs="Times New Roman"/>
                                <w:bCs/>
                                <w:color w:val="000000"/>
                                <w:sz w:val="24"/>
                                <w:szCs w:val="24"/>
                                <w:lang w:val="en-GB"/>
                              </w:rPr>
                              <w:t>5.1-1  江阴工业区西片区污水工程专项规划的污水管网规划及已建、待建情况图</w:t>
                            </w:r>
                          </w:p>
                        </w:txbxContent>
                      </wps:txbx>
                      <wps:bodyPr vert="horz" wrap="square" anchor="t" anchorCtr="0" upright="1"/>
                    </wps:wsp>
                  </a:graphicData>
                </a:graphic>
              </wp:anchor>
            </w:drawing>
          </mc:Choice>
          <mc:Fallback>
            <w:pict>
              <v:shape id="文本框 1089" o:spid="_x0000_s1026" o:spt="202" type="#_x0000_t202" style="position:absolute;left:0pt;margin-left:101.45pt;margin-top:1012.75pt;height:27pt;width:502.45pt;z-index:251752448;mso-width-relative:page;mso-height-relative:page;" fillcolor="#FFFFFF" filled="t" stroked="f" coordsize="21600,21600" o:gfxdata="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MJ2T1TZAAAA&#10;DgEAAA8AAAAAAAAAAQAgAAAAIgAAAGRycy9kb3ducmV2LnhtbFBLAQIUABQAAAAIAIdO4kAN0v9T&#10;4wEAAK4DAAAOAAAAAAAAAAEAIAAAACgBAABkcnMvZTJvRG9jLnhtbFBLBQYAAAAABgAGAFkBAAB9&#10;BQAAAAA=&#10;">
                <v:fill on="t" focussize="0,0"/>
                <v:stroke on="f"/>
                <v:imagedata o:title=""/>
                <o:lock v:ext="edit" aspectratio="f"/>
                <v:textbox>
                  <w:txbxContent>
                    <w:p>
                      <w:bookmarkStart w:id="515" w:name="_Ref423790538"/>
                      <w:r>
                        <w:rPr>
                          <w:rFonts w:hint="default" w:ascii="Times New Roman" w:hAnsi="Times New Roman" w:eastAsia="黑体" w:cs="Times New Roman"/>
                          <w:bCs/>
                          <w:color w:val="000000"/>
                          <w:sz w:val="24"/>
                          <w:szCs w:val="24"/>
                          <w:lang w:val="en-GB"/>
                        </w:rPr>
                        <w:t>图</w:t>
                      </w:r>
                      <w:bookmarkEnd w:id="515"/>
                      <w:r>
                        <w:rPr>
                          <w:rFonts w:hint="default" w:ascii="Times New Roman" w:hAnsi="Times New Roman" w:eastAsia="黑体" w:cs="Times New Roman"/>
                          <w:bCs/>
                          <w:color w:val="000000"/>
                          <w:sz w:val="24"/>
                          <w:szCs w:val="24"/>
                          <w:lang w:val="en-GB"/>
                        </w:rPr>
                        <w:t>5.1-1  江阴工业区西片区污水工程专项规划的污水管网规划及已建、待建情况图</w:t>
                      </w:r>
                    </w:p>
                  </w:txbxContent>
                </v:textbox>
              </v:shape>
            </w:pict>
          </mc:Fallback>
        </mc:AlternateContent>
      </w:r>
      <w:r>
        <mc:AlternateContent>
          <mc:Choice Requires="wps">
            <w:drawing>
              <wp:anchor distT="0" distB="0" distL="114300" distR="114300" simplePos="0" relativeHeight="251751424" behindDoc="0" locked="0" layoutInCell="1" allowOverlap="1">
                <wp:simplePos x="0" y="0"/>
                <wp:positionH relativeFrom="column">
                  <wp:posOffset>4973320</wp:posOffset>
                </wp:positionH>
                <wp:positionV relativeFrom="paragraph">
                  <wp:posOffset>6665595</wp:posOffset>
                </wp:positionV>
                <wp:extent cx="281940" cy="550545"/>
                <wp:effectExtent l="5080" t="4445" r="17780" b="16510"/>
                <wp:wrapNone/>
                <wp:docPr id="81" name="矩形 1088"/>
                <wp:cNvGraphicFramePr/>
                <a:graphic xmlns:a="http://schemas.openxmlformats.org/drawingml/2006/main">
                  <a:graphicData uri="http://schemas.microsoft.com/office/word/2010/wordprocessingShape">
                    <wps:wsp>
                      <wps:cNvSpPr/>
                      <wps:spPr>
                        <a:xfrm>
                          <a:off x="0" y="0"/>
                          <a:ext cx="281940" cy="550545"/>
                        </a:xfrm>
                        <a:prstGeom prst="rect">
                          <a:avLst/>
                        </a:prstGeom>
                        <a:solidFill>
                          <a:srgbClr val="FFFFFF"/>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rect id="矩形 1088" o:spid="_x0000_s1026" o:spt="1" style="position:absolute;left:0pt;margin-left:391.6pt;margin-top:524.85pt;height:43.35pt;width:22.2pt;z-index:251751424;mso-width-relative:page;mso-height-relative:page;" fillcolor="#FFFFFF" filled="t" stroked="t" coordsize="21600,21600" o:gfxdata="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EYGe/aAAAA&#10;DQEAAA8AAAAAAAAAAQAgAAAAIgAAAGRycy9kb3ducmV2LnhtbFBLAQIUABQAAAAIAIdO4kDIVhZo&#10;GwIAAFQEAAAOAAAAAAAAAAEAIAAAACkBAABkcnMvZTJvRG9jLnhtbFBLBQYAAAAABgAGAFkBAAC2&#10;BQAAAAA=&#10;">
                <v:fill on="t" focussize="0,0"/>
                <v:stroke color="#FF0000" joinstyle="miter"/>
                <v:imagedata o:title=""/>
                <o:lock v:ext="edit" aspectratio="f"/>
              </v:rect>
            </w:pict>
          </mc:Fallback>
        </mc:AlternateContent>
      </w:r>
      <w:r>
        <mc:AlternateContent>
          <mc:Choice Requires="wps">
            <w:drawing>
              <wp:anchor distT="0" distB="0" distL="114300" distR="114300" simplePos="0" relativeHeight="251750400" behindDoc="0" locked="0" layoutInCell="1" allowOverlap="1">
                <wp:simplePos x="0" y="0"/>
                <wp:positionH relativeFrom="column">
                  <wp:posOffset>4337050</wp:posOffset>
                </wp:positionH>
                <wp:positionV relativeFrom="paragraph">
                  <wp:posOffset>6852285</wp:posOffset>
                </wp:positionV>
                <wp:extent cx="814705" cy="402590"/>
                <wp:effectExtent l="0" t="0" r="0" b="0"/>
                <wp:wrapNone/>
                <wp:docPr id="420" name="文本框 408"/>
                <wp:cNvGraphicFramePr/>
                <a:graphic xmlns:a="http://schemas.openxmlformats.org/drawingml/2006/main">
                  <a:graphicData uri="http://schemas.microsoft.com/office/word/2010/wordprocessingShape">
                    <wps:wsp>
                      <wps:cNvSpPr txBox="1"/>
                      <wps:spPr>
                        <a:xfrm>
                          <a:off x="0" y="0"/>
                          <a:ext cx="1011555" cy="346710"/>
                        </a:xfrm>
                        <a:prstGeom prst="rect">
                          <a:avLst/>
                        </a:prstGeom>
                        <a:noFill/>
                        <a:ln>
                          <a:noFill/>
                        </a:ln>
                        <a:effectLst/>
                      </wps:spPr>
                      <wps:txbx>
                        <w:txbxContent>
                          <w:p>
                            <w:pPr>
                              <w:ind w:left="0" w:leftChars="0" w:firstLine="0" w:firstLineChars="0"/>
                              <w:rPr>
                                <w:rFonts w:eastAsia="等线"/>
                                <w:b/>
                                <w:bCs/>
                                <w:color w:val="FF0000"/>
                                <w:highlight w:val="yellow"/>
                              </w:rPr>
                            </w:pPr>
                            <w:r>
                              <w:rPr>
                                <w:rFonts w:hint="eastAsia" w:eastAsia="等线"/>
                                <w:b/>
                                <w:bCs/>
                                <w:color w:val="FF0000"/>
                                <w:highlight w:val="yellow"/>
                                <w:lang w:val="en-US" w:eastAsia="zh-CN"/>
                              </w:rPr>
                              <w:t>本项目</w:t>
                            </w:r>
                          </w:p>
                        </w:txbxContent>
                      </wps:txbx>
                      <wps:bodyPr vert="horz" wrap="square" anchor="t" anchorCtr="0" upright="1"/>
                    </wps:wsp>
                  </a:graphicData>
                </a:graphic>
              </wp:anchor>
            </w:drawing>
          </mc:Choice>
          <mc:Fallback>
            <w:pict>
              <v:shape id="文本框 408" o:spid="_x0000_s1026" o:spt="202" type="#_x0000_t202" style="position:absolute;left:0pt;margin-left:341.5pt;margin-top:539.55pt;height:31.7pt;width:64.15pt;z-index:251750400;mso-width-relative:page;mso-height-relative:page;" filled="f" stroked="f" coordsize="21600,21600" o:gfxdata="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4TqM4NkAAAANAQAADwAAAAAAAAABACAA&#10;AAAiAAAAZHJzL2Rvd25yZXYueG1sUEsBAhQAFAAAAAgAh07iQA/J+EvTAQAAkwMAAA4AAAAAAAAA&#10;AQAgAAAAKAEAAGRycy9lMm9Eb2MueG1sUEsFBgAAAAAGAAYAWQEAAG0FAAAAAA==&#10;">
                <v:fill on="f" focussize="0,0"/>
                <v:stroke on="f"/>
                <v:imagedata o:title=""/>
                <o:lock v:ext="edit" aspectratio="f"/>
                <v:textbox>
                  <w:txbxContent>
                    <w:p>
                      <w:pPr>
                        <w:ind w:left="0" w:leftChars="0" w:firstLine="0" w:firstLineChars="0"/>
                        <w:rPr>
                          <w:rFonts w:eastAsia="等线"/>
                          <w:b/>
                          <w:bCs/>
                          <w:color w:val="FF0000"/>
                          <w:highlight w:val="yellow"/>
                        </w:rPr>
                      </w:pPr>
                      <w:r>
                        <w:rPr>
                          <w:rFonts w:hint="eastAsia" w:eastAsia="等线"/>
                          <w:b/>
                          <w:bCs/>
                          <w:color w:val="FF0000"/>
                          <w:highlight w:val="yellow"/>
                          <w:lang w:val="en-US" w:eastAsia="zh-CN"/>
                        </w:rPr>
                        <w:t>本项目</w:t>
                      </w:r>
                    </w:p>
                  </w:txbxContent>
                </v:textbox>
              </v:shape>
            </w:pict>
          </mc:Fallback>
        </mc:AlternateContent>
      </w:r>
      <w:r>
        <w:drawing>
          <wp:inline distT="0" distB="0" distL="114300" distR="114300">
            <wp:extent cx="6739890" cy="12752705"/>
            <wp:effectExtent l="0" t="0" r="3810" b="10795"/>
            <wp:docPr id="103" name="图片 307" descr="江阴污水汇报图20110801+Mod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07" descr="江阴污水汇报图20110801+Model+(1)"/>
                    <pic:cNvPicPr>
                      <a:picLocks noChangeAspect="1"/>
                    </pic:cNvPicPr>
                  </pic:nvPicPr>
                  <pic:blipFill>
                    <a:blip r:embed="rId52"/>
                    <a:srcRect l="9685" t="681" r="10498" b="1390"/>
                    <a:stretch>
                      <a:fillRect/>
                    </a:stretch>
                  </pic:blipFill>
                  <pic:spPr>
                    <a:xfrm>
                      <a:off x="0" y="0"/>
                      <a:ext cx="6739890" cy="12752705"/>
                    </a:xfrm>
                    <a:prstGeom prst="rect">
                      <a:avLst/>
                    </a:prstGeom>
                    <a:noFill/>
                    <a:ln>
                      <a:noFill/>
                    </a:ln>
                  </pic:spPr>
                </pic:pic>
              </a:graphicData>
            </a:graphic>
          </wp:inline>
        </w:drawing>
      </w:r>
    </w:p>
    <w:p>
      <w:pPr>
        <w:widowControl/>
        <w:spacing w:line="360" w:lineRule="auto"/>
        <w:ind w:firstLine="0"/>
        <w:jc w:val="left"/>
        <w:outlineLvl w:val="2"/>
        <w:rPr>
          <w:rFonts w:hint="default" w:ascii="Times New Roman" w:hAnsi="Times New Roman" w:eastAsia="黑体" w:cs="Times New Roman"/>
          <w:bCs/>
          <w:sz w:val="24"/>
          <w:szCs w:val="24"/>
        </w:rPr>
      </w:pPr>
      <w:r>
        <w:rPr>
          <w:rFonts w:hint="default" w:ascii="Times New Roman" w:hAnsi="Times New Roman" w:eastAsia="黑体" w:cs="Times New Roman"/>
          <w:bCs/>
          <w:sz w:val="24"/>
          <w:szCs w:val="24"/>
        </w:rPr>
        <w:t>5.1.3非正常工况下污水排放对工业区污水厂影响分析及防范措施</w:t>
      </w:r>
    </w:p>
    <w:p>
      <w:pPr>
        <w:adjustRightInd w:val="0"/>
        <w:snapToGrid w:val="0"/>
        <w:spacing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rPr>
        <w:t>（1）非正常工况下污水排放对工业区污水厂影响</w:t>
      </w:r>
    </w:p>
    <w:p>
      <w:pPr>
        <w:adjustRightInd w:val="0"/>
        <w:snapToGrid w:val="0"/>
        <w:spacing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rPr>
        <w:t>本项目排放去工业区污水厂的废水主要种类是循环水场</w:t>
      </w:r>
      <w:r>
        <w:rPr>
          <w:rFonts w:hint="eastAsia" w:ascii="Times New Roman" w:hAnsi="Times New Roman" w:eastAsia="宋体" w:cs="Times New Roman"/>
          <w:sz w:val="24"/>
          <w:lang w:val="en-US" w:eastAsia="zh-CN"/>
        </w:rPr>
        <w:t>排水</w:t>
      </w:r>
      <w:r>
        <w:rPr>
          <w:rFonts w:hint="default" w:ascii="Times New Roman" w:hAnsi="Times New Roman" w:eastAsia="宋体" w:cs="Times New Roman"/>
          <w:sz w:val="24"/>
        </w:rPr>
        <w:t>、</w:t>
      </w:r>
      <w:r>
        <w:rPr>
          <w:rFonts w:hint="eastAsia" w:ascii="Times New Roman" w:hAnsi="Times New Roman" w:eastAsia="宋体" w:cs="Times New Roman"/>
          <w:sz w:val="24"/>
          <w:lang w:val="en-US" w:eastAsia="zh-CN"/>
        </w:rPr>
        <w:t>生活污水、去离子站排水</w:t>
      </w:r>
      <w:r>
        <w:rPr>
          <w:rFonts w:hint="default" w:ascii="Times New Roman" w:hAnsi="Times New Roman" w:eastAsia="宋体" w:cs="Times New Roman"/>
          <w:sz w:val="24"/>
        </w:rPr>
        <w:t>，项目水质简单，污染以COD、SS为主。项目生产废水为高COD、高氨氮且含银废水，若项目的废水处理措施出现故障，致使产生的废水未经过处理直接排放，将对工业区污水处理厂产生较大的冲击负荷，对排污口附近海域水质造成影响。因此应采取风险防范措施，杜绝事故性排放。</w:t>
      </w:r>
    </w:p>
    <w:p>
      <w:pPr>
        <w:adjustRightInd w:val="0"/>
        <w:snapToGrid w:val="0"/>
        <w:spacing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rPr>
        <w:t>（2）事故防范措施</w:t>
      </w:r>
    </w:p>
    <w:p>
      <w:pPr>
        <w:adjustRightInd w:val="0"/>
        <w:snapToGrid w:val="0"/>
        <w:spacing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rPr>
        <w:t>为保证废水的达标排放，杜绝污染事故的发生，公司应采取以下的对策措施：污水处理设施监督管理，加强员工培训，保证正确作业，确保厂内污水处理设施的稳定运行。在岗操作人员必须严格按处理设施的规章制度作业，定期巡检、保养等。及时发现各种可能引起废水处理设施异常运行的苗头，并在有关人员配合下消除事故隐患。</w:t>
      </w:r>
    </w:p>
    <w:p>
      <w:pPr>
        <w:adjustRightInd w:val="0"/>
        <w:snapToGrid w:val="0"/>
        <w:spacing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rPr>
        <w:t>②项目</w:t>
      </w:r>
      <w:r>
        <w:rPr>
          <w:rFonts w:hint="default" w:ascii="Times New Roman" w:hAnsi="Times New Roman" w:eastAsia="宋体" w:cs="Times New Roman"/>
          <w:color w:val="000000"/>
          <w:sz w:val="24"/>
        </w:rPr>
        <w:t>建设1400m</w:t>
      </w:r>
      <w:r>
        <w:rPr>
          <w:rFonts w:hint="default" w:ascii="Times New Roman" w:hAnsi="Times New Roman" w:eastAsia="宋体" w:cs="Times New Roman"/>
          <w:color w:val="000000"/>
          <w:sz w:val="24"/>
          <w:vertAlign w:val="superscript"/>
        </w:rPr>
        <w:t>3</w:t>
      </w:r>
      <w:r>
        <w:rPr>
          <w:rFonts w:hint="default" w:ascii="Times New Roman" w:hAnsi="Times New Roman" w:eastAsia="宋体" w:cs="Times New Roman"/>
          <w:color w:val="000000"/>
          <w:sz w:val="24"/>
        </w:rPr>
        <w:t>自流式事</w:t>
      </w:r>
      <w:r>
        <w:rPr>
          <w:rFonts w:hint="default" w:ascii="Times New Roman" w:hAnsi="Times New Roman" w:eastAsia="宋体" w:cs="Times New Roman"/>
          <w:sz w:val="24"/>
        </w:rPr>
        <w:t>故应急池，污水处理设施故障时全部收集所有废水不外排，用于收集污水处理设施故障时排放的高浓度污水，以防止事故污水直接进入园区污水处理厂，对污水处理工艺造成冲击。</w:t>
      </w:r>
    </w:p>
    <w:p>
      <w:pPr>
        <w:widowControl/>
        <w:spacing w:line="360" w:lineRule="auto"/>
        <w:ind w:firstLine="0"/>
        <w:jc w:val="left"/>
        <w:outlineLvl w:val="2"/>
        <w:rPr>
          <w:rFonts w:hint="default" w:ascii="Times New Roman" w:hAnsi="Times New Roman" w:eastAsia="黑体" w:cs="Times New Roman"/>
          <w:bCs/>
          <w:sz w:val="24"/>
          <w:szCs w:val="24"/>
        </w:rPr>
      </w:pPr>
      <w:r>
        <w:rPr>
          <w:rFonts w:hint="default" w:ascii="Times New Roman" w:hAnsi="Times New Roman" w:eastAsia="黑体" w:cs="Times New Roman"/>
          <w:bCs/>
          <w:sz w:val="24"/>
          <w:szCs w:val="24"/>
        </w:rPr>
        <w:t>5.1.4建设项目地表水自查表</w:t>
      </w:r>
    </w:p>
    <w:p>
      <w:pPr>
        <w:snapToGrid w:val="0"/>
        <w:spacing w:line="360" w:lineRule="auto"/>
        <w:ind w:firstLine="0"/>
        <w:jc w:val="center"/>
        <w:outlineLvl w:val="4"/>
        <w:rPr>
          <w:rFonts w:hint="default" w:ascii="Times New Roman" w:hAnsi="Times New Roman" w:eastAsia="黑体" w:cs="Times New Roman"/>
          <w:bCs/>
          <w:sz w:val="24"/>
          <w:szCs w:val="24"/>
          <w:lang w:val="en-GB"/>
        </w:rPr>
      </w:pPr>
      <w:r>
        <w:rPr>
          <w:rFonts w:hint="default" w:ascii="Times New Roman" w:hAnsi="Times New Roman" w:eastAsia="黑体" w:cs="Times New Roman"/>
          <w:bCs/>
          <w:sz w:val="24"/>
          <w:szCs w:val="24"/>
          <w:lang w:val="en-GB"/>
        </w:rPr>
        <w:t>表5.1-5  建设项目地表水环境影响评价自查表</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61"/>
        <w:gridCol w:w="206"/>
        <w:gridCol w:w="1428"/>
        <w:gridCol w:w="1619"/>
        <w:gridCol w:w="341"/>
        <w:gridCol w:w="568"/>
        <w:gridCol w:w="456"/>
        <w:gridCol w:w="856"/>
        <w:gridCol w:w="507"/>
        <w:gridCol w:w="170"/>
        <w:gridCol w:w="286"/>
        <w:gridCol w:w="908"/>
        <w:gridCol w:w="35"/>
        <w:gridCol w:w="374"/>
        <w:gridCol w:w="9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995" w:type="dxa"/>
            <w:gridSpan w:val="3"/>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工作内容</w:t>
            </w:r>
          </w:p>
        </w:tc>
        <w:tc>
          <w:tcPr>
            <w:tcW w:w="7075" w:type="dxa"/>
            <w:gridSpan w:val="1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61" w:type="dxa"/>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影响识别</w:t>
            </w:r>
          </w:p>
        </w:tc>
        <w:tc>
          <w:tcPr>
            <w:tcW w:w="1634"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影响类型</w:t>
            </w:r>
          </w:p>
        </w:tc>
        <w:tc>
          <w:tcPr>
            <w:tcW w:w="7075" w:type="dxa"/>
            <w:gridSpan w:val="1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 xml:space="preserve">水污染影响型 </w:t>
            </w:r>
            <w:r>
              <w:rPr>
                <w:rFonts w:hint="default" w:ascii="Times New Roman" w:hAnsi="Times New Roman" w:eastAsia="宋体" w:cs="Times New Roman"/>
                <w:sz w:val="21"/>
                <w:szCs w:val="22"/>
              </w:rPr>
              <w:sym w:font="Wingdings 2" w:char="0052"/>
            </w:r>
            <w:r>
              <w:rPr>
                <w:rFonts w:hint="default" w:ascii="Times New Roman" w:hAnsi="Times New Roman" w:eastAsia="宋体" w:cs="Times New Roman"/>
                <w:sz w:val="21"/>
                <w:szCs w:val="22"/>
              </w:rPr>
              <w:t>；水文要素影响型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vMerge w:val="continue"/>
            <w:noWrap w:val="0"/>
          </w:tcPr>
          <w:p/>
        </w:tc>
        <w:tc>
          <w:tcPr>
            <w:tcW w:w="1634"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水环境保护目标</w:t>
            </w:r>
          </w:p>
        </w:tc>
        <w:tc>
          <w:tcPr>
            <w:tcW w:w="7075" w:type="dxa"/>
            <w:gridSpan w:val="1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饮用水水源保护区 □；饮用水取水口 □；涉水的自然保护  区 □；重要湿地 □；</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 xml:space="preserve">重点保护与珍稀水生生物的栖息地 □；重要水生生物的自然产卵场及索饵场、越冬场和洄游通道、天然渔场等渔业水体 □；涉水的风景名胜区 □；其他 </w:t>
            </w:r>
            <w:r>
              <w:rPr>
                <w:rFonts w:hint="default" w:ascii="Times New Roman" w:hAnsi="Times New Roman" w:eastAsia="宋体" w:cs="Times New Roman"/>
                <w:sz w:val="21"/>
                <w:szCs w:val="22"/>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vMerge w:val="continue"/>
            <w:noWrap w:val="0"/>
          </w:tcPr>
          <w:p/>
        </w:tc>
        <w:tc>
          <w:tcPr>
            <w:tcW w:w="1634" w:type="dxa"/>
            <w:gridSpan w:val="2"/>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影响途径</w:t>
            </w:r>
          </w:p>
        </w:tc>
        <w:tc>
          <w:tcPr>
            <w:tcW w:w="3840"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水污染影响型</w:t>
            </w:r>
          </w:p>
        </w:tc>
        <w:tc>
          <w:tcPr>
            <w:tcW w:w="3235" w:type="dxa"/>
            <w:gridSpan w:val="7"/>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vMerge w:val="continue"/>
            <w:noWrap w:val="0"/>
          </w:tcPr>
          <w:p/>
        </w:tc>
        <w:tc>
          <w:tcPr>
            <w:gridSpan w:val="2"/>
            <w:vMerge w:val="continue"/>
            <w:noWrap w:val="0"/>
          </w:tcPr>
          <w:p/>
        </w:tc>
        <w:tc>
          <w:tcPr>
            <w:tcW w:w="3840"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直接排放</w:t>
            </w:r>
            <w:r>
              <w:rPr>
                <w:rFonts w:hint="default" w:ascii="Times New Roman" w:hAnsi="Times New Roman" w:eastAsia="宋体" w:cs="Times New Roman"/>
                <w:sz w:val="21"/>
                <w:szCs w:val="22"/>
              </w:rPr>
              <w:sym w:font="Wingdings 2" w:char="00A3"/>
            </w:r>
            <w:r>
              <w:rPr>
                <w:rFonts w:hint="default" w:ascii="Times New Roman" w:hAnsi="Times New Roman" w:eastAsia="宋体" w:cs="Times New Roman"/>
                <w:sz w:val="21"/>
                <w:szCs w:val="22"/>
              </w:rPr>
              <w:t>；间接排放</w:t>
            </w:r>
            <w:r>
              <w:rPr>
                <w:rFonts w:hint="default" w:ascii="Times New Roman" w:hAnsi="Times New Roman" w:eastAsia="宋体" w:cs="Times New Roman"/>
                <w:sz w:val="21"/>
                <w:szCs w:val="22"/>
              </w:rPr>
              <w:sym w:font="Wingdings 2" w:char="0052"/>
            </w:r>
            <w:r>
              <w:rPr>
                <w:rFonts w:hint="default" w:ascii="Times New Roman" w:hAnsi="Times New Roman" w:eastAsia="宋体" w:cs="Times New Roman"/>
                <w:sz w:val="21"/>
                <w:szCs w:val="22"/>
              </w:rPr>
              <w:t xml:space="preserve">；其他□ </w:t>
            </w:r>
          </w:p>
        </w:tc>
        <w:tc>
          <w:tcPr>
            <w:tcW w:w="3235" w:type="dxa"/>
            <w:gridSpan w:val="7"/>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水温 □；径流 □；水域面积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vMerge w:val="continue"/>
            <w:noWrap w:val="0"/>
          </w:tcPr>
          <w:p/>
        </w:tc>
        <w:tc>
          <w:tcPr>
            <w:tcW w:w="1634"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影响因子</w:t>
            </w:r>
          </w:p>
        </w:tc>
        <w:tc>
          <w:tcPr>
            <w:tcW w:w="3840"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持久性污染物</w:t>
            </w:r>
            <w:r>
              <w:rPr>
                <w:rFonts w:hint="default" w:ascii="Times New Roman" w:hAnsi="Times New Roman" w:eastAsia="宋体" w:cs="Times New Roman"/>
                <w:sz w:val="21"/>
                <w:szCs w:val="22"/>
              </w:rPr>
              <w:sym w:font="Wingdings 2" w:char="0052"/>
            </w:r>
            <w:r>
              <w:rPr>
                <w:rFonts w:hint="default" w:ascii="Times New Roman" w:hAnsi="Times New Roman" w:eastAsia="宋体" w:cs="Times New Roman"/>
                <w:sz w:val="21"/>
                <w:szCs w:val="22"/>
              </w:rPr>
              <w:t xml:space="preserve">；有毒有害污染物 □；非持久性污染物 </w:t>
            </w:r>
            <w:r>
              <w:rPr>
                <w:rFonts w:hint="default" w:ascii="Times New Roman" w:hAnsi="Times New Roman" w:eastAsia="宋体" w:cs="Times New Roman"/>
                <w:sz w:val="21"/>
                <w:szCs w:val="22"/>
              </w:rPr>
              <w:sym w:font="Wingdings 2" w:char="0052"/>
            </w:r>
            <w:r>
              <w:rPr>
                <w:rFonts w:hint="default" w:ascii="Times New Roman" w:hAnsi="Times New Roman" w:eastAsia="宋体" w:cs="Times New Roman"/>
                <w:sz w:val="21"/>
                <w:szCs w:val="22"/>
              </w:rPr>
              <w:t>；</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 xml:space="preserve">pH 值 □；热污染 □；富营养化 □；其他 </w:t>
            </w:r>
            <w:r>
              <w:rPr>
                <w:rFonts w:hint="default" w:ascii="Times New Roman" w:hAnsi="Times New Roman" w:eastAsia="宋体" w:cs="Times New Roman"/>
                <w:sz w:val="21"/>
                <w:szCs w:val="22"/>
              </w:rPr>
              <w:sym w:font="Wingdings 2" w:char="00A3"/>
            </w:r>
          </w:p>
        </w:tc>
        <w:tc>
          <w:tcPr>
            <w:tcW w:w="3235" w:type="dxa"/>
            <w:gridSpan w:val="7"/>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水温 □；水位（水深） □；流速 □；流量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95" w:type="dxa"/>
            <w:gridSpan w:val="3"/>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评价等级</w:t>
            </w:r>
          </w:p>
        </w:tc>
        <w:tc>
          <w:tcPr>
            <w:tcW w:w="3840"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水污染影响型</w:t>
            </w:r>
          </w:p>
        </w:tc>
        <w:tc>
          <w:tcPr>
            <w:tcW w:w="3235" w:type="dxa"/>
            <w:gridSpan w:val="7"/>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3"/>
            <w:vMerge w:val="continue"/>
            <w:noWrap w:val="0"/>
          </w:tcPr>
          <w:p/>
        </w:tc>
        <w:tc>
          <w:tcPr>
            <w:tcW w:w="3840"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一级 □；二级 □；三级 A □；三级 B</w:t>
            </w:r>
            <w:r>
              <w:rPr>
                <w:rFonts w:hint="default" w:ascii="Times New Roman" w:hAnsi="Times New Roman" w:eastAsia="宋体" w:cs="Times New Roman"/>
                <w:sz w:val="21"/>
                <w:szCs w:val="22"/>
              </w:rPr>
              <w:sym w:font="Wingdings 2" w:char="0052"/>
            </w:r>
          </w:p>
        </w:tc>
        <w:tc>
          <w:tcPr>
            <w:tcW w:w="3235" w:type="dxa"/>
            <w:gridSpan w:val="7"/>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一级 □；二级 □；三级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7" w:type="dxa"/>
            <w:gridSpan w:val="2"/>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现状调查</w:t>
            </w:r>
          </w:p>
        </w:tc>
        <w:tc>
          <w:tcPr>
            <w:tcW w:w="1428" w:type="dxa"/>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区域污染源</w:t>
            </w:r>
          </w:p>
        </w:tc>
        <w:tc>
          <w:tcPr>
            <w:tcW w:w="3840"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调查项目</w:t>
            </w:r>
          </w:p>
        </w:tc>
        <w:tc>
          <w:tcPr>
            <w:tcW w:w="3235" w:type="dxa"/>
            <w:gridSpan w:val="7"/>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vMerge w:val="continue"/>
            <w:noWrap w:val="0"/>
          </w:tcPr>
          <w:p/>
        </w:tc>
        <w:tc>
          <w:tcPr>
            <w:tcW w:w="1960"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已建 □；在建 □；拟建 □；</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其他 □</w:t>
            </w:r>
          </w:p>
        </w:tc>
        <w:tc>
          <w:tcPr>
            <w:tcW w:w="1880" w:type="dxa"/>
            <w:gridSpan w:val="3"/>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拟替代的污染源 □</w:t>
            </w:r>
          </w:p>
        </w:tc>
        <w:tc>
          <w:tcPr>
            <w:tcW w:w="3235" w:type="dxa"/>
            <w:gridSpan w:val="7"/>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排污许可证 □；环评 □；环保验收 □；既有实测 □；现场</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监测 □；入河排放口数据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tcW w:w="1428" w:type="dxa"/>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受影响水体水环境质量</w:t>
            </w:r>
          </w:p>
        </w:tc>
        <w:tc>
          <w:tcPr>
            <w:tcW w:w="3840"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调查时期</w:t>
            </w:r>
          </w:p>
        </w:tc>
        <w:tc>
          <w:tcPr>
            <w:tcW w:w="3235" w:type="dxa"/>
            <w:gridSpan w:val="7"/>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vMerge w:val="continue"/>
            <w:noWrap w:val="0"/>
          </w:tcPr>
          <w:p/>
        </w:tc>
        <w:tc>
          <w:tcPr>
            <w:tcW w:w="3840"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 xml:space="preserve">丰水期 </w:t>
            </w:r>
            <w:r>
              <w:rPr>
                <w:rFonts w:hint="default" w:ascii="Times New Roman" w:hAnsi="Times New Roman" w:eastAsia="宋体" w:cs="Times New Roman"/>
                <w:sz w:val="21"/>
                <w:szCs w:val="22"/>
              </w:rPr>
              <w:sym w:font="Wingdings 2" w:char="0052"/>
            </w:r>
            <w:r>
              <w:rPr>
                <w:rFonts w:hint="default" w:ascii="Times New Roman" w:hAnsi="Times New Roman" w:eastAsia="宋体" w:cs="Times New Roman"/>
                <w:sz w:val="21"/>
                <w:szCs w:val="22"/>
              </w:rPr>
              <w:t xml:space="preserve">；平水期 □；枯水期 </w:t>
            </w:r>
            <w:r>
              <w:rPr>
                <w:rFonts w:hint="default" w:ascii="Times New Roman" w:hAnsi="Times New Roman" w:eastAsia="宋体" w:cs="Times New Roman"/>
                <w:sz w:val="21"/>
                <w:szCs w:val="22"/>
              </w:rPr>
              <w:sym w:font="Wingdings 2" w:char="0052"/>
            </w:r>
            <w:r>
              <w:rPr>
                <w:rFonts w:hint="default" w:ascii="Times New Roman" w:hAnsi="Times New Roman" w:eastAsia="宋体" w:cs="Times New Roman"/>
                <w:sz w:val="21"/>
                <w:szCs w:val="22"/>
              </w:rPr>
              <w:t>；冰封期 □ 春季 □；夏季 □；秋季 □；冬季 □</w:t>
            </w:r>
          </w:p>
        </w:tc>
        <w:tc>
          <w:tcPr>
            <w:tcW w:w="3235" w:type="dxa"/>
            <w:gridSpan w:val="7"/>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 xml:space="preserve">生态环境保护主管部门 </w:t>
            </w:r>
            <w:r>
              <w:rPr>
                <w:rFonts w:hint="default" w:ascii="Times New Roman" w:hAnsi="Times New Roman" w:eastAsia="宋体" w:cs="Times New Roman"/>
                <w:sz w:val="21"/>
                <w:szCs w:val="22"/>
              </w:rPr>
              <w:sym w:font="Wingdings 2" w:char="0052"/>
            </w:r>
            <w:r>
              <w:rPr>
                <w:rFonts w:hint="default" w:ascii="Times New Roman" w:hAnsi="Times New Roman" w:eastAsia="宋体" w:cs="Times New Roman"/>
                <w:sz w:val="21"/>
                <w:szCs w:val="22"/>
              </w:rPr>
              <w:t>；补充监测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tcW w:w="1428"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区域水资源开发利用状况</w:t>
            </w:r>
          </w:p>
        </w:tc>
        <w:tc>
          <w:tcPr>
            <w:tcW w:w="7075" w:type="dxa"/>
            <w:gridSpan w:val="1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未开发□；开发量 40%以下 □；开发量 40%以上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tcW w:w="1428" w:type="dxa"/>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水文情势调查</w:t>
            </w:r>
          </w:p>
        </w:tc>
        <w:tc>
          <w:tcPr>
            <w:tcW w:w="3840"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调查时期</w:t>
            </w:r>
          </w:p>
        </w:tc>
        <w:tc>
          <w:tcPr>
            <w:tcW w:w="3235" w:type="dxa"/>
            <w:gridSpan w:val="7"/>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vMerge w:val="continue"/>
            <w:noWrap w:val="0"/>
          </w:tcPr>
          <w:p/>
        </w:tc>
        <w:tc>
          <w:tcPr>
            <w:tcW w:w="3840"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 xml:space="preserve">丰水期 □；平水期 □；枯水期 </w:t>
            </w:r>
            <w:r>
              <w:rPr>
                <w:rFonts w:hint="default" w:ascii="Times New Roman" w:hAnsi="Times New Roman" w:eastAsia="宋体" w:cs="Times New Roman"/>
                <w:sz w:val="21"/>
                <w:szCs w:val="22"/>
              </w:rPr>
              <w:sym w:font="Wingdings 2" w:char="00A3"/>
            </w:r>
            <w:r>
              <w:rPr>
                <w:rFonts w:hint="default" w:ascii="Times New Roman" w:hAnsi="Times New Roman" w:eastAsia="宋体" w:cs="Times New Roman"/>
                <w:sz w:val="21"/>
                <w:szCs w:val="22"/>
              </w:rPr>
              <w:t>；冰封期 □ 春季 □；夏季 □；秋季 □；冬季 □</w:t>
            </w:r>
          </w:p>
        </w:tc>
        <w:tc>
          <w:tcPr>
            <w:tcW w:w="3235" w:type="dxa"/>
            <w:gridSpan w:val="7"/>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水行政主管部门 □；补充监测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tcW w:w="1428" w:type="dxa"/>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补充监测</w:t>
            </w:r>
          </w:p>
        </w:tc>
        <w:tc>
          <w:tcPr>
            <w:tcW w:w="3840"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监测时期</w:t>
            </w:r>
          </w:p>
        </w:tc>
        <w:tc>
          <w:tcPr>
            <w:tcW w:w="1906"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监测因子</w:t>
            </w:r>
          </w:p>
        </w:tc>
        <w:tc>
          <w:tcPr>
            <w:tcW w:w="1329"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vMerge w:val="continue"/>
            <w:noWrap w:val="0"/>
          </w:tcPr>
          <w:p/>
        </w:tc>
        <w:tc>
          <w:tcPr>
            <w:tcW w:w="3840"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丰水期 □；平水期 □；枯水期 □；冰封期 □ 春季 □；夏季 □；秋季 □；冬季 □</w:t>
            </w:r>
          </w:p>
        </w:tc>
        <w:tc>
          <w:tcPr>
            <w:tcW w:w="1906"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           ）</w:t>
            </w:r>
          </w:p>
        </w:tc>
        <w:tc>
          <w:tcPr>
            <w:tcW w:w="1329"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监测断面或点位个数（</w:t>
            </w:r>
            <w:r>
              <w:rPr>
                <w:rFonts w:hint="default" w:ascii="Times New Roman" w:hAnsi="Times New Roman" w:eastAsia="宋体" w:cs="Times New Roman"/>
                <w:color w:val="000000"/>
                <w:sz w:val="21"/>
                <w:szCs w:val="22"/>
              </w:rPr>
              <w:tab/>
            </w:r>
            <w:r>
              <w:rPr>
                <w:rFonts w:hint="default" w:ascii="Times New Roman" w:hAnsi="Times New Roman" w:eastAsia="宋体" w:cs="Times New Roman"/>
                <w:color w:val="000000"/>
                <w:sz w:val="21"/>
                <w:szCs w:val="22"/>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7" w:type="dxa"/>
            <w:gridSpan w:val="2"/>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现状评价</w:t>
            </w:r>
          </w:p>
        </w:tc>
        <w:tc>
          <w:tcPr>
            <w:tcW w:w="1428"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评价范围</w:t>
            </w:r>
          </w:p>
        </w:tc>
        <w:tc>
          <w:tcPr>
            <w:tcW w:w="7075" w:type="dxa"/>
            <w:gridSpan w:val="1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河流：长度（</w:t>
            </w:r>
            <w:r>
              <w:rPr>
                <w:rFonts w:hint="default" w:ascii="Times New Roman" w:hAnsi="Times New Roman" w:eastAsia="宋体" w:cs="Times New Roman"/>
                <w:sz w:val="21"/>
                <w:szCs w:val="22"/>
              </w:rPr>
              <w:tab/>
            </w:r>
            <w:r>
              <w:rPr>
                <w:rFonts w:hint="default" w:ascii="Times New Roman" w:hAnsi="Times New Roman" w:eastAsia="宋体" w:cs="Times New Roman"/>
                <w:sz w:val="21"/>
                <w:szCs w:val="22"/>
              </w:rPr>
              <w:t>）km；湖库、河口及近岸海域：面积（）km</w:t>
            </w:r>
            <w:r>
              <w:rPr>
                <w:rFonts w:hint="default" w:ascii="Times New Roman" w:hAnsi="Times New Roman" w:eastAsia="宋体" w:cs="Times New Roman"/>
                <w:sz w:val="21"/>
                <w:szCs w:val="22"/>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tcW w:w="1428"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评价因子</w:t>
            </w:r>
          </w:p>
        </w:tc>
        <w:tc>
          <w:tcPr>
            <w:tcW w:w="7075" w:type="dxa"/>
            <w:gridSpan w:val="1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（pH、COD、石油类、无机氮、活性磷酸盐、</w:t>
            </w:r>
            <w:r>
              <w:rPr>
                <w:rFonts w:hint="default" w:ascii="Times New Roman" w:hAnsi="Times New Roman" w:eastAsia="宋体" w:cs="Times New Roman"/>
                <w:sz w:val="21"/>
                <w:szCs w:val="22"/>
                <w:lang w:val="en-US" w:eastAsia="zh-CN"/>
              </w:rPr>
              <w:t>溶解氧、盐度、悬浮物、氨氮、非离子氨、亚硝酸盐氮、硝酸盐氮</w:t>
            </w:r>
            <w:r>
              <w:rPr>
                <w:rFonts w:hint="default" w:ascii="Times New Roman" w:hAnsi="Times New Roman" w:eastAsia="宋体" w:cs="Times New Roman"/>
                <w:sz w:val="21"/>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tcW w:w="1428"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评价标准</w:t>
            </w:r>
          </w:p>
        </w:tc>
        <w:tc>
          <w:tcPr>
            <w:tcW w:w="7075" w:type="dxa"/>
            <w:gridSpan w:val="1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河流、湖库、河口：Ⅰ类 □；Ⅱ类 □；Ⅲ类 □；Ⅳ类 □；Ⅴ类□</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 xml:space="preserve">近岸海域：第一类 □；第二类  </w:t>
            </w:r>
            <w:r>
              <w:rPr>
                <w:rFonts w:hint="default" w:ascii="Times New Roman" w:hAnsi="Times New Roman" w:eastAsia="宋体" w:cs="Times New Roman"/>
                <w:sz w:val="21"/>
                <w:szCs w:val="22"/>
              </w:rPr>
              <w:sym w:font="Wingdings 2" w:char="0052"/>
            </w:r>
            <w:r>
              <w:rPr>
                <w:rFonts w:hint="default" w:ascii="Times New Roman" w:hAnsi="Times New Roman" w:eastAsia="宋体" w:cs="Times New Roman"/>
                <w:sz w:val="21"/>
                <w:szCs w:val="22"/>
              </w:rPr>
              <w:t>；第三类□；第四类 □</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规划年评价标准（第二类）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tcW w:w="1428"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评价时期</w:t>
            </w:r>
          </w:p>
        </w:tc>
        <w:tc>
          <w:tcPr>
            <w:tcW w:w="7075" w:type="dxa"/>
            <w:gridSpan w:val="1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 xml:space="preserve">丰水期 </w:t>
            </w:r>
            <w:r>
              <w:rPr>
                <w:rFonts w:hint="default" w:ascii="Times New Roman" w:hAnsi="Times New Roman" w:eastAsia="宋体" w:cs="Times New Roman"/>
                <w:sz w:val="21"/>
                <w:szCs w:val="22"/>
              </w:rPr>
              <w:sym w:font="Wingdings 2" w:char="0052"/>
            </w:r>
            <w:r>
              <w:rPr>
                <w:rFonts w:hint="default" w:ascii="Times New Roman" w:hAnsi="Times New Roman" w:eastAsia="宋体" w:cs="Times New Roman"/>
                <w:sz w:val="21"/>
                <w:szCs w:val="22"/>
              </w:rPr>
              <w:t xml:space="preserve">；平水期 □；枯水期 </w:t>
            </w:r>
            <w:r>
              <w:rPr>
                <w:rFonts w:hint="default" w:ascii="Times New Roman" w:hAnsi="Times New Roman" w:eastAsia="宋体" w:cs="Times New Roman"/>
                <w:sz w:val="21"/>
                <w:szCs w:val="22"/>
              </w:rPr>
              <w:sym w:font="Wingdings 2" w:char="0052"/>
            </w:r>
            <w:r>
              <w:rPr>
                <w:rFonts w:hint="default" w:ascii="Times New Roman" w:hAnsi="Times New Roman" w:eastAsia="宋体" w:cs="Times New Roman"/>
                <w:sz w:val="21"/>
                <w:szCs w:val="22"/>
              </w:rPr>
              <w:t>；冰封期 □</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春季 □；夏季 □；秋季 □；冬季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tcW w:w="1428"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评价结论</w:t>
            </w:r>
          </w:p>
        </w:tc>
        <w:tc>
          <w:tcPr>
            <w:tcW w:w="6120" w:type="dxa"/>
            <w:gridSpan w:val="11"/>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 xml:space="preserve">水环境功能区或水功能区、近岸海域环境功能区水质达标状况 □：达标 </w:t>
            </w:r>
            <w:r>
              <w:rPr>
                <w:rFonts w:hint="default" w:ascii="Times New Roman" w:hAnsi="Times New Roman" w:eastAsia="宋体" w:cs="Times New Roman"/>
                <w:sz w:val="21"/>
                <w:szCs w:val="22"/>
              </w:rPr>
              <w:sym w:font="Wingdings 2" w:char="0052"/>
            </w:r>
            <w:r>
              <w:rPr>
                <w:rFonts w:hint="default" w:ascii="Times New Roman" w:hAnsi="Times New Roman" w:eastAsia="宋体" w:cs="Times New Roman"/>
                <w:sz w:val="21"/>
                <w:szCs w:val="22"/>
              </w:rPr>
              <w:t>；不达标 □</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水环境控制单元或断面水质达标状况 □：达标 □；不达标 □</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水环境保护目标质量状况 □：达标 □；不达标 □</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对照断面、控制断面等代表性断面的水质状况 □：达标 □；不达标 □ 底泥污染评价 □</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水资源与开发利用程度及其水文情势评价 □ 水环境质量回顾评价 □</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流域（区域）水资源（包括水能资源）与开发利用总体状况、生态流量管理要求与现状满足程度、建设项目占</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用水域空间的水流状况与河湖演变状况 □</w:t>
            </w:r>
          </w:p>
        </w:tc>
        <w:tc>
          <w:tcPr>
            <w:tcW w:w="955"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 xml:space="preserve">达 标 区 </w:t>
            </w:r>
            <w:r>
              <w:rPr>
                <w:rFonts w:hint="default" w:ascii="Times New Roman" w:hAnsi="Times New Roman" w:eastAsia="宋体" w:cs="Times New Roman"/>
                <w:sz w:val="21"/>
                <w:szCs w:val="22"/>
              </w:rPr>
              <w:sym w:font="Wingdings 2" w:char="0052"/>
            </w:r>
            <w:r>
              <w:rPr>
                <w:rFonts w:hint="default" w:ascii="Times New Roman" w:hAnsi="Times New Roman" w:eastAsia="宋体" w:cs="Times New Roman"/>
                <w:sz w:val="21"/>
                <w:szCs w:val="22"/>
              </w:rPr>
              <w:t xml:space="preserve"> 不达标区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7" w:type="dxa"/>
            <w:gridSpan w:val="2"/>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影响预测</w:t>
            </w:r>
          </w:p>
        </w:tc>
        <w:tc>
          <w:tcPr>
            <w:tcW w:w="1428"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预测范围</w:t>
            </w:r>
          </w:p>
        </w:tc>
        <w:tc>
          <w:tcPr>
            <w:tcW w:w="7075" w:type="dxa"/>
            <w:gridSpan w:val="1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河流：长度（</w:t>
            </w:r>
            <w:r>
              <w:rPr>
                <w:rFonts w:hint="default" w:ascii="Times New Roman" w:hAnsi="Times New Roman" w:eastAsia="宋体" w:cs="Times New Roman"/>
                <w:sz w:val="21"/>
                <w:szCs w:val="22"/>
              </w:rPr>
              <w:tab/>
            </w:r>
            <w:r>
              <w:rPr>
                <w:rFonts w:hint="default" w:ascii="Times New Roman" w:hAnsi="Times New Roman" w:eastAsia="宋体" w:cs="Times New Roman"/>
                <w:sz w:val="21"/>
                <w:szCs w:val="22"/>
              </w:rPr>
              <w:t>）km；湖库、河口及近岸海域：面积（）km</w:t>
            </w:r>
            <w:r>
              <w:rPr>
                <w:rFonts w:hint="default" w:ascii="Times New Roman" w:hAnsi="Times New Roman" w:eastAsia="宋体" w:cs="Times New Roman"/>
                <w:sz w:val="21"/>
                <w:szCs w:val="22"/>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tcW w:w="1428"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预测因子</w:t>
            </w:r>
          </w:p>
        </w:tc>
        <w:tc>
          <w:tcPr>
            <w:tcW w:w="7075" w:type="dxa"/>
            <w:gridSpan w:val="1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w:t>
            </w:r>
            <w:r>
              <w:rPr>
                <w:rFonts w:hint="default" w:ascii="Times New Roman" w:hAnsi="Times New Roman" w:eastAsia="宋体" w:cs="Times New Roman"/>
                <w:sz w:val="21"/>
                <w:szCs w:val="22"/>
              </w:rPr>
              <w:tab/>
            </w:r>
            <w:r>
              <w:rPr>
                <w:rFonts w:hint="default" w:ascii="Times New Roman" w:hAnsi="Times New Roman" w:eastAsia="宋体" w:cs="Times New Roman"/>
                <w:sz w:val="21"/>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tcW w:w="1428" w:type="dxa"/>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预测时期</w:t>
            </w:r>
          </w:p>
        </w:tc>
        <w:tc>
          <w:tcPr>
            <w:tcW w:w="7075" w:type="dxa"/>
            <w:gridSpan w:val="1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丰水期 □；平水期 □；枯水期 □；冰封期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vMerge w:val="continue"/>
            <w:noWrap w:val="0"/>
          </w:tcPr>
          <w:p/>
        </w:tc>
        <w:tc>
          <w:tcPr>
            <w:tcW w:w="7075" w:type="dxa"/>
            <w:gridSpan w:val="1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春季 □；夏季 □；秋季 □；冬季 □；设计水文条件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tcW w:w="1428"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预测情景</w:t>
            </w:r>
          </w:p>
        </w:tc>
        <w:tc>
          <w:tcPr>
            <w:tcW w:w="7075" w:type="dxa"/>
            <w:gridSpan w:val="1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建设期 □；生产运行期 □；服务期满后 □ 正常工况 □；非正常工况 □</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污染控制和减缓措施方案 □</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区（流）域环境质量改善目标要求情景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tcW w:w="1428"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预测方法</w:t>
            </w:r>
          </w:p>
        </w:tc>
        <w:tc>
          <w:tcPr>
            <w:tcW w:w="7075" w:type="dxa"/>
            <w:gridSpan w:val="1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数值解 □：解析解 □；其他 □</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导则推荐模式□：其他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7" w:type="dxa"/>
            <w:gridSpan w:val="2"/>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影响评价</w:t>
            </w:r>
          </w:p>
        </w:tc>
        <w:tc>
          <w:tcPr>
            <w:tcW w:w="1428"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水污染控制和水环境影响减缓措施有效性评价</w:t>
            </w:r>
          </w:p>
        </w:tc>
        <w:tc>
          <w:tcPr>
            <w:tcW w:w="7075" w:type="dxa"/>
            <w:gridSpan w:val="1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区（流）域水环境质量改善目标 □；替代削减源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tcW w:w="1428"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水环境影响评价</w:t>
            </w:r>
          </w:p>
        </w:tc>
        <w:tc>
          <w:tcPr>
            <w:tcW w:w="7075" w:type="dxa"/>
            <w:gridSpan w:val="1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排放口混合区外满足水环境管理要求 □</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 xml:space="preserve">水环境功能区或水功能区、近岸海域环境功能区水质达标 </w:t>
            </w:r>
            <w:r>
              <w:rPr>
                <w:rFonts w:hint="default" w:ascii="Times New Roman" w:hAnsi="Times New Roman" w:eastAsia="宋体" w:cs="Times New Roman"/>
                <w:sz w:val="21"/>
                <w:szCs w:val="22"/>
              </w:rPr>
              <w:sym w:font="Wingdings 2" w:char="00A3"/>
            </w:r>
            <w:r>
              <w:rPr>
                <w:rFonts w:hint="default" w:ascii="Times New Roman" w:hAnsi="Times New Roman" w:eastAsia="宋体" w:cs="Times New Roman"/>
                <w:sz w:val="21"/>
                <w:szCs w:val="22"/>
              </w:rPr>
              <w:t xml:space="preserve"> </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满足水环境保护目标水域水环境质量要求 □</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水环境控制单元或断面水质达标 □</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满足重点水污染物排放总量控制指标要求，重点行业建设项目， 主要污染物排放满足等量或减量替代要求 □</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满足区（流）域水环境质量改善目标要求□</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 xml:space="preserve">水文要素影响型建设项目同时应包括水文情势变化评价、主要水文特征值影响评价、生态流量符合性评价 □ </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 xml:space="preserve">对于新设或调整入河（湖库、近岸海域）排放口的建设项目，应包括排放口设置的环境合理性评价 </w:t>
            </w:r>
            <w:r>
              <w:rPr>
                <w:rFonts w:hint="default" w:ascii="Times New Roman" w:hAnsi="Times New Roman" w:eastAsia="宋体" w:cs="Times New Roman"/>
                <w:sz w:val="21"/>
                <w:szCs w:val="22"/>
              </w:rPr>
              <w:sym w:font="Wingdings 2" w:char="00A3"/>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满足生态保护红线、水环境质量底线、资源利用上线和环境准入清单管理要求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tcW w:w="1428" w:type="dxa"/>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污染源排放量核算</w:t>
            </w:r>
          </w:p>
        </w:tc>
        <w:tc>
          <w:tcPr>
            <w:tcW w:w="2528" w:type="dxa"/>
            <w:gridSpan w:val="3"/>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污染物名称</w:t>
            </w:r>
          </w:p>
        </w:tc>
        <w:tc>
          <w:tcPr>
            <w:tcW w:w="2275"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排放量/（t/a）</w:t>
            </w:r>
          </w:p>
        </w:tc>
        <w:tc>
          <w:tcPr>
            <w:tcW w:w="2272" w:type="dxa"/>
            <w:gridSpan w:val="4"/>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vMerge w:val="continue"/>
            <w:noWrap w:val="0"/>
          </w:tcPr>
          <w:p/>
        </w:tc>
        <w:tc>
          <w:tcPr>
            <w:tcW w:w="2528" w:type="dxa"/>
            <w:gridSpan w:val="3"/>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COD</w:t>
            </w:r>
          </w:p>
        </w:tc>
        <w:tc>
          <w:tcPr>
            <w:tcW w:w="2275" w:type="dxa"/>
            <w:gridSpan w:val="5"/>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1.814</w:t>
            </w:r>
          </w:p>
        </w:tc>
        <w:tc>
          <w:tcPr>
            <w:tcW w:w="2272" w:type="dxa"/>
            <w:gridSpan w:val="4"/>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vMerge w:val="continue"/>
            <w:noWrap w:val="0"/>
          </w:tcPr>
          <w:p/>
        </w:tc>
        <w:tc>
          <w:tcPr>
            <w:tcW w:w="2528" w:type="dxa"/>
            <w:gridSpan w:val="3"/>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氨氮</w:t>
            </w:r>
          </w:p>
        </w:tc>
        <w:tc>
          <w:tcPr>
            <w:tcW w:w="2275" w:type="dxa"/>
            <w:gridSpan w:val="5"/>
            <w:noWrap w:val="0"/>
            <w:vAlign w:val="center"/>
          </w:tcPr>
          <w:p>
            <w:pPr>
              <w:widowControl/>
              <w:snapToGrid w:val="0"/>
              <w:spacing w:line="300" w:lineRule="exact"/>
              <w:ind w:firstLine="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0.181</w:t>
            </w:r>
          </w:p>
        </w:tc>
        <w:tc>
          <w:tcPr>
            <w:tcW w:w="2272" w:type="dxa"/>
            <w:gridSpan w:val="4"/>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tcW w:w="1428" w:type="dxa"/>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替代源排放情况</w:t>
            </w:r>
          </w:p>
        </w:tc>
        <w:tc>
          <w:tcPr>
            <w:tcW w:w="1619"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污染源名称</w:t>
            </w:r>
          </w:p>
        </w:tc>
        <w:tc>
          <w:tcPr>
            <w:tcW w:w="1365" w:type="dxa"/>
            <w:gridSpan w:val="3"/>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排污许可证编号</w:t>
            </w:r>
          </w:p>
        </w:tc>
        <w:tc>
          <w:tcPr>
            <w:tcW w:w="1363"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污染物名称</w:t>
            </w:r>
          </w:p>
        </w:tc>
        <w:tc>
          <w:tcPr>
            <w:tcW w:w="1364" w:type="dxa"/>
            <w:gridSpan w:val="3"/>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排放量/（t/a）</w:t>
            </w:r>
          </w:p>
        </w:tc>
        <w:tc>
          <w:tcPr>
            <w:tcW w:w="1364" w:type="dxa"/>
            <w:gridSpan w:val="3"/>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vMerge w:val="continue"/>
            <w:noWrap w:val="0"/>
          </w:tcPr>
          <w:p/>
        </w:tc>
        <w:tc>
          <w:tcPr>
            <w:tcW w:w="1619"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    ）</w:t>
            </w:r>
          </w:p>
        </w:tc>
        <w:tc>
          <w:tcPr>
            <w:tcW w:w="1365" w:type="dxa"/>
            <w:gridSpan w:val="3"/>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  ）</w:t>
            </w:r>
          </w:p>
        </w:tc>
        <w:tc>
          <w:tcPr>
            <w:tcW w:w="1363"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  ）</w:t>
            </w:r>
          </w:p>
        </w:tc>
        <w:tc>
          <w:tcPr>
            <w:tcW w:w="1364" w:type="dxa"/>
            <w:gridSpan w:val="3"/>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  ）</w:t>
            </w:r>
          </w:p>
        </w:tc>
        <w:tc>
          <w:tcPr>
            <w:tcW w:w="1364" w:type="dxa"/>
            <w:gridSpan w:val="3"/>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tcW w:w="1428"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生态流量确定</w:t>
            </w:r>
          </w:p>
        </w:tc>
        <w:tc>
          <w:tcPr>
            <w:tcW w:w="7075" w:type="dxa"/>
            <w:gridSpan w:val="1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生态流量：一般水期（</w:t>
            </w:r>
            <w:r>
              <w:rPr>
                <w:rFonts w:hint="default" w:ascii="Times New Roman" w:hAnsi="Times New Roman" w:eastAsia="宋体" w:cs="Times New Roman"/>
                <w:sz w:val="21"/>
                <w:szCs w:val="22"/>
              </w:rPr>
              <w:tab/>
            </w:r>
            <w:r>
              <w:rPr>
                <w:rFonts w:hint="default" w:ascii="Times New Roman" w:hAnsi="Times New Roman" w:eastAsia="宋体" w:cs="Times New Roman"/>
                <w:sz w:val="21"/>
                <w:szCs w:val="22"/>
              </w:rPr>
              <w:t>）m</w:t>
            </w:r>
            <w:r>
              <w:rPr>
                <w:rFonts w:hint="default" w:ascii="Times New Roman" w:hAnsi="Times New Roman" w:eastAsia="宋体" w:cs="Times New Roman"/>
                <w:sz w:val="21"/>
                <w:szCs w:val="22"/>
                <w:vertAlign w:val="superscript"/>
              </w:rPr>
              <w:t>3</w:t>
            </w:r>
            <w:r>
              <w:rPr>
                <w:rFonts w:hint="default" w:ascii="Times New Roman" w:hAnsi="Times New Roman" w:eastAsia="宋体" w:cs="Times New Roman"/>
                <w:sz w:val="21"/>
                <w:szCs w:val="22"/>
              </w:rPr>
              <w:t>/s；鱼类繁殖期（</w:t>
            </w:r>
            <w:r>
              <w:rPr>
                <w:rFonts w:hint="default" w:ascii="Times New Roman" w:hAnsi="Times New Roman" w:eastAsia="宋体" w:cs="Times New Roman"/>
                <w:sz w:val="21"/>
                <w:szCs w:val="22"/>
              </w:rPr>
              <w:tab/>
            </w:r>
            <w:r>
              <w:rPr>
                <w:rFonts w:hint="default" w:ascii="Times New Roman" w:hAnsi="Times New Roman" w:eastAsia="宋体" w:cs="Times New Roman"/>
                <w:sz w:val="21"/>
                <w:szCs w:val="22"/>
              </w:rPr>
              <w:t>）m</w:t>
            </w:r>
            <w:r>
              <w:rPr>
                <w:rFonts w:hint="default" w:ascii="Times New Roman" w:hAnsi="Times New Roman" w:eastAsia="宋体" w:cs="Times New Roman"/>
                <w:sz w:val="21"/>
                <w:szCs w:val="22"/>
                <w:vertAlign w:val="superscript"/>
              </w:rPr>
              <w:t>3</w:t>
            </w:r>
            <w:r>
              <w:rPr>
                <w:rFonts w:hint="default" w:ascii="Times New Roman" w:hAnsi="Times New Roman" w:eastAsia="宋体" w:cs="Times New Roman"/>
                <w:sz w:val="21"/>
                <w:szCs w:val="22"/>
              </w:rPr>
              <w:t>/s；其他（</w:t>
            </w:r>
            <w:r>
              <w:rPr>
                <w:rFonts w:hint="default" w:ascii="Times New Roman" w:hAnsi="Times New Roman" w:eastAsia="宋体" w:cs="Times New Roman"/>
                <w:sz w:val="21"/>
                <w:szCs w:val="22"/>
              </w:rPr>
              <w:tab/>
            </w:r>
            <w:r>
              <w:rPr>
                <w:rFonts w:hint="default" w:ascii="Times New Roman" w:hAnsi="Times New Roman" w:eastAsia="宋体" w:cs="Times New Roman"/>
                <w:sz w:val="21"/>
                <w:szCs w:val="22"/>
              </w:rPr>
              <w:t>）m</w:t>
            </w:r>
            <w:r>
              <w:rPr>
                <w:rFonts w:hint="default" w:ascii="Times New Roman" w:hAnsi="Times New Roman" w:eastAsia="宋体" w:cs="Times New Roman"/>
                <w:sz w:val="21"/>
                <w:szCs w:val="22"/>
                <w:vertAlign w:val="superscript"/>
              </w:rPr>
              <w:t>3</w:t>
            </w:r>
            <w:r>
              <w:rPr>
                <w:rFonts w:hint="default" w:ascii="Times New Roman" w:hAnsi="Times New Roman" w:eastAsia="宋体" w:cs="Times New Roman"/>
                <w:sz w:val="21"/>
                <w:szCs w:val="22"/>
              </w:rPr>
              <w:t>/s</w:t>
            </w:r>
          </w:p>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生态水位：一般水期（</w:t>
            </w:r>
            <w:r>
              <w:rPr>
                <w:rFonts w:hint="default" w:ascii="Times New Roman" w:hAnsi="Times New Roman" w:eastAsia="宋体" w:cs="Times New Roman"/>
                <w:sz w:val="21"/>
                <w:szCs w:val="22"/>
              </w:rPr>
              <w:tab/>
            </w:r>
            <w:r>
              <w:rPr>
                <w:rFonts w:hint="default" w:ascii="Times New Roman" w:hAnsi="Times New Roman" w:eastAsia="宋体" w:cs="Times New Roman"/>
                <w:sz w:val="21"/>
                <w:szCs w:val="22"/>
              </w:rPr>
              <w:t>）m；鱼类繁殖期（</w:t>
            </w:r>
            <w:r>
              <w:rPr>
                <w:rFonts w:hint="default" w:ascii="Times New Roman" w:hAnsi="Times New Roman" w:eastAsia="宋体" w:cs="Times New Roman"/>
                <w:sz w:val="21"/>
                <w:szCs w:val="22"/>
              </w:rPr>
              <w:tab/>
            </w:r>
            <w:r>
              <w:rPr>
                <w:rFonts w:hint="default" w:ascii="Times New Roman" w:hAnsi="Times New Roman" w:eastAsia="宋体" w:cs="Times New Roman"/>
                <w:sz w:val="21"/>
                <w:szCs w:val="22"/>
              </w:rPr>
              <w:t>）m；其他（</w:t>
            </w:r>
            <w:r>
              <w:rPr>
                <w:rFonts w:hint="default" w:ascii="Times New Roman" w:hAnsi="Times New Roman" w:eastAsia="宋体" w:cs="Times New Roman"/>
                <w:sz w:val="21"/>
                <w:szCs w:val="22"/>
              </w:rPr>
              <w:tab/>
            </w:r>
            <w:r>
              <w:rPr>
                <w:rFonts w:hint="default" w:ascii="Times New Roman" w:hAnsi="Times New Roman" w:eastAsia="宋体" w:cs="Times New Roman"/>
                <w:sz w:val="21"/>
                <w:szCs w:val="22"/>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7" w:type="dxa"/>
            <w:gridSpan w:val="2"/>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防治措施</w:t>
            </w:r>
          </w:p>
        </w:tc>
        <w:tc>
          <w:tcPr>
            <w:tcW w:w="1428"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环保措施</w:t>
            </w:r>
          </w:p>
        </w:tc>
        <w:tc>
          <w:tcPr>
            <w:tcW w:w="7075" w:type="dxa"/>
            <w:gridSpan w:val="1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污水处理设施</w:t>
            </w:r>
            <w:r>
              <w:rPr>
                <w:rFonts w:hint="default" w:ascii="Times New Roman" w:hAnsi="Times New Roman" w:eastAsia="宋体" w:cs="Times New Roman"/>
                <w:sz w:val="21"/>
                <w:szCs w:val="22"/>
              </w:rPr>
              <w:sym w:font="Wingdings 2" w:char="0052"/>
            </w:r>
            <w:r>
              <w:rPr>
                <w:rFonts w:hint="default" w:ascii="Times New Roman" w:hAnsi="Times New Roman" w:eastAsia="宋体" w:cs="Times New Roman"/>
                <w:sz w:val="21"/>
                <w:szCs w:val="22"/>
              </w:rPr>
              <w:t>；水文减缓设施 □；生态流量保障设施 □；区域削减 □；依托其他工程措施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tcW w:w="1428" w:type="dxa"/>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监测计划</w:t>
            </w:r>
          </w:p>
        </w:tc>
        <w:tc>
          <w:tcPr>
            <w:tcW w:w="1960"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p>
        </w:tc>
        <w:tc>
          <w:tcPr>
            <w:tcW w:w="2557"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环境质量</w:t>
            </w:r>
          </w:p>
        </w:tc>
        <w:tc>
          <w:tcPr>
            <w:tcW w:w="255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vMerge w:val="continue"/>
            <w:noWrap w:val="0"/>
          </w:tcPr>
          <w:p/>
        </w:tc>
        <w:tc>
          <w:tcPr>
            <w:tcW w:w="1960"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监测方式</w:t>
            </w:r>
          </w:p>
        </w:tc>
        <w:tc>
          <w:tcPr>
            <w:tcW w:w="2557"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手动□；自动□；无监测 □</w:t>
            </w:r>
          </w:p>
        </w:tc>
        <w:tc>
          <w:tcPr>
            <w:tcW w:w="255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手动</w:t>
            </w:r>
            <w:r>
              <w:rPr>
                <w:rFonts w:hint="default" w:ascii="Times New Roman" w:hAnsi="Times New Roman" w:eastAsia="宋体" w:cs="Times New Roman"/>
                <w:sz w:val="21"/>
                <w:szCs w:val="22"/>
              </w:rPr>
              <w:sym w:font="Wingdings 2" w:char="0052"/>
            </w:r>
            <w:r>
              <w:rPr>
                <w:rFonts w:hint="default" w:ascii="Times New Roman" w:hAnsi="Times New Roman" w:eastAsia="宋体" w:cs="Times New Roman"/>
                <w:sz w:val="21"/>
                <w:szCs w:val="22"/>
              </w:rPr>
              <w:t>；自动□；无监测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vMerge w:val="continue"/>
            <w:noWrap w:val="0"/>
          </w:tcPr>
          <w:p/>
        </w:tc>
        <w:tc>
          <w:tcPr>
            <w:tcW w:w="1960"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监测点位</w:t>
            </w:r>
          </w:p>
        </w:tc>
        <w:tc>
          <w:tcPr>
            <w:tcW w:w="2557"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   ）</w:t>
            </w:r>
          </w:p>
        </w:tc>
        <w:tc>
          <w:tcPr>
            <w:tcW w:w="255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（总排口）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vMerge w:val="continue"/>
            <w:noWrap w:val="0"/>
          </w:tcPr>
          <w:p/>
        </w:tc>
        <w:tc>
          <w:tcPr>
            <w:tcW w:w="1960"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监测因子</w:t>
            </w:r>
          </w:p>
        </w:tc>
        <w:tc>
          <w:tcPr>
            <w:tcW w:w="2557"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1"/>
              </w:rPr>
              <w:t xml:space="preserve">    </w:t>
            </w:r>
          </w:p>
        </w:tc>
        <w:tc>
          <w:tcPr>
            <w:tcW w:w="2558" w:type="dxa"/>
            <w:gridSpan w:val="5"/>
            <w:noWrap w:val="0"/>
            <w:vAlign w:val="center"/>
          </w:tcPr>
          <w:p>
            <w:pPr>
              <w:widowControl/>
              <w:adjustRightInd w:val="0"/>
              <w:snapToGrid w:val="0"/>
              <w:spacing w:line="240" w:lineRule="auto"/>
              <w:ind w:firstLine="0"/>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总排口：pH、COD、BOD</w:t>
            </w:r>
            <w:r>
              <w:rPr>
                <w:rFonts w:hint="default" w:ascii="Times New Roman" w:hAnsi="Times New Roman" w:eastAsia="宋体" w:cs="Times New Roman"/>
                <w:color w:val="000000"/>
                <w:sz w:val="21"/>
                <w:szCs w:val="22"/>
                <w:vertAlign w:val="subscript"/>
              </w:rPr>
              <w:t>5</w:t>
            </w:r>
            <w:r>
              <w:rPr>
                <w:rFonts w:hint="default" w:ascii="Times New Roman" w:hAnsi="Times New Roman" w:eastAsia="宋体" w:cs="Times New Roman"/>
                <w:color w:val="000000"/>
                <w:sz w:val="21"/>
                <w:szCs w:val="22"/>
              </w:rPr>
              <w:t>、SS、氨氮、盐份。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gridSpan w:val="2"/>
            <w:vMerge w:val="continue"/>
            <w:noWrap w:val="0"/>
          </w:tcPr>
          <w:p/>
        </w:tc>
        <w:tc>
          <w:tcPr>
            <w:tcW w:w="1428"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污染物排放清单</w:t>
            </w:r>
          </w:p>
        </w:tc>
        <w:tc>
          <w:tcPr>
            <w:tcW w:w="7075" w:type="dxa"/>
            <w:gridSpan w:val="1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95" w:type="dxa"/>
            <w:gridSpan w:val="3"/>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评价结论</w:t>
            </w:r>
          </w:p>
        </w:tc>
        <w:tc>
          <w:tcPr>
            <w:tcW w:w="7075" w:type="dxa"/>
            <w:gridSpan w:val="12"/>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 xml:space="preserve">可以接受 </w:t>
            </w:r>
            <w:r>
              <w:rPr>
                <w:rFonts w:hint="default" w:ascii="Times New Roman" w:hAnsi="Times New Roman" w:eastAsia="宋体" w:cs="Times New Roman"/>
                <w:sz w:val="21"/>
                <w:szCs w:val="22"/>
              </w:rPr>
              <w:sym w:font="Wingdings 2" w:char="0052"/>
            </w:r>
            <w:r>
              <w:rPr>
                <w:rFonts w:hint="default" w:ascii="Times New Roman" w:hAnsi="Times New Roman" w:eastAsia="宋体" w:cs="Times New Roman"/>
                <w:sz w:val="21"/>
                <w:szCs w:val="22"/>
              </w:rPr>
              <w:t>；不可以接受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070" w:type="dxa"/>
            <w:gridSpan w:val="15"/>
            <w:noWrap w:val="0"/>
            <w:vAlign w:val="center"/>
          </w:tcPr>
          <w:p>
            <w:pPr>
              <w:widowControl/>
              <w:adjustRightInd w:val="0"/>
              <w:snapToGrid w:val="0"/>
              <w:spacing w:line="240" w:lineRule="auto"/>
              <w:ind w:firstLine="0"/>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注：“□”为勾选项，可√；“（</w:t>
            </w:r>
            <w:r>
              <w:rPr>
                <w:rFonts w:hint="default" w:ascii="Times New Roman" w:hAnsi="Times New Roman" w:eastAsia="宋体" w:cs="Times New Roman"/>
                <w:sz w:val="21"/>
                <w:szCs w:val="22"/>
              </w:rPr>
              <w:tab/>
            </w:r>
            <w:r>
              <w:rPr>
                <w:rFonts w:hint="default" w:ascii="Times New Roman" w:hAnsi="Times New Roman" w:eastAsia="宋体" w:cs="Times New Roman"/>
                <w:sz w:val="21"/>
                <w:szCs w:val="22"/>
              </w:rPr>
              <w:t>）”为内容填写项；“备注”为其他补充内容。</w:t>
            </w:r>
          </w:p>
        </w:tc>
      </w:tr>
    </w:tbl>
    <w:p>
      <w:pPr>
        <w:widowControl/>
        <w:snapToGrid w:val="0"/>
        <w:spacing w:line="360" w:lineRule="auto"/>
        <w:ind w:firstLine="0"/>
        <w:jc w:val="left"/>
        <w:outlineLvl w:val="1"/>
        <w:rPr>
          <w:rFonts w:hint="default" w:ascii="Times New Roman" w:hAnsi="Times New Roman" w:eastAsia="黑体" w:cs="Times New Roman"/>
          <w:sz w:val="32"/>
          <w:szCs w:val="32"/>
        </w:rPr>
      </w:pPr>
      <w:bookmarkStart w:id="245" w:name="_Toc29931"/>
      <w:r>
        <w:rPr>
          <w:rFonts w:hint="default" w:ascii="Times New Roman" w:hAnsi="Times New Roman" w:eastAsia="黑体" w:cs="Times New Roman"/>
          <w:sz w:val="32"/>
          <w:szCs w:val="32"/>
        </w:rPr>
        <w:t>5.2大气环境影响评价</w:t>
      </w:r>
      <w:bookmarkEnd w:id="245"/>
    </w:p>
    <w:p>
      <w:pPr>
        <w:snapToGrid w:val="0"/>
        <w:spacing w:line="360" w:lineRule="auto"/>
        <w:ind w:firstLine="482"/>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rPr>
      </w:pPr>
      <w:r>
        <w:rPr>
          <w:rFonts w:hint="eastAsia" w:ascii="Times New Roman" w:hAnsi="Times New Roman" w:eastAsia="黑体" w:cs="Times New Roman"/>
          <w:kern w:val="0"/>
          <w:sz w:val="30"/>
          <w:szCs w:val="30"/>
          <w:lang w:val="en-US" w:eastAsia="zh-CN"/>
        </w:rPr>
        <w:t>5</w:t>
      </w:r>
      <w:r>
        <w:rPr>
          <w:rFonts w:hint="default" w:ascii="Times New Roman" w:hAnsi="Times New Roman" w:eastAsia="黑体" w:cs="Times New Roman"/>
          <w:kern w:val="0"/>
          <w:sz w:val="30"/>
          <w:szCs w:val="30"/>
        </w:rPr>
        <w:t>.2.2环境防护距离的确定</w:t>
      </w:r>
    </w:p>
    <w:p>
      <w:pPr>
        <w:adjustRightInd w:val="0"/>
        <w:snapToGrid w:val="0"/>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根据环保部环函[2009]224号文“关于建设项目环境影响评价工作中确定防护距离标准问题的复函”中对防护距离确定的原则为：</w:t>
      </w:r>
    </w:p>
    <w:p>
      <w:pPr>
        <w:adjustRightInd w:val="0"/>
        <w:snapToGrid w:val="0"/>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根据国家环境保护法律法规的有关规定和建设项目环境管理工作的特点和要求，建设项目的环境防护距离应综合考虑经济、技术、社会、环境等相关因素，根据建设项目排放污染物的规律和特点，结合当地的自然、气象等条件，通过环境影响评价确定。</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sz w:val="24"/>
        </w:rPr>
        <w:t>②在建设项目环境影响评价过程中，应按照有关法律法规和《国家环境标准管理办法》的规定，严格执行国家和地方的环境质量标准、污染物排放标准及相关的环境影响评价导则等环保标准。其他标准或规范性文件中依法提出的防护距离要求若与上述环保标准要求不一致，应从严掌握。</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（1）大气环境防护距离</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根据《环境影响评价技术导则 大气环境》（HJ2.2-2018）要求，对于项目厂界浓度满足大气污染物厂界浓度限值，但厂界外大气污染物短期贡献浓度超过环境质量浓度限值的，可以自厂界向外设置一定范围的大气环境防护区域，确保大气环境防护区域外污染物贡献浓度满足环境质量标准。大气环境防护距离内不应有长期居住人群。</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采用进一步预测模型预测本项目主要污染物的短期贡献浓度分布，本项目厂界线外部没有超标点，因此，本项目无须设置大气环境防护距离。</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项目各污染物最大落地浓度均小于标准值，无需设置大气环境防护距离。</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(2)卫生防护距离</w:t>
      </w:r>
    </w:p>
    <w:p>
      <w:pPr>
        <w:adjustRightIn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卫生防护距离是指产生有害因素的部门（车间或工段）的边界至居住区边界的最小距离。本项目无组织排放的卫生防护距离参考《大气有毒有害物质无组织排放卫生防护距离推导技术导则》（GB/T39499-2020）中推荐的卫生防护距离估算公式如下：</w:t>
      </w:r>
    </w:p>
    <w:p>
      <w:pPr>
        <w:autoSpaceDE w:val="0"/>
        <w:autoSpaceDN w:val="0"/>
        <w:spacing w:line="240" w:lineRule="auto"/>
        <w:ind w:firstLine="200"/>
        <w:jc w:val="center"/>
        <w:rPr>
          <w:rFonts w:hint="default" w:ascii="Times New Roman" w:hAnsi="Times New Roman" w:eastAsia="宋体" w:cs="Times New Roman"/>
          <w:color w:val="000000"/>
          <w:sz w:val="24"/>
          <w:szCs w:val="24"/>
        </w:rPr>
      </w:pPr>
      <w:r>
        <w:drawing>
          <wp:inline distT="0" distB="0" distL="114300" distR="114300">
            <wp:extent cx="1837690" cy="447040"/>
            <wp:effectExtent l="0" t="0" r="0" b="10795"/>
            <wp:docPr id="104"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80"/>
                    <pic:cNvPicPr>
                      <a:picLocks noChangeAspect="1"/>
                    </pic:cNvPicPr>
                  </pic:nvPicPr>
                  <pic:blipFill>
                    <a:blip r:embed="rId53"/>
                    <a:stretch>
                      <a:fillRect/>
                    </a:stretch>
                  </pic:blipFill>
                  <pic:spPr>
                    <a:xfrm>
                      <a:off x="0" y="0"/>
                      <a:ext cx="1837690" cy="447040"/>
                    </a:xfrm>
                    <a:prstGeom prst="rect">
                      <a:avLst/>
                    </a:prstGeom>
                    <a:noFill/>
                    <a:ln>
                      <a:noFill/>
                    </a:ln>
                  </pic:spPr>
                </pic:pic>
              </a:graphicData>
            </a:graphic>
          </wp:inline>
        </w:drawing>
      </w:r>
    </w:p>
    <w:p>
      <w:pPr>
        <w:adjustRightInd w:val="0"/>
        <w:snapToGri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式中：</w:t>
      </w:r>
      <w:r>
        <w:rPr>
          <w:rFonts w:hint="default" w:ascii="Times New Roman" w:hAnsi="Times New Roman" w:eastAsia="宋体" w:cs="Times New Roman"/>
          <w:i/>
          <w:color w:val="000000"/>
          <w:sz w:val="24"/>
          <w:szCs w:val="24"/>
        </w:rPr>
        <w:t>C</w:t>
      </w:r>
      <w:r>
        <w:rPr>
          <w:rFonts w:hint="default" w:ascii="Times New Roman" w:hAnsi="Times New Roman" w:eastAsia="宋体" w:cs="Times New Roman"/>
          <w:i/>
          <w:color w:val="000000"/>
          <w:sz w:val="24"/>
          <w:szCs w:val="24"/>
          <w:vertAlign w:val="subscript"/>
        </w:rPr>
        <w:t>m</w:t>
      </w:r>
      <w:r>
        <w:rPr>
          <w:rFonts w:hint="default" w:ascii="Times New Roman" w:hAnsi="Times New Roman" w:eastAsia="宋体" w:cs="Times New Roman"/>
          <w:color w:val="000000"/>
          <w:sz w:val="24"/>
          <w:szCs w:val="24"/>
        </w:rPr>
        <w:t>——标准标准浓度限值，mg/m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w:t>
      </w:r>
    </w:p>
    <w:p>
      <w:pPr>
        <w:spacing w:line="360" w:lineRule="auto"/>
        <w:ind w:firstLine="1200"/>
        <w:rPr>
          <w:rFonts w:hint="default" w:ascii="Times New Roman" w:hAnsi="Times New Roman" w:eastAsia="宋体" w:cs="Times New Roman"/>
          <w:color w:val="000000"/>
          <w:sz w:val="24"/>
          <w:szCs w:val="24"/>
        </w:rPr>
      </w:pPr>
      <w:r>
        <w:rPr>
          <w:rFonts w:hint="default" w:ascii="Times New Roman" w:hAnsi="Times New Roman" w:eastAsia="宋体" w:cs="Times New Roman"/>
          <w:i/>
          <w:color w:val="000000"/>
          <w:sz w:val="24"/>
          <w:szCs w:val="24"/>
        </w:rPr>
        <w:t>L</w:t>
      </w:r>
      <w:r>
        <w:rPr>
          <w:rFonts w:hint="default" w:ascii="Times New Roman" w:hAnsi="Times New Roman" w:eastAsia="宋体" w:cs="Times New Roman"/>
          <w:color w:val="000000"/>
          <w:sz w:val="24"/>
          <w:szCs w:val="24"/>
        </w:rPr>
        <w:t>——工业企业所需卫生防护距离，m；</w:t>
      </w:r>
    </w:p>
    <w:p>
      <w:pPr>
        <w:spacing w:line="360" w:lineRule="auto"/>
        <w:ind w:firstLine="1200"/>
        <w:rPr>
          <w:rFonts w:hint="default" w:ascii="Times New Roman" w:hAnsi="Times New Roman" w:eastAsia="宋体" w:cs="Times New Roman"/>
          <w:color w:val="000000"/>
          <w:sz w:val="24"/>
          <w:szCs w:val="24"/>
        </w:rPr>
      </w:pPr>
      <w:r>
        <w:rPr>
          <w:rFonts w:hint="default" w:ascii="Times New Roman" w:hAnsi="Times New Roman" w:eastAsia="宋体" w:cs="Times New Roman"/>
          <w:i/>
          <w:color w:val="000000"/>
          <w:sz w:val="24"/>
          <w:szCs w:val="24"/>
        </w:rPr>
        <w:t>R</w:t>
      </w:r>
      <w:r>
        <w:rPr>
          <w:rFonts w:hint="default" w:ascii="Times New Roman" w:hAnsi="Times New Roman" w:eastAsia="宋体" w:cs="Times New Roman"/>
          <w:color w:val="000000"/>
          <w:sz w:val="24"/>
          <w:szCs w:val="24"/>
        </w:rPr>
        <w:t>—有害气体无组织排放源生产单元的等效半径，m。根据该生产单位占地面积S（m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）计算，r=（S/</w:t>
      </w:r>
      <w:r>
        <w:drawing>
          <wp:inline distT="0" distB="0" distL="114300" distR="114300">
            <wp:extent cx="139700" cy="139700"/>
            <wp:effectExtent l="0" t="0" r="12700" b="13335"/>
            <wp:docPr id="105" name="图片 1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3712"/>
                    <pic:cNvPicPr>
                      <a:picLocks noChangeAspect="1"/>
                    </pic:cNvPicPr>
                  </pic:nvPicPr>
                  <pic:blipFill>
                    <a:blip r:embed="rId54"/>
                    <a:stretch>
                      <a:fillRect/>
                    </a:stretch>
                  </pic:blipFill>
                  <pic:spPr>
                    <a:xfrm>
                      <a:off x="0" y="0"/>
                      <a:ext cx="139700" cy="139700"/>
                    </a:xfrm>
                    <a:prstGeom prst="rect">
                      <a:avLst/>
                    </a:prstGeom>
                    <a:noFill/>
                    <a:ln>
                      <a:noFill/>
                    </a:ln>
                  </pic:spPr>
                </pic:pic>
              </a:graphicData>
            </a:graphic>
          </wp:inline>
        </w:drawing>
      </w:r>
      <w:r>
        <w:rPr>
          <w:rFonts w:hint="default" w:ascii="Times New Roman" w:hAnsi="Times New Roman" w:eastAsia="宋体" w:cs="Times New Roman"/>
          <w:color w:val="000000"/>
          <w:sz w:val="24"/>
          <w:szCs w:val="24"/>
        </w:rPr>
        <w:t>）</w:t>
      </w:r>
      <w:r>
        <w:rPr>
          <w:rFonts w:hint="default" w:ascii="Times New Roman" w:hAnsi="Times New Roman" w:eastAsia="宋体" w:cs="Times New Roman"/>
          <w:color w:val="000000"/>
          <w:sz w:val="24"/>
          <w:szCs w:val="24"/>
          <w:vertAlign w:val="superscript"/>
        </w:rPr>
        <w:t>0.5</w:t>
      </w:r>
      <w:r>
        <w:rPr>
          <w:rFonts w:hint="default" w:ascii="Times New Roman" w:hAnsi="Times New Roman" w:eastAsia="宋体" w:cs="Times New Roman"/>
          <w:color w:val="000000"/>
          <w:sz w:val="24"/>
          <w:szCs w:val="24"/>
        </w:rPr>
        <w:t>；</w:t>
      </w:r>
    </w:p>
    <w:p>
      <w:pPr>
        <w:spacing w:line="360" w:lineRule="auto"/>
        <w:ind w:firstLine="1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A、B、C、D—卫生防护距离计算系数，无因次，根据工业企业所在地区近五年平均风速，及工业企业大气污染源构成类引从表中查取。</w:t>
      </w:r>
    </w:p>
    <w:p>
      <w:pPr>
        <w:spacing w:line="360" w:lineRule="auto"/>
        <w:ind w:firstLine="1200"/>
        <w:rPr>
          <w:rFonts w:hint="default" w:ascii="Times New Roman" w:hAnsi="Times New Roman" w:eastAsia="宋体" w:cs="Times New Roman"/>
          <w:color w:val="000000"/>
          <w:sz w:val="24"/>
          <w:szCs w:val="22"/>
        </w:rPr>
      </w:pPr>
      <w:r>
        <w:rPr>
          <w:rFonts w:hint="default" w:ascii="Times New Roman" w:hAnsi="Times New Roman" w:eastAsia="宋体" w:cs="Times New Roman"/>
          <w:i/>
          <w:color w:val="000000"/>
          <w:sz w:val="24"/>
          <w:szCs w:val="24"/>
        </w:rPr>
        <w:t>Q</w:t>
      </w:r>
      <w:r>
        <w:rPr>
          <w:rFonts w:hint="default" w:ascii="Times New Roman" w:hAnsi="Times New Roman" w:eastAsia="宋体" w:cs="Times New Roman"/>
          <w:i/>
          <w:color w:val="000000"/>
          <w:sz w:val="24"/>
          <w:szCs w:val="24"/>
          <w:vertAlign w:val="subscript"/>
        </w:rPr>
        <w:t>c</w:t>
      </w:r>
      <w:r>
        <w:rPr>
          <w:rFonts w:hint="default" w:ascii="Times New Roman" w:hAnsi="Times New Roman" w:eastAsia="宋体" w:cs="Times New Roman"/>
          <w:color w:val="000000"/>
          <w:sz w:val="24"/>
          <w:szCs w:val="24"/>
        </w:rPr>
        <w:t>— 工业企业有害气体无组织排放量可达到的控制水平，kg•h</w:t>
      </w:r>
      <w:r>
        <w:rPr>
          <w:rFonts w:hint="default" w:ascii="Times New Roman" w:hAnsi="Times New Roman" w:eastAsia="宋体" w:cs="Times New Roman"/>
          <w:color w:val="000000"/>
          <w:sz w:val="24"/>
          <w:szCs w:val="24"/>
          <w:vertAlign w:val="superscript"/>
        </w:rPr>
        <w:t>-1</w:t>
      </w:r>
    </w:p>
    <w:p>
      <w:pPr>
        <w:tabs>
          <w:tab w:val="left" w:pos="7380"/>
        </w:tabs>
        <w:adjustRightInd w:val="0"/>
        <w:snapToGrid w:val="0"/>
        <w:spacing w:line="360" w:lineRule="auto"/>
        <w:ind w:firstLine="480"/>
        <w:rPr>
          <w:rFonts w:hint="default" w:ascii="Times New Roman" w:hAnsi="Times New Roman" w:eastAsia="宋体" w:cs="Times New Roman"/>
          <w:sz w:val="21"/>
          <w:szCs w:val="22"/>
        </w:rPr>
      </w:pPr>
      <w:r>
        <w:rPr>
          <w:rFonts w:hint="default" w:ascii="Times New Roman" w:hAnsi="Times New Roman" w:eastAsia="宋体" w:cs="Times New Roman"/>
          <w:color w:val="000000"/>
          <w:sz w:val="24"/>
          <w:szCs w:val="24"/>
        </w:rPr>
        <w:t xml:space="preserve"> 本项目所在地区全年平均风速2.3m/s，依照上述公式无组织排放单元与居住区之间卫生防护距离计算参数及其结果见表5.2-30所示。</w:t>
      </w:r>
    </w:p>
    <w:p>
      <w:pPr>
        <w:snapToGrid w:val="0"/>
        <w:spacing w:line="360" w:lineRule="auto"/>
        <w:ind w:firstLine="0"/>
        <w:jc w:val="center"/>
        <w:outlineLvl w:val="4"/>
        <w:rPr>
          <w:rFonts w:hint="default" w:ascii="Times New Roman" w:hAnsi="Times New Roman" w:eastAsia="黑体" w:cs="Times New Roman"/>
          <w:bCs/>
          <w:kern w:val="0"/>
          <w:sz w:val="24"/>
          <w:szCs w:val="24"/>
          <w:lang w:val="en-GB" w:eastAsia="zh-TW"/>
        </w:rPr>
      </w:pPr>
      <w:r>
        <w:rPr>
          <w:rFonts w:hint="default" w:ascii="Times New Roman" w:hAnsi="Times New Roman" w:eastAsia="黑体" w:cs="Times New Roman"/>
          <w:bCs/>
          <w:kern w:val="0"/>
          <w:sz w:val="24"/>
          <w:szCs w:val="24"/>
          <w:lang w:val="en-GB" w:eastAsia="zh-TW"/>
        </w:rPr>
        <w:t>表</w:t>
      </w:r>
      <w:r>
        <w:rPr>
          <w:rFonts w:hint="default" w:ascii="Times New Roman" w:hAnsi="Times New Roman" w:eastAsia="黑体" w:cs="Times New Roman"/>
          <w:bCs/>
          <w:kern w:val="0"/>
          <w:sz w:val="24"/>
          <w:szCs w:val="24"/>
        </w:rPr>
        <w:t>5</w:t>
      </w:r>
      <w:r>
        <w:rPr>
          <w:rFonts w:hint="default" w:ascii="Times New Roman" w:hAnsi="Times New Roman" w:eastAsia="黑体" w:cs="Times New Roman"/>
          <w:bCs/>
          <w:kern w:val="0"/>
          <w:sz w:val="24"/>
          <w:szCs w:val="24"/>
          <w:lang w:val="en-GB" w:eastAsia="zh-TW"/>
        </w:rPr>
        <w:t>.2-</w:t>
      </w:r>
      <w:r>
        <w:rPr>
          <w:rFonts w:hint="default" w:ascii="Times New Roman" w:hAnsi="Times New Roman" w:eastAsia="黑体" w:cs="Times New Roman"/>
          <w:bCs/>
          <w:kern w:val="0"/>
          <w:sz w:val="24"/>
          <w:szCs w:val="24"/>
        </w:rPr>
        <w:t>30</w:t>
      </w:r>
      <w:r>
        <w:rPr>
          <w:rFonts w:hint="default" w:ascii="Times New Roman" w:hAnsi="Times New Roman" w:eastAsia="黑体" w:cs="Times New Roman"/>
          <w:bCs/>
          <w:kern w:val="0"/>
          <w:sz w:val="24"/>
          <w:szCs w:val="24"/>
          <w:lang w:val="en-GB" w:eastAsia="zh-TW"/>
        </w:rPr>
        <w:t xml:space="preserve">  </w:t>
      </w:r>
      <w:r>
        <w:rPr>
          <w:rFonts w:hint="eastAsia" w:ascii="Times New Roman" w:hAnsi="Times New Roman" w:eastAsia="黑体" w:cs="Times New Roman"/>
          <w:bCs/>
          <w:kern w:val="0"/>
          <w:sz w:val="24"/>
          <w:szCs w:val="24"/>
          <w:lang w:val="en-US" w:eastAsia="zh-CN"/>
        </w:rPr>
        <w:t>项目</w:t>
      </w:r>
      <w:r>
        <w:rPr>
          <w:rFonts w:hint="default" w:ascii="Times New Roman" w:hAnsi="Times New Roman" w:eastAsia="黑体" w:cs="Times New Roman"/>
          <w:bCs/>
          <w:kern w:val="0"/>
          <w:sz w:val="24"/>
          <w:szCs w:val="24"/>
          <w:lang w:val="en-GB" w:eastAsia="zh-TW"/>
        </w:rPr>
        <w:t>卫生防护距离计算一览表</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014"/>
        <w:gridCol w:w="1141"/>
        <w:gridCol w:w="796"/>
        <w:gridCol w:w="1308"/>
        <w:gridCol w:w="1063"/>
        <w:gridCol w:w="1079"/>
        <w:gridCol w:w="1299"/>
        <w:gridCol w:w="11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26"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序号</w:t>
            </w:r>
          </w:p>
        </w:tc>
        <w:tc>
          <w:tcPr>
            <w:tcW w:w="1014"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单元名称</w:t>
            </w:r>
          </w:p>
        </w:tc>
        <w:tc>
          <w:tcPr>
            <w:tcW w:w="1141"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面源</w:t>
            </w:r>
          </w:p>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长×宽m</w:t>
            </w:r>
          </w:p>
        </w:tc>
        <w:tc>
          <w:tcPr>
            <w:tcW w:w="796"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等效源高m</w:t>
            </w:r>
          </w:p>
        </w:tc>
        <w:tc>
          <w:tcPr>
            <w:tcW w:w="1308"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排放因子</w:t>
            </w:r>
          </w:p>
        </w:tc>
        <w:tc>
          <w:tcPr>
            <w:tcW w:w="1063"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排放速率</w:t>
            </w:r>
          </w:p>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(kg/h)</w:t>
            </w:r>
          </w:p>
        </w:tc>
        <w:tc>
          <w:tcPr>
            <w:tcW w:w="1079"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计算卫生防护距离m</w:t>
            </w:r>
          </w:p>
        </w:tc>
        <w:tc>
          <w:tcPr>
            <w:tcW w:w="1299"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取整卫生防护距离m</w:t>
            </w:r>
          </w:p>
        </w:tc>
        <w:tc>
          <w:tcPr>
            <w:tcW w:w="1162"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面源提级后卫生防护距离m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26" w:type="dxa"/>
            <w:vMerge w:val="restart"/>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1</w:t>
            </w:r>
          </w:p>
        </w:tc>
        <w:tc>
          <w:tcPr>
            <w:tcW w:w="1014" w:type="dxa"/>
            <w:vMerge w:val="restart"/>
            <w:noWrap w:val="0"/>
            <w:vAlign w:val="center"/>
          </w:tcPr>
          <w:p>
            <w:pPr>
              <w:widowControl/>
              <w:spacing w:line="300" w:lineRule="exact"/>
              <w:ind w:firstLine="0"/>
              <w:jc w:val="center"/>
              <w:textAlignment w:val="center"/>
              <w:rPr>
                <w:rFonts w:hint="default" w:ascii="Times New Roman" w:hAnsi="Times New Roman" w:eastAsia="宋体" w:cs="Times New Roman"/>
                <w:color w:val="000000"/>
                <w:kern w:val="0"/>
                <w:sz w:val="21"/>
                <w:szCs w:val="21"/>
                <w:lang w:bidi="ar"/>
              </w:rPr>
            </w:pPr>
            <w:r>
              <w:rPr>
                <w:rFonts w:hint="eastAsia" w:ascii="Times New Roman" w:hAnsi="Times New Roman" w:eastAsia="宋体" w:cs="Times New Roman"/>
                <w:color w:val="000000"/>
                <w:sz w:val="21"/>
                <w:szCs w:val="21"/>
                <w:lang w:val="en-US" w:eastAsia="zh-CN" w:bidi="ar"/>
              </w:rPr>
              <w:t>二号车间</w:t>
            </w:r>
          </w:p>
        </w:tc>
        <w:tc>
          <w:tcPr>
            <w:tcW w:w="1141" w:type="dxa"/>
            <w:vMerge w:val="restart"/>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80×50</w:t>
            </w:r>
          </w:p>
        </w:tc>
        <w:tc>
          <w:tcPr>
            <w:tcW w:w="796" w:type="dxa"/>
            <w:vMerge w:val="restart"/>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23.3</w:t>
            </w:r>
          </w:p>
        </w:tc>
        <w:tc>
          <w:tcPr>
            <w:tcW w:w="1308"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颗粒物</w:t>
            </w:r>
          </w:p>
        </w:tc>
        <w:tc>
          <w:tcPr>
            <w:tcW w:w="1063"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val="en-US" w:eastAsia="zh-CN" w:bidi="ar"/>
              </w:rPr>
              <w:t>0.12</w:t>
            </w:r>
          </w:p>
        </w:tc>
        <w:tc>
          <w:tcPr>
            <w:tcW w:w="107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val="en-US" w:eastAsia="zh-CN" w:bidi="ar"/>
              </w:rPr>
              <w:t>7.159</w:t>
            </w:r>
          </w:p>
        </w:tc>
        <w:tc>
          <w:tcPr>
            <w:tcW w:w="129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50</w:t>
            </w:r>
          </w:p>
        </w:tc>
        <w:tc>
          <w:tcPr>
            <w:tcW w:w="1162" w:type="dxa"/>
            <w:vMerge w:val="restart"/>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vMerge w:val="continue"/>
            <w:noWrap w:val="0"/>
          </w:tcPr>
          <w:p/>
        </w:tc>
        <w:tc>
          <w:tcPr>
            <w:vMerge w:val="continue"/>
            <w:noWrap w:val="0"/>
          </w:tcPr>
          <w:p/>
        </w:tc>
        <w:tc>
          <w:tcPr>
            <w:vMerge w:val="continue"/>
            <w:noWrap w:val="0"/>
          </w:tcPr>
          <w:p/>
        </w:tc>
        <w:tc>
          <w:tcPr>
            <w:vMerge w:val="continue"/>
            <w:noWrap w:val="0"/>
          </w:tcPr>
          <w:p/>
        </w:tc>
        <w:tc>
          <w:tcPr>
            <w:tcW w:w="1308" w:type="dxa"/>
            <w:noWrap w:val="0"/>
            <w:vAlign w:val="center"/>
          </w:tcPr>
          <w:p>
            <w:pPr>
              <w:widowControl/>
              <w:spacing w:line="300" w:lineRule="exact"/>
              <w:ind w:firstLine="0"/>
              <w:jc w:val="center"/>
              <w:textAlignment w:val="center"/>
              <w:rPr>
                <w:rFonts w:hint="eastAsia" w:ascii="Times New Roman" w:hAnsi="Times New Roman" w:eastAsia="宋体" w:cs="Times New Roman"/>
                <w:color w:val="auto"/>
                <w:kern w:val="0"/>
                <w:sz w:val="21"/>
                <w:szCs w:val="21"/>
                <w:lang w:eastAsia="zh-CN" w:bidi="ar"/>
              </w:rPr>
            </w:pPr>
            <w:r>
              <w:rPr>
                <w:rFonts w:hint="default" w:ascii="Times New Roman" w:hAnsi="Times New Roman" w:eastAsia="宋体" w:cs="Times New Roman"/>
                <w:color w:val="auto"/>
                <w:kern w:val="0"/>
                <w:sz w:val="21"/>
                <w:szCs w:val="21"/>
                <w:lang w:val="en-US" w:eastAsia="zh-CN" w:bidi="ar"/>
              </w:rPr>
              <w:t>氮氧化物</w:t>
            </w:r>
          </w:p>
        </w:tc>
        <w:tc>
          <w:tcPr>
            <w:tcW w:w="1063"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0.</w:t>
            </w:r>
            <w:r>
              <w:rPr>
                <w:rFonts w:hint="eastAsia" w:ascii="Times New Roman" w:hAnsi="Times New Roman" w:eastAsia="宋体" w:cs="Times New Roman"/>
                <w:color w:val="auto"/>
                <w:kern w:val="0"/>
                <w:sz w:val="21"/>
                <w:szCs w:val="21"/>
                <w:lang w:val="en-US" w:eastAsia="zh-CN" w:bidi="ar"/>
              </w:rPr>
              <w:t>06</w:t>
            </w:r>
          </w:p>
        </w:tc>
        <w:tc>
          <w:tcPr>
            <w:tcW w:w="107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16.133</w:t>
            </w:r>
          </w:p>
        </w:tc>
        <w:tc>
          <w:tcPr>
            <w:tcW w:w="129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50</w:t>
            </w:r>
          </w:p>
        </w:tc>
        <w:tc>
          <w:tcPr>
            <w:vMerge w:val="continue"/>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vMerge w:val="continue"/>
            <w:noWrap w:val="0"/>
          </w:tcPr>
          <w:p/>
        </w:tc>
        <w:tc>
          <w:tcPr>
            <w:vMerge w:val="continue"/>
            <w:noWrap w:val="0"/>
          </w:tcPr>
          <w:p/>
        </w:tc>
        <w:tc>
          <w:tcPr>
            <w:vMerge w:val="continue"/>
            <w:noWrap w:val="0"/>
          </w:tcPr>
          <w:p/>
        </w:tc>
        <w:tc>
          <w:tcPr>
            <w:vMerge w:val="continue"/>
            <w:noWrap w:val="0"/>
          </w:tcPr>
          <w:p/>
        </w:tc>
        <w:tc>
          <w:tcPr>
            <w:tcW w:w="1308"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氨气</w:t>
            </w:r>
          </w:p>
        </w:tc>
        <w:tc>
          <w:tcPr>
            <w:tcW w:w="1063"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0"/>
                <w:sz w:val="21"/>
                <w:szCs w:val="21"/>
                <w:lang w:bidi="ar"/>
              </w:rPr>
              <w:t>0.00</w:t>
            </w:r>
            <w:r>
              <w:rPr>
                <w:rFonts w:hint="eastAsia" w:ascii="Times New Roman" w:hAnsi="Times New Roman" w:eastAsia="宋体" w:cs="Times New Roman"/>
                <w:color w:val="auto"/>
                <w:kern w:val="0"/>
                <w:sz w:val="21"/>
                <w:szCs w:val="21"/>
                <w:lang w:val="en-US" w:eastAsia="zh-CN" w:bidi="ar"/>
              </w:rPr>
              <w:t>52</w:t>
            </w:r>
          </w:p>
        </w:tc>
        <w:tc>
          <w:tcPr>
            <w:tcW w:w="107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1.710</w:t>
            </w:r>
          </w:p>
        </w:tc>
        <w:tc>
          <w:tcPr>
            <w:tcW w:w="129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50</w:t>
            </w:r>
          </w:p>
        </w:tc>
        <w:tc>
          <w:tcPr>
            <w:vMerge w:val="continue"/>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vMerge w:val="continue"/>
            <w:noWrap w:val="0"/>
          </w:tcPr>
          <w:p/>
        </w:tc>
        <w:tc>
          <w:tcPr>
            <w:vMerge w:val="continue"/>
            <w:noWrap w:val="0"/>
          </w:tcPr>
          <w:p/>
        </w:tc>
        <w:tc>
          <w:tcPr>
            <w:vMerge w:val="continue"/>
            <w:noWrap w:val="0"/>
          </w:tcPr>
          <w:p/>
        </w:tc>
        <w:tc>
          <w:tcPr>
            <w:vMerge w:val="continue"/>
            <w:noWrap w:val="0"/>
          </w:tcPr>
          <w:p/>
        </w:tc>
        <w:tc>
          <w:tcPr>
            <w:tcW w:w="1308"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甲醛</w:t>
            </w:r>
          </w:p>
        </w:tc>
        <w:tc>
          <w:tcPr>
            <w:tcW w:w="1063"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0.000</w:t>
            </w:r>
            <w:r>
              <w:rPr>
                <w:rFonts w:hint="eastAsia" w:ascii="Times New Roman" w:hAnsi="Times New Roman" w:eastAsia="宋体" w:cs="Times New Roman"/>
                <w:color w:val="auto"/>
                <w:kern w:val="0"/>
                <w:sz w:val="21"/>
                <w:szCs w:val="21"/>
                <w:lang w:val="en-US" w:eastAsia="zh-CN" w:bidi="ar"/>
              </w:rPr>
              <w:t>2</w:t>
            </w:r>
          </w:p>
        </w:tc>
        <w:tc>
          <w:tcPr>
            <w:tcW w:w="107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0.048</w:t>
            </w:r>
          </w:p>
        </w:tc>
        <w:tc>
          <w:tcPr>
            <w:tcW w:w="129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50</w:t>
            </w:r>
          </w:p>
        </w:tc>
        <w:tc>
          <w:tcPr>
            <w:vMerge w:val="continue"/>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vMerge w:val="continue"/>
            <w:noWrap w:val="0"/>
          </w:tcPr>
          <w:p/>
        </w:tc>
        <w:tc>
          <w:tcPr>
            <w:vMerge w:val="continue"/>
            <w:noWrap w:val="0"/>
          </w:tcPr>
          <w:p/>
        </w:tc>
        <w:tc>
          <w:tcPr>
            <w:vMerge w:val="continue"/>
            <w:noWrap w:val="0"/>
          </w:tcPr>
          <w:p/>
        </w:tc>
        <w:tc>
          <w:tcPr>
            <w:vMerge w:val="continue"/>
            <w:noWrap w:val="0"/>
          </w:tcPr>
          <w:p/>
        </w:tc>
        <w:tc>
          <w:tcPr>
            <w:tcW w:w="1308"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非甲烷总烃</w:t>
            </w:r>
          </w:p>
        </w:tc>
        <w:tc>
          <w:tcPr>
            <w:tcW w:w="1063"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0.00</w:t>
            </w:r>
            <w:r>
              <w:rPr>
                <w:rFonts w:hint="eastAsia" w:ascii="Times New Roman" w:hAnsi="Times New Roman" w:eastAsia="宋体" w:cs="Times New Roman"/>
                <w:color w:val="auto"/>
                <w:kern w:val="0"/>
                <w:sz w:val="21"/>
                <w:szCs w:val="21"/>
                <w:lang w:val="en-US" w:eastAsia="zh-CN" w:bidi="ar"/>
              </w:rPr>
              <w:t>5</w:t>
            </w:r>
          </w:p>
        </w:tc>
        <w:tc>
          <w:tcPr>
            <w:tcW w:w="107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0.009</w:t>
            </w:r>
          </w:p>
        </w:tc>
        <w:tc>
          <w:tcPr>
            <w:tcW w:w="129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50</w:t>
            </w:r>
          </w:p>
        </w:tc>
        <w:tc>
          <w:tcPr>
            <w:vMerge w:val="continue"/>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26" w:type="dxa"/>
            <w:vMerge w:val="restart"/>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3</w:t>
            </w:r>
          </w:p>
        </w:tc>
        <w:tc>
          <w:tcPr>
            <w:tcW w:w="1014" w:type="dxa"/>
            <w:vMerge w:val="restart"/>
            <w:noWrap w:val="0"/>
            <w:vAlign w:val="center"/>
          </w:tcPr>
          <w:p>
            <w:pPr>
              <w:widowControl/>
              <w:spacing w:line="300" w:lineRule="exact"/>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sz w:val="21"/>
                <w:szCs w:val="21"/>
                <w:lang w:bidi="ar"/>
              </w:rPr>
              <w:t>污水站</w:t>
            </w:r>
          </w:p>
        </w:tc>
        <w:tc>
          <w:tcPr>
            <w:tcW w:w="1141" w:type="dxa"/>
            <w:vMerge w:val="restart"/>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33×30</w:t>
            </w:r>
          </w:p>
        </w:tc>
        <w:tc>
          <w:tcPr>
            <w:tcW w:w="796" w:type="dxa"/>
            <w:vMerge w:val="restart"/>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5</w:t>
            </w:r>
          </w:p>
        </w:tc>
        <w:tc>
          <w:tcPr>
            <w:tcW w:w="1308"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氨</w:t>
            </w:r>
          </w:p>
        </w:tc>
        <w:tc>
          <w:tcPr>
            <w:tcW w:w="1063" w:type="dxa"/>
            <w:noWrap w:val="0"/>
            <w:vAlign w:val="center"/>
          </w:tcPr>
          <w:p>
            <w:pPr>
              <w:widowControl/>
              <w:spacing w:line="300" w:lineRule="exact"/>
              <w:ind w:firstLine="0"/>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rPr>
              <w:t>0.037</w:t>
            </w:r>
          </w:p>
        </w:tc>
        <w:tc>
          <w:tcPr>
            <w:tcW w:w="107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10.556</w:t>
            </w:r>
          </w:p>
        </w:tc>
        <w:tc>
          <w:tcPr>
            <w:tcW w:w="129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50</w:t>
            </w:r>
          </w:p>
        </w:tc>
        <w:tc>
          <w:tcPr>
            <w:tcW w:w="1162" w:type="dxa"/>
            <w:vMerge w:val="restart"/>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vMerge w:val="continue"/>
            <w:noWrap w:val="0"/>
          </w:tcPr>
          <w:p/>
        </w:tc>
        <w:tc>
          <w:tcPr>
            <w:vMerge w:val="continue"/>
            <w:noWrap w:val="0"/>
          </w:tcPr>
          <w:p/>
        </w:tc>
        <w:tc>
          <w:tcPr>
            <w:vMerge w:val="continue"/>
            <w:noWrap w:val="0"/>
          </w:tcPr>
          <w:p/>
        </w:tc>
        <w:tc>
          <w:tcPr>
            <w:vMerge w:val="continue"/>
            <w:noWrap w:val="0"/>
          </w:tcPr>
          <w:p/>
        </w:tc>
        <w:tc>
          <w:tcPr>
            <w:tcW w:w="1308" w:type="dxa"/>
            <w:noWrap w:val="0"/>
            <w:vAlign w:val="center"/>
          </w:tcPr>
          <w:p>
            <w:pPr>
              <w:widowControl/>
              <w:spacing w:line="300" w:lineRule="exact"/>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kern w:val="0"/>
                <w:sz w:val="21"/>
                <w:szCs w:val="21"/>
                <w:lang w:bidi="ar"/>
              </w:rPr>
              <w:t>非甲烷总烃</w:t>
            </w:r>
          </w:p>
        </w:tc>
        <w:tc>
          <w:tcPr>
            <w:tcW w:w="1063" w:type="dxa"/>
            <w:noWrap w:val="0"/>
            <w:vAlign w:val="center"/>
          </w:tcPr>
          <w:p>
            <w:pPr>
              <w:spacing w:line="300" w:lineRule="exact"/>
              <w:ind w:firstLine="0"/>
              <w:jc w:val="center"/>
              <w:rPr>
                <w:rFonts w:hint="eastAsia" w:ascii="Times New Roman" w:hAnsi="Times New Roman" w:eastAsia="宋体" w:cs="Times New Roman"/>
                <w:color w:val="000000"/>
                <w:kern w:val="0"/>
                <w:sz w:val="21"/>
                <w:szCs w:val="21"/>
                <w:lang w:eastAsia="zh-CN" w:bidi="ar"/>
              </w:rPr>
            </w:pPr>
            <w:r>
              <w:rPr>
                <w:rFonts w:hint="default" w:ascii="Times New Roman" w:hAnsi="Times New Roman" w:eastAsia="宋体" w:cs="Times New Roman"/>
                <w:kern w:val="0"/>
                <w:sz w:val="21"/>
                <w:szCs w:val="21"/>
              </w:rPr>
              <w:t>0.00</w:t>
            </w:r>
            <w:r>
              <w:rPr>
                <w:rFonts w:hint="eastAsia" w:ascii="Times New Roman" w:hAnsi="Times New Roman" w:eastAsia="宋体" w:cs="Times New Roman"/>
                <w:kern w:val="0"/>
                <w:sz w:val="21"/>
                <w:szCs w:val="21"/>
                <w:lang w:val="en-US" w:eastAsia="zh-CN"/>
              </w:rPr>
              <w:t>5</w:t>
            </w:r>
          </w:p>
        </w:tc>
        <w:tc>
          <w:tcPr>
            <w:tcW w:w="1079"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0.048</w:t>
            </w:r>
          </w:p>
        </w:tc>
        <w:tc>
          <w:tcPr>
            <w:tcW w:w="1299"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50</w:t>
            </w:r>
          </w:p>
        </w:tc>
        <w:tc>
          <w:tcPr>
            <w:vMerge w:val="continue"/>
            <w:noWrap w:val="0"/>
          </w:tcPr>
          <w:p/>
        </w:tc>
      </w:tr>
    </w:tbl>
    <w:p>
      <w:pPr>
        <w:spacing w:line="360" w:lineRule="auto"/>
        <w:ind w:firstLine="480"/>
        <w:rPr>
          <w:rFonts w:hint="eastAsia" w:ascii="Times New Roman" w:hAnsi="Times New Roman" w:eastAsia="宋体" w:cs="Times New Roman"/>
          <w:color w:val="000000"/>
          <w:sz w:val="24"/>
          <w:szCs w:val="24"/>
          <w:lang w:eastAsia="zh-CN"/>
        </w:rPr>
      </w:pPr>
      <w:r>
        <w:rPr>
          <w:rFonts w:hint="default" w:ascii="Times New Roman" w:hAnsi="Times New Roman" w:eastAsia="宋体" w:cs="Times New Roman"/>
          <w:color w:val="000000"/>
          <w:sz w:val="24"/>
          <w:szCs w:val="24"/>
        </w:rPr>
        <w:t>根据《大气有毒有害物质无组织排放卫生防护距离推导技术导则》（GB/T39499-2020）中的规定“卫防护距离初值小于50m时</w:t>
      </w:r>
      <w:r>
        <w:rPr>
          <w:rFonts w:hint="eastAsia"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级差为50m</w:t>
      </w:r>
      <w:r>
        <w:rPr>
          <w:rFonts w:hint="eastAsia"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如计算初值小于50m</w:t>
      </w:r>
      <w:r>
        <w:rPr>
          <w:rFonts w:hint="eastAsia"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卫生防护距离终值取50m，卫生防护距离初值大于或等于50m</w:t>
      </w:r>
      <w:r>
        <w:rPr>
          <w:rFonts w:hint="eastAsia"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但小于100m时</w:t>
      </w:r>
      <w:r>
        <w:rPr>
          <w:rFonts w:hint="eastAsia"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级差为50m如计算初值大于成等于50m并小于100m时</w:t>
      </w:r>
      <w:r>
        <w:rPr>
          <w:rFonts w:hint="eastAsia"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卫生防护距离终值取100m；多种特征大气有害物质终值的确定，当企业某生产单元的无组织排放存在多种特大气有害物质时，如果分别推导出的卫生防护距离，初值在同一级别时，则该企业的卫生防护距离终值应提高一级；卫生防护距离初值不在同一级别的，以卫生防护距离终值较大者为准”，由此可知，本项目卫生防护距离为车间二外100m、污水站外100m形成的包络区域</w:t>
      </w:r>
      <w:r>
        <w:rPr>
          <w:rFonts w:hint="eastAsia" w:ascii="Times New Roman" w:hAnsi="Times New Roman" w:eastAsia="宋体" w:cs="Times New Roman"/>
          <w:color w:val="000000"/>
          <w:sz w:val="24"/>
          <w:szCs w:val="24"/>
          <w:lang w:eastAsia="zh-CN"/>
        </w:rPr>
        <w:t>。</w:t>
      </w:r>
    </w:p>
    <w:p>
      <w:pPr>
        <w:spacing w:line="360" w:lineRule="auto"/>
        <w:ind w:firstLine="480"/>
        <w:rPr>
          <w:rFonts w:hint="default" w:ascii="Times New Roman" w:hAnsi="Times New Roman" w:eastAsia="宋体" w:cs="Times New Roman"/>
          <w:color w:val="auto"/>
          <w:sz w:val="24"/>
          <w:szCs w:val="24"/>
        </w:rPr>
        <w:sectPr>
          <w:footerReference r:id="rId16" w:type="default"/>
          <w:pgSz w:w="11906" w:h="16838"/>
          <w:pgMar w:top="1417" w:right="1417" w:bottom="1417" w:left="1417" w:header="1191" w:footer="992" w:gutter="0"/>
          <w:pgNumType w:fmt="decimal"/>
          <w:cols w:space="720" w:num="1"/>
          <w:docGrid w:type="lines" w:linePitch="312" w:charSpace="0"/>
        </w:sectPr>
      </w:pPr>
      <w:r>
        <w:rPr>
          <w:rFonts w:hint="default" w:ascii="Times New Roman" w:hAnsi="Times New Roman" w:eastAsia="宋体" w:cs="Times New Roman"/>
          <w:color w:val="auto"/>
          <w:sz w:val="24"/>
          <w:szCs w:val="24"/>
        </w:rPr>
        <w:t>车间二</w:t>
      </w:r>
      <w:r>
        <w:rPr>
          <w:rFonts w:hint="eastAsia" w:ascii="Times New Roman" w:hAnsi="Times New Roman" w:eastAsia="宋体" w:cs="Times New Roman"/>
          <w:color w:val="auto"/>
          <w:sz w:val="24"/>
          <w:szCs w:val="24"/>
          <w:lang w:val="en-US" w:eastAsia="zh-CN"/>
        </w:rPr>
        <w:t>四个坐标点为（N：25.462327，E：119.282212；N：25.461319，E：119.282180；N：25.462306，E：119.282781；N：25.461351，E：119.282813）；</w:t>
      </w:r>
      <w:r>
        <w:rPr>
          <w:rFonts w:hint="default" w:ascii="Times New Roman" w:hAnsi="Times New Roman" w:eastAsia="宋体" w:cs="Times New Roman"/>
          <w:color w:val="auto"/>
          <w:sz w:val="24"/>
          <w:szCs w:val="24"/>
        </w:rPr>
        <w:t>污水站</w:t>
      </w:r>
      <w:r>
        <w:rPr>
          <w:rFonts w:hint="eastAsia" w:ascii="Times New Roman" w:hAnsi="Times New Roman" w:eastAsia="宋体" w:cs="Times New Roman"/>
          <w:color w:val="auto"/>
          <w:sz w:val="24"/>
          <w:szCs w:val="24"/>
          <w:lang w:val="en-US" w:eastAsia="zh-CN"/>
        </w:rPr>
        <w:t>四个坐标点为（N：25.461238，E：119.283704；N：25.461249，E：119.284111；N：25.460959，E：119.283736；N：25.461002，E：119.284187），本项目环境</w:t>
      </w:r>
      <w:r>
        <w:rPr>
          <w:rFonts w:hint="default" w:ascii="Times New Roman" w:hAnsi="Times New Roman" w:eastAsia="宋体" w:cs="Times New Roman"/>
          <w:color w:val="auto"/>
          <w:sz w:val="24"/>
          <w:szCs w:val="24"/>
        </w:rPr>
        <w:t>防护距离为车间二外100m、污水站外100m形成的包络区域</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卫生防护距离包络线图见5.2-1。</w:t>
      </w:r>
    </w:p>
    <w:p>
      <w:pPr>
        <w:spacing w:line="360" w:lineRule="auto"/>
        <w:ind w:firstLine="480"/>
        <w:jc w:val="center"/>
        <w:rPr>
          <w:rFonts w:hint="eastAsia" w:ascii="Times New Roman" w:hAnsi="Times New Roman" w:eastAsia="宋体" w:cs="Times New Roman"/>
          <w:sz w:val="24"/>
          <w:lang w:eastAsia="zh-CN"/>
        </w:rPr>
      </w:pPr>
      <w:r>
        <w:drawing>
          <wp:inline distT="0" distB="0" distL="114300" distR="114300">
            <wp:extent cx="8012430" cy="5212715"/>
            <wp:effectExtent l="15875" t="15875" r="29845" b="29210"/>
            <wp:docPr id="106" name="图片 298" descr="16390377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98" descr="1639037795(1)"/>
                    <pic:cNvPicPr>
                      <a:picLocks noChangeAspect="1"/>
                    </pic:cNvPicPr>
                  </pic:nvPicPr>
                  <pic:blipFill>
                    <a:blip r:embed="rId55"/>
                    <a:stretch>
                      <a:fillRect/>
                    </a:stretch>
                  </pic:blipFill>
                  <pic:spPr>
                    <a:xfrm>
                      <a:off x="0" y="0"/>
                      <a:ext cx="8012430" cy="5212715"/>
                    </a:xfrm>
                    <a:prstGeom prst="rect">
                      <a:avLst/>
                    </a:prstGeom>
                    <a:noFill/>
                    <a:ln w="15875" cap="flat" cmpd="sng">
                      <a:solidFill>
                        <a:srgbClr val="000000"/>
                      </a:solidFill>
                      <a:prstDash val="solid"/>
                      <a:miter/>
                      <a:headEnd type="none" w="med" len="med"/>
                      <a:tailEnd type="none" w="med" len="med"/>
                    </a:ln>
                  </pic:spPr>
                </pic:pic>
              </a:graphicData>
            </a:graphic>
          </wp:inline>
        </w:drawing>
      </w:r>
    </w:p>
    <w:p>
      <w:pPr>
        <w:snapToGrid w:val="0"/>
        <w:spacing w:line="360" w:lineRule="auto"/>
        <w:ind w:firstLine="0"/>
        <w:jc w:val="center"/>
        <w:outlineLvl w:val="4"/>
        <w:rPr>
          <w:rFonts w:hint="default" w:ascii="Times New Roman" w:hAnsi="Times New Roman" w:eastAsia="黑体" w:cs="Times New Roman"/>
          <w:bCs/>
          <w:kern w:val="0"/>
          <w:sz w:val="24"/>
          <w:szCs w:val="24"/>
          <w:lang w:val="en-GB" w:eastAsia="zh-TW"/>
        </w:rPr>
      </w:pPr>
      <w:r>
        <w:rPr>
          <w:rFonts w:hint="default" w:ascii="Times New Roman" w:hAnsi="Times New Roman" w:eastAsia="黑体" w:cs="Times New Roman"/>
          <w:bCs/>
          <w:kern w:val="0"/>
          <w:sz w:val="24"/>
          <w:szCs w:val="24"/>
          <w:lang w:val="en-GB" w:eastAsia="zh-TW"/>
        </w:rPr>
        <w:t>图</w:t>
      </w:r>
      <w:r>
        <w:rPr>
          <w:rFonts w:hint="default" w:ascii="Times New Roman" w:hAnsi="Times New Roman" w:eastAsia="黑体" w:cs="Times New Roman"/>
          <w:bCs/>
          <w:kern w:val="0"/>
          <w:sz w:val="24"/>
          <w:szCs w:val="24"/>
        </w:rPr>
        <w:t>5</w:t>
      </w:r>
      <w:r>
        <w:rPr>
          <w:rFonts w:hint="default" w:ascii="Times New Roman" w:hAnsi="Times New Roman" w:eastAsia="黑体" w:cs="Times New Roman"/>
          <w:bCs/>
          <w:kern w:val="0"/>
          <w:sz w:val="24"/>
          <w:szCs w:val="24"/>
          <w:lang w:val="en-GB" w:eastAsia="zh-TW"/>
        </w:rPr>
        <w:t>.2-</w:t>
      </w:r>
      <w:r>
        <w:rPr>
          <w:rFonts w:hint="default" w:ascii="Times New Roman" w:hAnsi="Times New Roman" w:eastAsia="黑体" w:cs="Times New Roman"/>
          <w:bCs/>
          <w:kern w:val="0"/>
          <w:sz w:val="24"/>
          <w:szCs w:val="24"/>
        </w:rPr>
        <w:t>14</w:t>
      </w:r>
      <w:r>
        <w:rPr>
          <w:rFonts w:hint="eastAsia" w:ascii="Times New Roman" w:hAnsi="Times New Roman" w:eastAsia="黑体" w:cs="Times New Roman"/>
          <w:bCs/>
          <w:kern w:val="0"/>
          <w:sz w:val="24"/>
          <w:szCs w:val="24"/>
          <w:lang w:val="en-US" w:eastAsia="zh-CN"/>
        </w:rPr>
        <w:t>项目环境</w:t>
      </w:r>
      <w:r>
        <w:rPr>
          <w:rFonts w:hint="default" w:ascii="Times New Roman" w:hAnsi="Times New Roman" w:eastAsia="黑体" w:cs="Times New Roman"/>
          <w:bCs/>
          <w:kern w:val="0"/>
          <w:sz w:val="24"/>
          <w:szCs w:val="24"/>
          <w:lang w:val="en-GB" w:eastAsia="zh-TW"/>
        </w:rPr>
        <w:t>防护距离包络图</w:t>
      </w:r>
    </w:p>
    <w:p>
      <w:pPr>
        <w:snapToGrid w:val="0"/>
        <w:spacing w:line="360" w:lineRule="auto"/>
        <w:ind w:firstLine="0"/>
        <w:jc w:val="center"/>
        <w:outlineLvl w:val="4"/>
        <w:rPr>
          <w:rFonts w:hint="default" w:ascii="Times New Roman" w:hAnsi="Times New Roman" w:eastAsia="黑体" w:cs="Times New Roman"/>
          <w:bCs/>
          <w:kern w:val="0"/>
          <w:sz w:val="24"/>
          <w:szCs w:val="24"/>
          <w:lang w:val="en-GB" w:eastAsia="zh-TW"/>
        </w:rPr>
        <w:sectPr>
          <w:pgSz w:w="16838" w:h="11906" w:orient="landscape"/>
          <w:pgMar w:top="1417" w:right="1417" w:bottom="1417" w:left="1417" w:header="1191" w:footer="992" w:gutter="0"/>
          <w:pgNumType w:fmt="decimal"/>
          <w:cols w:space="720" w:num="1"/>
          <w:docGrid w:type="lines" w:linePitch="312" w:charSpace="0"/>
        </w:sectPr>
      </w:pPr>
    </w:p>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 xml:space="preserve">5.2.3 大气污染物排放量核算 </w:t>
      </w:r>
    </w:p>
    <w:p>
      <w:pPr>
        <w:snapToGrid w:val="0"/>
        <w:spacing w:line="360" w:lineRule="auto"/>
        <w:ind w:firstLine="482"/>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大气污染物年排放量包括项目各有组织排放源和无组织排放和无组织排放在正常排放条件下的预测排放量之和。污染物年排放量公式如下：</w:t>
      </w:r>
    </w:p>
    <w:p>
      <w:pPr>
        <w:snapToGrid w:val="0"/>
        <w:spacing w:line="360" w:lineRule="auto"/>
        <w:ind w:firstLine="482"/>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"C:\\Users\\ADMINI~1.TPO\\AppData\\Local\\Temp\\ksohtml\\wps6752.tmp.png"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"C:\\Users\\ADMINI~1.TPO\\AppData\\Local\\Temp\\ksohtml\\wps6752.tmp.png"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"C:\\Users\\ADMINI~1.TPO\\AppData\\Local\\Temp\\ksohtml\\wps6752.tmp.png"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"C:\\Users\\ADMINI~1.TPO\\AppData\\Local\\Temp\\ksohtml\\wps6752.tmp.png"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"C:\\Users\\ADMINI~1.TPO\\AppData\\Local\\Temp\\ksohtml\\wps6752.tmp.png"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"C:\\Users\\ADMINI~1.TPO\\AppData\\Local\\Temp\\ksohtml\\wps6752.tmp.png"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"C:\\Users\\Administrator.TPOFM0YHZNAFBLN\\AppData\\Local\\Temp\\ksohtml\\wps6752.tmp.png"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"C:\\Users\\Administrator.TPOFM0YHZNAFBLN\\AppData\\Local\\Temp\\ksohtml\\wps6752.tmp.png"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"C:\\Users\\zheng\\AppData\\Local\\Temp\\AppData\\Local\\Temp\\ksohtml\\wps6752.tmp.png"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"C:\\Users\\zheng\\AppData\\Local\\Temp\\AppData\\Local\\Temp\\ksohtml\\wps6752.tmp.png"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"C:\\Users\\zheng\\AppData\\Local\\Temp\\AppData\\Local\\Temp\\ksohtml\\wps6752.tmp.png"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"C:\\Users\\zheng\\AppData\\Local\\Temp\\AppData\\Local\\Temp\\ksohtml\\wps6752.tmp.png"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"C:\\Users\\zheng\\AppData\\Local\\Temp\\AppData\\Local\\Temp\\ksohtml\\wps6752.tmp.png"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"C:\\Users\\zheng\\AppData\\Local\\Temp\\AppData\\Local\\Temp\\ksohtml\\wps6752.tmp.png"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"C:\\Users\\zheng\\AppData\\Local\\Temp\\AppData\\Local\\Temp\\ksohtml\\wps6752.tmp.png"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"C:\\Users\\zheng\\AppData\\Local\\Temp\\AppData\\Local\\Temp\\ksohtml\\wps6752.tmp.png"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"C:\\Users\\zheng\\AppData\\Local\\Temp\\AppData\\Local\\Temp\\ksohtml\\wps6752.tmp.png"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"C:\\Users\\zheng\\AppData\\Local\\Temp\\AppData\\Local\\Temp\\ksohtml\\wps6752.tmp.png"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"C:\\Users\\zheng\\AppData\\Local\\Temp\\AppData\\Local\\Temp\\ksohtml\\wps6752.tmp.png"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"C:\\Users\\zheng\\AppData\\Local\\Temp\\AppData\\Local\\Temp\\ksohtml\\wps6752.tmp.png"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"C:\\Users\\zheng\\AppData\\Local\\Temp\\AppData\\Local\\Temp\\ksohtml\\wps6752.tmp.png" \* MERGEFORMATINET </w:instrText>
      </w:r>
      <w:r>
        <w:rPr>
          <w:rFonts w:hint="default" w:ascii="Times New Roman" w:hAnsi="Times New Roman" w:eastAsia="宋体" w:cs="Times New Roman"/>
          <w:color w:val="000000"/>
          <w:sz w:val="24"/>
          <w:szCs w:val="24"/>
        </w:rPr>
        <w:fldChar w:fldCharType="separate"/>
      </w:r>
      <w:r>
        <w:rPr>
          <w:rFonts w:hint="default" w:ascii="Times New Roman" w:hAnsi="Times New Roman" w:eastAsia="宋体" w:cs="Times New Roman"/>
          <w:color w:val="000000"/>
          <w:sz w:val="24"/>
          <w:szCs w:val="24"/>
        </w:rPr>
        <w:fldChar w:fldCharType="begin"/>
      </w:r>
      <w:r>
        <w:rPr>
          <w:rFonts w:hint="default" w:ascii="Times New Roman" w:hAnsi="Times New Roman" w:eastAsia="宋体" w:cs="Times New Roman"/>
          <w:color w:val="000000"/>
          <w:sz w:val="24"/>
          <w:szCs w:val="24"/>
        </w:rPr>
        <w:instrText xml:space="preserve"> INCLUDEPICTURE  "C:\\Users\\zheng\\AppData\\Local\\Temp\\AppData\\Local\\Temp\\ksohtml\\wps6752.tmp.png" \* MERGEFORMATINET </w:instrText>
      </w:r>
      <w:r>
        <w:rPr>
          <w:rFonts w:hint="default" w:ascii="Times New Roman" w:hAnsi="Times New Roman" w:eastAsia="宋体" w:cs="Times New Roman"/>
          <w:color w:val="000000"/>
          <w:sz w:val="24"/>
          <w:szCs w:val="24"/>
        </w:rPr>
        <w:fldChar w:fldCharType="separate"/>
      </w:r>
      <w:r>
        <w:drawing>
          <wp:inline distT="0" distB="0" distL="114300" distR="114300">
            <wp:extent cx="5114925" cy="409575"/>
            <wp:effectExtent l="0" t="0" r="9525" b="9525"/>
            <wp:docPr id="107" name="图片 147" descr="C:\Users\zheng\AppData\Local\Temp\AppData\Local\Temp\ksohtml\wps675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47" descr="C:\Users\zheng\AppData\Local\Temp\AppData\Local\Temp\ksohtml\wps6752.tmp.png"/>
                    <pic:cNvPicPr>
                      <a:picLocks noChangeAspect="1"/>
                    </pic:cNvPicPr>
                  </pic:nvPicPr>
                  <pic:blipFill>
                    <a:blip r:embed="rId56"/>
                    <a:stretch>
                      <a:fillRect/>
                    </a:stretch>
                  </pic:blipFill>
                  <pic:spPr>
                    <a:xfrm>
                      <a:off x="0" y="0"/>
                      <a:ext cx="5114925" cy="409575"/>
                    </a:xfrm>
                    <a:prstGeom prst="rect">
                      <a:avLst/>
                    </a:prstGeom>
                    <a:noFill/>
                    <a:ln>
                      <a:noFill/>
                    </a:ln>
                  </pic:spPr>
                </pic:pic>
              </a:graphicData>
            </a:graphic>
          </wp:inline>
        </w:drawing>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r>
        <w:rPr>
          <w:rFonts w:hint="default" w:ascii="Times New Roman" w:hAnsi="Times New Roman" w:eastAsia="宋体" w:cs="Times New Roman"/>
          <w:color w:val="000000"/>
          <w:sz w:val="24"/>
          <w:szCs w:val="24"/>
        </w:rPr>
        <w:fldChar w:fldCharType="end"/>
      </w:r>
    </w:p>
    <w:p>
      <w:pPr>
        <w:snapToGrid w:val="0"/>
        <w:spacing w:line="360" w:lineRule="auto"/>
        <w:ind w:firstLine="482"/>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式中：E年排放 ——项目年排放量，t/a；</w:t>
      </w:r>
    </w:p>
    <w:p>
      <w:pPr>
        <w:snapToGrid w:val="0"/>
        <w:spacing w:line="360" w:lineRule="auto"/>
        <w:ind w:firstLine="482"/>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Mi有组织 ——第i个有组织排放源排放速率，kg/h；</w:t>
      </w:r>
    </w:p>
    <w:p>
      <w:pPr>
        <w:snapToGrid w:val="0"/>
        <w:spacing w:line="360" w:lineRule="auto"/>
        <w:ind w:firstLine="482"/>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Ｈi有组织 ——第 i个有组织排放源年有效排放小时数，h/a；</w:t>
      </w:r>
    </w:p>
    <w:p>
      <w:pPr>
        <w:snapToGrid w:val="0"/>
        <w:spacing w:line="360" w:lineRule="auto"/>
        <w:ind w:firstLine="482"/>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Mj无组织 ——第 j个无组织排放源排放速率，kg/h；</w:t>
      </w:r>
    </w:p>
    <w:p>
      <w:pPr>
        <w:snapToGrid w:val="0"/>
        <w:spacing w:line="360" w:lineRule="auto"/>
        <w:ind w:firstLine="482"/>
        <w:rPr>
          <w:rFonts w:hint="default" w:ascii="Times New Roman" w:hAnsi="Times New Roman" w:eastAsia="宋体" w:cs="Times New Roman"/>
          <w:sz w:val="21"/>
          <w:szCs w:val="22"/>
        </w:rPr>
      </w:pPr>
      <w:r>
        <w:rPr>
          <w:rFonts w:hint="default" w:ascii="Times New Roman" w:hAnsi="Times New Roman" w:eastAsia="宋体" w:cs="Times New Roman"/>
          <w:color w:val="000000"/>
          <w:sz w:val="24"/>
          <w:szCs w:val="24"/>
        </w:rPr>
        <w:t>Ｈj无组织 ——第 j个无组织排放源全年有效排放小时数，h/a。</w:t>
      </w:r>
    </w:p>
    <w:p>
      <w:pPr>
        <w:snapToGrid w:val="0"/>
        <w:spacing w:line="360" w:lineRule="auto"/>
        <w:ind w:firstLine="0"/>
        <w:jc w:val="center"/>
        <w:outlineLvl w:val="4"/>
        <w:rPr>
          <w:rFonts w:hint="default" w:ascii="Times New Roman" w:hAnsi="Times New Roman" w:eastAsia="黑体" w:cs="Times New Roman"/>
          <w:bCs/>
          <w:kern w:val="0"/>
          <w:sz w:val="24"/>
          <w:szCs w:val="24"/>
          <w:lang w:val="en-GB" w:eastAsia="zh-TW"/>
        </w:rPr>
      </w:pPr>
      <w:r>
        <w:rPr>
          <w:rFonts w:hint="default" w:ascii="Times New Roman" w:hAnsi="Times New Roman" w:eastAsia="黑体" w:cs="Times New Roman"/>
          <w:bCs/>
          <w:kern w:val="0"/>
          <w:sz w:val="24"/>
          <w:szCs w:val="24"/>
          <w:lang w:val="en-GB" w:eastAsia="zh-TW"/>
        </w:rPr>
        <w:t>表</w:t>
      </w:r>
      <w:r>
        <w:rPr>
          <w:rFonts w:hint="default" w:ascii="Times New Roman" w:hAnsi="Times New Roman" w:eastAsia="黑体" w:cs="Times New Roman"/>
          <w:bCs/>
          <w:kern w:val="0"/>
          <w:sz w:val="24"/>
          <w:szCs w:val="24"/>
        </w:rPr>
        <w:t>5.2-31</w:t>
      </w:r>
      <w:r>
        <w:rPr>
          <w:rFonts w:hint="default" w:ascii="Times New Roman" w:hAnsi="Times New Roman" w:eastAsia="黑体" w:cs="Times New Roman"/>
          <w:bCs/>
          <w:kern w:val="0"/>
          <w:sz w:val="24"/>
          <w:szCs w:val="24"/>
          <w:lang w:val="en-GB" w:eastAsia="zh-TW"/>
        </w:rPr>
        <w:t>大气污染物有组织排放量核算表</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8"/>
        <w:gridCol w:w="1849"/>
        <w:gridCol w:w="1530"/>
        <w:gridCol w:w="1829"/>
        <w:gridCol w:w="1586"/>
        <w:gridCol w:w="15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blHeader/>
        </w:trPr>
        <w:tc>
          <w:tcPr>
            <w:tcW w:w="1018"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序号</w:t>
            </w:r>
          </w:p>
        </w:tc>
        <w:tc>
          <w:tcPr>
            <w:tcW w:w="1849"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排放口编号</w:t>
            </w:r>
          </w:p>
        </w:tc>
        <w:tc>
          <w:tcPr>
            <w:tcW w:w="1530"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污染物</w:t>
            </w:r>
          </w:p>
        </w:tc>
        <w:tc>
          <w:tcPr>
            <w:tcW w:w="1829"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核算排放浓度（mg/m</w:t>
            </w:r>
            <w:r>
              <w:rPr>
                <w:rFonts w:hint="default" w:ascii="Times New Roman" w:hAnsi="Times New Roman" w:eastAsia="宋体" w:cs="Times New Roman"/>
                <w:color w:val="000000"/>
                <w:kern w:val="0"/>
                <w:sz w:val="21"/>
                <w:szCs w:val="21"/>
                <w:vertAlign w:val="superscript"/>
                <w:lang w:bidi="ar"/>
              </w:rPr>
              <w:t>3</w:t>
            </w:r>
            <w:r>
              <w:rPr>
                <w:rFonts w:hint="default" w:ascii="Times New Roman" w:hAnsi="Times New Roman" w:eastAsia="宋体" w:cs="Times New Roman"/>
                <w:color w:val="000000"/>
                <w:kern w:val="0"/>
                <w:sz w:val="21"/>
                <w:szCs w:val="21"/>
                <w:lang w:bidi="ar"/>
              </w:rPr>
              <w:t>）</w:t>
            </w:r>
          </w:p>
        </w:tc>
        <w:tc>
          <w:tcPr>
            <w:tcW w:w="1586"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核算排放速率（kg/h）</w:t>
            </w:r>
          </w:p>
        </w:tc>
        <w:tc>
          <w:tcPr>
            <w:tcW w:w="1532"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核算年排放量（t/a）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344" w:type="dxa"/>
            <w:gridSpan w:val="6"/>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eastAsia" w:ascii="Times New Roman" w:hAnsi="Times New Roman" w:eastAsia="宋体" w:cs="Times New Roman"/>
                <w:color w:val="000000"/>
                <w:kern w:val="0"/>
                <w:sz w:val="21"/>
                <w:szCs w:val="21"/>
                <w:lang w:val="en-US" w:eastAsia="zh-CN" w:bidi="ar"/>
              </w:rPr>
              <w:t>一般</w:t>
            </w:r>
            <w:r>
              <w:rPr>
                <w:rFonts w:hint="default" w:ascii="Times New Roman" w:hAnsi="Times New Roman" w:eastAsia="宋体" w:cs="Times New Roman"/>
                <w:color w:val="000000"/>
                <w:kern w:val="0"/>
                <w:sz w:val="21"/>
                <w:szCs w:val="21"/>
                <w:lang w:bidi="ar"/>
              </w:rPr>
              <w:t>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18"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1</w:t>
            </w:r>
          </w:p>
        </w:tc>
        <w:tc>
          <w:tcPr>
            <w:tcW w:w="184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DA001</w:t>
            </w:r>
          </w:p>
        </w:tc>
        <w:tc>
          <w:tcPr>
            <w:tcW w:w="1530"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氮氧化物</w:t>
            </w:r>
          </w:p>
        </w:tc>
        <w:tc>
          <w:tcPr>
            <w:tcW w:w="1829" w:type="dxa"/>
            <w:noWrap w:val="0"/>
            <w:vAlign w:val="center"/>
          </w:tcPr>
          <w:p>
            <w:pPr>
              <w:widowControl/>
              <w:spacing w:line="300" w:lineRule="exact"/>
              <w:ind w:firstLine="0"/>
              <w:jc w:val="center"/>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val="en-US" w:eastAsia="zh-CN"/>
              </w:rPr>
              <w:t>41.9</w:t>
            </w:r>
          </w:p>
        </w:tc>
        <w:tc>
          <w:tcPr>
            <w:tcW w:w="1586"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val="en-US" w:eastAsia="zh-CN" w:bidi="ar"/>
              </w:rPr>
              <w:t>0.419</w:t>
            </w:r>
          </w:p>
        </w:tc>
        <w:tc>
          <w:tcPr>
            <w:tcW w:w="1532"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val="en-US" w:eastAsia="zh-CN" w:bidi="ar"/>
              </w:rPr>
              <w:t>2.065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18" w:type="dxa"/>
            <w:vMerge w:val="restart"/>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w:t>
            </w:r>
          </w:p>
        </w:tc>
        <w:tc>
          <w:tcPr>
            <w:tcW w:w="1849" w:type="dxa"/>
            <w:vMerge w:val="restart"/>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DA002</w:t>
            </w:r>
          </w:p>
        </w:tc>
        <w:tc>
          <w:tcPr>
            <w:tcW w:w="1530"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氨</w:t>
            </w:r>
          </w:p>
        </w:tc>
        <w:tc>
          <w:tcPr>
            <w:tcW w:w="1829" w:type="dxa"/>
            <w:noWrap w:val="0"/>
            <w:vAlign w:val="center"/>
          </w:tcPr>
          <w:p>
            <w:pPr>
              <w:widowControl/>
              <w:spacing w:line="300" w:lineRule="exact"/>
              <w:ind w:firstLine="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kern w:val="0"/>
                <w:sz w:val="21"/>
                <w:szCs w:val="21"/>
                <w:lang w:val="en-US" w:eastAsia="zh-CN"/>
              </w:rPr>
              <w:t>1.27</w:t>
            </w:r>
          </w:p>
        </w:tc>
        <w:tc>
          <w:tcPr>
            <w:tcW w:w="1586" w:type="dxa"/>
            <w:noWrap w:val="0"/>
            <w:vAlign w:val="center"/>
          </w:tcPr>
          <w:p>
            <w:pPr>
              <w:widowControl/>
              <w:spacing w:line="300" w:lineRule="exact"/>
              <w:ind w:firstLine="0"/>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val="en-US" w:eastAsia="zh-CN"/>
              </w:rPr>
              <w:t>0.019</w:t>
            </w:r>
          </w:p>
        </w:tc>
        <w:tc>
          <w:tcPr>
            <w:tcW w:w="1532" w:type="dxa"/>
            <w:noWrap w:val="0"/>
            <w:vAlign w:val="center"/>
          </w:tcPr>
          <w:p>
            <w:pPr>
              <w:widowControl/>
              <w:spacing w:line="300" w:lineRule="exact"/>
              <w:ind w:firstLine="0"/>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val="en-US" w:eastAsia="zh-CN"/>
              </w:rPr>
              <w:t>0.112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vMerge w:val="continue"/>
            <w:noWrap w:val="0"/>
          </w:tcPr>
          <w:p/>
        </w:tc>
        <w:tc>
          <w:tcPr>
            <w:vMerge w:val="continue"/>
            <w:noWrap w:val="0"/>
          </w:tcPr>
          <w:p/>
        </w:tc>
        <w:tc>
          <w:tcPr>
            <w:tcW w:w="1530"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甲醛</w:t>
            </w:r>
          </w:p>
        </w:tc>
        <w:tc>
          <w:tcPr>
            <w:tcW w:w="1829" w:type="dxa"/>
            <w:noWrap w:val="0"/>
            <w:vAlign w:val="center"/>
          </w:tcPr>
          <w:p>
            <w:pPr>
              <w:widowControl/>
              <w:spacing w:line="300" w:lineRule="exact"/>
              <w:ind w:firstLine="0"/>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kern w:val="0"/>
                <w:sz w:val="21"/>
                <w:szCs w:val="21"/>
                <w:lang w:val="en-US" w:eastAsia="zh-CN"/>
              </w:rPr>
              <w:t>0.03</w:t>
            </w:r>
          </w:p>
        </w:tc>
        <w:tc>
          <w:tcPr>
            <w:tcW w:w="1586" w:type="dxa"/>
            <w:noWrap w:val="0"/>
            <w:vAlign w:val="center"/>
          </w:tcPr>
          <w:p>
            <w:pPr>
              <w:widowControl/>
              <w:spacing w:line="300" w:lineRule="exact"/>
              <w:ind w:firstLine="0"/>
              <w:jc w:val="center"/>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0"/>
                <w:sz w:val="21"/>
                <w:szCs w:val="21"/>
                <w:lang w:val="en-US" w:eastAsia="zh-CN"/>
              </w:rPr>
              <w:t>0.0004</w:t>
            </w:r>
          </w:p>
        </w:tc>
        <w:tc>
          <w:tcPr>
            <w:tcW w:w="1532" w:type="dxa"/>
            <w:noWrap w:val="0"/>
            <w:vAlign w:val="center"/>
          </w:tcPr>
          <w:p>
            <w:pPr>
              <w:widowControl/>
              <w:spacing w:line="300" w:lineRule="exact"/>
              <w:ind w:firstLine="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vMerge w:val="continue"/>
            <w:noWrap w:val="0"/>
          </w:tcPr>
          <w:p/>
        </w:tc>
        <w:tc>
          <w:tcPr>
            <w:vMerge w:val="continue"/>
            <w:noWrap w:val="0"/>
          </w:tcPr>
          <w:p/>
        </w:tc>
        <w:tc>
          <w:tcPr>
            <w:tcW w:w="1530"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非甲烷总烃</w:t>
            </w:r>
          </w:p>
        </w:tc>
        <w:tc>
          <w:tcPr>
            <w:tcW w:w="1829" w:type="dxa"/>
            <w:noWrap w:val="0"/>
            <w:vAlign w:val="center"/>
          </w:tcPr>
          <w:p>
            <w:pPr>
              <w:widowControl/>
              <w:spacing w:line="300" w:lineRule="exact"/>
              <w:ind w:firstLine="0"/>
              <w:jc w:val="center"/>
              <w:rPr>
                <w:rFonts w:hint="default" w:ascii="Times New Roman" w:hAnsi="Times New Roman" w:cs="Times New Roman"/>
                <w:color w:val="auto"/>
                <w:sz w:val="21"/>
                <w:szCs w:val="21"/>
              </w:rPr>
            </w:pPr>
            <w:r>
              <w:rPr>
                <w:rFonts w:hint="eastAsia" w:ascii="Times New Roman" w:hAnsi="Times New Roman" w:eastAsia="宋体" w:cs="Times New Roman"/>
                <w:color w:val="auto"/>
                <w:kern w:val="0"/>
                <w:sz w:val="21"/>
                <w:szCs w:val="21"/>
                <w:lang w:val="en-US" w:eastAsia="zh-CN"/>
              </w:rPr>
              <w:t>34.96</w:t>
            </w:r>
          </w:p>
        </w:tc>
        <w:tc>
          <w:tcPr>
            <w:tcW w:w="1586" w:type="dxa"/>
            <w:noWrap w:val="0"/>
            <w:vAlign w:val="center"/>
          </w:tcPr>
          <w:p>
            <w:pPr>
              <w:widowControl/>
              <w:spacing w:line="300" w:lineRule="exact"/>
              <w:ind w:firstLine="0"/>
              <w:jc w:val="center"/>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0"/>
                <w:sz w:val="21"/>
                <w:szCs w:val="21"/>
                <w:lang w:val="en-US" w:eastAsia="zh-CN"/>
              </w:rPr>
              <w:t>0.524</w:t>
            </w:r>
            <w:r>
              <w:rPr>
                <w:rFonts w:hint="eastAsia" w:ascii="Times New Roman" w:hAnsi="Times New Roman" w:eastAsia="宋体" w:cs="Times New Roman"/>
                <w:color w:val="auto"/>
                <w:kern w:val="0"/>
                <w:sz w:val="21"/>
                <w:szCs w:val="21"/>
                <w:lang w:val="en-US" w:eastAsia="zh-CN"/>
              </w:rPr>
              <w:t>4</w:t>
            </w:r>
          </w:p>
        </w:tc>
        <w:tc>
          <w:tcPr>
            <w:tcW w:w="1532" w:type="dxa"/>
            <w:noWrap w:val="0"/>
            <w:vAlign w:val="center"/>
          </w:tcPr>
          <w:p>
            <w:pPr>
              <w:widowControl/>
              <w:spacing w:line="300" w:lineRule="exact"/>
              <w:ind w:firstLine="0"/>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val="en-US" w:eastAsia="zh-CN"/>
              </w:rPr>
              <w:t>1.8</w:t>
            </w:r>
            <w:r>
              <w:rPr>
                <w:rFonts w:hint="eastAsia" w:ascii="Times New Roman" w:hAnsi="Times New Roman" w:eastAsia="宋体" w:cs="Times New Roman"/>
                <w:color w:val="auto"/>
                <w:kern w:val="0"/>
                <w:sz w:val="21"/>
                <w:szCs w:val="21"/>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18" w:type="dxa"/>
            <w:vMerge w:val="restart"/>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3</w:t>
            </w:r>
          </w:p>
        </w:tc>
        <w:tc>
          <w:tcPr>
            <w:tcW w:w="1849" w:type="dxa"/>
            <w:vMerge w:val="restart"/>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DA003</w:t>
            </w:r>
          </w:p>
        </w:tc>
        <w:tc>
          <w:tcPr>
            <w:tcW w:w="1530"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val="en-US" w:eastAsia="zh-CN" w:bidi="ar"/>
              </w:rPr>
              <w:t>氮氧化物</w:t>
            </w:r>
          </w:p>
        </w:tc>
        <w:tc>
          <w:tcPr>
            <w:tcW w:w="1829" w:type="dxa"/>
            <w:noWrap w:val="0"/>
            <w:vAlign w:val="center"/>
          </w:tcPr>
          <w:p>
            <w:pPr>
              <w:widowControl/>
              <w:spacing w:line="300" w:lineRule="exact"/>
              <w:ind w:firstLine="0"/>
              <w:jc w:val="center"/>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rPr>
              <w:t>0.13</w:t>
            </w:r>
          </w:p>
        </w:tc>
        <w:tc>
          <w:tcPr>
            <w:tcW w:w="1586" w:type="dxa"/>
            <w:noWrap w:val="0"/>
            <w:vAlign w:val="center"/>
          </w:tcPr>
          <w:p>
            <w:pPr>
              <w:widowControl/>
              <w:spacing w:line="300" w:lineRule="exact"/>
              <w:ind w:firstLine="0"/>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val="en-US" w:eastAsia="zh-CN"/>
              </w:rPr>
              <w:t>0.002</w:t>
            </w:r>
          </w:p>
        </w:tc>
        <w:tc>
          <w:tcPr>
            <w:tcW w:w="1532" w:type="dxa"/>
            <w:noWrap w:val="0"/>
            <w:vAlign w:val="center"/>
          </w:tcPr>
          <w:p>
            <w:pPr>
              <w:widowControl/>
              <w:spacing w:line="300" w:lineRule="exact"/>
              <w:ind w:firstLine="0"/>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val="en-US" w:eastAsia="zh-CN"/>
              </w:rPr>
              <w:t>0.017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vMerge w:val="continue"/>
            <w:noWrap w:val="0"/>
          </w:tcPr>
          <w:p/>
        </w:tc>
        <w:tc>
          <w:tcPr>
            <w:vMerge w:val="continue"/>
            <w:noWrap w:val="0"/>
          </w:tcPr>
          <w:p/>
        </w:tc>
        <w:tc>
          <w:tcPr>
            <w:tcW w:w="1530"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氨</w:t>
            </w:r>
          </w:p>
        </w:tc>
        <w:tc>
          <w:tcPr>
            <w:tcW w:w="1829" w:type="dxa"/>
            <w:noWrap w:val="0"/>
            <w:vAlign w:val="center"/>
          </w:tcPr>
          <w:p>
            <w:pPr>
              <w:widowControl/>
              <w:spacing w:line="300" w:lineRule="exact"/>
              <w:ind w:firstLine="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rPr>
              <w:t>1.1</w:t>
            </w:r>
            <w:r>
              <w:rPr>
                <w:rFonts w:hint="eastAsia" w:ascii="Times New Roman" w:hAnsi="Times New Roman" w:eastAsia="宋体" w:cs="Times New Roman"/>
                <w:color w:val="auto"/>
                <w:kern w:val="0"/>
                <w:sz w:val="21"/>
                <w:szCs w:val="21"/>
                <w:lang w:val="en-US" w:eastAsia="zh-CN"/>
              </w:rPr>
              <w:t>4</w:t>
            </w:r>
          </w:p>
        </w:tc>
        <w:tc>
          <w:tcPr>
            <w:tcW w:w="1586" w:type="dxa"/>
            <w:noWrap w:val="0"/>
            <w:vAlign w:val="center"/>
          </w:tcPr>
          <w:p>
            <w:pPr>
              <w:widowControl/>
              <w:spacing w:line="300" w:lineRule="exact"/>
              <w:ind w:firstLine="0"/>
              <w:jc w:val="center"/>
              <w:rPr>
                <w:rFonts w:hint="eastAsia" w:ascii="Times New Roman" w:hAnsi="Times New Roman" w:eastAsia="宋体" w:cs="Times New Roman"/>
                <w:color w:val="auto"/>
                <w:kern w:val="0"/>
                <w:sz w:val="21"/>
                <w:szCs w:val="21"/>
                <w:lang w:eastAsia="zh-CN" w:bidi="ar"/>
              </w:rPr>
            </w:pPr>
            <w:r>
              <w:rPr>
                <w:rFonts w:hint="default" w:ascii="Times New Roman" w:hAnsi="Times New Roman" w:eastAsia="宋体" w:cs="Times New Roman"/>
                <w:color w:val="auto"/>
                <w:kern w:val="0"/>
                <w:sz w:val="21"/>
                <w:szCs w:val="21"/>
                <w:lang w:val="en-US" w:eastAsia="zh-CN"/>
              </w:rPr>
              <w:t>0.017</w:t>
            </w:r>
            <w:r>
              <w:rPr>
                <w:rFonts w:hint="eastAsia" w:ascii="Times New Roman" w:hAnsi="Times New Roman" w:eastAsia="宋体" w:cs="Times New Roman"/>
                <w:color w:val="auto"/>
                <w:kern w:val="0"/>
                <w:sz w:val="21"/>
                <w:szCs w:val="21"/>
                <w:lang w:val="en-US" w:eastAsia="zh-CN"/>
              </w:rPr>
              <w:t>1</w:t>
            </w:r>
          </w:p>
        </w:tc>
        <w:tc>
          <w:tcPr>
            <w:tcW w:w="1532" w:type="dxa"/>
            <w:noWrap w:val="0"/>
            <w:vAlign w:val="center"/>
          </w:tcPr>
          <w:p>
            <w:pPr>
              <w:widowControl/>
              <w:spacing w:line="300" w:lineRule="exact"/>
              <w:ind w:firstLine="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rPr>
              <w:t>0.12</w:t>
            </w:r>
            <w:r>
              <w:rPr>
                <w:rFonts w:hint="eastAsia" w:ascii="Times New Roman" w:hAnsi="Times New Roman" w:eastAsia="宋体" w:cs="Times New Roman"/>
                <w:color w:val="auto"/>
                <w:kern w:val="0"/>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vMerge w:val="continue"/>
            <w:noWrap w:val="0"/>
          </w:tcPr>
          <w:p/>
        </w:tc>
        <w:tc>
          <w:tcPr>
            <w:vMerge w:val="continue"/>
            <w:noWrap w:val="0"/>
          </w:tcPr>
          <w:p/>
        </w:tc>
        <w:tc>
          <w:tcPr>
            <w:tcW w:w="1530"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rPr>
              <w:t>非甲烷总烃</w:t>
            </w:r>
          </w:p>
        </w:tc>
        <w:tc>
          <w:tcPr>
            <w:tcW w:w="1829" w:type="dxa"/>
            <w:noWrap w:val="0"/>
            <w:vAlign w:val="center"/>
          </w:tcPr>
          <w:p>
            <w:pPr>
              <w:widowControl/>
              <w:spacing w:line="300" w:lineRule="exact"/>
              <w:ind w:firstLine="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rPr>
              <w:t>0.21</w:t>
            </w:r>
          </w:p>
        </w:tc>
        <w:tc>
          <w:tcPr>
            <w:tcW w:w="1586" w:type="dxa"/>
            <w:noWrap w:val="0"/>
            <w:vAlign w:val="center"/>
          </w:tcPr>
          <w:p>
            <w:pPr>
              <w:widowControl/>
              <w:spacing w:line="300" w:lineRule="exact"/>
              <w:ind w:firstLine="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rPr>
              <w:t>0.0032</w:t>
            </w:r>
          </w:p>
        </w:tc>
        <w:tc>
          <w:tcPr>
            <w:tcW w:w="1532" w:type="dxa"/>
            <w:noWrap w:val="0"/>
            <w:vAlign w:val="center"/>
          </w:tcPr>
          <w:p>
            <w:pPr>
              <w:widowControl/>
              <w:spacing w:line="300" w:lineRule="exact"/>
              <w:ind w:firstLine="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18" w:type="dxa"/>
            <w:noWrap w:val="0"/>
            <w:vAlign w:val="center"/>
          </w:tcPr>
          <w:p>
            <w:pPr>
              <w:widowControl/>
              <w:spacing w:line="240" w:lineRule="auto"/>
              <w:ind w:firstLine="0"/>
              <w:jc w:val="center"/>
              <w:textAlignment w:val="center"/>
              <w:rPr>
                <w:rFonts w:hint="eastAsia"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color w:val="000000"/>
                <w:kern w:val="0"/>
                <w:sz w:val="21"/>
                <w:szCs w:val="21"/>
                <w:lang w:val="en-US" w:eastAsia="zh-CN" w:bidi="ar"/>
              </w:rPr>
              <w:t>4</w:t>
            </w:r>
          </w:p>
        </w:tc>
        <w:tc>
          <w:tcPr>
            <w:tcW w:w="1849" w:type="dxa"/>
            <w:noWrap w:val="0"/>
            <w:vAlign w:val="center"/>
          </w:tcPr>
          <w:p>
            <w:pPr>
              <w:widowControl/>
              <w:spacing w:line="240" w:lineRule="auto"/>
              <w:ind w:firstLine="0"/>
              <w:jc w:val="center"/>
              <w:textAlignment w:val="center"/>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DA00</w:t>
            </w:r>
            <w:r>
              <w:rPr>
                <w:rFonts w:hint="eastAsia" w:ascii="Times New Roman" w:hAnsi="Times New Roman" w:eastAsia="宋体" w:cs="Times New Roman"/>
                <w:color w:val="auto"/>
                <w:kern w:val="0"/>
                <w:sz w:val="21"/>
                <w:szCs w:val="21"/>
                <w:lang w:val="en-US" w:eastAsia="zh-CN" w:bidi="ar"/>
              </w:rPr>
              <w:t>4</w:t>
            </w:r>
          </w:p>
        </w:tc>
        <w:tc>
          <w:tcPr>
            <w:tcW w:w="1530"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bidi="ar"/>
              </w:rPr>
              <w:t>颗粒物</w:t>
            </w:r>
          </w:p>
        </w:tc>
        <w:tc>
          <w:tcPr>
            <w:tcW w:w="1829" w:type="dxa"/>
            <w:noWrap w:val="0"/>
            <w:vAlign w:val="center"/>
          </w:tcPr>
          <w:p>
            <w:pPr>
              <w:widowControl/>
              <w:spacing w:line="300" w:lineRule="exact"/>
              <w:ind w:firstLine="0"/>
              <w:jc w:val="center"/>
              <w:textAlignment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4.38</w:t>
            </w:r>
          </w:p>
        </w:tc>
        <w:tc>
          <w:tcPr>
            <w:tcW w:w="1586"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val="en-US" w:eastAsia="zh-CN" w:bidi="ar"/>
              </w:rPr>
              <w:t>0.035</w:t>
            </w:r>
          </w:p>
        </w:tc>
        <w:tc>
          <w:tcPr>
            <w:tcW w:w="1532"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val="en-US" w:eastAsia="zh-CN" w:bidi="ar"/>
              </w:rPr>
              <w:t>0.126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2867" w:type="dxa"/>
            <w:gridSpan w:val="2"/>
            <w:vMerge w:val="restart"/>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val="en-US" w:eastAsia="zh-CN" w:bidi="ar"/>
              </w:rPr>
              <w:t>一般</w:t>
            </w:r>
            <w:r>
              <w:rPr>
                <w:rFonts w:hint="default" w:ascii="Times New Roman" w:hAnsi="Times New Roman" w:eastAsia="宋体" w:cs="Times New Roman"/>
                <w:color w:val="auto"/>
                <w:kern w:val="0"/>
                <w:sz w:val="21"/>
                <w:szCs w:val="21"/>
                <w:lang w:bidi="ar"/>
              </w:rPr>
              <w:t>排放口合计</w:t>
            </w:r>
          </w:p>
        </w:tc>
        <w:tc>
          <w:tcPr>
            <w:tcW w:w="1530"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sz w:val="21"/>
                <w:szCs w:val="21"/>
                <w:lang w:bidi="ar"/>
              </w:rPr>
              <w:t>氮氧化物</w:t>
            </w:r>
          </w:p>
        </w:tc>
        <w:tc>
          <w:tcPr>
            <w:tcW w:w="182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w:t>
            </w:r>
          </w:p>
        </w:tc>
        <w:tc>
          <w:tcPr>
            <w:tcW w:w="1586"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w:t>
            </w:r>
          </w:p>
        </w:tc>
        <w:tc>
          <w:tcPr>
            <w:tcW w:w="1532"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2.082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gridSpan w:val="2"/>
            <w:vMerge w:val="continue"/>
            <w:noWrap w:val="0"/>
          </w:tcPr>
          <w:p/>
        </w:tc>
        <w:tc>
          <w:tcPr>
            <w:tcW w:w="1530"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sz w:val="21"/>
                <w:szCs w:val="21"/>
                <w:lang w:bidi="ar"/>
              </w:rPr>
              <w:t>颗粒物</w:t>
            </w:r>
          </w:p>
        </w:tc>
        <w:tc>
          <w:tcPr>
            <w:tcW w:w="182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w:t>
            </w:r>
          </w:p>
        </w:tc>
        <w:tc>
          <w:tcPr>
            <w:tcW w:w="1586"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w:t>
            </w:r>
          </w:p>
        </w:tc>
        <w:tc>
          <w:tcPr>
            <w:tcW w:w="1532"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rPr>
              <w:t>0.126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gridSpan w:val="2"/>
            <w:vMerge w:val="continue"/>
            <w:noWrap w:val="0"/>
          </w:tcPr>
          <w:p/>
        </w:tc>
        <w:tc>
          <w:tcPr>
            <w:tcW w:w="1530"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sz w:val="21"/>
                <w:szCs w:val="21"/>
                <w:lang w:bidi="ar"/>
              </w:rPr>
              <w:t>氨</w:t>
            </w:r>
          </w:p>
        </w:tc>
        <w:tc>
          <w:tcPr>
            <w:tcW w:w="182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w:t>
            </w:r>
          </w:p>
        </w:tc>
        <w:tc>
          <w:tcPr>
            <w:tcW w:w="1586"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w:t>
            </w:r>
          </w:p>
        </w:tc>
        <w:tc>
          <w:tcPr>
            <w:tcW w:w="1532"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0.233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gridSpan w:val="2"/>
            <w:vMerge w:val="continue"/>
            <w:noWrap w:val="0"/>
          </w:tcPr>
          <w:p/>
        </w:tc>
        <w:tc>
          <w:tcPr>
            <w:tcW w:w="1530"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sz w:val="21"/>
                <w:szCs w:val="21"/>
                <w:lang w:bidi="ar"/>
              </w:rPr>
              <w:t>甲醛</w:t>
            </w:r>
          </w:p>
        </w:tc>
        <w:tc>
          <w:tcPr>
            <w:tcW w:w="182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w:t>
            </w:r>
          </w:p>
        </w:tc>
        <w:tc>
          <w:tcPr>
            <w:tcW w:w="1586"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w:t>
            </w:r>
          </w:p>
        </w:tc>
        <w:tc>
          <w:tcPr>
            <w:tcW w:w="1532"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sz w:val="21"/>
                <w:szCs w:val="21"/>
                <w:lang w:val="en-US" w:eastAsia="zh-CN" w:bidi="ar"/>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gridSpan w:val="2"/>
            <w:vMerge w:val="continue"/>
            <w:noWrap w:val="0"/>
          </w:tcPr>
          <w:p/>
        </w:tc>
        <w:tc>
          <w:tcPr>
            <w:tcW w:w="1530"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sz w:val="21"/>
                <w:szCs w:val="21"/>
                <w:lang w:bidi="ar"/>
              </w:rPr>
              <w:t>非甲烷总烃</w:t>
            </w:r>
          </w:p>
        </w:tc>
        <w:tc>
          <w:tcPr>
            <w:tcW w:w="182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w:t>
            </w:r>
          </w:p>
        </w:tc>
        <w:tc>
          <w:tcPr>
            <w:tcW w:w="1586"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w:t>
            </w:r>
          </w:p>
        </w:tc>
        <w:tc>
          <w:tcPr>
            <w:tcW w:w="1532"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1.88</w:t>
            </w:r>
          </w:p>
        </w:tc>
      </w:tr>
    </w:tbl>
    <w:p>
      <w:pPr>
        <w:snapToGrid w:val="0"/>
        <w:spacing w:line="360" w:lineRule="auto"/>
        <w:ind w:firstLine="0"/>
        <w:jc w:val="center"/>
        <w:outlineLvl w:val="4"/>
        <w:rPr>
          <w:rFonts w:hint="default" w:ascii="Times New Roman" w:hAnsi="Times New Roman" w:eastAsia="PMingLiU" w:cs="Times New Roman"/>
          <w:b/>
          <w:bCs/>
          <w:kern w:val="0"/>
          <w:sz w:val="24"/>
          <w:szCs w:val="24"/>
          <w:lang w:val="en-GB" w:eastAsia="zh-TW"/>
        </w:rPr>
      </w:pPr>
    </w:p>
    <w:p>
      <w:pPr>
        <w:rPr>
          <w:rFonts w:hint="default" w:ascii="Times New Roman" w:hAnsi="Times New Roman" w:cs="Times New Roman"/>
          <w:lang w:val="en-GB" w:eastAsia="zh-TW"/>
        </w:rPr>
      </w:pPr>
    </w:p>
    <w:p>
      <w:pPr>
        <w:rPr>
          <w:rFonts w:hint="default" w:ascii="Times New Roman" w:hAnsi="Times New Roman" w:cs="Times New Roman"/>
          <w:lang w:val="en-GB" w:eastAsia="zh-TW"/>
        </w:rPr>
      </w:pPr>
    </w:p>
    <w:p>
      <w:pPr>
        <w:rPr>
          <w:rFonts w:hint="default" w:ascii="Times New Roman" w:hAnsi="Times New Roman" w:cs="Times New Roman"/>
          <w:lang w:val="en-GB" w:eastAsia="zh-TW"/>
        </w:rPr>
      </w:pPr>
    </w:p>
    <w:p>
      <w:pPr>
        <w:rPr>
          <w:rFonts w:hint="default" w:ascii="Times New Roman" w:hAnsi="Times New Roman" w:cs="Times New Roman"/>
          <w:lang w:val="en-GB" w:eastAsia="zh-TW"/>
        </w:rPr>
      </w:pPr>
    </w:p>
    <w:p>
      <w:pPr>
        <w:rPr>
          <w:rFonts w:hint="default" w:ascii="Times New Roman" w:hAnsi="Times New Roman" w:cs="Times New Roman"/>
          <w:lang w:val="en-GB" w:eastAsia="zh-TW"/>
        </w:rPr>
      </w:pPr>
    </w:p>
    <w:p>
      <w:pPr>
        <w:rPr>
          <w:rFonts w:hint="default" w:ascii="Times New Roman" w:hAnsi="Times New Roman" w:cs="Times New Roman"/>
          <w:lang w:val="en-GB" w:eastAsia="zh-TW"/>
        </w:rPr>
      </w:pPr>
    </w:p>
    <w:p>
      <w:pPr>
        <w:pStyle w:val="24"/>
        <w:rPr>
          <w:rFonts w:hint="default" w:ascii="Times New Roman" w:hAnsi="Times New Roman" w:cs="Times New Roman"/>
          <w:lang w:val="en-GB" w:eastAsia="zh-TW"/>
        </w:rPr>
      </w:pPr>
    </w:p>
    <w:p>
      <w:pPr>
        <w:snapToGrid w:val="0"/>
        <w:spacing w:line="360" w:lineRule="auto"/>
        <w:ind w:firstLine="0"/>
        <w:jc w:val="center"/>
        <w:outlineLvl w:val="4"/>
        <w:rPr>
          <w:rFonts w:hint="default" w:ascii="Times New Roman" w:hAnsi="Times New Roman" w:eastAsia="黑体" w:cs="Times New Roman"/>
          <w:bCs/>
          <w:kern w:val="0"/>
          <w:sz w:val="24"/>
          <w:szCs w:val="24"/>
          <w:lang w:val="en-GB" w:eastAsia="zh-TW"/>
        </w:rPr>
      </w:pPr>
      <w:r>
        <w:rPr>
          <w:rFonts w:hint="default" w:ascii="Times New Roman" w:hAnsi="Times New Roman" w:eastAsia="黑体" w:cs="Times New Roman"/>
          <w:bCs/>
          <w:kern w:val="0"/>
          <w:sz w:val="24"/>
          <w:szCs w:val="24"/>
          <w:lang w:val="en-GB" w:eastAsia="zh-TW"/>
        </w:rPr>
        <w:t>表</w:t>
      </w:r>
      <w:r>
        <w:rPr>
          <w:rFonts w:hint="default" w:ascii="Times New Roman" w:hAnsi="Times New Roman" w:eastAsia="黑体" w:cs="Times New Roman"/>
          <w:bCs/>
          <w:kern w:val="0"/>
          <w:sz w:val="24"/>
          <w:szCs w:val="24"/>
        </w:rPr>
        <w:t>5.2-32</w:t>
      </w:r>
      <w:r>
        <w:rPr>
          <w:rFonts w:hint="default" w:ascii="Times New Roman" w:hAnsi="Times New Roman" w:eastAsia="黑体" w:cs="Times New Roman"/>
          <w:bCs/>
          <w:kern w:val="0"/>
          <w:sz w:val="24"/>
          <w:szCs w:val="24"/>
          <w:lang w:val="en-GB" w:eastAsia="zh-TW"/>
        </w:rPr>
        <w:t>大气污染物无组织排放量核算表</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4"/>
        <w:gridCol w:w="1833"/>
        <w:gridCol w:w="2504"/>
        <w:gridCol w:w="3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74" w:type="dxa"/>
            <w:noWrap w:val="0"/>
            <w:tcMar>
              <w:left w:w="28" w:type="dxa"/>
              <w:right w:w="28" w:type="dxa"/>
            </w:tcMar>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序号</w:t>
            </w:r>
          </w:p>
        </w:tc>
        <w:tc>
          <w:tcPr>
            <w:tcW w:w="1833" w:type="dxa"/>
            <w:noWrap w:val="0"/>
            <w:tcMar>
              <w:left w:w="28" w:type="dxa"/>
              <w:right w:w="28" w:type="dxa"/>
            </w:tcMar>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排放口编号</w:t>
            </w:r>
          </w:p>
        </w:tc>
        <w:tc>
          <w:tcPr>
            <w:tcW w:w="2504" w:type="dxa"/>
            <w:noWrap w:val="0"/>
            <w:tcMar>
              <w:left w:w="28" w:type="dxa"/>
              <w:right w:w="28" w:type="dxa"/>
            </w:tcMar>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污染物因子</w:t>
            </w:r>
          </w:p>
        </w:tc>
        <w:tc>
          <w:tcPr>
            <w:tcW w:w="3473" w:type="dxa"/>
            <w:noWrap w:val="0"/>
            <w:tcMar>
              <w:left w:w="28" w:type="dxa"/>
              <w:right w:w="28" w:type="dxa"/>
            </w:tcMar>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无组织（t/a）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74" w:type="dxa"/>
            <w:vMerge w:val="restart"/>
            <w:noWrap w:val="0"/>
            <w:tcMar>
              <w:left w:w="28" w:type="dxa"/>
              <w:right w:w="28" w:type="dxa"/>
            </w:tcMar>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w:t>
            </w:r>
          </w:p>
        </w:tc>
        <w:tc>
          <w:tcPr>
            <w:tcW w:w="1833" w:type="dxa"/>
            <w:vMerge w:val="restart"/>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eastAsia" w:ascii="Times New Roman" w:hAnsi="Times New Roman" w:eastAsia="宋体" w:cs="Times New Roman"/>
                <w:color w:val="auto"/>
                <w:sz w:val="21"/>
                <w:szCs w:val="21"/>
                <w:lang w:val="en-US" w:eastAsia="zh-CN" w:bidi="ar"/>
              </w:rPr>
              <w:t>二号</w:t>
            </w:r>
            <w:r>
              <w:rPr>
                <w:rFonts w:hint="default" w:ascii="Times New Roman" w:hAnsi="Times New Roman" w:eastAsia="宋体" w:cs="Times New Roman"/>
                <w:color w:val="auto"/>
                <w:sz w:val="21"/>
                <w:szCs w:val="21"/>
                <w:lang w:bidi="ar"/>
              </w:rPr>
              <w:t>车间</w:t>
            </w:r>
          </w:p>
        </w:tc>
        <w:tc>
          <w:tcPr>
            <w:tcW w:w="2504"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bidi="ar"/>
              </w:rPr>
              <w:t>颗粒物</w:t>
            </w:r>
          </w:p>
        </w:tc>
        <w:tc>
          <w:tcPr>
            <w:tcW w:w="3473"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lang w:val="en-US" w:eastAsia="zh-CN" w:bidi="ar"/>
              </w:rPr>
              <w:t>0.072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vMerge w:val="continue"/>
            <w:noWrap w:val="0"/>
            <w:tcMar>
              <w:left w:w="28" w:type="dxa"/>
              <w:right w:w="28" w:type="dxa"/>
            </w:tcMar>
          </w:tcPr>
          <w:p/>
        </w:tc>
        <w:tc>
          <w:tcPr>
            <w:vMerge w:val="continue"/>
            <w:noWrap w:val="0"/>
            <w:tcMar>
              <w:left w:w="28" w:type="dxa"/>
              <w:right w:w="28" w:type="dxa"/>
            </w:tcMar>
          </w:tcPr>
          <w:p/>
        </w:tc>
        <w:tc>
          <w:tcPr>
            <w:tcW w:w="2504"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氮氧化物</w:t>
            </w:r>
          </w:p>
        </w:tc>
        <w:tc>
          <w:tcPr>
            <w:tcW w:w="3473"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bidi="ar"/>
              </w:rPr>
              <w:t>0.333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vMerge w:val="continue"/>
            <w:noWrap w:val="0"/>
            <w:tcMar>
              <w:left w:w="28" w:type="dxa"/>
              <w:right w:w="28" w:type="dxa"/>
            </w:tcMar>
          </w:tcPr>
          <w:p/>
        </w:tc>
        <w:tc>
          <w:tcPr>
            <w:vMerge w:val="continue"/>
            <w:noWrap w:val="0"/>
            <w:tcMar>
              <w:left w:w="28" w:type="dxa"/>
              <w:right w:w="28" w:type="dxa"/>
            </w:tcMar>
          </w:tcPr>
          <w:p/>
        </w:tc>
        <w:tc>
          <w:tcPr>
            <w:tcW w:w="2504"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color w:val="auto"/>
                <w:kern w:val="0"/>
                <w:sz w:val="21"/>
                <w:szCs w:val="21"/>
                <w:lang w:bidi="ar"/>
              </w:rPr>
              <w:t>氨气</w:t>
            </w:r>
          </w:p>
        </w:tc>
        <w:tc>
          <w:tcPr>
            <w:tcW w:w="3473"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0.0</w:t>
            </w:r>
            <w:r>
              <w:rPr>
                <w:rFonts w:hint="eastAsia" w:ascii="Times New Roman" w:hAnsi="Times New Roman" w:eastAsia="宋体" w:cs="Times New Roman"/>
                <w:color w:val="auto"/>
                <w:kern w:val="0"/>
                <w:sz w:val="21"/>
                <w:szCs w:val="21"/>
                <w:lang w:val="en-US" w:eastAsia="zh-CN" w:bidi="ar"/>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vMerge w:val="continue"/>
            <w:noWrap w:val="0"/>
            <w:tcMar>
              <w:left w:w="28" w:type="dxa"/>
              <w:right w:w="28" w:type="dxa"/>
            </w:tcMar>
          </w:tcPr>
          <w:p/>
        </w:tc>
        <w:tc>
          <w:tcPr>
            <w:vMerge w:val="continue"/>
            <w:noWrap w:val="0"/>
            <w:tcMar>
              <w:left w:w="28" w:type="dxa"/>
              <w:right w:w="28" w:type="dxa"/>
            </w:tcMar>
          </w:tcPr>
          <w:p/>
        </w:tc>
        <w:tc>
          <w:tcPr>
            <w:tcW w:w="2504"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color w:val="auto"/>
                <w:kern w:val="0"/>
                <w:sz w:val="21"/>
                <w:szCs w:val="21"/>
                <w:lang w:bidi="ar"/>
              </w:rPr>
              <w:t>甲醛</w:t>
            </w:r>
          </w:p>
        </w:tc>
        <w:tc>
          <w:tcPr>
            <w:tcW w:w="3473"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vMerge w:val="continue"/>
            <w:noWrap w:val="0"/>
            <w:tcMar>
              <w:left w:w="28" w:type="dxa"/>
              <w:right w:w="28" w:type="dxa"/>
            </w:tcMar>
          </w:tcPr>
          <w:p/>
        </w:tc>
        <w:tc>
          <w:tcPr>
            <w:vMerge w:val="continue"/>
            <w:noWrap w:val="0"/>
            <w:tcMar>
              <w:left w:w="28" w:type="dxa"/>
              <w:right w:w="28" w:type="dxa"/>
            </w:tcMar>
          </w:tcPr>
          <w:p/>
        </w:tc>
        <w:tc>
          <w:tcPr>
            <w:tcW w:w="2504"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color w:val="auto"/>
                <w:kern w:val="0"/>
                <w:sz w:val="21"/>
                <w:szCs w:val="21"/>
                <w:lang w:bidi="ar"/>
              </w:rPr>
              <w:t>非甲烷总烃</w:t>
            </w:r>
          </w:p>
        </w:tc>
        <w:tc>
          <w:tcPr>
            <w:tcW w:w="3473"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0.0</w:t>
            </w:r>
            <w:r>
              <w:rPr>
                <w:rFonts w:hint="eastAsia" w:ascii="Times New Roman" w:hAnsi="Times New Roman" w:eastAsia="宋体" w:cs="Times New Roman"/>
                <w:color w:val="auto"/>
                <w:kern w:val="0"/>
                <w:sz w:val="21"/>
                <w:szCs w:val="21"/>
                <w:lang w:val="en-US" w:eastAsia="zh-CN" w:bidi="ar"/>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74" w:type="dxa"/>
            <w:vMerge w:val="restart"/>
            <w:noWrap w:val="0"/>
            <w:tcMar>
              <w:left w:w="28" w:type="dxa"/>
              <w:right w:w="28" w:type="dxa"/>
            </w:tcMar>
            <w:vAlign w:val="center"/>
          </w:tcPr>
          <w:p>
            <w:pPr>
              <w:widowControl/>
              <w:spacing w:line="240" w:lineRule="auto"/>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w:t>
            </w:r>
          </w:p>
        </w:tc>
        <w:tc>
          <w:tcPr>
            <w:tcW w:w="1833" w:type="dxa"/>
            <w:vMerge w:val="restart"/>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bidi="ar"/>
              </w:rPr>
              <w:t>污水站</w:t>
            </w:r>
          </w:p>
        </w:tc>
        <w:tc>
          <w:tcPr>
            <w:tcW w:w="2504"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color w:val="auto"/>
                <w:sz w:val="18"/>
                <w:szCs w:val="22"/>
              </w:rPr>
            </w:pPr>
            <w:r>
              <w:rPr>
                <w:rFonts w:hint="default" w:ascii="Times New Roman" w:hAnsi="Times New Roman" w:eastAsia="宋体" w:cs="Times New Roman"/>
                <w:color w:val="auto"/>
                <w:sz w:val="21"/>
                <w:szCs w:val="21"/>
                <w:lang w:bidi="ar"/>
              </w:rPr>
              <w:t>氨</w:t>
            </w:r>
          </w:p>
        </w:tc>
        <w:tc>
          <w:tcPr>
            <w:tcW w:w="3473"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0.267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vMerge w:val="continue"/>
            <w:noWrap w:val="0"/>
            <w:tcMar>
              <w:left w:w="28" w:type="dxa"/>
              <w:right w:w="28" w:type="dxa"/>
            </w:tcMar>
          </w:tcPr>
          <w:p/>
        </w:tc>
        <w:tc>
          <w:tcPr>
            <w:vMerge w:val="continue"/>
            <w:noWrap w:val="0"/>
            <w:tcMar>
              <w:left w:w="28" w:type="dxa"/>
              <w:right w:w="28" w:type="dxa"/>
            </w:tcMar>
          </w:tcPr>
          <w:p/>
        </w:tc>
        <w:tc>
          <w:tcPr>
            <w:tcW w:w="2504"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color w:val="auto"/>
                <w:sz w:val="18"/>
                <w:szCs w:val="22"/>
              </w:rPr>
            </w:pPr>
            <w:r>
              <w:rPr>
                <w:rFonts w:hint="default" w:ascii="Times New Roman" w:hAnsi="Times New Roman" w:eastAsia="宋体" w:cs="Times New Roman"/>
                <w:color w:val="auto"/>
                <w:sz w:val="21"/>
                <w:szCs w:val="21"/>
                <w:lang w:bidi="ar"/>
              </w:rPr>
              <w:t>非甲烷总烃</w:t>
            </w:r>
          </w:p>
        </w:tc>
        <w:tc>
          <w:tcPr>
            <w:tcW w:w="3473"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bidi="ar"/>
              </w:rPr>
              <w:t>0.0</w:t>
            </w:r>
            <w:r>
              <w:rPr>
                <w:rFonts w:hint="eastAsia" w:ascii="Times New Roman" w:hAnsi="Times New Roman" w:eastAsia="宋体" w:cs="Times New Roman"/>
                <w:color w:val="auto"/>
                <w:sz w:val="21"/>
                <w:szCs w:val="21"/>
                <w:lang w:val="en-US" w:eastAsia="zh-CN" w:bidi="ar"/>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207" w:type="dxa"/>
            <w:gridSpan w:val="2"/>
            <w:vMerge w:val="restart"/>
            <w:noWrap w:val="0"/>
            <w:tcMar>
              <w:left w:w="28" w:type="dxa"/>
              <w:right w:w="28" w:type="dxa"/>
            </w:tcMar>
            <w:vAlign w:val="center"/>
          </w:tcPr>
          <w:p>
            <w:pPr>
              <w:autoSpaceDE w:val="0"/>
              <w:autoSpaceDN w:val="0"/>
              <w:adjustRightInd w:val="0"/>
              <w:snapToGrid w:val="0"/>
              <w:spacing w:line="240" w:lineRule="atLeast"/>
              <w:ind w:firstLine="0"/>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无组织排放统计</w:t>
            </w:r>
          </w:p>
        </w:tc>
        <w:tc>
          <w:tcPr>
            <w:tcW w:w="2504"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颗粒物</w:t>
            </w:r>
          </w:p>
        </w:tc>
        <w:tc>
          <w:tcPr>
            <w:tcW w:w="3473"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snapToGrid w:val="0"/>
                <w:color w:val="auto"/>
                <w:sz w:val="21"/>
                <w:szCs w:val="21"/>
              </w:rPr>
            </w:pPr>
            <w:r>
              <w:rPr>
                <w:rFonts w:hint="eastAsia" w:ascii="Times New Roman" w:hAnsi="Times New Roman" w:eastAsia="宋体" w:cs="Times New Roman"/>
                <w:color w:val="auto"/>
                <w:kern w:val="0"/>
                <w:sz w:val="21"/>
                <w:szCs w:val="21"/>
                <w:lang w:val="en-US" w:eastAsia="zh-CN" w:bidi="ar"/>
              </w:rPr>
              <w:t>0.072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gridSpan w:val="2"/>
            <w:vMerge w:val="continue"/>
            <w:noWrap w:val="0"/>
            <w:tcMar>
              <w:left w:w="28" w:type="dxa"/>
              <w:right w:w="28" w:type="dxa"/>
            </w:tcMar>
          </w:tcPr>
          <w:p/>
        </w:tc>
        <w:tc>
          <w:tcPr>
            <w:tcW w:w="2504"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氮氧化物</w:t>
            </w:r>
          </w:p>
        </w:tc>
        <w:tc>
          <w:tcPr>
            <w:tcW w:w="3473"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color w:val="auto"/>
                <w:sz w:val="21"/>
                <w:szCs w:val="21"/>
                <w:lang w:bidi="ar"/>
              </w:rPr>
              <w:t>0.333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gridSpan w:val="2"/>
            <w:vMerge w:val="continue"/>
            <w:noWrap w:val="0"/>
            <w:tcMar>
              <w:left w:w="28" w:type="dxa"/>
              <w:right w:w="28" w:type="dxa"/>
            </w:tcMar>
          </w:tcPr>
          <w:p/>
        </w:tc>
        <w:tc>
          <w:tcPr>
            <w:tcW w:w="2504"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氨气</w:t>
            </w:r>
          </w:p>
        </w:tc>
        <w:tc>
          <w:tcPr>
            <w:tcW w:w="3473"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color w:val="auto"/>
                <w:sz w:val="21"/>
                <w:szCs w:val="21"/>
                <w:lang w:bidi="ar"/>
              </w:rPr>
              <w:t>0.</w:t>
            </w:r>
            <w:r>
              <w:rPr>
                <w:rFonts w:hint="eastAsia" w:ascii="Times New Roman" w:hAnsi="Times New Roman" w:eastAsia="宋体" w:cs="Times New Roman"/>
                <w:color w:val="auto"/>
                <w:sz w:val="21"/>
                <w:szCs w:val="21"/>
                <w:lang w:val="en-US" w:eastAsia="zh-CN" w:bidi="ar"/>
              </w:rPr>
              <w:t>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gridSpan w:val="2"/>
            <w:vMerge w:val="continue"/>
            <w:noWrap w:val="0"/>
            <w:tcMar>
              <w:left w:w="28" w:type="dxa"/>
              <w:right w:w="28" w:type="dxa"/>
            </w:tcMar>
          </w:tcPr>
          <w:p/>
        </w:tc>
        <w:tc>
          <w:tcPr>
            <w:tcW w:w="2504"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甲醛</w:t>
            </w:r>
          </w:p>
        </w:tc>
        <w:tc>
          <w:tcPr>
            <w:tcW w:w="3473"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sz w:val="21"/>
                <w:szCs w:val="21"/>
                <w:lang w:bidi="ar"/>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gridSpan w:val="2"/>
            <w:vMerge w:val="continue"/>
            <w:noWrap w:val="0"/>
            <w:tcMar>
              <w:left w:w="28" w:type="dxa"/>
              <w:right w:w="28" w:type="dxa"/>
            </w:tcMar>
          </w:tcPr>
          <w:p/>
        </w:tc>
        <w:tc>
          <w:tcPr>
            <w:tcW w:w="2504" w:type="dxa"/>
            <w:noWrap w:val="0"/>
            <w:tcMar>
              <w:left w:w="28" w:type="dxa"/>
              <w:right w:w="28" w:type="dxa"/>
            </w:tcMar>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非甲烷总烃</w:t>
            </w:r>
          </w:p>
        </w:tc>
        <w:tc>
          <w:tcPr>
            <w:tcW w:w="3473" w:type="dxa"/>
            <w:noWrap w:val="0"/>
            <w:tcMar>
              <w:left w:w="28" w:type="dxa"/>
              <w:right w:w="28" w:type="dxa"/>
            </w:tcMar>
            <w:vAlign w:val="center"/>
          </w:tcPr>
          <w:p>
            <w:pPr>
              <w:widowControl/>
              <w:spacing w:line="300" w:lineRule="exact"/>
              <w:ind w:firstLine="0"/>
              <w:jc w:val="center"/>
              <w:textAlignment w:val="center"/>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lang w:bidi="ar"/>
              </w:rPr>
              <w:t>0.04</w:t>
            </w:r>
            <w:r>
              <w:rPr>
                <w:rFonts w:hint="eastAsia" w:ascii="Times New Roman" w:hAnsi="Times New Roman" w:eastAsia="宋体" w:cs="Times New Roman"/>
                <w:color w:val="auto"/>
                <w:sz w:val="21"/>
                <w:szCs w:val="21"/>
                <w:lang w:val="en-US" w:eastAsia="zh-CN" w:bidi="ar"/>
              </w:rPr>
              <w:t>4</w:t>
            </w:r>
          </w:p>
        </w:tc>
      </w:tr>
    </w:tbl>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color w:val="auto"/>
          <w:kern w:val="0"/>
          <w:sz w:val="30"/>
          <w:szCs w:val="30"/>
        </w:rPr>
        <w:t xml:space="preserve">5.2.4大气环境影响评价小结 </w:t>
      </w:r>
    </w:p>
    <w:p>
      <w:pPr>
        <w:keepNext w:val="0"/>
        <w:keepLines w:val="0"/>
        <w:pageBreakBefore w:val="0"/>
        <w:widowControl w:val="0"/>
        <w:kinsoku/>
        <w:wordWrap/>
        <w:overflowPunct/>
        <w:topLinePunct w:val="0"/>
        <w:autoSpaceDE/>
        <w:autoSpaceDN/>
        <w:bidi w:val="0"/>
        <w:snapToGrid w:val="0"/>
        <w:spacing w:line="360" w:lineRule="auto"/>
        <w:ind w:firstLine="48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（1）项目所在区域为环境空气达标区，根据AERMOD进一步预测结果，项目正常运行时，可满足以下条件：新增污染源氨、</w:t>
      </w:r>
      <w:r>
        <w:rPr>
          <w:rFonts w:hint="eastAsia" w:ascii="Times New Roman" w:hAnsi="Times New Roman" w:eastAsia="宋体" w:cs="Times New Roman"/>
          <w:color w:val="auto"/>
          <w:sz w:val="24"/>
          <w:szCs w:val="24"/>
          <w:lang w:val="en-US" w:eastAsia="zh-CN"/>
        </w:rPr>
        <w:t>甲醛、非甲烷总烃</w:t>
      </w:r>
      <w:r>
        <w:rPr>
          <w:rFonts w:hint="default" w:ascii="Times New Roman" w:hAnsi="Times New Roman" w:eastAsia="宋体" w:cs="Times New Roman"/>
          <w:color w:val="auto"/>
          <w:sz w:val="24"/>
          <w:szCs w:val="24"/>
        </w:rPr>
        <w:t>正常排放下污染物短期浓度贡献值的最大浓度占标率≤100%；NO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、PM</w:t>
      </w:r>
      <w:r>
        <w:rPr>
          <w:rFonts w:hint="default" w:ascii="Times New Roman" w:hAnsi="Times New Roman" w:eastAsia="宋体" w:cs="Times New Roman"/>
          <w:color w:val="auto"/>
          <w:sz w:val="24"/>
          <w:szCs w:val="24"/>
          <w:vertAlign w:val="subscript"/>
        </w:rPr>
        <w:t>10</w:t>
      </w:r>
      <w:r>
        <w:rPr>
          <w:rFonts w:hint="default" w:ascii="Times New Roman" w:hAnsi="Times New Roman" w:eastAsia="宋体" w:cs="Times New Roman"/>
          <w:color w:val="auto"/>
          <w:sz w:val="24"/>
          <w:szCs w:val="24"/>
        </w:rPr>
        <w:t>年均浓度最大贡献值占标率均小于30%。</w:t>
      </w:r>
    </w:p>
    <w:p>
      <w:pPr>
        <w:snapToGrid w:val="0"/>
        <w:spacing w:line="360" w:lineRule="auto"/>
        <w:ind w:firstLine="482"/>
        <w:rPr>
          <w:rFonts w:hint="default" w:ascii="Times New Roman" w:hAnsi="Times New Roman" w:eastAsia="宋体" w:cs="Times New Roman"/>
          <w:color w:val="000000"/>
          <w:sz w:val="23"/>
          <w:szCs w:val="22"/>
        </w:rPr>
      </w:pPr>
      <w:r>
        <w:rPr>
          <w:rFonts w:hint="default" w:ascii="Times New Roman" w:hAnsi="Times New Roman" w:eastAsia="宋体" w:cs="Times New Roman"/>
          <w:color w:val="000000"/>
          <w:sz w:val="24"/>
          <w:szCs w:val="24"/>
        </w:rPr>
        <w:t>项目环境影响符合环境功能区划。叠加现状浓度、区域在建、拟建项目的环境影响后，各污染物短期浓度均符合相应环境质量标准；故项目的大气环境影响可以接受。</w:t>
      </w:r>
      <w:r>
        <w:rPr>
          <w:rFonts w:hint="default" w:ascii="Times New Roman" w:hAnsi="Times New Roman" w:eastAsia="宋体" w:cs="Times New Roman"/>
          <w:color w:val="000000"/>
          <w:sz w:val="23"/>
          <w:szCs w:val="22"/>
        </w:rPr>
        <w:t xml:space="preserve"> </w:t>
      </w:r>
    </w:p>
    <w:p>
      <w:pPr>
        <w:adjustRightInd w:val="0"/>
        <w:snapToGrid w:val="0"/>
        <w:spacing w:line="360" w:lineRule="auto"/>
        <w:ind w:firstLine="482"/>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（2）环境防护距离</w:t>
      </w:r>
    </w:p>
    <w:p>
      <w:pPr>
        <w:snapToGrid w:val="0"/>
        <w:spacing w:line="360" w:lineRule="auto"/>
        <w:ind w:firstLine="482"/>
        <w:rPr>
          <w:rFonts w:hint="default" w:ascii="Times New Roman" w:hAnsi="Times New Roman" w:eastAsia="宋体" w:cs="Times New Roman"/>
          <w:color w:val="000000"/>
          <w:sz w:val="24"/>
        </w:rPr>
      </w:pPr>
      <w:r>
        <w:rPr>
          <w:rFonts w:hint="default" w:ascii="Times New Roman" w:hAnsi="Times New Roman" w:eastAsia="宋体" w:cs="Times New Roman"/>
          <w:sz w:val="24"/>
          <w:szCs w:val="24"/>
        </w:rPr>
        <w:t>按照环保部环函[2009]224号文划定原则，综合大气环境防护距离和卫生防护距离计算结果，本项目</w:t>
      </w:r>
      <w:r>
        <w:rPr>
          <w:rFonts w:hint="eastAsia" w:ascii="Times New Roman" w:hAnsi="Times New Roman" w:eastAsia="宋体" w:cs="Times New Roman"/>
          <w:sz w:val="24"/>
          <w:szCs w:val="24"/>
          <w:lang w:val="en-US" w:eastAsia="zh-CN"/>
        </w:rPr>
        <w:t>环境</w:t>
      </w:r>
      <w:r>
        <w:rPr>
          <w:rFonts w:hint="default" w:ascii="Times New Roman" w:hAnsi="Times New Roman" w:eastAsia="宋体" w:cs="Times New Roman"/>
          <w:sz w:val="24"/>
          <w:szCs w:val="24"/>
        </w:rPr>
        <w:t>防护距离为</w:t>
      </w:r>
      <w:r>
        <w:rPr>
          <w:rFonts w:hint="eastAsia" w:ascii="Times New Roman" w:hAnsi="Times New Roman" w:eastAsia="宋体" w:cs="Times New Roman"/>
          <w:sz w:val="24"/>
          <w:szCs w:val="24"/>
          <w:lang w:val="en-US" w:eastAsia="zh-CN"/>
        </w:rPr>
        <w:t>二号</w:t>
      </w:r>
      <w:r>
        <w:rPr>
          <w:rFonts w:hint="default" w:ascii="Times New Roman" w:hAnsi="Times New Roman" w:eastAsia="宋体" w:cs="Times New Roman"/>
          <w:color w:val="000000"/>
          <w:sz w:val="24"/>
          <w:szCs w:val="24"/>
        </w:rPr>
        <w:t>车间外100m、污水站外100m</w:t>
      </w:r>
      <w:r>
        <w:rPr>
          <w:rFonts w:hint="default" w:ascii="Times New Roman" w:hAnsi="Times New Roman" w:eastAsia="宋体" w:cs="Times New Roman"/>
          <w:sz w:val="24"/>
          <w:szCs w:val="24"/>
        </w:rPr>
        <w:t>的包络范围。其包络范围内无居民区等敏感目标，以后的建设中，不得新建设居住区、医院、学校等对大气环境敏感的保护目标。</w:t>
      </w:r>
    </w:p>
    <w:p>
      <w:pPr>
        <w:snapToGrid w:val="0"/>
        <w:spacing w:line="360" w:lineRule="auto"/>
        <w:ind w:firstLine="482"/>
        <w:rPr>
          <w:rFonts w:hint="default" w:ascii="Times New Roman" w:hAnsi="Times New Roman" w:eastAsia="宋体" w:cs="Times New Roman"/>
          <w:color w:val="000000"/>
          <w:sz w:val="24"/>
          <w:szCs w:val="24"/>
        </w:rPr>
        <w:sectPr>
          <w:pgSz w:w="11906" w:h="16838"/>
          <w:pgMar w:top="1418" w:right="1418" w:bottom="1418" w:left="1418" w:header="1191" w:footer="992" w:gutter="0"/>
          <w:pgNumType w:fmt="decimal"/>
          <w:cols w:space="720" w:num="1"/>
          <w:docGrid w:type="lines" w:linePitch="381" w:charSpace="0"/>
        </w:sectPr>
      </w:pPr>
      <w:r>
        <w:rPr>
          <w:rFonts w:hint="default" w:ascii="Times New Roman" w:hAnsi="Times New Roman" w:eastAsia="宋体" w:cs="Times New Roman"/>
          <w:color w:val="000000"/>
          <w:sz w:val="24"/>
          <w:szCs w:val="24"/>
        </w:rPr>
        <w:t>（3）本项目大气环境影响评价自查情况见下表。</w:t>
      </w:r>
    </w:p>
    <w:p>
      <w:pPr>
        <w:snapToGrid w:val="0"/>
        <w:spacing w:line="360" w:lineRule="auto"/>
        <w:ind w:firstLine="0"/>
        <w:jc w:val="center"/>
        <w:outlineLvl w:val="4"/>
        <w:rPr>
          <w:rFonts w:hint="default" w:ascii="Times New Roman" w:hAnsi="Times New Roman" w:eastAsia="黑体" w:cs="Times New Roman"/>
          <w:bCs/>
          <w:kern w:val="0"/>
          <w:sz w:val="24"/>
          <w:szCs w:val="24"/>
          <w:lang w:val="en-GB" w:eastAsia="zh-TW"/>
        </w:rPr>
      </w:pPr>
      <w:r>
        <w:rPr>
          <w:rFonts w:hint="default" w:ascii="Times New Roman" w:hAnsi="Times New Roman" w:eastAsia="黑体" w:cs="Times New Roman"/>
          <w:bCs/>
          <w:kern w:val="0"/>
          <w:sz w:val="24"/>
          <w:szCs w:val="24"/>
          <w:lang w:val="en-GB" w:eastAsia="zh-TW"/>
        </w:rPr>
        <w:t>表</w:t>
      </w:r>
      <w:r>
        <w:rPr>
          <w:rFonts w:hint="default" w:ascii="Times New Roman" w:hAnsi="Times New Roman" w:eastAsia="黑体" w:cs="Times New Roman"/>
          <w:bCs/>
          <w:kern w:val="0"/>
          <w:sz w:val="24"/>
          <w:szCs w:val="24"/>
        </w:rPr>
        <w:t>5.2-33</w:t>
      </w:r>
      <w:r>
        <w:rPr>
          <w:rFonts w:hint="default" w:ascii="Times New Roman" w:hAnsi="Times New Roman" w:eastAsia="黑体" w:cs="Times New Roman"/>
          <w:bCs/>
          <w:kern w:val="0"/>
          <w:sz w:val="24"/>
          <w:szCs w:val="24"/>
          <w:lang w:val="en-GB" w:eastAsia="zh-TW"/>
        </w:rPr>
        <w:t>大气环境影响评价自查表</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86"/>
        <w:gridCol w:w="1896"/>
        <w:gridCol w:w="936"/>
        <w:gridCol w:w="774"/>
        <w:gridCol w:w="114"/>
        <w:gridCol w:w="1275"/>
        <w:gridCol w:w="275"/>
        <w:gridCol w:w="130"/>
        <w:gridCol w:w="817"/>
        <w:gridCol w:w="329"/>
        <w:gridCol w:w="356"/>
        <w:gridCol w:w="268"/>
        <w:gridCol w:w="231"/>
        <w:gridCol w:w="442"/>
        <w:gridCol w:w="6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2482" w:type="dxa"/>
            <w:gridSpan w:val="2"/>
            <w:noWrap w:val="0"/>
            <w:vAlign w:val="center"/>
          </w:tcPr>
          <w:p>
            <w:pPr>
              <w:widowControl/>
              <w:adjustRightInd w:val="0"/>
              <w:snapToGrid w:val="0"/>
              <w:spacing w:line="240" w:lineRule="auto"/>
              <w:ind w:firstLine="48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工作内容</w:t>
            </w:r>
          </w:p>
        </w:tc>
        <w:tc>
          <w:tcPr>
            <w:tcW w:w="6601" w:type="dxa"/>
            <w:gridSpan w:val="13"/>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86" w:type="dxa"/>
            <w:vMerge w:val="restart"/>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评价等级、范围</w:t>
            </w: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评价等级</w:t>
            </w:r>
          </w:p>
        </w:tc>
        <w:tc>
          <w:tcPr>
            <w:tcW w:w="1824" w:type="dxa"/>
            <w:gridSpan w:val="3"/>
            <w:noWrap w:val="0"/>
            <w:vAlign w:val="center"/>
          </w:tcPr>
          <w:p>
            <w:pPr>
              <w:widowControl/>
              <w:adjustRightInd w:val="0"/>
              <w:snapToGrid w:val="0"/>
              <w:spacing w:line="240" w:lineRule="atLeast"/>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一级</w:t>
            </w:r>
            <w:r>
              <w:rPr>
                <w:rFonts w:hint="default" w:ascii="Times New Roman" w:hAnsi="Times New Roman" w:eastAsia="宋体" w:cs="Times New Roman"/>
                <w:bCs/>
                <w:color w:val="000000"/>
                <w:kern w:val="44"/>
                <w:sz w:val="21"/>
                <w:szCs w:val="21"/>
                <w:lang w:bidi="ar"/>
              </w:rPr>
              <w:fldChar w:fldCharType="begin"/>
            </w:r>
            <w:r>
              <w:rPr>
                <w:rFonts w:hint="default" w:ascii="Times New Roman" w:hAnsi="Times New Roman" w:eastAsia="宋体" w:cs="Times New Roman"/>
                <w:bCs/>
                <w:color w:val="000000"/>
                <w:kern w:val="44"/>
                <w:sz w:val="21"/>
                <w:szCs w:val="21"/>
                <w:lang w:bidi="ar"/>
              </w:rPr>
              <w:instrText xml:space="preserve"> eq \o\ac(□,</w:instrText>
            </w:r>
            <w:r>
              <w:rPr>
                <w:rFonts w:hint="default" w:ascii="Times New Roman" w:hAnsi="Times New Roman" w:eastAsia="宋体" w:cs="Times New Roman"/>
                <w:bCs/>
                <w:color w:val="000000"/>
                <w:kern w:val="44"/>
                <w:position w:val="1"/>
                <w:sz w:val="14"/>
                <w:szCs w:val="21"/>
                <w:lang w:bidi="ar"/>
              </w:rPr>
              <w:instrText xml:space="preserve">√</w:instrText>
            </w:r>
            <w:r>
              <w:rPr>
                <w:rFonts w:hint="default" w:ascii="Times New Roman" w:hAnsi="Times New Roman" w:eastAsia="宋体" w:cs="Times New Roman"/>
                <w:bCs/>
                <w:color w:val="000000"/>
                <w:kern w:val="44"/>
                <w:sz w:val="21"/>
                <w:szCs w:val="21"/>
                <w:lang w:bidi="ar"/>
              </w:rPr>
              <w:instrText xml:space="preserve">)</w:instrText>
            </w:r>
            <w:r>
              <w:rPr>
                <w:rFonts w:hint="default" w:ascii="Times New Roman" w:hAnsi="Times New Roman" w:eastAsia="宋体" w:cs="Times New Roman"/>
                <w:bCs/>
                <w:color w:val="000000"/>
                <w:kern w:val="44"/>
                <w:sz w:val="21"/>
                <w:szCs w:val="21"/>
                <w:lang w:bidi="ar"/>
              </w:rPr>
              <w:fldChar w:fldCharType="end"/>
            </w:r>
          </w:p>
        </w:tc>
        <w:tc>
          <w:tcPr>
            <w:tcW w:w="2826" w:type="dxa"/>
            <w:gridSpan w:val="5"/>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二级□</w:t>
            </w:r>
          </w:p>
        </w:tc>
        <w:tc>
          <w:tcPr>
            <w:tcW w:w="1951" w:type="dxa"/>
            <w:gridSpan w:val="5"/>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vMerge w:val="continue"/>
            <w:noWrap w:val="0"/>
          </w:tcP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评价范围</w:t>
            </w:r>
          </w:p>
        </w:tc>
        <w:tc>
          <w:tcPr>
            <w:tcW w:w="1824" w:type="dxa"/>
            <w:gridSpan w:val="3"/>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边长=50km□</w:t>
            </w:r>
          </w:p>
        </w:tc>
        <w:tc>
          <w:tcPr>
            <w:tcW w:w="2826" w:type="dxa"/>
            <w:gridSpan w:val="5"/>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边长5~50km□</w:t>
            </w:r>
          </w:p>
        </w:tc>
        <w:tc>
          <w:tcPr>
            <w:tcW w:w="1951" w:type="dxa"/>
            <w:gridSpan w:val="5"/>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边长=5km</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86" w:type="dxa"/>
            <w:vMerge w:val="restart"/>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评价因子</w:t>
            </w: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SO</w:t>
            </w:r>
            <w:r>
              <w:rPr>
                <w:rFonts w:hint="default" w:ascii="Times New Roman" w:hAnsi="Times New Roman" w:eastAsia="宋体" w:cs="Times New Roman"/>
                <w:color w:val="000000"/>
                <w:spacing w:val="-10"/>
                <w:kern w:val="0"/>
                <w:sz w:val="21"/>
                <w:szCs w:val="21"/>
                <w:vertAlign w:val="subscript"/>
              </w:rPr>
              <w:t>2</w:t>
            </w:r>
            <w:r>
              <w:rPr>
                <w:rFonts w:hint="default" w:ascii="Times New Roman" w:hAnsi="Times New Roman" w:eastAsia="宋体" w:cs="Times New Roman"/>
                <w:color w:val="000000"/>
                <w:spacing w:val="-10"/>
                <w:kern w:val="0"/>
                <w:sz w:val="21"/>
                <w:szCs w:val="21"/>
              </w:rPr>
              <w:t>+NOx排放量</w:t>
            </w:r>
          </w:p>
        </w:tc>
        <w:tc>
          <w:tcPr>
            <w:tcW w:w="1824" w:type="dxa"/>
            <w:gridSpan w:val="3"/>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≥2000t/a□</w:t>
            </w:r>
          </w:p>
        </w:tc>
        <w:tc>
          <w:tcPr>
            <w:tcW w:w="2826" w:type="dxa"/>
            <w:gridSpan w:val="5"/>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500~2000t/a□</w:t>
            </w:r>
          </w:p>
        </w:tc>
        <w:tc>
          <w:tcPr>
            <w:tcW w:w="1951" w:type="dxa"/>
            <w:gridSpan w:val="5"/>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＜500t/a</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vMerge w:val="continue"/>
            <w:noWrap w:val="0"/>
          </w:tcP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评价因子</w:t>
            </w:r>
          </w:p>
        </w:tc>
        <w:tc>
          <w:tcPr>
            <w:tcW w:w="4650" w:type="dxa"/>
            <w:gridSpan w:val="8"/>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基本污染物（PM</w:t>
            </w:r>
            <w:r>
              <w:rPr>
                <w:rFonts w:hint="default" w:ascii="Times New Roman" w:hAnsi="Times New Roman" w:eastAsia="宋体" w:cs="Times New Roman"/>
                <w:color w:val="000000"/>
                <w:spacing w:val="-10"/>
                <w:kern w:val="0"/>
                <w:sz w:val="21"/>
                <w:szCs w:val="21"/>
                <w:vertAlign w:val="subscript"/>
              </w:rPr>
              <w:t>10</w:t>
            </w:r>
            <w:r>
              <w:rPr>
                <w:rFonts w:hint="default" w:ascii="Times New Roman" w:hAnsi="Times New Roman" w:eastAsia="宋体" w:cs="Times New Roman"/>
                <w:color w:val="000000"/>
                <w:spacing w:val="-10"/>
                <w:kern w:val="0"/>
                <w:sz w:val="21"/>
                <w:szCs w:val="21"/>
              </w:rPr>
              <w:t>、SO</w:t>
            </w:r>
            <w:r>
              <w:rPr>
                <w:rFonts w:hint="default" w:ascii="Times New Roman" w:hAnsi="Times New Roman" w:eastAsia="宋体" w:cs="Times New Roman"/>
                <w:color w:val="000000"/>
                <w:spacing w:val="-10"/>
                <w:kern w:val="0"/>
                <w:sz w:val="21"/>
                <w:szCs w:val="21"/>
                <w:vertAlign w:val="subscript"/>
              </w:rPr>
              <w:t>2</w:t>
            </w:r>
            <w:r>
              <w:rPr>
                <w:rFonts w:hint="default" w:ascii="Times New Roman" w:hAnsi="Times New Roman" w:eastAsia="宋体" w:cs="Times New Roman"/>
                <w:color w:val="000000"/>
                <w:spacing w:val="-10"/>
                <w:kern w:val="0"/>
                <w:sz w:val="21"/>
                <w:szCs w:val="21"/>
              </w:rPr>
              <w:t>、NO</w:t>
            </w:r>
            <w:r>
              <w:rPr>
                <w:rFonts w:hint="default" w:ascii="Times New Roman" w:hAnsi="Times New Roman" w:eastAsia="宋体" w:cs="Times New Roman"/>
                <w:color w:val="000000"/>
                <w:spacing w:val="-10"/>
                <w:kern w:val="0"/>
                <w:sz w:val="21"/>
                <w:szCs w:val="21"/>
                <w:vertAlign w:val="subscript"/>
              </w:rPr>
              <w:t>2</w:t>
            </w:r>
            <w:r>
              <w:rPr>
                <w:rFonts w:hint="default" w:ascii="Times New Roman" w:hAnsi="Times New Roman" w:eastAsia="宋体" w:cs="Times New Roman"/>
                <w:color w:val="000000"/>
                <w:spacing w:val="-10"/>
                <w:kern w:val="0"/>
                <w:sz w:val="21"/>
                <w:szCs w:val="21"/>
              </w:rPr>
              <w:t>、PM</w:t>
            </w:r>
            <w:r>
              <w:rPr>
                <w:rFonts w:hint="default" w:ascii="Times New Roman" w:hAnsi="Times New Roman" w:eastAsia="宋体" w:cs="Times New Roman"/>
                <w:color w:val="000000"/>
                <w:spacing w:val="-10"/>
                <w:kern w:val="0"/>
                <w:sz w:val="21"/>
                <w:szCs w:val="21"/>
                <w:vertAlign w:val="subscript"/>
              </w:rPr>
              <w:t>2.5</w:t>
            </w:r>
            <w:r>
              <w:rPr>
                <w:rFonts w:hint="default" w:ascii="Times New Roman" w:hAnsi="Times New Roman" w:eastAsia="宋体" w:cs="Times New Roman"/>
                <w:color w:val="000000"/>
                <w:spacing w:val="-10"/>
                <w:kern w:val="0"/>
                <w:sz w:val="21"/>
                <w:szCs w:val="21"/>
              </w:rPr>
              <w:t>、CO和O</w:t>
            </w:r>
            <w:r>
              <w:rPr>
                <w:rFonts w:hint="default" w:ascii="Times New Roman" w:hAnsi="Times New Roman" w:eastAsia="宋体" w:cs="Times New Roman"/>
                <w:color w:val="000000"/>
                <w:spacing w:val="-10"/>
                <w:kern w:val="0"/>
                <w:sz w:val="21"/>
                <w:szCs w:val="21"/>
                <w:vertAlign w:val="subscript"/>
              </w:rPr>
              <w:t>3</w:t>
            </w:r>
            <w:r>
              <w:rPr>
                <w:rFonts w:hint="default" w:ascii="Times New Roman" w:hAnsi="Times New Roman" w:eastAsia="宋体" w:cs="Times New Roman"/>
                <w:color w:val="000000"/>
                <w:spacing w:val="-10"/>
                <w:kern w:val="0"/>
                <w:sz w:val="21"/>
                <w:szCs w:val="21"/>
              </w:rPr>
              <w:t>）</w:t>
            </w:r>
          </w:p>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其他污染物（氨、甲醛、NMHC、臭气浓度）</w:t>
            </w:r>
          </w:p>
        </w:tc>
        <w:tc>
          <w:tcPr>
            <w:tcW w:w="1951" w:type="dxa"/>
            <w:gridSpan w:val="5"/>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包括二次PM</w:t>
            </w:r>
            <w:r>
              <w:rPr>
                <w:rFonts w:hint="default" w:ascii="Times New Roman" w:hAnsi="Times New Roman" w:eastAsia="宋体" w:cs="Times New Roman"/>
                <w:color w:val="000000"/>
                <w:spacing w:val="-10"/>
                <w:kern w:val="0"/>
                <w:sz w:val="21"/>
                <w:szCs w:val="21"/>
                <w:vertAlign w:val="subscript"/>
              </w:rPr>
              <w:t>2.5</w:t>
            </w:r>
            <w:r>
              <w:rPr>
                <w:rFonts w:hint="default" w:ascii="Times New Roman" w:hAnsi="Times New Roman" w:eastAsia="宋体" w:cs="Times New Roman"/>
                <w:color w:val="000000"/>
                <w:spacing w:val="-10"/>
                <w:kern w:val="0"/>
                <w:sz w:val="21"/>
                <w:szCs w:val="21"/>
              </w:rPr>
              <w:t>□</w:t>
            </w:r>
          </w:p>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不包括二次PM</w:t>
            </w:r>
            <w:r>
              <w:rPr>
                <w:rFonts w:hint="default" w:ascii="Times New Roman" w:hAnsi="Times New Roman" w:eastAsia="宋体" w:cs="Times New Roman"/>
                <w:color w:val="000000"/>
                <w:spacing w:val="-10"/>
                <w:kern w:val="0"/>
                <w:sz w:val="21"/>
                <w:szCs w:val="21"/>
                <w:vertAlign w:val="subscript"/>
              </w:rPr>
              <w:t>2.5</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8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评价标准</w:t>
            </w: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评价标准</w:t>
            </w:r>
          </w:p>
        </w:tc>
        <w:tc>
          <w:tcPr>
            <w:tcW w:w="1824" w:type="dxa"/>
            <w:gridSpan w:val="3"/>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国家标准</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c>
          <w:tcPr>
            <w:tcW w:w="1275"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地方标准□</w:t>
            </w:r>
          </w:p>
        </w:tc>
        <w:tc>
          <w:tcPr>
            <w:tcW w:w="1551" w:type="dxa"/>
            <w:gridSpan w:val="4"/>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附录D</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c>
          <w:tcPr>
            <w:tcW w:w="1951" w:type="dxa"/>
            <w:gridSpan w:val="5"/>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其他标准</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86" w:type="dxa"/>
            <w:vMerge w:val="restart"/>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现状评价</w:t>
            </w: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环境功能区</w:t>
            </w:r>
          </w:p>
        </w:tc>
        <w:tc>
          <w:tcPr>
            <w:tcW w:w="1824" w:type="dxa"/>
            <w:gridSpan w:val="3"/>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一类区□</w:t>
            </w:r>
          </w:p>
        </w:tc>
        <w:tc>
          <w:tcPr>
            <w:tcW w:w="2826" w:type="dxa"/>
            <w:gridSpan w:val="5"/>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二类区</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c>
          <w:tcPr>
            <w:tcW w:w="1951" w:type="dxa"/>
            <w:gridSpan w:val="5"/>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一类区和二类区□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vMerge w:val="continue"/>
            <w:noWrap w:val="0"/>
          </w:tcP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评价基准年</w:t>
            </w:r>
          </w:p>
        </w:tc>
        <w:tc>
          <w:tcPr>
            <w:tcW w:w="6601" w:type="dxa"/>
            <w:gridSpan w:val="13"/>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（2020）年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vMerge w:val="continue"/>
            <w:noWrap w:val="0"/>
          </w:tcP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环境空气质量现状调查数据来源</w:t>
            </w:r>
          </w:p>
        </w:tc>
        <w:tc>
          <w:tcPr>
            <w:tcW w:w="1824" w:type="dxa"/>
            <w:gridSpan w:val="3"/>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长期例行监测数据□</w:t>
            </w:r>
          </w:p>
        </w:tc>
        <w:tc>
          <w:tcPr>
            <w:tcW w:w="2826" w:type="dxa"/>
            <w:gridSpan w:val="5"/>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主管部门发布的数据</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c>
          <w:tcPr>
            <w:tcW w:w="1951" w:type="dxa"/>
            <w:gridSpan w:val="5"/>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现状补充监测</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vMerge w:val="continue"/>
            <w:noWrap w:val="0"/>
          </w:tcP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现状评价</w:t>
            </w:r>
          </w:p>
        </w:tc>
        <w:tc>
          <w:tcPr>
            <w:tcW w:w="3504" w:type="dxa"/>
            <w:gridSpan w:val="6"/>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达标区</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c>
          <w:tcPr>
            <w:tcW w:w="3097" w:type="dxa"/>
            <w:gridSpan w:val="7"/>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不达标区□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8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污染源调查</w:t>
            </w: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调查内容</w:t>
            </w:r>
          </w:p>
        </w:tc>
        <w:tc>
          <w:tcPr>
            <w:tcW w:w="1824" w:type="dxa"/>
            <w:gridSpan w:val="3"/>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本项目正常排放源</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本项目非正常排放源</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现有污染源□</w:t>
            </w:r>
          </w:p>
        </w:tc>
        <w:tc>
          <w:tcPr>
            <w:tcW w:w="1680" w:type="dxa"/>
            <w:gridSpan w:val="3"/>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拟替代的污染源□</w:t>
            </w:r>
          </w:p>
        </w:tc>
        <w:tc>
          <w:tcPr>
            <w:tcW w:w="2001" w:type="dxa"/>
            <w:gridSpan w:val="5"/>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其他在建、拟建项目污染源</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c>
          <w:tcPr>
            <w:tcW w:w="1096" w:type="dxa"/>
            <w:gridSpan w:val="2"/>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区域污染源</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86" w:type="dxa"/>
            <w:vMerge w:val="restart"/>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大气环境影响预测与评价</w:t>
            </w: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预测模型</w:t>
            </w:r>
          </w:p>
        </w:tc>
        <w:tc>
          <w:tcPr>
            <w:tcW w:w="93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AERMOD</w:t>
            </w:r>
          </w:p>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c>
          <w:tcPr>
            <w:tcW w:w="888" w:type="dxa"/>
            <w:gridSpan w:val="2"/>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ADMS</w:t>
            </w:r>
          </w:p>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w:t>
            </w:r>
          </w:p>
        </w:tc>
        <w:tc>
          <w:tcPr>
            <w:tcW w:w="1275"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AUSRAL2000</w:t>
            </w:r>
          </w:p>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w:t>
            </w:r>
          </w:p>
        </w:tc>
        <w:tc>
          <w:tcPr>
            <w:tcW w:w="1222" w:type="dxa"/>
            <w:gridSpan w:val="3"/>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EDMS/AEDT</w:t>
            </w:r>
          </w:p>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w:t>
            </w:r>
          </w:p>
        </w:tc>
        <w:tc>
          <w:tcPr>
            <w:tcW w:w="953" w:type="dxa"/>
            <w:gridSpan w:val="3"/>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CALPUFF</w:t>
            </w:r>
          </w:p>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w:t>
            </w:r>
          </w:p>
        </w:tc>
        <w:tc>
          <w:tcPr>
            <w:tcW w:w="673" w:type="dxa"/>
            <w:gridSpan w:val="2"/>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网络模型□</w:t>
            </w:r>
          </w:p>
        </w:tc>
        <w:tc>
          <w:tcPr>
            <w:tcW w:w="654"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其他</w:t>
            </w:r>
          </w:p>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vMerge w:val="continue"/>
            <w:noWrap w:val="0"/>
          </w:tcP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预测范围</w:t>
            </w:r>
          </w:p>
        </w:tc>
        <w:tc>
          <w:tcPr>
            <w:tcW w:w="1824" w:type="dxa"/>
            <w:gridSpan w:val="3"/>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边长=50km□</w:t>
            </w:r>
          </w:p>
        </w:tc>
        <w:tc>
          <w:tcPr>
            <w:tcW w:w="2826" w:type="dxa"/>
            <w:gridSpan w:val="5"/>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边长5~50km□</w:t>
            </w:r>
          </w:p>
        </w:tc>
        <w:tc>
          <w:tcPr>
            <w:tcW w:w="1951" w:type="dxa"/>
            <w:gridSpan w:val="5"/>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边长=5km</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vMerge w:val="continue"/>
            <w:noWrap w:val="0"/>
          </w:tcP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预测因子</w:t>
            </w:r>
          </w:p>
        </w:tc>
        <w:tc>
          <w:tcPr>
            <w:tcW w:w="3504" w:type="dxa"/>
            <w:gridSpan w:val="6"/>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预测因子（氮氧化物</w:t>
            </w:r>
            <w:r>
              <w:rPr>
                <w:rFonts w:hint="default" w:ascii="Times New Roman" w:hAnsi="Times New Roman" w:eastAsia="宋体" w:cs="Times New Roman"/>
                <w:color w:val="000000"/>
                <w:spacing w:val="-10"/>
                <w:kern w:val="0"/>
                <w:sz w:val="21"/>
                <w:szCs w:val="21"/>
                <w:lang w:val="zh-TW" w:eastAsia="zh-TW"/>
              </w:rPr>
              <w:t>、非甲烷总烃</w:t>
            </w:r>
            <w:r>
              <w:rPr>
                <w:rFonts w:hint="default" w:ascii="Times New Roman" w:hAnsi="Times New Roman" w:eastAsia="宋体" w:cs="Times New Roman"/>
                <w:color w:val="000000"/>
                <w:spacing w:val="-10"/>
                <w:kern w:val="0"/>
                <w:sz w:val="21"/>
                <w:szCs w:val="21"/>
                <w:lang w:val="zh-TW"/>
              </w:rPr>
              <w:t>、</w:t>
            </w:r>
            <w:r>
              <w:rPr>
                <w:rFonts w:hint="default" w:ascii="Times New Roman" w:hAnsi="Times New Roman" w:eastAsia="宋体" w:cs="Times New Roman"/>
                <w:color w:val="000000"/>
                <w:spacing w:val="-10"/>
                <w:kern w:val="0"/>
                <w:sz w:val="21"/>
                <w:szCs w:val="21"/>
              </w:rPr>
              <w:t>甲醛、颗粒物、氨）</w:t>
            </w:r>
          </w:p>
        </w:tc>
        <w:tc>
          <w:tcPr>
            <w:tcW w:w="3097" w:type="dxa"/>
            <w:gridSpan w:val="7"/>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包括二次PM</w:t>
            </w:r>
            <w:r>
              <w:rPr>
                <w:rFonts w:hint="default" w:ascii="Times New Roman" w:hAnsi="Times New Roman" w:eastAsia="宋体" w:cs="Times New Roman"/>
                <w:color w:val="000000"/>
                <w:spacing w:val="-10"/>
                <w:kern w:val="0"/>
                <w:sz w:val="21"/>
                <w:szCs w:val="21"/>
                <w:vertAlign w:val="subscript"/>
              </w:rPr>
              <w:t>2.5</w:t>
            </w:r>
            <w:r>
              <w:rPr>
                <w:rFonts w:hint="default" w:ascii="Times New Roman" w:hAnsi="Times New Roman" w:eastAsia="宋体" w:cs="Times New Roman"/>
                <w:color w:val="000000"/>
                <w:spacing w:val="-10"/>
                <w:kern w:val="0"/>
                <w:sz w:val="21"/>
                <w:szCs w:val="21"/>
              </w:rPr>
              <w:t>□</w:t>
            </w:r>
          </w:p>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不包括二次PM</w:t>
            </w:r>
            <w:r>
              <w:rPr>
                <w:rFonts w:hint="default" w:ascii="Times New Roman" w:hAnsi="Times New Roman" w:eastAsia="宋体" w:cs="Times New Roman"/>
                <w:color w:val="000000"/>
                <w:spacing w:val="-10"/>
                <w:kern w:val="0"/>
                <w:sz w:val="21"/>
                <w:szCs w:val="21"/>
                <w:vertAlign w:val="subscript"/>
              </w:rPr>
              <w:t>2.5</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vMerge w:val="continue"/>
            <w:noWrap w:val="0"/>
          </w:tcP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正常排放短期浓度贡献值</w:t>
            </w:r>
          </w:p>
        </w:tc>
        <w:tc>
          <w:tcPr>
            <w:tcW w:w="3504" w:type="dxa"/>
            <w:gridSpan w:val="6"/>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C</w:t>
            </w:r>
            <w:r>
              <w:rPr>
                <w:rFonts w:hint="default" w:ascii="Times New Roman" w:hAnsi="Times New Roman" w:eastAsia="宋体" w:cs="Times New Roman"/>
                <w:color w:val="000000"/>
                <w:spacing w:val="-10"/>
                <w:kern w:val="0"/>
                <w:sz w:val="21"/>
                <w:szCs w:val="21"/>
                <w:vertAlign w:val="subscript"/>
              </w:rPr>
              <w:t>本项目</w:t>
            </w:r>
            <w:r>
              <w:rPr>
                <w:rFonts w:hint="default" w:ascii="Times New Roman" w:hAnsi="Times New Roman" w:eastAsia="宋体" w:cs="Times New Roman"/>
                <w:color w:val="000000"/>
                <w:spacing w:val="-10"/>
                <w:kern w:val="0"/>
                <w:sz w:val="21"/>
                <w:szCs w:val="21"/>
              </w:rPr>
              <w:t>最大占标率≤100%</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c>
          <w:tcPr>
            <w:tcW w:w="3097" w:type="dxa"/>
            <w:gridSpan w:val="7"/>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C</w:t>
            </w:r>
            <w:r>
              <w:rPr>
                <w:rFonts w:hint="default" w:ascii="Times New Roman" w:hAnsi="Times New Roman" w:eastAsia="宋体" w:cs="Times New Roman"/>
                <w:color w:val="000000"/>
                <w:spacing w:val="-10"/>
                <w:kern w:val="0"/>
                <w:sz w:val="21"/>
                <w:szCs w:val="21"/>
                <w:vertAlign w:val="subscript"/>
              </w:rPr>
              <w:t>本项目</w:t>
            </w:r>
            <w:r>
              <w:rPr>
                <w:rFonts w:hint="default" w:ascii="Times New Roman" w:hAnsi="Times New Roman" w:eastAsia="宋体" w:cs="Times New Roman"/>
                <w:color w:val="000000"/>
                <w:spacing w:val="-10"/>
                <w:kern w:val="0"/>
                <w:sz w:val="21"/>
                <w:szCs w:val="21"/>
              </w:rPr>
              <w:t>最大占标率＞100%□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vMerge w:val="continue"/>
            <w:noWrap w:val="0"/>
          </w:tcPr>
          <w:p/>
        </w:tc>
        <w:tc>
          <w:tcPr>
            <w:tcW w:w="1896" w:type="dxa"/>
            <w:vMerge w:val="restart"/>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正常排放年均浓度贡献值</w:t>
            </w:r>
          </w:p>
        </w:tc>
        <w:tc>
          <w:tcPr>
            <w:tcW w:w="93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一类区</w:t>
            </w:r>
          </w:p>
        </w:tc>
        <w:tc>
          <w:tcPr>
            <w:tcW w:w="2568" w:type="dxa"/>
            <w:gridSpan w:val="5"/>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C</w:t>
            </w:r>
            <w:r>
              <w:rPr>
                <w:rFonts w:hint="default" w:ascii="Times New Roman" w:hAnsi="Times New Roman" w:eastAsia="宋体" w:cs="Times New Roman"/>
                <w:color w:val="000000"/>
                <w:spacing w:val="-10"/>
                <w:kern w:val="0"/>
                <w:sz w:val="21"/>
                <w:szCs w:val="21"/>
                <w:vertAlign w:val="subscript"/>
              </w:rPr>
              <w:t>本项目</w:t>
            </w:r>
            <w:r>
              <w:rPr>
                <w:rFonts w:hint="default" w:ascii="Times New Roman" w:hAnsi="Times New Roman" w:eastAsia="宋体" w:cs="Times New Roman"/>
                <w:color w:val="000000"/>
                <w:spacing w:val="-10"/>
                <w:kern w:val="0"/>
                <w:sz w:val="21"/>
                <w:szCs w:val="21"/>
              </w:rPr>
              <w:t>最大占标率≤10%□</w:t>
            </w:r>
          </w:p>
        </w:tc>
        <w:tc>
          <w:tcPr>
            <w:tcW w:w="3097" w:type="dxa"/>
            <w:gridSpan w:val="7"/>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C</w:t>
            </w:r>
            <w:r>
              <w:rPr>
                <w:rFonts w:hint="default" w:ascii="Times New Roman" w:hAnsi="Times New Roman" w:eastAsia="宋体" w:cs="Times New Roman"/>
                <w:color w:val="000000"/>
                <w:spacing w:val="-10"/>
                <w:kern w:val="0"/>
                <w:sz w:val="21"/>
                <w:szCs w:val="21"/>
                <w:vertAlign w:val="subscript"/>
              </w:rPr>
              <w:t>本项目</w:t>
            </w:r>
            <w:r>
              <w:rPr>
                <w:rFonts w:hint="default" w:ascii="Times New Roman" w:hAnsi="Times New Roman" w:eastAsia="宋体" w:cs="Times New Roman"/>
                <w:color w:val="000000"/>
                <w:spacing w:val="-10"/>
                <w:kern w:val="0"/>
                <w:sz w:val="21"/>
                <w:szCs w:val="21"/>
              </w:rPr>
              <w:t>最大占标率＞10%□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vMerge w:val="continue"/>
            <w:noWrap w:val="0"/>
          </w:tcPr>
          <w:p/>
        </w:tc>
        <w:tc>
          <w:tcPr>
            <w:vMerge w:val="continue"/>
            <w:noWrap w:val="0"/>
          </w:tcPr>
          <w:p/>
        </w:tc>
        <w:tc>
          <w:tcPr>
            <w:tcW w:w="93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二类区</w:t>
            </w:r>
          </w:p>
        </w:tc>
        <w:tc>
          <w:tcPr>
            <w:tcW w:w="2568" w:type="dxa"/>
            <w:gridSpan w:val="5"/>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C</w:t>
            </w:r>
            <w:r>
              <w:rPr>
                <w:rFonts w:hint="default" w:ascii="Times New Roman" w:hAnsi="Times New Roman" w:eastAsia="宋体" w:cs="Times New Roman"/>
                <w:color w:val="000000"/>
                <w:spacing w:val="-10"/>
                <w:kern w:val="0"/>
                <w:sz w:val="21"/>
                <w:szCs w:val="21"/>
                <w:vertAlign w:val="subscript"/>
              </w:rPr>
              <w:t>本项目</w:t>
            </w:r>
            <w:r>
              <w:rPr>
                <w:rFonts w:hint="default" w:ascii="Times New Roman" w:hAnsi="Times New Roman" w:eastAsia="宋体" w:cs="Times New Roman"/>
                <w:color w:val="000000"/>
                <w:spacing w:val="-10"/>
                <w:kern w:val="0"/>
                <w:sz w:val="21"/>
                <w:szCs w:val="21"/>
              </w:rPr>
              <w:t>最大占标率≤30%□</w:t>
            </w:r>
          </w:p>
        </w:tc>
        <w:tc>
          <w:tcPr>
            <w:tcW w:w="3097" w:type="dxa"/>
            <w:gridSpan w:val="7"/>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C</w:t>
            </w:r>
            <w:r>
              <w:rPr>
                <w:rFonts w:hint="default" w:ascii="Times New Roman" w:hAnsi="Times New Roman" w:eastAsia="宋体" w:cs="Times New Roman"/>
                <w:color w:val="000000"/>
                <w:spacing w:val="-10"/>
                <w:kern w:val="0"/>
                <w:sz w:val="21"/>
                <w:szCs w:val="21"/>
                <w:vertAlign w:val="subscript"/>
              </w:rPr>
              <w:t>本项目</w:t>
            </w:r>
            <w:r>
              <w:rPr>
                <w:rFonts w:hint="default" w:ascii="Times New Roman" w:hAnsi="Times New Roman" w:eastAsia="宋体" w:cs="Times New Roman"/>
                <w:color w:val="000000"/>
                <w:spacing w:val="-10"/>
                <w:kern w:val="0"/>
                <w:sz w:val="21"/>
                <w:szCs w:val="21"/>
              </w:rPr>
              <w:t>最大占标率＞30%</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vMerge w:val="continue"/>
            <w:noWrap w:val="0"/>
          </w:tcP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非正常排放1h浓度贡献值</w:t>
            </w:r>
          </w:p>
        </w:tc>
        <w:tc>
          <w:tcPr>
            <w:tcW w:w="1824" w:type="dxa"/>
            <w:gridSpan w:val="3"/>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非正常持续时长（1）h</w:t>
            </w:r>
          </w:p>
        </w:tc>
        <w:tc>
          <w:tcPr>
            <w:tcW w:w="3450" w:type="dxa"/>
            <w:gridSpan w:val="7"/>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C</w:t>
            </w:r>
            <w:r>
              <w:rPr>
                <w:rFonts w:hint="default" w:ascii="Times New Roman" w:hAnsi="Times New Roman" w:eastAsia="宋体" w:cs="Times New Roman"/>
                <w:color w:val="000000"/>
                <w:spacing w:val="-10"/>
                <w:kern w:val="0"/>
                <w:sz w:val="21"/>
                <w:szCs w:val="21"/>
                <w:vertAlign w:val="subscript"/>
              </w:rPr>
              <w:t>非正常</w:t>
            </w:r>
            <w:r>
              <w:rPr>
                <w:rFonts w:hint="default" w:ascii="Times New Roman" w:hAnsi="Times New Roman" w:eastAsia="宋体" w:cs="Times New Roman"/>
                <w:color w:val="000000"/>
                <w:spacing w:val="-10"/>
                <w:kern w:val="0"/>
                <w:sz w:val="21"/>
                <w:szCs w:val="21"/>
              </w:rPr>
              <w:t>占标率≤100%</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c>
          <w:tcPr>
            <w:tcW w:w="1327" w:type="dxa"/>
            <w:gridSpan w:val="3"/>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C</w:t>
            </w:r>
            <w:r>
              <w:rPr>
                <w:rFonts w:hint="default" w:ascii="Times New Roman" w:hAnsi="Times New Roman" w:eastAsia="宋体" w:cs="Times New Roman"/>
                <w:color w:val="000000"/>
                <w:spacing w:val="-10"/>
                <w:kern w:val="0"/>
                <w:sz w:val="21"/>
                <w:szCs w:val="21"/>
                <w:vertAlign w:val="subscript"/>
              </w:rPr>
              <w:t>非正常</w:t>
            </w:r>
            <w:r>
              <w:rPr>
                <w:rFonts w:hint="default" w:ascii="Times New Roman" w:hAnsi="Times New Roman" w:eastAsia="宋体" w:cs="Times New Roman"/>
                <w:color w:val="000000"/>
                <w:spacing w:val="-10"/>
                <w:kern w:val="0"/>
                <w:sz w:val="21"/>
                <w:szCs w:val="21"/>
              </w:rPr>
              <w:t>占标率＞100%</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vMerge w:val="continue"/>
            <w:noWrap w:val="0"/>
          </w:tcP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保证率日平均浓度和年平均浓度叠加值</w:t>
            </w:r>
          </w:p>
        </w:tc>
        <w:tc>
          <w:tcPr>
            <w:tcW w:w="3504" w:type="dxa"/>
            <w:gridSpan w:val="6"/>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C</w:t>
            </w:r>
            <w:r>
              <w:rPr>
                <w:rFonts w:hint="default" w:ascii="Times New Roman" w:hAnsi="Times New Roman" w:eastAsia="宋体" w:cs="Times New Roman"/>
                <w:color w:val="000000"/>
                <w:spacing w:val="-10"/>
                <w:kern w:val="0"/>
                <w:sz w:val="21"/>
                <w:szCs w:val="21"/>
                <w:vertAlign w:val="subscript"/>
              </w:rPr>
              <w:t>叠加</w:t>
            </w:r>
            <w:r>
              <w:rPr>
                <w:rFonts w:hint="default" w:ascii="Times New Roman" w:hAnsi="Times New Roman" w:eastAsia="宋体" w:cs="Times New Roman"/>
                <w:color w:val="000000"/>
                <w:spacing w:val="-10"/>
                <w:kern w:val="0"/>
                <w:sz w:val="21"/>
                <w:szCs w:val="21"/>
              </w:rPr>
              <w:t>达标</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c>
          <w:tcPr>
            <w:tcW w:w="3097" w:type="dxa"/>
            <w:gridSpan w:val="7"/>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C</w:t>
            </w:r>
            <w:r>
              <w:rPr>
                <w:rFonts w:hint="default" w:ascii="Times New Roman" w:hAnsi="Times New Roman" w:eastAsia="宋体" w:cs="Times New Roman"/>
                <w:color w:val="000000"/>
                <w:spacing w:val="-10"/>
                <w:kern w:val="0"/>
                <w:sz w:val="21"/>
                <w:szCs w:val="21"/>
                <w:vertAlign w:val="subscript"/>
              </w:rPr>
              <w:t>叠加</w:t>
            </w:r>
            <w:r>
              <w:rPr>
                <w:rFonts w:hint="default" w:ascii="Times New Roman" w:hAnsi="Times New Roman" w:eastAsia="宋体" w:cs="Times New Roman"/>
                <w:color w:val="000000"/>
                <w:spacing w:val="-10"/>
                <w:kern w:val="0"/>
                <w:sz w:val="21"/>
                <w:szCs w:val="21"/>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vMerge w:val="continue"/>
            <w:noWrap w:val="0"/>
          </w:tcP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区域环境质量的整体变化情况</w:t>
            </w:r>
          </w:p>
        </w:tc>
        <w:tc>
          <w:tcPr>
            <w:tcW w:w="3504" w:type="dxa"/>
            <w:gridSpan w:val="6"/>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k≤-20%□</w:t>
            </w:r>
          </w:p>
        </w:tc>
        <w:tc>
          <w:tcPr>
            <w:tcW w:w="3097" w:type="dxa"/>
            <w:gridSpan w:val="7"/>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k＞-20%□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86" w:type="dxa"/>
            <w:vMerge w:val="restart"/>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环境监测计划</w:t>
            </w: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污染源监测</w:t>
            </w:r>
          </w:p>
        </w:tc>
        <w:tc>
          <w:tcPr>
            <w:tcW w:w="3504" w:type="dxa"/>
            <w:gridSpan w:val="6"/>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监测因子（/）</w:t>
            </w:r>
          </w:p>
        </w:tc>
        <w:tc>
          <w:tcPr>
            <w:tcW w:w="1770" w:type="dxa"/>
            <w:gridSpan w:val="4"/>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bCs/>
                <w:color w:val="000000"/>
                <w:kern w:val="44"/>
                <w:sz w:val="21"/>
                <w:szCs w:val="21"/>
              </w:rPr>
            </w:pPr>
            <w:r>
              <w:rPr>
                <w:rFonts w:hint="default" w:ascii="Times New Roman" w:hAnsi="Times New Roman" w:eastAsia="宋体" w:cs="Times New Roman"/>
                <w:color w:val="000000"/>
                <w:spacing w:val="-10"/>
                <w:kern w:val="0"/>
                <w:sz w:val="21"/>
                <w:szCs w:val="21"/>
              </w:rPr>
              <w:t>有组织废气监测</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无组织废气监测</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p>
        </w:tc>
        <w:tc>
          <w:tcPr>
            <w:tcW w:w="1327" w:type="dxa"/>
            <w:gridSpan w:val="3"/>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vMerge w:val="continue"/>
            <w:noWrap w:val="0"/>
          </w:tcP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环境质量监测</w:t>
            </w:r>
          </w:p>
        </w:tc>
        <w:tc>
          <w:tcPr>
            <w:tcW w:w="3504" w:type="dxa"/>
            <w:gridSpan w:val="6"/>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监测因子（氮氧化物</w:t>
            </w:r>
            <w:r>
              <w:rPr>
                <w:rFonts w:hint="default" w:ascii="Times New Roman" w:hAnsi="Times New Roman" w:eastAsia="宋体" w:cs="Times New Roman"/>
                <w:color w:val="000000"/>
                <w:spacing w:val="-10"/>
                <w:kern w:val="0"/>
                <w:sz w:val="21"/>
                <w:szCs w:val="21"/>
                <w:lang w:val="zh-TW" w:eastAsia="zh-TW"/>
              </w:rPr>
              <w:t>、非甲烷总烃</w:t>
            </w:r>
            <w:r>
              <w:rPr>
                <w:rFonts w:hint="default" w:ascii="Times New Roman" w:hAnsi="Times New Roman" w:eastAsia="宋体" w:cs="Times New Roman"/>
                <w:color w:val="000000"/>
                <w:spacing w:val="-10"/>
                <w:kern w:val="0"/>
                <w:sz w:val="21"/>
                <w:szCs w:val="21"/>
                <w:lang w:val="zh-TW"/>
              </w:rPr>
              <w:t>、</w:t>
            </w:r>
            <w:r>
              <w:rPr>
                <w:rFonts w:hint="default" w:ascii="Times New Roman" w:hAnsi="Times New Roman" w:eastAsia="宋体" w:cs="Times New Roman"/>
                <w:color w:val="000000"/>
                <w:spacing w:val="-10"/>
                <w:kern w:val="0"/>
                <w:sz w:val="21"/>
                <w:szCs w:val="21"/>
              </w:rPr>
              <w:t>甲醛、颗粒物、氨）</w:t>
            </w:r>
          </w:p>
        </w:tc>
        <w:tc>
          <w:tcPr>
            <w:tcW w:w="1770" w:type="dxa"/>
            <w:gridSpan w:val="4"/>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监测点位数（1）</w:t>
            </w:r>
          </w:p>
        </w:tc>
        <w:tc>
          <w:tcPr>
            <w:tcW w:w="1327" w:type="dxa"/>
            <w:gridSpan w:val="3"/>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86" w:type="dxa"/>
            <w:vMerge w:val="restart"/>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评价结论</w:t>
            </w: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环境影响</w:t>
            </w:r>
          </w:p>
        </w:tc>
        <w:tc>
          <w:tcPr>
            <w:tcW w:w="6601" w:type="dxa"/>
            <w:gridSpan w:val="13"/>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可以接受</w:t>
            </w:r>
            <w:r>
              <w:rPr>
                <w:rFonts w:hint="default" w:ascii="Times New Roman" w:hAnsi="Times New Roman" w:eastAsia="宋体" w:cs="Times New Roman"/>
                <w:bCs/>
                <w:color w:val="000000"/>
                <w:kern w:val="44"/>
                <w:sz w:val="21"/>
                <w:szCs w:val="21"/>
              </w:rPr>
              <w:fldChar w:fldCharType="begin"/>
            </w:r>
            <w:r>
              <w:rPr>
                <w:rFonts w:hint="default" w:ascii="Times New Roman" w:hAnsi="Times New Roman" w:eastAsia="宋体" w:cs="Times New Roman"/>
                <w:bCs/>
                <w:color w:val="000000"/>
                <w:kern w:val="44"/>
                <w:sz w:val="21"/>
                <w:szCs w:val="21"/>
              </w:rPr>
              <w:instrText xml:space="preserve"> eq \o\ac(□,</w:instrText>
            </w:r>
            <w:r>
              <w:rPr>
                <w:rFonts w:hint="default" w:ascii="Times New Roman" w:hAnsi="Times New Roman" w:eastAsia="宋体" w:cs="Times New Roman"/>
                <w:bCs/>
                <w:color w:val="000000"/>
                <w:kern w:val="44"/>
                <w:position w:val="1"/>
                <w:sz w:val="14"/>
                <w:szCs w:val="21"/>
              </w:rPr>
              <w:instrText xml:space="preserve">√</w:instrText>
            </w:r>
            <w:r>
              <w:rPr>
                <w:rFonts w:hint="default" w:ascii="Times New Roman" w:hAnsi="Times New Roman" w:eastAsia="宋体" w:cs="Times New Roman"/>
                <w:bCs/>
                <w:color w:val="000000"/>
                <w:kern w:val="44"/>
                <w:sz w:val="21"/>
                <w:szCs w:val="21"/>
              </w:rPr>
              <w:instrText xml:space="preserve">)</w:instrText>
            </w:r>
            <w:r>
              <w:rPr>
                <w:rFonts w:hint="default" w:ascii="Times New Roman" w:hAnsi="Times New Roman" w:eastAsia="宋体" w:cs="Times New Roman"/>
                <w:bCs/>
                <w:color w:val="000000"/>
                <w:kern w:val="44"/>
                <w:sz w:val="21"/>
                <w:szCs w:val="21"/>
              </w:rPr>
              <w:fldChar w:fldCharType="end"/>
            </w:r>
            <w:r>
              <w:rPr>
                <w:rFonts w:hint="default" w:ascii="Times New Roman" w:hAnsi="Times New Roman" w:eastAsia="宋体" w:cs="Times New Roman"/>
                <w:color w:val="000000"/>
                <w:spacing w:val="-10"/>
                <w:kern w:val="0"/>
                <w:sz w:val="21"/>
                <w:szCs w:val="21"/>
              </w:rPr>
              <w:t xml:space="preserve">    不可以接受□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vMerge w:val="continue"/>
            <w:noWrap w:val="0"/>
          </w:tcP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大气环境防护距离</w:t>
            </w:r>
          </w:p>
        </w:tc>
        <w:tc>
          <w:tcPr>
            <w:tcW w:w="6601" w:type="dxa"/>
            <w:gridSpan w:val="13"/>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距（/）厂界最远（/）m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vMerge w:val="continue"/>
            <w:noWrap w:val="0"/>
          </w:tcPr>
          <w:p/>
        </w:tc>
        <w:tc>
          <w:tcPr>
            <w:tcW w:w="1896" w:type="dxa"/>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污染源年排放量</w:t>
            </w:r>
          </w:p>
          <w:p>
            <w:pPr>
              <w:widowControl/>
              <w:adjustRightInd w:val="0"/>
              <w:snapToGrid w:val="0"/>
              <w:spacing w:line="240" w:lineRule="auto"/>
              <w:ind w:firstLine="0"/>
              <w:jc w:val="center"/>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(增量)</w:t>
            </w:r>
          </w:p>
        </w:tc>
        <w:tc>
          <w:tcPr>
            <w:tcW w:w="1710" w:type="dxa"/>
            <w:gridSpan w:val="2"/>
            <w:noWrap w:val="0"/>
            <w:vAlign w:val="top"/>
          </w:tcPr>
          <w:p>
            <w:pPr>
              <w:shd w:val="clear" w:color="auto" w:fill="FFFFFF"/>
              <w:spacing w:line="240" w:lineRule="auto"/>
              <w:ind w:firstLine="0"/>
              <w:jc w:val="center"/>
              <w:rPr>
                <w:rFonts w:hint="default" w:ascii="Times New Roman" w:hAnsi="Times New Roman" w:eastAsia="宋体" w:cs="Times New Roman"/>
                <w:color w:val="auto"/>
                <w:kern w:val="0"/>
                <w:sz w:val="20"/>
                <w:szCs w:val="21"/>
              </w:rPr>
            </w:pPr>
            <w:r>
              <w:rPr>
                <w:rFonts w:hint="default" w:ascii="Times New Roman" w:hAnsi="Times New Roman" w:eastAsia="宋体" w:cs="Times New Roman"/>
                <w:b/>
                <w:color w:val="auto"/>
                <w:sz w:val="18"/>
                <w:szCs w:val="21"/>
                <w:lang w:eastAsia="en-US"/>
              </w:rPr>
              <w:t>SO</w:t>
            </w:r>
            <w:r>
              <w:rPr>
                <w:rFonts w:hint="default" w:ascii="Times New Roman" w:hAnsi="Times New Roman" w:eastAsia="宋体" w:cs="Times New Roman"/>
                <w:color w:val="auto"/>
                <w:sz w:val="18"/>
                <w:szCs w:val="21"/>
                <w:vertAlign w:val="subscript"/>
              </w:rPr>
              <w:t>2</w:t>
            </w:r>
            <w:r>
              <w:rPr>
                <w:rFonts w:hint="default" w:ascii="Times New Roman" w:hAnsi="Times New Roman" w:eastAsia="宋体" w:cs="Times New Roman"/>
                <w:color w:val="auto"/>
                <w:sz w:val="18"/>
                <w:szCs w:val="21"/>
              </w:rPr>
              <w:t>：</w:t>
            </w:r>
            <w:r>
              <w:rPr>
                <w:rFonts w:hint="default" w:ascii="Times New Roman" w:hAnsi="Times New Roman" w:eastAsia="宋体" w:cs="Times New Roman"/>
                <w:color w:val="auto"/>
                <w:sz w:val="18"/>
                <w:szCs w:val="21"/>
                <w:lang w:eastAsia="en-US"/>
              </w:rPr>
              <w:t>（   ）</w:t>
            </w:r>
            <w:r>
              <w:rPr>
                <w:rFonts w:hint="default" w:ascii="Times New Roman" w:hAnsi="Times New Roman" w:eastAsia="宋体" w:cs="Times New Roman"/>
                <w:b/>
                <w:color w:val="auto"/>
                <w:sz w:val="18"/>
                <w:szCs w:val="21"/>
                <w:lang w:eastAsia="en-US"/>
              </w:rPr>
              <w:t>t/a</w:t>
            </w:r>
          </w:p>
        </w:tc>
        <w:tc>
          <w:tcPr>
            <w:tcW w:w="1664" w:type="dxa"/>
            <w:gridSpan w:val="3"/>
            <w:noWrap w:val="0"/>
            <w:vAlign w:val="top"/>
          </w:tcPr>
          <w:p>
            <w:pPr>
              <w:shd w:val="clear" w:color="auto" w:fill="FFFFFF"/>
              <w:spacing w:line="240" w:lineRule="auto"/>
              <w:ind w:firstLine="0"/>
              <w:jc w:val="center"/>
              <w:rPr>
                <w:rFonts w:hint="default" w:ascii="Times New Roman" w:hAnsi="Times New Roman" w:eastAsia="宋体" w:cs="Times New Roman"/>
                <w:color w:val="auto"/>
                <w:kern w:val="0"/>
                <w:sz w:val="20"/>
                <w:szCs w:val="21"/>
              </w:rPr>
            </w:pPr>
            <w:r>
              <w:rPr>
                <w:rFonts w:hint="default" w:ascii="Times New Roman" w:hAnsi="Times New Roman" w:eastAsia="宋体" w:cs="Times New Roman"/>
                <w:b/>
                <w:color w:val="auto"/>
                <w:sz w:val="18"/>
                <w:szCs w:val="21"/>
                <w:lang w:eastAsia="en-US"/>
              </w:rPr>
              <w:t>NOx</w:t>
            </w:r>
            <w:r>
              <w:rPr>
                <w:rFonts w:hint="default" w:ascii="Times New Roman" w:hAnsi="Times New Roman" w:eastAsia="宋体" w:cs="Times New Roman"/>
                <w:color w:val="auto"/>
                <w:sz w:val="18"/>
                <w:szCs w:val="21"/>
              </w:rPr>
              <w:t>：（</w:t>
            </w:r>
            <w:r>
              <w:rPr>
                <w:rFonts w:hint="eastAsia" w:ascii="Times New Roman" w:hAnsi="Times New Roman" w:eastAsia="宋体" w:cs="Times New Roman"/>
                <w:color w:val="auto"/>
                <w:sz w:val="18"/>
                <w:szCs w:val="21"/>
                <w:lang w:val="en-US" w:eastAsia="zh-CN"/>
              </w:rPr>
              <w:t>2.415</w:t>
            </w:r>
            <w:r>
              <w:rPr>
                <w:rFonts w:hint="default" w:ascii="Times New Roman" w:hAnsi="Times New Roman" w:eastAsia="宋体" w:cs="Times New Roman"/>
                <w:color w:val="auto"/>
                <w:sz w:val="18"/>
                <w:szCs w:val="21"/>
              </w:rPr>
              <w:t>）</w:t>
            </w:r>
            <w:r>
              <w:rPr>
                <w:rFonts w:hint="default" w:ascii="Times New Roman" w:hAnsi="Times New Roman" w:eastAsia="宋体" w:cs="Times New Roman"/>
                <w:b/>
                <w:color w:val="auto"/>
                <w:sz w:val="18"/>
                <w:szCs w:val="21"/>
                <w:lang w:eastAsia="en-US"/>
              </w:rPr>
              <w:t>t/a</w:t>
            </w:r>
          </w:p>
        </w:tc>
        <w:tc>
          <w:tcPr>
            <w:tcW w:w="1632" w:type="dxa"/>
            <w:gridSpan w:val="4"/>
            <w:noWrap w:val="0"/>
            <w:vAlign w:val="top"/>
          </w:tcPr>
          <w:p>
            <w:pPr>
              <w:shd w:val="clear" w:color="auto" w:fill="FFFFFF"/>
              <w:spacing w:line="240" w:lineRule="auto"/>
              <w:ind w:firstLine="0"/>
              <w:jc w:val="center"/>
              <w:rPr>
                <w:rFonts w:hint="default" w:ascii="Times New Roman" w:hAnsi="Times New Roman" w:eastAsia="宋体" w:cs="Times New Roman"/>
                <w:color w:val="auto"/>
                <w:kern w:val="0"/>
                <w:sz w:val="20"/>
                <w:szCs w:val="21"/>
              </w:rPr>
            </w:pPr>
            <w:r>
              <w:rPr>
                <w:rFonts w:hint="default" w:ascii="Times New Roman" w:hAnsi="Times New Roman" w:eastAsia="宋体" w:cs="Times New Roman"/>
                <w:color w:val="auto"/>
                <w:sz w:val="18"/>
                <w:szCs w:val="21"/>
                <w:lang w:val="zh-TW" w:eastAsia="zh-TW"/>
              </w:rPr>
              <w:t>颗粒物</w:t>
            </w:r>
            <w:r>
              <w:rPr>
                <w:rFonts w:hint="default" w:ascii="Times New Roman" w:hAnsi="Times New Roman" w:eastAsia="宋体" w:cs="Times New Roman"/>
                <w:color w:val="auto"/>
                <w:sz w:val="18"/>
                <w:szCs w:val="21"/>
                <w:lang w:val="zh-TW"/>
              </w:rPr>
              <w:t>：（</w:t>
            </w:r>
            <w:r>
              <w:rPr>
                <w:rFonts w:hint="eastAsia" w:ascii="Times New Roman" w:hAnsi="Times New Roman" w:eastAsia="宋体" w:cs="Times New Roman"/>
                <w:color w:val="auto"/>
                <w:sz w:val="18"/>
                <w:szCs w:val="21"/>
                <w:lang w:val="en-US" w:eastAsia="zh-CN"/>
              </w:rPr>
              <w:t>0.198</w:t>
            </w:r>
            <w:r>
              <w:rPr>
                <w:rFonts w:hint="default" w:ascii="Times New Roman" w:hAnsi="Times New Roman" w:eastAsia="宋体" w:cs="Times New Roman"/>
                <w:color w:val="auto"/>
                <w:sz w:val="18"/>
                <w:szCs w:val="21"/>
                <w:lang w:val="zh-TW"/>
              </w:rPr>
              <w:t>）</w:t>
            </w:r>
            <w:r>
              <w:rPr>
                <w:rFonts w:hint="default" w:ascii="Times New Roman" w:hAnsi="Times New Roman" w:eastAsia="宋体" w:cs="Times New Roman"/>
                <w:b/>
                <w:color w:val="auto"/>
                <w:sz w:val="18"/>
                <w:szCs w:val="21"/>
                <w:lang w:eastAsia="en-US"/>
              </w:rPr>
              <w:t>t/a</w:t>
            </w:r>
            <w:r>
              <w:rPr>
                <w:rFonts w:hint="default" w:ascii="Times New Roman" w:hAnsi="Times New Roman" w:eastAsia="宋体" w:cs="Times New Roman"/>
                <w:color w:val="auto"/>
                <w:sz w:val="18"/>
                <w:szCs w:val="21"/>
                <w:lang w:eastAsia="en-US"/>
              </w:rPr>
              <w:t xml:space="preserve"> </w:t>
            </w:r>
          </w:p>
        </w:tc>
        <w:tc>
          <w:tcPr>
            <w:tcW w:w="1595" w:type="dxa"/>
            <w:gridSpan w:val="4"/>
            <w:noWrap w:val="0"/>
            <w:vAlign w:val="center"/>
          </w:tcPr>
          <w:p>
            <w:pPr>
              <w:widowControl/>
              <w:adjustRightInd w:val="0"/>
              <w:snapToGrid w:val="0"/>
              <w:spacing w:line="240" w:lineRule="auto"/>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VOCs(</w:t>
            </w:r>
            <w:r>
              <w:rPr>
                <w:rFonts w:hint="eastAsia" w:ascii="Times New Roman" w:hAnsi="Times New Roman" w:eastAsia="宋体" w:cs="Times New Roman"/>
                <w:color w:val="auto"/>
                <w:sz w:val="21"/>
                <w:szCs w:val="21"/>
                <w:lang w:val="en-US" w:eastAsia="zh-CN" w:bidi="ar"/>
              </w:rPr>
              <w:t>1.924</w:t>
            </w:r>
            <w:r>
              <w:rPr>
                <w:rFonts w:hint="default" w:ascii="Times New Roman" w:hAnsi="Times New Roman" w:eastAsia="宋体" w:cs="Times New Roman"/>
                <w:color w:val="auto"/>
                <w:kern w:val="0"/>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9083" w:type="dxa"/>
            <w:gridSpan w:val="15"/>
            <w:noWrap w:val="0"/>
            <w:vAlign w:val="center"/>
          </w:tcPr>
          <w:p>
            <w:pPr>
              <w:widowControl/>
              <w:adjustRightInd w:val="0"/>
              <w:snapToGrid w:val="0"/>
              <w:spacing w:line="240" w:lineRule="auto"/>
              <w:ind w:firstLine="0"/>
              <w:textAlignment w:val="center"/>
              <w:rPr>
                <w:rFonts w:hint="default" w:ascii="Times New Roman" w:hAnsi="Times New Roman" w:eastAsia="宋体" w:cs="Times New Roman"/>
                <w:color w:val="000000"/>
                <w:spacing w:val="-10"/>
                <w:kern w:val="0"/>
                <w:sz w:val="21"/>
                <w:szCs w:val="21"/>
              </w:rPr>
            </w:pPr>
            <w:r>
              <w:rPr>
                <w:rFonts w:hint="default" w:ascii="Times New Roman" w:hAnsi="Times New Roman" w:eastAsia="宋体" w:cs="Times New Roman"/>
                <w:color w:val="000000"/>
                <w:spacing w:val="-10"/>
                <w:kern w:val="0"/>
                <w:sz w:val="21"/>
                <w:szCs w:val="21"/>
              </w:rPr>
              <w:t>注：□为选项，选择项填“√”；“（）”为内容填写项</w:t>
            </w:r>
          </w:p>
        </w:tc>
      </w:tr>
    </w:tbl>
    <w:p>
      <w:pPr>
        <w:tabs>
          <w:tab w:val="left" w:pos="1590"/>
        </w:tabs>
        <w:spacing w:line="360" w:lineRule="auto"/>
        <w:ind w:firstLine="480"/>
        <w:rPr>
          <w:rFonts w:hint="default" w:ascii="Times New Roman" w:hAnsi="Times New Roman" w:eastAsia="宋体" w:cs="Times New Roman"/>
          <w:color w:val="000000"/>
          <w:sz w:val="24"/>
          <w:szCs w:val="24"/>
        </w:rPr>
      </w:pPr>
    </w:p>
    <w:p>
      <w:pPr>
        <w:adjustRightInd w:val="0"/>
        <w:snapToGrid w:val="0"/>
        <w:spacing w:line="360" w:lineRule="auto"/>
        <w:ind w:firstLine="480"/>
        <w:rPr>
          <w:rFonts w:hint="default" w:ascii="Times New Roman" w:hAnsi="Times New Roman" w:eastAsia="宋体" w:cs="Times New Roman"/>
          <w:sz w:val="24"/>
        </w:rPr>
      </w:pPr>
    </w:p>
    <w:p>
      <w:pPr>
        <w:adjustRightInd w:val="0"/>
        <w:snapToGrid w:val="0"/>
        <w:spacing w:line="360" w:lineRule="auto"/>
        <w:ind w:firstLine="480"/>
        <w:rPr>
          <w:rFonts w:hint="default" w:ascii="Times New Roman" w:hAnsi="Times New Roman" w:eastAsia="宋体" w:cs="Times New Roman"/>
          <w:sz w:val="24"/>
        </w:rPr>
      </w:pPr>
    </w:p>
    <w:p>
      <w:pPr>
        <w:spacing w:line="360" w:lineRule="auto"/>
        <w:ind w:firstLine="0"/>
        <w:outlineLvl w:val="1"/>
        <w:rPr>
          <w:rFonts w:hint="default" w:ascii="Times New Roman" w:hAnsi="Times New Roman" w:eastAsia="黑体" w:cs="Times New Roman"/>
          <w:sz w:val="32"/>
          <w:szCs w:val="32"/>
        </w:rPr>
      </w:pPr>
      <w:bookmarkStart w:id="246" w:name="_Toc322361017"/>
      <w:bookmarkStart w:id="247" w:name="_Toc18129"/>
      <w:bookmarkStart w:id="248" w:name="_Toc476239506"/>
      <w:bookmarkStart w:id="249" w:name="_Toc31135"/>
      <w:bookmarkStart w:id="250" w:name="_Toc322361018"/>
      <w:r>
        <w:rPr>
          <w:rFonts w:hint="default" w:ascii="Times New Roman" w:hAnsi="Times New Roman" w:eastAsia="黑体" w:cs="Times New Roman"/>
          <w:sz w:val="32"/>
          <w:szCs w:val="32"/>
        </w:rPr>
        <w:t>5.3声环境影响评价</w:t>
      </w:r>
      <w:bookmarkEnd w:id="246"/>
      <w:bookmarkEnd w:id="247"/>
      <w:bookmarkEnd w:id="248"/>
      <w:bookmarkEnd w:id="249"/>
    </w:p>
    <w:p>
      <w:pPr>
        <w:spacing w:line="360" w:lineRule="auto"/>
        <w:ind w:firstLine="0"/>
        <w:outlineLvl w:val="2"/>
        <w:rPr>
          <w:rFonts w:hint="default" w:ascii="Times New Roman" w:hAnsi="Times New Roman" w:eastAsia="黑体" w:cs="Times New Roman"/>
          <w:sz w:val="30"/>
          <w:szCs w:val="28"/>
        </w:rPr>
      </w:pPr>
      <w:bookmarkStart w:id="251" w:name="_Toc350274597"/>
      <w:bookmarkStart w:id="252" w:name="_Toc261265375"/>
      <w:bookmarkStart w:id="253" w:name="_Toc274156657"/>
      <w:bookmarkStart w:id="254" w:name="_Toc397602729"/>
      <w:bookmarkStart w:id="255" w:name="_Toc292697502"/>
      <w:bookmarkStart w:id="256" w:name="_Toc380587284"/>
      <w:bookmarkStart w:id="257" w:name="_Toc269301733"/>
      <w:r>
        <w:rPr>
          <w:rFonts w:hint="default" w:ascii="Times New Roman" w:hAnsi="Times New Roman" w:eastAsia="黑体" w:cs="Times New Roman"/>
          <w:sz w:val="30"/>
          <w:szCs w:val="28"/>
        </w:rPr>
        <w:t>5.3.1预测内容</w:t>
      </w:r>
      <w:bookmarkEnd w:id="251"/>
      <w:bookmarkEnd w:id="252"/>
      <w:bookmarkEnd w:id="253"/>
      <w:bookmarkEnd w:id="254"/>
      <w:bookmarkEnd w:id="255"/>
      <w:bookmarkEnd w:id="256"/>
      <w:bookmarkEnd w:id="257"/>
    </w:p>
    <w:p>
      <w:pPr>
        <w:spacing w:line="360" w:lineRule="auto"/>
        <w:ind w:firstLine="480"/>
        <w:rPr>
          <w:rFonts w:hint="default" w:ascii="Times New Roman" w:hAnsi="Times New Roman" w:eastAsia="宋体" w:cs="Times New Roman"/>
          <w:color w:val="000000"/>
          <w:sz w:val="24"/>
          <w:szCs w:val="24"/>
        </w:rPr>
      </w:pPr>
      <w:bookmarkStart w:id="258" w:name="_Toc269301734"/>
      <w:bookmarkStart w:id="259" w:name="_Toc274156658"/>
      <w:bookmarkStart w:id="260" w:name="_Toc261265376"/>
      <w:bookmarkStart w:id="261" w:name="_Toc292697503"/>
      <w:r>
        <w:rPr>
          <w:rFonts w:hint="default" w:ascii="Times New Roman" w:hAnsi="Times New Roman" w:eastAsia="宋体" w:cs="Times New Roman"/>
          <w:color w:val="000000"/>
          <w:sz w:val="24"/>
          <w:szCs w:val="24"/>
        </w:rPr>
        <w:t>项目</w:t>
      </w:r>
      <w:r>
        <w:rPr>
          <w:rFonts w:hint="eastAsia" w:ascii="Times New Roman" w:hAnsi="Times New Roman" w:eastAsia="宋体" w:cs="Times New Roman"/>
          <w:color w:val="000000"/>
          <w:sz w:val="24"/>
          <w:szCs w:val="24"/>
          <w:lang w:val="en-US" w:eastAsia="zh-CN"/>
        </w:rPr>
        <w:t>为新建项目，</w:t>
      </w:r>
      <w:r>
        <w:rPr>
          <w:rFonts w:hint="default" w:ascii="Times New Roman" w:hAnsi="Times New Roman" w:eastAsia="宋体" w:cs="Times New Roman"/>
          <w:color w:val="000000"/>
          <w:sz w:val="24"/>
          <w:szCs w:val="24"/>
        </w:rPr>
        <w:t>主要噪声源集中在生产区，厂界附近200m范围内没有声环境敏感点，在采取各种隔声、降噪措施的基础上，按《环境影响评价技术导则  声环境》（HJ2.4-2009）的要求，评价预测本项目建成后对厂界噪声的最大贡献值是否达标。</w:t>
      </w:r>
    </w:p>
    <w:p>
      <w:pPr>
        <w:spacing w:line="360" w:lineRule="auto"/>
        <w:ind w:firstLine="0"/>
        <w:outlineLvl w:val="2"/>
        <w:rPr>
          <w:rFonts w:hint="default" w:ascii="Times New Roman" w:hAnsi="Times New Roman" w:eastAsia="黑体" w:cs="Times New Roman"/>
          <w:sz w:val="30"/>
          <w:szCs w:val="28"/>
        </w:rPr>
      </w:pPr>
      <w:bookmarkStart w:id="262" w:name="_Toc397602730"/>
      <w:bookmarkStart w:id="263" w:name="_Toc380587285"/>
      <w:bookmarkStart w:id="264" w:name="_Toc350274598"/>
      <w:r>
        <w:rPr>
          <w:rFonts w:hint="default" w:ascii="Times New Roman" w:hAnsi="Times New Roman" w:eastAsia="黑体" w:cs="Times New Roman"/>
          <w:sz w:val="30"/>
          <w:szCs w:val="28"/>
        </w:rPr>
        <w:t>5.3.2污染源分析</w:t>
      </w:r>
      <w:bookmarkEnd w:id="258"/>
      <w:bookmarkEnd w:id="259"/>
      <w:bookmarkEnd w:id="260"/>
      <w:bookmarkEnd w:id="261"/>
      <w:bookmarkEnd w:id="262"/>
      <w:bookmarkEnd w:id="263"/>
      <w:bookmarkEnd w:id="264"/>
    </w:p>
    <w:p>
      <w:pPr>
        <w:spacing w:line="360" w:lineRule="auto"/>
        <w:ind w:firstLine="480"/>
        <w:rPr>
          <w:rFonts w:hint="default" w:ascii="Times New Roman" w:hAnsi="Times New Roman" w:eastAsia="宋体" w:cs="Times New Roman"/>
          <w:color w:val="000000"/>
          <w:sz w:val="24"/>
          <w:szCs w:val="24"/>
        </w:rPr>
      </w:pPr>
      <w:bookmarkStart w:id="265" w:name="_Toc274156659"/>
      <w:bookmarkStart w:id="266" w:name="_Toc292697504"/>
      <w:bookmarkStart w:id="267" w:name="_Toc397602731"/>
      <w:bookmarkStart w:id="268" w:name="_Toc261265377"/>
      <w:bookmarkStart w:id="269" w:name="_Toc380587286"/>
      <w:bookmarkStart w:id="270" w:name="_Toc269301735"/>
      <w:bookmarkStart w:id="271" w:name="_Toc350274599"/>
      <w:r>
        <w:rPr>
          <w:rFonts w:hint="default" w:ascii="Times New Roman" w:hAnsi="Times New Roman" w:eastAsia="宋体" w:cs="Times New Roman"/>
          <w:color w:val="000000"/>
          <w:sz w:val="24"/>
          <w:szCs w:val="24"/>
        </w:rPr>
        <w:t>根据相关资料和同类设备的类比调查，项目主要设备的噪声声压级见表5.3-1。拟建项目从声源治理和传播途径降噪两方面治理噪声：1、在满足工艺设计的前提下，选用低噪声型号的设备；正确配备电机，保证电机在额定功率下运行，避免电机超负荷运转；增加减振垫、采用软连接等措施，以减少因振动的产生噪声；2、高噪声设备安置在车间内，利用厂房隔声；门窗采用有较强隔声效果的门窗。</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根据《环境影响评价技术导则-声环境》(HJ2.4-2009)的要求，本项目拟设定厂区西南角为坐标原点，三维坐标为(0，0，0)，以场区平面为Z轴0点，正北方向为Y轴正方向，正东方向为X轴正方向，地面垂直向上为Z轴正方向，以此来定位产噪设备的三维坐标。具体主要设备噪声源强及三维坐标详见表5.3-1。</w:t>
      </w:r>
    </w:p>
    <w:p>
      <w:pPr>
        <w:spacing w:line="360" w:lineRule="auto"/>
        <w:ind w:firstLine="0"/>
        <w:jc w:val="center"/>
        <w:outlineLvl w:val="4"/>
        <w:rPr>
          <w:rFonts w:hint="default" w:ascii="Times New Roman" w:hAnsi="Times New Roman" w:eastAsia="黑体" w:cs="Times New Roman"/>
          <w:color w:val="000000"/>
          <w:sz w:val="24"/>
          <w:szCs w:val="28"/>
        </w:rPr>
      </w:pPr>
      <w:r>
        <w:rPr>
          <w:rFonts w:hint="default" w:ascii="Times New Roman" w:hAnsi="Times New Roman" w:eastAsia="黑体" w:cs="Times New Roman"/>
          <w:color w:val="000000"/>
          <w:sz w:val="24"/>
          <w:szCs w:val="28"/>
        </w:rPr>
        <w:t>表5.3-1主要设备噪声源一览表</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5"/>
        <w:gridCol w:w="1680"/>
        <w:gridCol w:w="1797"/>
        <w:gridCol w:w="1080"/>
        <w:gridCol w:w="1802"/>
        <w:gridCol w:w="1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车间名称</w:t>
            </w:r>
          </w:p>
        </w:tc>
        <w:tc>
          <w:tcPr>
            <w:tcW w:w="1680"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主要噪声设备</w:t>
            </w:r>
          </w:p>
        </w:tc>
        <w:tc>
          <w:tcPr>
            <w:tcW w:w="179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声源坐标</w:t>
            </w:r>
          </w:p>
        </w:tc>
        <w:tc>
          <w:tcPr>
            <w:tcW w:w="1080"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数量（台）</w:t>
            </w:r>
          </w:p>
        </w:tc>
        <w:tc>
          <w:tcPr>
            <w:tcW w:w="1802"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单台源强dB（A）</w:t>
            </w:r>
          </w:p>
        </w:tc>
        <w:tc>
          <w:tcPr>
            <w:tcW w:w="120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围护结构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dxa"/>
            <w:vMerge w:val="restart"/>
            <w:noWrap w:val="0"/>
            <w:vAlign w:val="center"/>
          </w:tcPr>
          <w:p>
            <w:pPr>
              <w:spacing w:line="280" w:lineRule="exact"/>
              <w:ind w:firstLine="0"/>
              <w:contextualSpacing/>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1"/>
              </w:rPr>
              <w:t>二号车间</w:t>
            </w:r>
          </w:p>
        </w:tc>
        <w:tc>
          <w:tcPr>
            <w:tcW w:w="16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1"/>
              </w:rPr>
              <w:t>离心机</w:t>
            </w:r>
          </w:p>
        </w:tc>
        <w:tc>
          <w:tcPr>
            <w:tcW w:w="179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28,127,1</w:t>
            </w:r>
          </w:p>
        </w:tc>
        <w:tc>
          <w:tcPr>
            <w:tcW w:w="10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w:t>
            </w:r>
          </w:p>
        </w:tc>
        <w:tc>
          <w:tcPr>
            <w:tcW w:w="1802"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65</w:t>
            </w:r>
          </w:p>
        </w:tc>
        <w:tc>
          <w:tcPr>
            <w:tcW w:w="120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室内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trPr>
        <w:tc>
          <w:tcPr>
            <w:vMerge w:val="continue"/>
            <w:noWrap w:val="0"/>
          </w:tcPr>
          <w:p/>
        </w:tc>
        <w:tc>
          <w:tcPr>
            <w:tcW w:w="16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破碎机</w:t>
            </w:r>
          </w:p>
        </w:tc>
        <w:tc>
          <w:tcPr>
            <w:tcW w:w="179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28,120,1</w:t>
            </w:r>
          </w:p>
        </w:tc>
        <w:tc>
          <w:tcPr>
            <w:tcW w:w="10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w:t>
            </w:r>
          </w:p>
        </w:tc>
        <w:tc>
          <w:tcPr>
            <w:tcW w:w="1802"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65</w:t>
            </w:r>
          </w:p>
        </w:tc>
        <w:tc>
          <w:tcPr>
            <w:tcW w:w="120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室内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vMerge w:val="continue"/>
            <w:noWrap w:val="0"/>
          </w:tcPr>
          <w:p/>
        </w:tc>
        <w:tc>
          <w:tcPr>
            <w:tcW w:w="16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1"/>
              </w:rPr>
              <w:t>干燥机</w:t>
            </w:r>
          </w:p>
        </w:tc>
        <w:tc>
          <w:tcPr>
            <w:tcW w:w="179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50,130,1</w:t>
            </w:r>
          </w:p>
        </w:tc>
        <w:tc>
          <w:tcPr>
            <w:tcW w:w="10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1"/>
              </w:rPr>
              <w:t>5</w:t>
            </w:r>
          </w:p>
        </w:tc>
        <w:tc>
          <w:tcPr>
            <w:tcW w:w="1802"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60</w:t>
            </w:r>
          </w:p>
        </w:tc>
        <w:tc>
          <w:tcPr>
            <w:tcW w:w="120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室内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vMerge w:val="continue"/>
            <w:noWrap w:val="0"/>
          </w:tcPr>
          <w:p/>
        </w:tc>
        <w:tc>
          <w:tcPr>
            <w:tcW w:w="16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分散机</w:t>
            </w:r>
          </w:p>
        </w:tc>
        <w:tc>
          <w:tcPr>
            <w:tcW w:w="179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50,116,1</w:t>
            </w:r>
          </w:p>
        </w:tc>
        <w:tc>
          <w:tcPr>
            <w:tcW w:w="10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1802"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60</w:t>
            </w:r>
          </w:p>
        </w:tc>
        <w:tc>
          <w:tcPr>
            <w:tcW w:w="120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室内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vMerge w:val="continue"/>
            <w:noWrap w:val="0"/>
          </w:tcPr>
          <w:p/>
        </w:tc>
        <w:tc>
          <w:tcPr>
            <w:tcW w:w="16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机泵</w:t>
            </w:r>
          </w:p>
        </w:tc>
        <w:tc>
          <w:tcPr>
            <w:tcW w:w="179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61,112,1</w:t>
            </w:r>
          </w:p>
        </w:tc>
        <w:tc>
          <w:tcPr>
            <w:tcW w:w="10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30</w:t>
            </w:r>
          </w:p>
        </w:tc>
        <w:tc>
          <w:tcPr>
            <w:tcW w:w="1802"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w:t>
            </w:r>
          </w:p>
        </w:tc>
        <w:tc>
          <w:tcPr>
            <w:tcW w:w="120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室内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vMerge w:val="continue"/>
            <w:noWrap w:val="0"/>
          </w:tcPr>
          <w:p/>
        </w:tc>
        <w:tc>
          <w:tcPr>
            <w:tcW w:w="16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风机</w:t>
            </w:r>
          </w:p>
        </w:tc>
        <w:tc>
          <w:tcPr>
            <w:tcW w:w="179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16,116,1</w:t>
            </w:r>
          </w:p>
        </w:tc>
        <w:tc>
          <w:tcPr>
            <w:tcW w:w="10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w:t>
            </w:r>
          </w:p>
        </w:tc>
        <w:tc>
          <w:tcPr>
            <w:tcW w:w="1802"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75</w:t>
            </w:r>
          </w:p>
        </w:tc>
        <w:tc>
          <w:tcPr>
            <w:tcW w:w="120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露天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罐区</w:t>
            </w:r>
          </w:p>
        </w:tc>
        <w:tc>
          <w:tcPr>
            <w:tcW w:w="16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机泵</w:t>
            </w:r>
          </w:p>
        </w:tc>
        <w:tc>
          <w:tcPr>
            <w:tcW w:w="179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95,35,1</w:t>
            </w:r>
          </w:p>
        </w:tc>
        <w:tc>
          <w:tcPr>
            <w:tcW w:w="10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w:t>
            </w:r>
          </w:p>
        </w:tc>
        <w:tc>
          <w:tcPr>
            <w:tcW w:w="1802"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70</w:t>
            </w:r>
          </w:p>
        </w:tc>
        <w:tc>
          <w:tcPr>
            <w:tcW w:w="120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露天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dxa"/>
            <w:noWrap w:val="0"/>
            <w:vAlign w:val="center"/>
          </w:tcPr>
          <w:p>
            <w:pPr>
              <w:spacing w:line="280" w:lineRule="exact"/>
              <w:ind w:firstLine="0"/>
              <w:contextualSpacing/>
              <w:jc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sz w:val="21"/>
                <w:szCs w:val="21"/>
              </w:rPr>
              <w:t>空压机房</w:t>
            </w:r>
          </w:p>
        </w:tc>
        <w:tc>
          <w:tcPr>
            <w:tcW w:w="1680" w:type="dxa"/>
            <w:noWrap w:val="0"/>
            <w:vAlign w:val="center"/>
          </w:tcPr>
          <w:p>
            <w:pPr>
              <w:spacing w:line="280" w:lineRule="exact"/>
              <w:ind w:firstLine="0"/>
              <w:contextualSpacing/>
              <w:jc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sz w:val="21"/>
                <w:szCs w:val="21"/>
              </w:rPr>
              <w:t>空压机</w:t>
            </w:r>
          </w:p>
        </w:tc>
        <w:tc>
          <w:tcPr>
            <w:tcW w:w="179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155,118,1</w:t>
            </w:r>
          </w:p>
        </w:tc>
        <w:tc>
          <w:tcPr>
            <w:tcW w:w="10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w:t>
            </w:r>
          </w:p>
        </w:tc>
        <w:tc>
          <w:tcPr>
            <w:tcW w:w="1802"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65</w:t>
            </w:r>
          </w:p>
        </w:tc>
        <w:tc>
          <w:tcPr>
            <w:tcW w:w="120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室内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1"/>
              </w:rPr>
              <w:t>纯水间</w:t>
            </w:r>
          </w:p>
        </w:tc>
        <w:tc>
          <w:tcPr>
            <w:tcW w:w="16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机泵</w:t>
            </w:r>
          </w:p>
        </w:tc>
        <w:tc>
          <w:tcPr>
            <w:tcW w:w="179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159,112,1</w:t>
            </w:r>
          </w:p>
        </w:tc>
        <w:tc>
          <w:tcPr>
            <w:tcW w:w="10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w:t>
            </w:r>
          </w:p>
        </w:tc>
        <w:tc>
          <w:tcPr>
            <w:tcW w:w="1802"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w:t>
            </w:r>
          </w:p>
        </w:tc>
        <w:tc>
          <w:tcPr>
            <w:tcW w:w="120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室内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1"/>
              </w:rPr>
              <w:t>二号车间东侧</w:t>
            </w:r>
          </w:p>
        </w:tc>
        <w:tc>
          <w:tcPr>
            <w:tcW w:w="16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1"/>
              </w:rPr>
              <w:t>制冷机</w:t>
            </w:r>
          </w:p>
        </w:tc>
        <w:tc>
          <w:tcPr>
            <w:tcW w:w="179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69,93,1</w:t>
            </w:r>
          </w:p>
        </w:tc>
        <w:tc>
          <w:tcPr>
            <w:tcW w:w="10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1802"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75</w:t>
            </w:r>
          </w:p>
        </w:tc>
        <w:tc>
          <w:tcPr>
            <w:tcW w:w="120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露天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1505"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1"/>
              </w:rPr>
              <w:t>循环水站</w:t>
            </w:r>
          </w:p>
        </w:tc>
        <w:tc>
          <w:tcPr>
            <w:tcW w:w="16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冷却水塔</w:t>
            </w:r>
          </w:p>
        </w:tc>
        <w:tc>
          <w:tcPr>
            <w:tcW w:w="179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156,128,1</w:t>
            </w:r>
          </w:p>
        </w:tc>
        <w:tc>
          <w:tcPr>
            <w:tcW w:w="10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w:t>
            </w:r>
          </w:p>
        </w:tc>
        <w:tc>
          <w:tcPr>
            <w:tcW w:w="1802"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75</w:t>
            </w:r>
          </w:p>
        </w:tc>
        <w:tc>
          <w:tcPr>
            <w:tcW w:w="120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露天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dxa"/>
            <w:vMerge w:val="restart"/>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污水站</w:t>
            </w:r>
          </w:p>
        </w:tc>
        <w:tc>
          <w:tcPr>
            <w:tcW w:w="16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1"/>
              </w:rPr>
              <w:t>机泵</w:t>
            </w:r>
          </w:p>
        </w:tc>
        <w:tc>
          <w:tcPr>
            <w:tcW w:w="179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165,34,1</w:t>
            </w:r>
          </w:p>
        </w:tc>
        <w:tc>
          <w:tcPr>
            <w:tcW w:w="10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1"/>
              </w:rPr>
              <w:t>80</w:t>
            </w:r>
          </w:p>
        </w:tc>
        <w:tc>
          <w:tcPr>
            <w:tcW w:w="1802"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w:t>
            </w:r>
          </w:p>
        </w:tc>
        <w:tc>
          <w:tcPr>
            <w:tcW w:w="120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室内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vMerge w:val="continue"/>
            <w:noWrap w:val="0"/>
          </w:tcPr>
          <w:p/>
        </w:tc>
        <w:tc>
          <w:tcPr>
            <w:tcW w:w="16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风机</w:t>
            </w:r>
          </w:p>
        </w:tc>
        <w:tc>
          <w:tcPr>
            <w:tcW w:w="179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155,40,1</w:t>
            </w:r>
          </w:p>
        </w:tc>
        <w:tc>
          <w:tcPr>
            <w:tcW w:w="1080" w:type="dxa"/>
            <w:noWrap w:val="0"/>
            <w:vAlign w:val="center"/>
          </w:tcPr>
          <w:p>
            <w:pPr>
              <w:spacing w:line="280" w:lineRule="exact"/>
              <w:ind w:firstLine="0"/>
              <w:contextualSpacing/>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1802"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75</w:t>
            </w:r>
          </w:p>
        </w:tc>
        <w:tc>
          <w:tcPr>
            <w:tcW w:w="1207" w:type="dxa"/>
            <w:noWrap w:val="0"/>
            <w:vAlign w:val="center"/>
          </w:tcPr>
          <w:p>
            <w:pPr>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露天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71" w:type="dxa"/>
            <w:gridSpan w:val="6"/>
            <w:noWrap w:val="0"/>
            <w:vAlign w:val="center"/>
          </w:tcPr>
          <w:p>
            <w:pPr>
              <w:spacing w:line="240" w:lineRule="auto"/>
              <w:ind w:firstLine="0"/>
              <w:jc w:val="left"/>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注：正东方向为X轴正方向，正北方向为Y轴正方向，地面垂直向上为Z轴正方向。</w:t>
            </w:r>
          </w:p>
        </w:tc>
      </w:tr>
    </w:tbl>
    <w:p>
      <w:pPr>
        <w:spacing w:line="360" w:lineRule="auto"/>
        <w:ind w:firstLine="0"/>
        <w:outlineLvl w:val="2"/>
        <w:rPr>
          <w:rFonts w:hint="default" w:ascii="Times New Roman" w:hAnsi="Times New Roman" w:eastAsia="黑体" w:cs="Times New Roman"/>
          <w:color w:val="000000"/>
          <w:sz w:val="30"/>
          <w:szCs w:val="28"/>
        </w:rPr>
      </w:pPr>
      <w:r>
        <w:rPr>
          <w:rFonts w:hint="default" w:ascii="Times New Roman" w:hAnsi="Times New Roman" w:eastAsia="黑体" w:cs="Times New Roman"/>
          <w:color w:val="000000"/>
          <w:sz w:val="30"/>
          <w:szCs w:val="28"/>
        </w:rPr>
        <w:t>5.3.3预测模式</w:t>
      </w:r>
      <w:bookmarkEnd w:id="265"/>
      <w:bookmarkEnd w:id="266"/>
      <w:bookmarkEnd w:id="267"/>
      <w:bookmarkEnd w:id="268"/>
      <w:bookmarkEnd w:id="269"/>
      <w:bookmarkEnd w:id="270"/>
      <w:bookmarkEnd w:id="271"/>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建设项目噪声环境预测采用《环境影响评价技术导则 声环境》(HJ2.4-2009)中的工业噪声预测模式：</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工业噪声源按点声源处理，且声源多位于地面，可近似认为是半自由场的球面波扩散。</w:t>
      </w:r>
    </w:p>
    <w:p>
      <w:pPr>
        <w:spacing w:line="360" w:lineRule="auto"/>
        <w:ind w:firstLine="482"/>
        <w:rPr>
          <w:rFonts w:hint="default" w:ascii="Times New Roman" w:hAnsi="Times New Roman" w:eastAsia="宋体" w:cs="Times New Roman"/>
          <w:b/>
          <w:bCs/>
          <w:color w:val="000000"/>
          <w:sz w:val="24"/>
        </w:rPr>
      </w:pPr>
      <w:r>
        <w:rPr>
          <w:rFonts w:hint="default" w:ascii="Times New Roman" w:hAnsi="Times New Roman" w:eastAsia="宋体" w:cs="Times New Roman"/>
          <w:b/>
          <w:bCs/>
          <w:color w:val="000000"/>
          <w:sz w:val="24"/>
        </w:rPr>
        <w:t>1）室外声源预测模式为：</w:t>
      </w:r>
    </w:p>
    <w:p>
      <w:pPr>
        <w:spacing w:line="360" w:lineRule="auto"/>
        <w:ind w:firstLine="480"/>
        <w:jc w:val="center"/>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LA(r)=LA(r0)－20lg(r/r0)－ΔLA</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式中：LA(r)－距声源r处的A声级，dB(A)；</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LA(r0)－参考位置r0处的A声级，dB(A)；</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LAW－室外声源或等效室外声源的A声功率级，dB(A)</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r－声源与预测点的距离，m；</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r0－参考位置距声源的距离，m；</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△LA－因各种因素引起的衰减量，dB(A)；</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衰减量包括声屏障、遮挡物、空气吸收、地面效应等引起的衰减量。本次预测计算中只考虑各声源至预测点的距离衰减、隔墙（或窗户）的传输损失。各声源由于厂区内外其他遮挡物引起的衰减、空气吸收引起的衰减，由于云、雾、温度梯度、风及地面效应等引起的声能量衰减等，其引起的衰减量不大，本次计算中忽略不计。</w:t>
      </w:r>
    </w:p>
    <w:p>
      <w:pPr>
        <w:spacing w:line="360" w:lineRule="auto"/>
        <w:ind w:firstLine="482"/>
        <w:rPr>
          <w:rFonts w:hint="default" w:ascii="Times New Roman" w:hAnsi="Times New Roman" w:eastAsia="宋体" w:cs="Times New Roman"/>
          <w:b/>
          <w:bCs/>
          <w:color w:val="000000"/>
          <w:sz w:val="24"/>
        </w:rPr>
      </w:pPr>
      <w:r>
        <w:rPr>
          <w:rFonts w:hint="default" w:ascii="Times New Roman" w:hAnsi="Times New Roman" w:eastAsia="宋体" w:cs="Times New Roman"/>
          <w:b/>
          <w:bCs/>
          <w:color w:val="000000"/>
          <w:sz w:val="24"/>
        </w:rPr>
        <w:t>2）室内声源</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若声源位于室内，室内声源可采用等效室外声源声功率级法进行计算。设靠近开口处（或窗户）室内、室外某倍频带的声压级分别为Lp</w:t>
      </w:r>
      <w:r>
        <w:rPr>
          <w:rFonts w:hint="default" w:ascii="Times New Roman" w:hAnsi="Times New Roman" w:eastAsia="宋体" w:cs="Times New Roman"/>
          <w:color w:val="000000"/>
          <w:sz w:val="24"/>
          <w:vertAlign w:val="subscript"/>
        </w:rPr>
        <w:t>1</w:t>
      </w:r>
      <w:r>
        <w:rPr>
          <w:rFonts w:hint="default" w:ascii="Times New Roman" w:hAnsi="Times New Roman" w:eastAsia="宋体" w:cs="Times New Roman"/>
          <w:color w:val="000000"/>
          <w:sz w:val="24"/>
        </w:rPr>
        <w:t>和Lp</w:t>
      </w:r>
      <w:r>
        <w:rPr>
          <w:rFonts w:hint="default" w:ascii="Times New Roman" w:hAnsi="Times New Roman" w:eastAsia="宋体" w:cs="Times New Roman"/>
          <w:color w:val="000000"/>
          <w:sz w:val="24"/>
          <w:vertAlign w:val="subscript"/>
        </w:rPr>
        <w:t>2</w:t>
      </w:r>
      <w:r>
        <w:rPr>
          <w:rFonts w:hint="default" w:ascii="Times New Roman" w:hAnsi="Times New Roman" w:eastAsia="宋体" w:cs="Times New Roman"/>
          <w:color w:val="000000"/>
          <w:sz w:val="24"/>
        </w:rPr>
        <w:t>如下图所示。</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某个室内靠近围护结构处的倍频带声压级：</w:t>
      </w:r>
    </w:p>
    <w:p>
      <w:pPr>
        <w:spacing w:line="360" w:lineRule="auto"/>
        <w:ind w:firstLine="480"/>
        <w:jc w:val="center"/>
        <w:rPr>
          <w:rFonts w:hint="default" w:ascii="Times New Roman" w:hAnsi="Times New Roman" w:eastAsia="宋体" w:cs="Times New Roman"/>
          <w:color w:val="000000"/>
          <w:sz w:val="24"/>
        </w:rPr>
      </w:pPr>
      <w:r>
        <w:drawing>
          <wp:inline distT="0" distB="0" distL="114300" distR="114300">
            <wp:extent cx="2486025" cy="1285875"/>
            <wp:effectExtent l="0" t="0" r="9525" b="9525"/>
            <wp:docPr id="108" name="图片 6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67" descr="图片1"/>
                    <pic:cNvPicPr>
                      <a:picLocks noChangeAspect="1"/>
                    </pic:cNvPicPr>
                  </pic:nvPicPr>
                  <pic:blipFill>
                    <a:blip r:embed="rId57"/>
                    <a:stretch>
                      <a:fillRect/>
                    </a:stretch>
                  </pic:blipFill>
                  <pic:spPr>
                    <a:xfrm>
                      <a:off x="0" y="0"/>
                      <a:ext cx="2486025" cy="1285875"/>
                    </a:xfrm>
                    <a:prstGeom prst="rect">
                      <a:avLst/>
                    </a:prstGeom>
                    <a:noFill/>
                    <a:ln>
                      <a:noFill/>
                    </a:ln>
                  </pic:spPr>
                </pic:pic>
              </a:graphicData>
            </a:graphic>
          </wp:inline>
        </w:drawing>
      </w:r>
    </w:p>
    <w:p>
      <w:pPr>
        <w:adjustRightInd w:val="0"/>
        <w:snapToGrid w:val="0"/>
        <w:spacing w:line="360" w:lineRule="auto"/>
        <w:ind w:firstLine="480"/>
        <w:rPr>
          <w:rFonts w:hint="default" w:ascii="Times New Roman" w:hAnsi="Times New Roman" w:eastAsia="宋体" w:cs="Times New Roman"/>
          <w:color w:val="000000"/>
          <w:sz w:val="24"/>
        </w:rPr>
      </w:pPr>
      <w:r>
        <w:drawing>
          <wp:anchor distT="0" distB="0" distL="114300" distR="114300" simplePos="0" relativeHeight="251699200" behindDoc="0" locked="0" layoutInCell="1" allowOverlap="1">
            <wp:simplePos x="0" y="0"/>
            <wp:positionH relativeFrom="column">
              <wp:posOffset>1209675</wp:posOffset>
            </wp:positionH>
            <wp:positionV relativeFrom="paragraph">
              <wp:posOffset>635</wp:posOffset>
            </wp:positionV>
            <wp:extent cx="2371725" cy="711835"/>
            <wp:effectExtent l="0" t="0" r="9525" b="12065"/>
            <wp:wrapTopAndBottom/>
            <wp:docPr id="30" name="图片 244" descr="5D4_62]T(A`RMG5T0BL)6J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44" descr="5D4_62]T(A`RMG5T0BL)6J0"/>
                    <pic:cNvPicPr>
                      <a:picLocks noChangeAspect="1"/>
                    </pic:cNvPicPr>
                  </pic:nvPicPr>
                  <pic:blipFill>
                    <a:blip r:embed="rId58"/>
                    <a:stretch>
                      <a:fillRect/>
                    </a:stretch>
                  </pic:blipFill>
                  <pic:spPr>
                    <a:xfrm>
                      <a:off x="0" y="0"/>
                      <a:ext cx="2371725" cy="711835"/>
                    </a:xfrm>
                    <a:prstGeom prst="rect">
                      <a:avLst/>
                    </a:prstGeom>
                    <a:noFill/>
                    <a:ln>
                      <a:noFill/>
                    </a:ln>
                  </pic:spPr>
                </pic:pic>
              </a:graphicData>
            </a:graphic>
          </wp:anchor>
        </w:drawing>
      </w:r>
      <w:r>
        <w:rPr>
          <w:rFonts w:hint="default" w:ascii="Times New Roman" w:hAnsi="Times New Roman" w:eastAsia="宋体" w:cs="Times New Roman"/>
          <w:color w:val="000000"/>
          <w:sz w:val="24"/>
        </w:rPr>
        <w:t>式中：Lp1—某个室内声源在靠近围护结构处产生的倍频带声压级，dB；</w:t>
      </w:r>
    </w:p>
    <w:p>
      <w:pPr>
        <w:adjustRightInd w:val="0"/>
        <w:snapToGrid w:val="0"/>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Lw—某个声源的倍频带声功率级，dB；</w:t>
      </w:r>
    </w:p>
    <w:p>
      <w:pPr>
        <w:adjustRightInd w:val="0"/>
        <w:snapToGrid w:val="0"/>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R—室内某个声源与靠近围护结构处的距离，m；</w:t>
      </w:r>
    </w:p>
    <w:p>
      <w:pPr>
        <w:adjustRightInd w:val="0"/>
        <w:snapToGrid w:val="0"/>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R—房间常数；R=Sα/(1-α)，S为房间内表面面积，m</w:t>
      </w:r>
      <w:r>
        <w:rPr>
          <w:rFonts w:hint="default" w:ascii="Times New Roman" w:hAnsi="Times New Roman" w:eastAsia="宋体" w:cs="Times New Roman"/>
          <w:color w:val="000000"/>
          <w:sz w:val="24"/>
          <w:vertAlign w:val="superscript"/>
        </w:rPr>
        <w:t>2</w:t>
      </w:r>
      <w:r>
        <w:rPr>
          <w:rFonts w:hint="default" w:ascii="Times New Roman" w:hAnsi="Times New Roman" w:eastAsia="宋体" w:cs="Times New Roman"/>
          <w:color w:val="000000"/>
          <w:sz w:val="24"/>
        </w:rPr>
        <w:t>；为平均吸声系数。</w:t>
      </w:r>
    </w:p>
    <w:p>
      <w:pPr>
        <w:adjustRightInd w:val="0"/>
        <w:snapToGrid w:val="0"/>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Q—方向因子：通常对无指向性声源，当声源放在房间中心时，Q=1；当放在一面墙的中心时，Q=2；当放在两面墙夹角处时：Q=4；当放在三面墙夹角处时，Q=8。</w:t>
      </w:r>
    </w:p>
    <w:p>
      <w:pPr>
        <w:adjustRightInd w:val="0"/>
        <w:snapToGrid w:val="0"/>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然后按下式计算出所有室内声源在围护结构处产生的i倍频带叠加声压级：</w:t>
      </w:r>
    </w:p>
    <w:p>
      <w:pPr>
        <w:spacing w:line="360" w:lineRule="auto"/>
        <w:ind w:firstLine="480"/>
        <w:rPr>
          <w:rFonts w:hint="default" w:ascii="Times New Roman" w:hAnsi="Times New Roman" w:eastAsia="宋体" w:cs="Times New Roman"/>
          <w:color w:val="000000"/>
          <w:sz w:val="24"/>
        </w:rPr>
      </w:pPr>
      <w:r>
        <w:drawing>
          <wp:anchor distT="0" distB="0" distL="114300" distR="114300" simplePos="0" relativeHeight="251700224" behindDoc="0" locked="0" layoutInCell="1" allowOverlap="1">
            <wp:simplePos x="0" y="0"/>
            <wp:positionH relativeFrom="column">
              <wp:posOffset>1514475</wp:posOffset>
            </wp:positionH>
            <wp:positionV relativeFrom="paragraph">
              <wp:posOffset>293370</wp:posOffset>
            </wp:positionV>
            <wp:extent cx="1791970" cy="556260"/>
            <wp:effectExtent l="0" t="0" r="17780" b="15240"/>
            <wp:wrapTopAndBottom/>
            <wp:docPr id="31"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45"/>
                    <pic:cNvPicPr>
                      <a:picLocks noChangeAspect="1"/>
                    </pic:cNvPicPr>
                  </pic:nvPicPr>
                  <pic:blipFill>
                    <a:blip r:embed="rId59"/>
                    <a:stretch>
                      <a:fillRect/>
                    </a:stretch>
                  </pic:blipFill>
                  <pic:spPr>
                    <a:xfrm>
                      <a:off x="0" y="0"/>
                      <a:ext cx="1791970" cy="556260"/>
                    </a:xfrm>
                    <a:prstGeom prst="rect">
                      <a:avLst/>
                    </a:prstGeom>
                    <a:noFill/>
                    <a:ln>
                      <a:noFill/>
                    </a:ln>
                  </pic:spPr>
                </pic:pic>
              </a:graphicData>
            </a:graphic>
          </wp:anchor>
        </w:drawing>
      </w:r>
      <w:r>
        <w:rPr>
          <w:rFonts w:hint="default" w:ascii="Times New Roman" w:hAnsi="Times New Roman" w:eastAsia="宋体" w:cs="Times New Roman"/>
          <w:color w:val="000000"/>
          <w:sz w:val="24"/>
        </w:rPr>
        <w:t>式中：</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L</w:t>
      </w:r>
      <w:r>
        <w:rPr>
          <w:rFonts w:hint="default" w:ascii="Times New Roman" w:hAnsi="Times New Roman" w:eastAsia="宋体" w:cs="Times New Roman"/>
          <w:color w:val="000000"/>
          <w:sz w:val="24"/>
          <w:vertAlign w:val="subscript"/>
        </w:rPr>
        <w:t>p1i</w:t>
      </w:r>
      <w:r>
        <w:rPr>
          <w:rFonts w:hint="default" w:ascii="Times New Roman" w:hAnsi="Times New Roman" w:eastAsia="宋体" w:cs="Times New Roman"/>
          <w:color w:val="000000"/>
          <w:sz w:val="24"/>
        </w:rPr>
        <w:t>(T)—靠近围护结构处室内N 个声源i 倍频带叠加声压级，dB；</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L</w:t>
      </w:r>
      <w:r>
        <w:rPr>
          <w:rFonts w:hint="default" w:ascii="Times New Roman" w:hAnsi="Times New Roman" w:eastAsia="宋体" w:cs="Times New Roman"/>
          <w:color w:val="000000"/>
          <w:sz w:val="24"/>
          <w:vertAlign w:val="subscript"/>
        </w:rPr>
        <w:t>p1ij</w:t>
      </w:r>
      <w:r>
        <w:rPr>
          <w:rFonts w:hint="default" w:ascii="Times New Roman" w:hAnsi="Times New Roman" w:eastAsia="宋体" w:cs="Times New Roman"/>
          <w:color w:val="000000"/>
          <w:sz w:val="24"/>
        </w:rPr>
        <w:t>—室内j 声源i倍频带的声压级，dB；</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N—室内声源总数。</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若声源所在室内声场为近似扩散声场，则室外的倍频带声压级可按下式近似求出：</w:t>
      </w:r>
    </w:p>
    <w:p>
      <w:pPr>
        <w:spacing w:line="360" w:lineRule="auto"/>
        <w:ind w:firstLine="480"/>
        <w:jc w:val="center"/>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Lp</w:t>
      </w:r>
      <w:r>
        <w:rPr>
          <w:rFonts w:hint="default" w:ascii="Times New Roman" w:hAnsi="Times New Roman" w:eastAsia="宋体" w:cs="Times New Roman"/>
          <w:color w:val="000000"/>
          <w:sz w:val="24"/>
          <w:vertAlign w:val="subscript"/>
        </w:rPr>
        <w:t>2i</w:t>
      </w:r>
      <w:r>
        <w:rPr>
          <w:rFonts w:hint="default" w:ascii="Times New Roman" w:hAnsi="Times New Roman" w:eastAsia="宋体" w:cs="Times New Roman"/>
          <w:color w:val="000000"/>
          <w:sz w:val="24"/>
        </w:rPr>
        <w:t>(T)=L</w:t>
      </w:r>
      <w:r>
        <w:rPr>
          <w:rFonts w:hint="default" w:ascii="Times New Roman" w:hAnsi="Times New Roman" w:eastAsia="宋体" w:cs="Times New Roman"/>
          <w:color w:val="000000"/>
          <w:sz w:val="24"/>
          <w:vertAlign w:val="subscript"/>
        </w:rPr>
        <w:t>pli</w:t>
      </w:r>
      <w:r>
        <w:rPr>
          <w:rFonts w:hint="default" w:ascii="Times New Roman" w:hAnsi="Times New Roman" w:eastAsia="宋体" w:cs="Times New Roman"/>
          <w:color w:val="000000"/>
          <w:sz w:val="24"/>
        </w:rPr>
        <w:t>(T)-(TLi+6)</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式中：</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Lp2i(T)—靠近围护结构处室外N个声源i倍频带的叠加声压级，dB；</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TL—围护结构i倍频带的隔声量，dB；</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将室外声级和透声面积换算成等效的室外声源，计算出中心位置位于透声面积（S）处的等效声源的倍频带声功率级：</w:t>
      </w:r>
    </w:p>
    <w:p>
      <w:pPr>
        <w:spacing w:line="360" w:lineRule="auto"/>
        <w:ind w:firstLine="480"/>
        <w:jc w:val="center"/>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Lw=Lp</w:t>
      </w:r>
      <w:r>
        <w:rPr>
          <w:rFonts w:hint="default" w:ascii="Times New Roman" w:hAnsi="Times New Roman" w:eastAsia="宋体" w:cs="Times New Roman"/>
          <w:color w:val="000000"/>
          <w:sz w:val="24"/>
          <w:vertAlign w:val="subscript"/>
        </w:rPr>
        <w:t>2</w:t>
      </w:r>
      <w:r>
        <w:rPr>
          <w:rFonts w:hint="default" w:ascii="Times New Roman" w:hAnsi="Times New Roman" w:eastAsia="宋体" w:cs="Times New Roman"/>
          <w:color w:val="000000"/>
          <w:sz w:val="24"/>
        </w:rPr>
        <w:t>(T)+10lgS</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式中：S—透声面积，m</w:t>
      </w:r>
      <w:r>
        <w:rPr>
          <w:rFonts w:hint="default" w:ascii="Times New Roman" w:hAnsi="Times New Roman" w:eastAsia="宋体" w:cs="Times New Roman"/>
          <w:color w:val="000000"/>
          <w:sz w:val="24"/>
          <w:vertAlign w:val="superscript"/>
        </w:rPr>
        <w:t>2</w:t>
      </w:r>
      <w:r>
        <w:rPr>
          <w:rFonts w:hint="default" w:ascii="Times New Roman" w:hAnsi="Times New Roman" w:eastAsia="宋体" w:cs="Times New Roman"/>
          <w:color w:val="000000"/>
          <w:sz w:val="24"/>
        </w:rPr>
        <w:t>。</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等效室外声源的位置为围护结构的位置，其倍频带声功率级为Lw，由此按室外声源方法计算等效室外声源在预测点产生的声级。</w:t>
      </w:r>
    </w:p>
    <w:p>
      <w:pPr>
        <w:spacing w:line="360" w:lineRule="auto"/>
        <w:ind w:firstLine="482"/>
        <w:rPr>
          <w:rFonts w:hint="default" w:ascii="Times New Roman" w:hAnsi="Times New Roman" w:eastAsia="宋体" w:cs="Times New Roman"/>
          <w:b/>
          <w:bCs/>
          <w:color w:val="000000"/>
          <w:sz w:val="24"/>
        </w:rPr>
      </w:pPr>
      <w:r>
        <w:rPr>
          <w:rFonts w:hint="default" w:ascii="Times New Roman" w:hAnsi="Times New Roman" w:eastAsia="宋体" w:cs="Times New Roman"/>
          <w:b/>
          <w:bCs/>
          <w:color w:val="000000"/>
          <w:sz w:val="24"/>
        </w:rPr>
        <w:t>3）多声源叠加噪声贡献值：</w:t>
      </w:r>
    </w:p>
    <w:p>
      <w:pPr>
        <w:spacing w:line="360" w:lineRule="auto"/>
        <w:ind w:firstLine="480"/>
        <w:rPr>
          <w:rFonts w:hint="default" w:ascii="Times New Roman" w:hAnsi="Times New Roman" w:eastAsia="宋体" w:cs="Times New Roman"/>
          <w:color w:val="000000"/>
          <w:sz w:val="24"/>
        </w:rPr>
      </w:pPr>
      <w:r>
        <w:drawing>
          <wp:anchor distT="0" distB="0" distL="114300" distR="114300" simplePos="0" relativeHeight="251701248" behindDoc="0" locked="0" layoutInCell="1" allowOverlap="1">
            <wp:simplePos x="0" y="0"/>
            <wp:positionH relativeFrom="column">
              <wp:posOffset>447675</wp:posOffset>
            </wp:positionH>
            <wp:positionV relativeFrom="paragraph">
              <wp:posOffset>0</wp:posOffset>
            </wp:positionV>
            <wp:extent cx="4105275" cy="819150"/>
            <wp:effectExtent l="0" t="0" r="9525" b="0"/>
            <wp:wrapTopAndBottom/>
            <wp:docPr id="32" name="图片 246" descr="F$${_]6(0~WI(JQTS{LDH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46" descr="F$${_]6(0~WI(JQTS{LDH42"/>
                    <pic:cNvPicPr>
                      <a:picLocks noChangeAspect="1"/>
                    </pic:cNvPicPr>
                  </pic:nvPicPr>
                  <pic:blipFill>
                    <a:blip r:embed="rId60"/>
                    <a:stretch>
                      <a:fillRect/>
                    </a:stretch>
                  </pic:blipFill>
                  <pic:spPr>
                    <a:xfrm>
                      <a:off x="0" y="0"/>
                      <a:ext cx="4105275" cy="819150"/>
                    </a:xfrm>
                    <a:prstGeom prst="rect">
                      <a:avLst/>
                    </a:prstGeom>
                    <a:noFill/>
                    <a:ln>
                      <a:noFill/>
                    </a:ln>
                  </pic:spPr>
                </pic:pic>
              </a:graphicData>
            </a:graphic>
          </wp:anchor>
        </w:drawing>
      </w:r>
      <w:r>
        <w:rPr>
          <w:rFonts w:hint="default" w:ascii="Times New Roman" w:hAnsi="Times New Roman" w:eastAsia="宋体" w:cs="Times New Roman"/>
          <w:color w:val="000000"/>
          <w:sz w:val="24"/>
        </w:rPr>
        <w:t>式中：Leqg—预测点的噪声贡献值，dB(A)；</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ti—在T时间内i声源工作时间，s；</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tj—在T时间内j声源工作时间，s；</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T—用于计算等效声级的时间，s；</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N—室外声源个数；</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M—等效室外声源个数；</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LAi—第i个室外声源对预测点的噪声贡献值，dB(A)；</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LAj—第j个室外声源对预测点的噪声贡献值，dB(A)；</w:t>
      </w:r>
    </w:p>
    <w:p>
      <w:pPr>
        <w:spacing w:line="360" w:lineRule="auto"/>
        <w:ind w:firstLine="0"/>
        <w:outlineLvl w:val="2"/>
        <w:rPr>
          <w:rFonts w:hint="default" w:ascii="Times New Roman" w:hAnsi="Times New Roman" w:eastAsia="黑体" w:cs="Times New Roman"/>
          <w:color w:val="000000"/>
          <w:sz w:val="30"/>
          <w:szCs w:val="28"/>
        </w:rPr>
      </w:pPr>
      <w:bookmarkStart w:id="272" w:name="_Toc397602732"/>
      <w:bookmarkStart w:id="273" w:name="_Toc292697505"/>
      <w:bookmarkStart w:id="274" w:name="_Toc350274600"/>
      <w:bookmarkStart w:id="275" w:name="_Toc380587287"/>
      <w:r>
        <w:rPr>
          <w:rFonts w:hint="default" w:ascii="Times New Roman" w:hAnsi="Times New Roman" w:eastAsia="黑体" w:cs="Times New Roman"/>
          <w:color w:val="000000"/>
          <w:sz w:val="30"/>
          <w:szCs w:val="28"/>
        </w:rPr>
        <w:t>5.3.4预测结果及评价</w:t>
      </w:r>
      <w:bookmarkEnd w:id="272"/>
      <w:bookmarkEnd w:id="273"/>
      <w:bookmarkEnd w:id="274"/>
      <w:bookmarkEnd w:id="275"/>
    </w:p>
    <w:p>
      <w:pPr>
        <w:tabs>
          <w:tab w:val="left" w:pos="420"/>
          <w:tab w:val="left" w:pos="870"/>
          <w:tab w:val="left" w:pos="3150"/>
        </w:tabs>
        <w:autoSpaceDE w:val="0"/>
        <w:autoSpaceDN w:val="0"/>
        <w:adjustRightInd w:val="0"/>
        <w:snapToGrid w:val="0"/>
        <w:spacing w:line="360" w:lineRule="auto"/>
        <w:ind w:firstLine="480"/>
        <w:textAlignment w:val="baseline"/>
        <w:rPr>
          <w:rFonts w:hint="default" w:ascii="Times New Roman" w:hAnsi="Times New Roman" w:eastAsia="宋体" w:cs="Times New Roman"/>
          <w:color w:val="000000"/>
          <w:kern w:val="0"/>
          <w:sz w:val="24"/>
          <w:szCs w:val="28"/>
        </w:rPr>
      </w:pPr>
      <w:r>
        <w:rPr>
          <w:rFonts w:hint="default" w:ascii="Times New Roman" w:hAnsi="Times New Roman" w:eastAsia="宋体" w:cs="Times New Roman"/>
          <w:color w:val="000000"/>
          <w:kern w:val="0"/>
          <w:sz w:val="24"/>
          <w:szCs w:val="28"/>
        </w:rPr>
        <w:t>经预测，厂界噪声预测和达标分析结果见表5.3-2。</w:t>
      </w:r>
    </w:p>
    <w:p>
      <w:pPr>
        <w:tabs>
          <w:tab w:val="left" w:pos="420"/>
          <w:tab w:val="left" w:pos="870"/>
          <w:tab w:val="left" w:pos="3150"/>
        </w:tabs>
        <w:autoSpaceDE w:val="0"/>
        <w:autoSpaceDN w:val="0"/>
        <w:adjustRightInd w:val="0"/>
        <w:snapToGrid w:val="0"/>
        <w:spacing w:line="360" w:lineRule="auto"/>
        <w:ind w:firstLine="480"/>
        <w:jc w:val="center"/>
        <w:textAlignment w:val="baseline"/>
        <w:outlineLvl w:val="4"/>
        <w:rPr>
          <w:rFonts w:hint="default" w:ascii="Times New Roman" w:hAnsi="Times New Roman" w:eastAsia="黑体" w:cs="Times New Roman"/>
          <w:color w:val="000000"/>
          <w:kern w:val="0"/>
          <w:sz w:val="24"/>
          <w:szCs w:val="28"/>
        </w:rPr>
      </w:pPr>
      <w:bookmarkStart w:id="276" w:name="_Toc352680371"/>
      <w:r>
        <w:rPr>
          <w:rFonts w:hint="default" w:ascii="Times New Roman" w:hAnsi="Times New Roman" w:eastAsia="黑体" w:cs="Times New Roman"/>
          <w:color w:val="000000"/>
          <w:kern w:val="0"/>
          <w:sz w:val="24"/>
          <w:szCs w:val="28"/>
        </w:rPr>
        <w:t>表5.3-2 项目厂界噪声预测结果</w:t>
      </w:r>
      <w:bookmarkEnd w:id="276"/>
    </w:p>
    <w:tbl>
      <w:tblPr>
        <w:tblStyle w:val="9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0"/>
        <w:gridCol w:w="735"/>
        <w:gridCol w:w="1290"/>
        <w:gridCol w:w="1538"/>
        <w:gridCol w:w="1539"/>
        <w:gridCol w:w="1538"/>
        <w:gridCol w:w="15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5" w:type="dxa"/>
            <w:gridSpan w:val="2"/>
            <w:vMerge w:val="restart"/>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预测地点</w:t>
            </w:r>
          </w:p>
        </w:tc>
        <w:tc>
          <w:tcPr>
            <w:tcW w:w="1290" w:type="dxa"/>
            <w:vMerge w:val="restart"/>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坐标</w:t>
            </w:r>
          </w:p>
        </w:tc>
        <w:tc>
          <w:tcPr>
            <w:tcW w:w="3077" w:type="dxa"/>
            <w:gridSpan w:val="2"/>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昼间</w:t>
            </w:r>
          </w:p>
        </w:tc>
        <w:tc>
          <w:tcPr>
            <w:tcW w:w="3079" w:type="dxa"/>
            <w:gridSpan w:val="2"/>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gridSpan w:val="2"/>
            <w:vMerge w:val="continue"/>
            <w:tcBorders>
              <w:top w:val="single" w:color="auto" w:sz="2" w:space="0"/>
              <w:left w:val="single" w:color="auto" w:sz="2" w:space="0"/>
              <w:bottom w:val="single" w:color="auto" w:sz="2" w:space="0"/>
              <w:right w:val="single" w:color="auto" w:sz="2" w:space="0"/>
            </w:tcBorders>
            <w:noWrap w:val="0"/>
          </w:tcPr>
          <w:p/>
        </w:tc>
        <w:tc>
          <w:tcPr>
            <w:vMerge w:val="continue"/>
            <w:tcBorders>
              <w:top w:val="single" w:color="auto" w:sz="2" w:space="0"/>
              <w:left w:val="single" w:color="auto" w:sz="2" w:space="0"/>
              <w:bottom w:val="single" w:color="auto" w:sz="2" w:space="0"/>
              <w:right w:val="single" w:color="auto" w:sz="2" w:space="0"/>
            </w:tcBorders>
            <w:noWrap w:val="0"/>
          </w:tcPr>
          <w:p/>
        </w:tc>
        <w:tc>
          <w:tcPr>
            <w:tcW w:w="1538"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贡献值dB（A）</w:t>
            </w:r>
          </w:p>
        </w:tc>
        <w:tc>
          <w:tcPr>
            <w:tcW w:w="1539"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是否达标</w:t>
            </w:r>
          </w:p>
        </w:tc>
        <w:tc>
          <w:tcPr>
            <w:tcW w:w="1538"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贡献值dB（A）</w:t>
            </w:r>
          </w:p>
        </w:tc>
        <w:tc>
          <w:tcPr>
            <w:tcW w:w="1541"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厂界北</w:t>
            </w:r>
          </w:p>
        </w:tc>
        <w:tc>
          <w:tcPr>
            <w:tcW w:w="735"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1#</w:t>
            </w:r>
          </w:p>
        </w:tc>
        <w:tc>
          <w:tcPr>
            <w:tcW w:w="1290"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106,306,1</w:t>
            </w:r>
          </w:p>
        </w:tc>
        <w:tc>
          <w:tcPr>
            <w:tcW w:w="1538"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40.1</w:t>
            </w:r>
          </w:p>
        </w:tc>
        <w:tc>
          <w:tcPr>
            <w:tcW w:w="1539" w:type="dxa"/>
            <w:tcBorders>
              <w:top w:val="single" w:color="auto" w:sz="2" w:space="0"/>
              <w:left w:val="single" w:color="auto" w:sz="2" w:space="0"/>
              <w:bottom w:val="single" w:color="auto" w:sz="2" w:space="0"/>
              <w:right w:val="single" w:color="auto" w:sz="2" w:space="0"/>
            </w:tcBorders>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达标</w:t>
            </w:r>
          </w:p>
        </w:tc>
        <w:tc>
          <w:tcPr>
            <w:tcW w:w="1538"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40.1</w:t>
            </w:r>
          </w:p>
        </w:tc>
        <w:tc>
          <w:tcPr>
            <w:tcW w:w="1541"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厂界东</w:t>
            </w:r>
          </w:p>
        </w:tc>
        <w:tc>
          <w:tcPr>
            <w:tcW w:w="735"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2#</w:t>
            </w:r>
          </w:p>
        </w:tc>
        <w:tc>
          <w:tcPr>
            <w:tcW w:w="1290"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182,12,1</w:t>
            </w:r>
          </w:p>
        </w:tc>
        <w:tc>
          <w:tcPr>
            <w:tcW w:w="1538"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48.85</w:t>
            </w:r>
          </w:p>
        </w:tc>
        <w:tc>
          <w:tcPr>
            <w:tcW w:w="1539" w:type="dxa"/>
            <w:tcBorders>
              <w:top w:val="single" w:color="auto" w:sz="2" w:space="0"/>
              <w:left w:val="single" w:color="auto" w:sz="2" w:space="0"/>
              <w:bottom w:val="single" w:color="auto" w:sz="2" w:space="0"/>
              <w:right w:val="single" w:color="auto" w:sz="2" w:space="0"/>
            </w:tcBorders>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达标</w:t>
            </w:r>
          </w:p>
        </w:tc>
        <w:tc>
          <w:tcPr>
            <w:tcW w:w="1538"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48.85</w:t>
            </w:r>
          </w:p>
        </w:tc>
        <w:tc>
          <w:tcPr>
            <w:tcW w:w="1541"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厂界南</w:t>
            </w:r>
          </w:p>
        </w:tc>
        <w:tc>
          <w:tcPr>
            <w:tcW w:w="735"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3#</w:t>
            </w:r>
          </w:p>
        </w:tc>
        <w:tc>
          <w:tcPr>
            <w:tcW w:w="1290"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102,9,1</w:t>
            </w:r>
          </w:p>
        </w:tc>
        <w:tc>
          <w:tcPr>
            <w:tcW w:w="1538"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eastAsia" w:ascii="Times New Roman" w:hAnsi="Times New Roman" w:eastAsia="宋体" w:cs="Times New Roman"/>
                <w:color w:val="000000"/>
                <w:sz w:val="21"/>
                <w:szCs w:val="22"/>
                <w:lang w:eastAsia="zh-CN"/>
              </w:rPr>
            </w:pPr>
            <w:r>
              <w:rPr>
                <w:rFonts w:hint="default" w:ascii="Times New Roman" w:hAnsi="Times New Roman" w:eastAsia="宋体" w:cs="Times New Roman"/>
                <w:color w:val="000000"/>
                <w:sz w:val="21"/>
                <w:szCs w:val="22"/>
              </w:rPr>
              <w:t>5</w:t>
            </w:r>
            <w:r>
              <w:rPr>
                <w:rFonts w:hint="eastAsia" w:ascii="Times New Roman" w:hAnsi="Times New Roman" w:eastAsia="宋体" w:cs="Times New Roman"/>
                <w:color w:val="000000"/>
                <w:sz w:val="21"/>
                <w:szCs w:val="22"/>
                <w:lang w:val="en-US" w:eastAsia="zh-CN"/>
              </w:rPr>
              <w:t>3</w:t>
            </w:r>
            <w:r>
              <w:rPr>
                <w:rFonts w:hint="default" w:ascii="Times New Roman" w:hAnsi="Times New Roman" w:eastAsia="宋体" w:cs="Times New Roman"/>
                <w:color w:val="000000"/>
                <w:sz w:val="21"/>
                <w:szCs w:val="22"/>
              </w:rPr>
              <w:t>.</w:t>
            </w:r>
            <w:r>
              <w:rPr>
                <w:rFonts w:hint="eastAsia" w:ascii="Times New Roman" w:hAnsi="Times New Roman" w:eastAsia="宋体" w:cs="Times New Roman"/>
                <w:color w:val="000000"/>
                <w:sz w:val="21"/>
                <w:szCs w:val="22"/>
                <w:lang w:val="en-US" w:eastAsia="zh-CN"/>
              </w:rPr>
              <w:t>2</w:t>
            </w:r>
          </w:p>
        </w:tc>
        <w:tc>
          <w:tcPr>
            <w:tcW w:w="1539" w:type="dxa"/>
            <w:tcBorders>
              <w:top w:val="single" w:color="auto" w:sz="2" w:space="0"/>
              <w:left w:val="single" w:color="auto" w:sz="2" w:space="0"/>
              <w:bottom w:val="single" w:color="auto" w:sz="2" w:space="0"/>
              <w:right w:val="single" w:color="auto" w:sz="2" w:space="0"/>
            </w:tcBorders>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达标</w:t>
            </w:r>
          </w:p>
        </w:tc>
        <w:tc>
          <w:tcPr>
            <w:tcW w:w="1538"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eastAsia" w:ascii="Times New Roman" w:hAnsi="Times New Roman" w:eastAsia="宋体" w:cs="Times New Roman"/>
                <w:color w:val="000000"/>
                <w:sz w:val="21"/>
                <w:szCs w:val="22"/>
                <w:lang w:eastAsia="zh-CN"/>
              </w:rPr>
            </w:pPr>
            <w:r>
              <w:rPr>
                <w:rFonts w:hint="default" w:ascii="Times New Roman" w:hAnsi="Times New Roman" w:eastAsia="宋体" w:cs="Times New Roman"/>
                <w:color w:val="000000"/>
                <w:sz w:val="21"/>
                <w:szCs w:val="22"/>
              </w:rPr>
              <w:t>5</w:t>
            </w:r>
            <w:r>
              <w:rPr>
                <w:rFonts w:hint="eastAsia" w:ascii="Times New Roman" w:hAnsi="Times New Roman" w:eastAsia="宋体" w:cs="Times New Roman"/>
                <w:color w:val="000000"/>
                <w:sz w:val="21"/>
                <w:szCs w:val="22"/>
                <w:lang w:val="en-US" w:eastAsia="zh-CN"/>
              </w:rPr>
              <w:t>3</w:t>
            </w:r>
            <w:r>
              <w:rPr>
                <w:rFonts w:hint="default" w:ascii="Times New Roman" w:hAnsi="Times New Roman" w:eastAsia="宋体" w:cs="Times New Roman"/>
                <w:color w:val="000000"/>
                <w:sz w:val="21"/>
                <w:szCs w:val="22"/>
              </w:rPr>
              <w:t>.</w:t>
            </w:r>
            <w:r>
              <w:rPr>
                <w:rFonts w:hint="eastAsia" w:ascii="Times New Roman" w:hAnsi="Times New Roman" w:eastAsia="宋体" w:cs="Times New Roman"/>
                <w:color w:val="000000"/>
                <w:sz w:val="21"/>
                <w:szCs w:val="22"/>
                <w:lang w:val="en-US" w:eastAsia="zh-CN"/>
              </w:rPr>
              <w:t>2</w:t>
            </w:r>
          </w:p>
        </w:tc>
        <w:tc>
          <w:tcPr>
            <w:tcW w:w="1541"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厂界西</w:t>
            </w:r>
          </w:p>
        </w:tc>
        <w:tc>
          <w:tcPr>
            <w:tcW w:w="735"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4#</w:t>
            </w:r>
          </w:p>
        </w:tc>
        <w:tc>
          <w:tcPr>
            <w:tcW w:w="1290"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-2,231,1</w:t>
            </w:r>
          </w:p>
        </w:tc>
        <w:tc>
          <w:tcPr>
            <w:tcW w:w="1538"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42.0</w:t>
            </w:r>
          </w:p>
        </w:tc>
        <w:tc>
          <w:tcPr>
            <w:tcW w:w="1539" w:type="dxa"/>
            <w:tcBorders>
              <w:top w:val="single" w:color="auto" w:sz="2" w:space="0"/>
              <w:left w:val="single" w:color="auto" w:sz="2" w:space="0"/>
              <w:bottom w:val="single" w:color="auto" w:sz="2" w:space="0"/>
              <w:right w:val="single" w:color="auto" w:sz="2" w:space="0"/>
            </w:tcBorders>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达标</w:t>
            </w:r>
          </w:p>
        </w:tc>
        <w:tc>
          <w:tcPr>
            <w:tcW w:w="1538"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42.0</w:t>
            </w:r>
          </w:p>
        </w:tc>
        <w:tc>
          <w:tcPr>
            <w:tcW w:w="1541" w:type="dxa"/>
            <w:tcBorders>
              <w:top w:val="single" w:color="auto" w:sz="2" w:space="0"/>
              <w:left w:val="single" w:color="auto" w:sz="2" w:space="0"/>
              <w:bottom w:val="single" w:color="auto" w:sz="2" w:space="0"/>
              <w:right w:val="single" w:color="auto" w:sz="2" w:space="0"/>
            </w:tcBorders>
            <w:noWrap w:val="0"/>
            <w:vAlign w:val="center"/>
          </w:tcPr>
          <w:p>
            <w:pPr>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1"/>
              </w:rPr>
              <w:t>达标</w:t>
            </w:r>
          </w:p>
        </w:tc>
      </w:tr>
    </w:tbl>
    <w:p>
      <w:pPr>
        <w:tabs>
          <w:tab w:val="left" w:pos="420"/>
          <w:tab w:val="left" w:pos="870"/>
          <w:tab w:val="left" w:pos="3150"/>
        </w:tabs>
        <w:autoSpaceDE w:val="0"/>
        <w:autoSpaceDN w:val="0"/>
        <w:adjustRightInd w:val="0"/>
        <w:snapToGrid w:val="0"/>
        <w:spacing w:line="336" w:lineRule="auto"/>
        <w:ind w:firstLine="480"/>
        <w:textAlignment w:val="baseline"/>
        <w:rPr>
          <w:rFonts w:hint="default" w:ascii="Times New Roman" w:hAnsi="Times New Roman" w:eastAsia="宋体" w:cs="Times New Roman"/>
          <w:color w:val="000000"/>
          <w:kern w:val="0"/>
          <w:sz w:val="24"/>
          <w:szCs w:val="28"/>
        </w:rPr>
      </w:pPr>
      <w:r>
        <w:rPr>
          <w:rFonts w:hint="default" w:ascii="Times New Roman" w:hAnsi="Times New Roman" w:eastAsia="宋体" w:cs="Times New Roman"/>
          <w:color w:val="000000"/>
          <w:kern w:val="0"/>
          <w:sz w:val="24"/>
          <w:szCs w:val="28"/>
        </w:rPr>
        <w:t>从表5.3-2预测结果可知，本项目投产后，项目厂界昼、夜间噪声均符合《工业企业厂界环境噪声排放标准》（GB12348-2008）中3类标准的要求。</w:t>
      </w:r>
    </w:p>
    <w:p>
      <w:pPr>
        <w:spacing w:line="360" w:lineRule="auto"/>
        <w:ind w:firstLine="0"/>
        <w:outlineLvl w:val="2"/>
        <w:rPr>
          <w:rFonts w:hint="default" w:ascii="Times New Roman" w:hAnsi="Times New Roman" w:eastAsia="黑体" w:cs="Times New Roman"/>
          <w:color w:val="000000"/>
          <w:szCs w:val="28"/>
        </w:rPr>
      </w:pPr>
      <w:bookmarkStart w:id="277" w:name="_Toc397602733"/>
      <w:bookmarkStart w:id="278" w:name="_Toc350274601"/>
      <w:bookmarkStart w:id="279" w:name="_Toc380587288"/>
      <w:r>
        <w:rPr>
          <w:rFonts w:hint="default" w:ascii="Times New Roman" w:hAnsi="Times New Roman" w:eastAsia="黑体" w:cs="Times New Roman"/>
          <w:color w:val="000000"/>
          <w:szCs w:val="28"/>
        </w:rPr>
        <w:t>5.3.5小结</w:t>
      </w:r>
      <w:bookmarkEnd w:id="277"/>
      <w:bookmarkEnd w:id="278"/>
      <w:bookmarkEnd w:id="279"/>
    </w:p>
    <w:p>
      <w:pPr>
        <w:tabs>
          <w:tab w:val="left" w:pos="420"/>
          <w:tab w:val="left" w:pos="870"/>
          <w:tab w:val="left" w:pos="3150"/>
        </w:tabs>
        <w:autoSpaceDE w:val="0"/>
        <w:autoSpaceDN w:val="0"/>
        <w:adjustRightInd w:val="0"/>
        <w:snapToGrid w:val="0"/>
        <w:spacing w:line="360" w:lineRule="auto"/>
        <w:ind w:firstLine="480"/>
        <w:textAlignment w:val="baseline"/>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4"/>
        </w:rPr>
        <w:t>项目主要噪声源有冷却水塔、风机、泵和压缩机等，项目在满足工艺设计的前提下，选用低噪声型号的设备；并正确配备电机，以保证电机在额定功率下运行，避免电机超负荷运转；同时，增加减振垫、采用软连接等措施，以减少因振动的产生噪声；并将高噪声设备安置在车间内，利用厂房隔声。</w:t>
      </w:r>
    </w:p>
    <w:p>
      <w:pPr>
        <w:tabs>
          <w:tab w:val="left" w:pos="420"/>
          <w:tab w:val="left" w:pos="870"/>
          <w:tab w:val="left" w:pos="3150"/>
        </w:tabs>
        <w:autoSpaceDE w:val="0"/>
        <w:autoSpaceDN w:val="0"/>
        <w:adjustRightInd w:val="0"/>
        <w:snapToGrid w:val="0"/>
        <w:spacing w:line="360" w:lineRule="auto"/>
        <w:ind w:firstLine="480"/>
        <w:textAlignment w:val="baseline"/>
        <w:rPr>
          <w:rFonts w:hint="default" w:ascii="Times New Roman" w:hAnsi="Times New Roman" w:eastAsia="宋体" w:cs="Times New Roman"/>
          <w:color w:val="000000"/>
          <w:kern w:val="0"/>
          <w:sz w:val="24"/>
          <w:szCs w:val="28"/>
        </w:rPr>
      </w:pPr>
      <w:r>
        <w:rPr>
          <w:rFonts w:hint="default" w:ascii="Times New Roman" w:hAnsi="Times New Roman" w:eastAsia="宋体" w:cs="Times New Roman"/>
          <w:color w:val="000000"/>
          <w:kern w:val="0"/>
          <w:sz w:val="24"/>
          <w:szCs w:val="24"/>
        </w:rPr>
        <w:t>在采取上述措施及距离衰减后，经预测</w:t>
      </w:r>
      <w:r>
        <w:rPr>
          <w:rFonts w:hint="default" w:ascii="Times New Roman" w:hAnsi="Times New Roman" w:eastAsia="宋体" w:cs="Times New Roman"/>
          <w:color w:val="000000"/>
          <w:kern w:val="0"/>
          <w:sz w:val="24"/>
          <w:szCs w:val="28"/>
        </w:rPr>
        <w:t>，本项目投产后，厂界昼、夜间的噪声贡献值在42.0~5</w:t>
      </w:r>
      <w:r>
        <w:rPr>
          <w:rFonts w:hint="eastAsia" w:ascii="Times New Roman" w:hAnsi="Times New Roman" w:eastAsia="宋体" w:cs="Times New Roman"/>
          <w:color w:val="000000"/>
          <w:kern w:val="0"/>
          <w:sz w:val="24"/>
          <w:szCs w:val="28"/>
          <w:lang w:val="en-US" w:eastAsia="zh-CN"/>
        </w:rPr>
        <w:t>3.5</w:t>
      </w:r>
      <w:r>
        <w:rPr>
          <w:rFonts w:hint="default" w:ascii="Times New Roman" w:hAnsi="Times New Roman" w:eastAsia="宋体" w:cs="Times New Roman"/>
          <w:color w:val="000000"/>
          <w:kern w:val="0"/>
          <w:sz w:val="24"/>
          <w:szCs w:val="28"/>
        </w:rPr>
        <w:t>dB（A）之间，昼、夜间噪声均符合《工业企业厂界环境噪声排放标准》（GB12348-2008）中3类标准的要求。</w:t>
      </w:r>
    </w:p>
    <w:p>
      <w:pPr>
        <w:tabs>
          <w:tab w:val="left" w:pos="420"/>
          <w:tab w:val="left" w:pos="870"/>
          <w:tab w:val="left" w:pos="3150"/>
        </w:tabs>
        <w:autoSpaceDE w:val="0"/>
        <w:autoSpaceDN w:val="0"/>
        <w:adjustRightInd w:val="0"/>
        <w:snapToGrid w:val="0"/>
        <w:spacing w:line="360" w:lineRule="auto"/>
        <w:ind w:firstLine="480"/>
        <w:textAlignment w:val="baseline"/>
        <w:rPr>
          <w:rFonts w:hint="default" w:ascii="Times New Roman" w:hAnsi="Times New Roman" w:eastAsia="宋体" w:cs="Times New Roman"/>
          <w:color w:val="000000"/>
          <w:kern w:val="0"/>
          <w:sz w:val="24"/>
          <w:szCs w:val="28"/>
        </w:rPr>
        <w:sectPr>
          <w:pgSz w:w="11906" w:h="16838"/>
          <w:pgMar w:top="1417" w:right="1417" w:bottom="1417" w:left="1417" w:header="851" w:footer="992" w:gutter="0"/>
          <w:pgNumType w:fmt="decimal"/>
          <w:cols w:space="720" w:num="1"/>
          <w:docGrid w:type="lines" w:linePitch="312" w:charSpace="0"/>
        </w:sectPr>
      </w:pPr>
    </w:p>
    <w:p>
      <w:pPr>
        <w:keepNext/>
        <w:keepLines/>
        <w:spacing w:line="360" w:lineRule="auto"/>
        <w:ind w:firstLine="0"/>
        <w:outlineLvl w:val="1"/>
        <w:rPr>
          <w:rFonts w:hint="default" w:ascii="Times New Roman" w:hAnsi="Times New Roman" w:eastAsia="黑体" w:cs="Times New Roman"/>
          <w:bCs/>
          <w:sz w:val="32"/>
          <w:szCs w:val="30"/>
        </w:rPr>
      </w:pPr>
      <w:bookmarkStart w:id="280" w:name="_Toc476239507"/>
      <w:bookmarkStart w:id="281" w:name="_Toc28574"/>
      <w:bookmarkStart w:id="282" w:name="_Toc21963"/>
      <w:bookmarkStart w:id="283" w:name="_Toc1467"/>
      <w:r>
        <w:rPr>
          <w:rFonts w:hint="default" w:ascii="Times New Roman" w:hAnsi="Times New Roman" w:eastAsia="黑体" w:cs="Times New Roman"/>
          <w:bCs/>
          <w:sz w:val="32"/>
          <w:szCs w:val="30"/>
        </w:rPr>
        <w:t>5.4 固体废物影响分析</w:t>
      </w:r>
      <w:bookmarkEnd w:id="280"/>
      <w:bookmarkEnd w:id="281"/>
      <w:bookmarkEnd w:id="282"/>
    </w:p>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rPr>
      </w:pPr>
      <w:bookmarkStart w:id="284" w:name="_Toc322361019"/>
      <w:r>
        <w:rPr>
          <w:rFonts w:hint="default" w:ascii="Times New Roman" w:hAnsi="Times New Roman" w:eastAsia="黑体" w:cs="Times New Roman"/>
          <w:kern w:val="0"/>
          <w:sz w:val="30"/>
          <w:szCs w:val="30"/>
        </w:rPr>
        <w:t>5.4.1固废产生及处置情况</w:t>
      </w:r>
    </w:p>
    <w:p>
      <w:pPr>
        <w:tabs>
          <w:tab w:val="left" w:pos="420"/>
          <w:tab w:val="left" w:pos="870"/>
          <w:tab w:val="left" w:pos="3150"/>
        </w:tabs>
        <w:autoSpaceDE w:val="0"/>
        <w:autoSpaceDN w:val="0"/>
        <w:adjustRightInd w:val="0"/>
        <w:snapToGrid w:val="0"/>
        <w:spacing w:line="336" w:lineRule="auto"/>
        <w:ind w:firstLine="480"/>
        <w:textAlignment w:val="baseline"/>
        <w:rPr>
          <w:rFonts w:hint="default" w:ascii="Times New Roman" w:hAnsi="Times New Roman" w:eastAsia="宋体" w:cs="Times New Roman"/>
          <w:color w:val="000000"/>
          <w:kern w:val="0"/>
          <w:sz w:val="24"/>
          <w:szCs w:val="28"/>
        </w:rPr>
      </w:pPr>
      <w:r>
        <w:rPr>
          <w:rFonts w:hint="default" w:ascii="Times New Roman" w:hAnsi="Times New Roman" w:eastAsia="宋体" w:cs="Times New Roman"/>
          <w:color w:val="000000"/>
          <w:kern w:val="0"/>
          <w:sz w:val="24"/>
          <w:szCs w:val="28"/>
        </w:rPr>
        <w:t>本项目固体废物</w:t>
      </w:r>
      <w:r>
        <w:rPr>
          <w:rFonts w:hint="default" w:ascii="Times New Roman" w:hAnsi="Times New Roman" w:eastAsia="宋体" w:cs="Times New Roman"/>
          <w:color w:val="000000"/>
          <w:kern w:val="0"/>
          <w:sz w:val="24"/>
          <w:szCs w:val="24"/>
        </w:rPr>
        <w:t>产生及处置情况见表5.4-1。</w:t>
      </w:r>
    </w:p>
    <w:p>
      <w:pPr>
        <w:snapToGrid w:val="0"/>
        <w:spacing w:line="360" w:lineRule="auto"/>
        <w:ind w:firstLine="0"/>
        <w:jc w:val="center"/>
        <w:outlineLvl w:val="4"/>
        <w:rPr>
          <w:rFonts w:hint="default" w:ascii="Times New Roman" w:hAnsi="Times New Roman" w:eastAsia="黑体" w:cs="Times New Roman"/>
          <w:bCs/>
          <w:kern w:val="0"/>
          <w:sz w:val="24"/>
          <w:szCs w:val="24"/>
          <w:lang w:val="en-GB" w:eastAsia="zh-TW"/>
        </w:rPr>
      </w:pPr>
      <w:r>
        <w:rPr>
          <w:rFonts w:hint="default" w:ascii="Times New Roman" w:hAnsi="Times New Roman" w:eastAsia="黑体" w:cs="Times New Roman"/>
          <w:bCs/>
          <w:kern w:val="0"/>
          <w:sz w:val="24"/>
          <w:szCs w:val="24"/>
          <w:lang w:val="en-GB" w:eastAsia="zh-TW"/>
        </w:rPr>
        <w:t>表5.4-1  本项目固体废物产生及处置情况汇总表</w:t>
      </w:r>
    </w:p>
    <w:tbl>
      <w:tblPr>
        <w:tblStyle w:val="9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0"/>
        <w:gridCol w:w="1695"/>
        <w:gridCol w:w="1318"/>
        <w:gridCol w:w="1193"/>
        <w:gridCol w:w="1669"/>
        <w:gridCol w:w="1429"/>
        <w:gridCol w:w="811"/>
        <w:gridCol w:w="2205"/>
        <w:gridCol w:w="1285"/>
        <w:gridCol w:w="22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615" w:type="dxa"/>
            <w:gridSpan w:val="2"/>
            <w:tcBorders>
              <w:top w:val="single" w:color="auto" w:sz="4" w:space="0"/>
              <w:left w:val="single" w:color="auto" w:sz="4" w:space="0"/>
            </w:tcBorders>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固废名称</w:t>
            </w:r>
          </w:p>
        </w:tc>
        <w:tc>
          <w:tcPr>
            <w:tcW w:w="1318" w:type="dxa"/>
            <w:tcBorders>
              <w:top w:val="single" w:color="auto" w:sz="4" w:space="0"/>
            </w:tcBorders>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rPr>
              <w:t>属性</w:t>
            </w:r>
          </w:p>
        </w:tc>
        <w:tc>
          <w:tcPr>
            <w:tcW w:w="1193" w:type="dxa"/>
            <w:tcBorders>
              <w:top w:val="single" w:color="auto" w:sz="4" w:space="0"/>
            </w:tcBorders>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类别</w:t>
            </w:r>
          </w:p>
        </w:tc>
        <w:tc>
          <w:tcPr>
            <w:tcW w:w="1669" w:type="dxa"/>
            <w:tcBorders>
              <w:top w:val="single" w:color="auto" w:sz="4" w:space="0"/>
            </w:tcBorders>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代码</w:t>
            </w:r>
          </w:p>
        </w:tc>
        <w:tc>
          <w:tcPr>
            <w:tcW w:w="1429" w:type="dxa"/>
            <w:tcBorders>
              <w:top w:val="single" w:color="auto" w:sz="4" w:space="0"/>
            </w:tcBorders>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产生量（t/a）</w:t>
            </w:r>
          </w:p>
        </w:tc>
        <w:tc>
          <w:tcPr>
            <w:tcW w:w="811" w:type="dxa"/>
            <w:tcBorders>
              <w:top w:val="single" w:color="auto" w:sz="4" w:space="0"/>
            </w:tcBorders>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形态</w:t>
            </w:r>
          </w:p>
        </w:tc>
        <w:tc>
          <w:tcPr>
            <w:tcW w:w="2205" w:type="dxa"/>
            <w:tcBorders>
              <w:top w:val="single" w:color="auto" w:sz="4" w:space="0"/>
            </w:tcBorders>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主要成分</w:t>
            </w:r>
          </w:p>
        </w:tc>
        <w:tc>
          <w:tcPr>
            <w:tcW w:w="1285" w:type="dxa"/>
            <w:tcBorders>
              <w:top w:val="single" w:color="auto" w:sz="4" w:space="0"/>
            </w:tcBorders>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暂存场所</w:t>
            </w:r>
          </w:p>
        </w:tc>
        <w:tc>
          <w:tcPr>
            <w:tcW w:w="2261" w:type="dxa"/>
            <w:tcBorders>
              <w:top w:val="single" w:color="auto" w:sz="4" w:space="0"/>
              <w:right w:val="single" w:color="auto" w:sz="4" w:space="0"/>
            </w:tcBorders>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最终处置措施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615" w:type="dxa"/>
            <w:gridSpan w:val="2"/>
            <w:tcBorders>
              <w:left w:val="single" w:color="auto" w:sz="4" w:space="0"/>
            </w:tcBorders>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lang w:bidi="ar"/>
              </w:rPr>
              <w:t>精馏残液</w:t>
            </w:r>
            <w:r>
              <w:rPr>
                <w:rFonts w:hint="default" w:ascii="Times New Roman" w:hAnsi="Times New Roman" w:eastAsia="宋体" w:cs="Times New Roman"/>
                <w:b/>
                <w:color w:val="000000"/>
                <w:sz w:val="21"/>
                <w:szCs w:val="21"/>
                <w:lang w:bidi="ar"/>
              </w:rPr>
              <w:t>S1-1</w:t>
            </w:r>
          </w:p>
        </w:tc>
        <w:tc>
          <w:tcPr>
            <w:tcW w:w="1318" w:type="dxa"/>
            <w:noWrap w:val="0"/>
            <w:vAlign w:val="center"/>
          </w:tcPr>
          <w:p>
            <w:pPr>
              <w:spacing w:line="240" w:lineRule="atLeas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rPr>
              <w:t>危险废物</w:t>
            </w:r>
          </w:p>
        </w:tc>
        <w:tc>
          <w:tcPr>
            <w:tcW w:w="1193"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HW34</w:t>
            </w:r>
          </w:p>
        </w:tc>
        <w:tc>
          <w:tcPr>
            <w:tcW w:w="1669"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261-058-34</w:t>
            </w:r>
          </w:p>
        </w:tc>
        <w:tc>
          <w:tcPr>
            <w:tcW w:w="1429"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lang w:bidi="ar"/>
              </w:rPr>
              <w:t>2</w:t>
            </w:r>
          </w:p>
        </w:tc>
        <w:tc>
          <w:tcPr>
            <w:tcW w:w="811"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lang w:bidi="ar"/>
              </w:rPr>
              <w:t>液态</w:t>
            </w:r>
          </w:p>
        </w:tc>
        <w:tc>
          <w:tcPr>
            <w:tcW w:w="2205"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lang w:bidi="ar"/>
              </w:rPr>
              <w:t>硝酸及杂质</w:t>
            </w:r>
          </w:p>
        </w:tc>
        <w:tc>
          <w:tcPr>
            <w:tcW w:w="1285" w:type="dxa"/>
            <w:vMerge w:val="restart"/>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危废暂存间</w:t>
            </w:r>
          </w:p>
          <w:p>
            <w:pPr>
              <w:widowControl/>
              <w:snapToGrid w:val="0"/>
              <w:spacing w:line="300" w:lineRule="exact"/>
              <w:ind w:firstLine="0"/>
              <w:jc w:val="center"/>
              <w:textAlignment w:val="center"/>
              <w:rPr>
                <w:rFonts w:hint="default" w:ascii="Times New Roman" w:hAnsi="Times New Roman" w:eastAsia="宋体" w:cs="Times New Roman"/>
                <w:color w:val="000000"/>
                <w:kern w:val="0"/>
                <w:sz w:val="21"/>
                <w:szCs w:val="21"/>
              </w:rPr>
            </w:pPr>
          </w:p>
        </w:tc>
        <w:tc>
          <w:tcPr>
            <w:tcW w:w="2261" w:type="dxa"/>
            <w:vMerge w:val="restart"/>
            <w:tcBorders>
              <w:right w:val="single" w:color="auto" w:sz="4" w:space="0"/>
            </w:tcBorders>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rPr>
              <w:t>委托有资质的危废处理单位处理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615" w:type="dxa"/>
            <w:gridSpan w:val="2"/>
            <w:tcBorders>
              <w:left w:val="single" w:color="auto" w:sz="4" w:space="0"/>
            </w:tcBorders>
            <w:noWrap w:val="0"/>
            <w:vAlign w:val="center"/>
          </w:tcPr>
          <w:p>
            <w:pPr>
              <w:widowControl/>
              <w:spacing w:line="240" w:lineRule="auto"/>
              <w:ind w:firstLine="0"/>
              <w:jc w:val="center"/>
              <w:textAlignment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color w:val="000000"/>
                <w:sz w:val="21"/>
                <w:szCs w:val="21"/>
                <w:lang w:bidi="ar"/>
              </w:rPr>
              <w:t>除杂渣</w:t>
            </w:r>
            <w:r>
              <w:rPr>
                <w:rFonts w:hint="default" w:ascii="Times New Roman" w:hAnsi="Times New Roman" w:eastAsia="宋体" w:cs="Times New Roman"/>
                <w:b/>
                <w:color w:val="000000"/>
                <w:sz w:val="21"/>
                <w:szCs w:val="21"/>
                <w:lang w:bidi="ar"/>
              </w:rPr>
              <w:t>S2-1</w:t>
            </w:r>
          </w:p>
        </w:tc>
        <w:tc>
          <w:tcPr>
            <w:tcW w:w="1318"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危险废物</w:t>
            </w:r>
          </w:p>
        </w:tc>
        <w:tc>
          <w:tcPr>
            <w:tcW w:w="1193" w:type="dxa"/>
            <w:noWrap w:val="0"/>
            <w:vAlign w:val="center"/>
          </w:tcPr>
          <w:p>
            <w:pPr>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HW49</w:t>
            </w:r>
          </w:p>
        </w:tc>
        <w:tc>
          <w:tcPr>
            <w:tcW w:w="1669"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900-047-49</w:t>
            </w:r>
          </w:p>
        </w:tc>
        <w:tc>
          <w:tcPr>
            <w:tcW w:w="1429"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lang w:bidi="ar"/>
              </w:rPr>
              <w:t>0.054</w:t>
            </w:r>
          </w:p>
        </w:tc>
        <w:tc>
          <w:tcPr>
            <w:tcW w:w="811"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lang w:bidi="ar"/>
              </w:rPr>
              <w:t>固态</w:t>
            </w:r>
          </w:p>
        </w:tc>
        <w:tc>
          <w:tcPr>
            <w:tcW w:w="2205"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lang w:bidi="ar"/>
              </w:rPr>
              <w:t>含Ag、Cu、</w:t>
            </w:r>
            <w:r>
              <w:rPr>
                <w:rFonts w:hint="eastAsia" w:ascii="Times New Roman" w:hAnsi="Times New Roman" w:eastAsia="宋体" w:cs="Times New Roman"/>
                <w:color w:val="000000"/>
                <w:sz w:val="21"/>
                <w:szCs w:val="21"/>
                <w:lang w:val="en-US" w:eastAsia="zh-CN" w:bidi="ar"/>
              </w:rPr>
              <w:t>Sb</w:t>
            </w:r>
            <w:r>
              <w:rPr>
                <w:rFonts w:hint="default" w:ascii="Times New Roman" w:hAnsi="Times New Roman" w:eastAsia="宋体" w:cs="Times New Roman"/>
                <w:color w:val="000000"/>
                <w:sz w:val="21"/>
                <w:szCs w:val="21"/>
                <w:lang w:bidi="ar"/>
              </w:rPr>
              <w:t>、Pb等金属杂质</w:t>
            </w:r>
          </w:p>
        </w:tc>
        <w:tc>
          <w:tcPr>
            <w:vMerge w:val="continue"/>
            <w:noWrap w:val="0"/>
          </w:tcPr>
          <w:p/>
        </w:tc>
        <w:tc>
          <w:tcPr>
            <w:vMerge w:val="continue"/>
            <w:tcBorders>
              <w:right w:val="single" w:color="auto" w:sz="4" w:space="0"/>
            </w:tcBorders>
            <w:noWrap w:val="0"/>
          </w:tc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615" w:type="dxa"/>
            <w:gridSpan w:val="2"/>
            <w:tcBorders>
              <w:left w:val="single" w:color="auto" w:sz="4" w:space="0"/>
            </w:tcBorders>
            <w:noWrap w:val="0"/>
            <w:vAlign w:val="center"/>
          </w:tcPr>
          <w:p>
            <w:pPr>
              <w:widowControl/>
              <w:spacing w:line="240" w:lineRule="auto"/>
              <w:ind w:firstLine="0"/>
              <w:jc w:val="center"/>
              <w:textAlignment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color w:val="000000"/>
                <w:sz w:val="21"/>
                <w:szCs w:val="21"/>
                <w:lang w:bidi="ar"/>
              </w:rPr>
              <w:t>精馏残液</w:t>
            </w:r>
            <w:r>
              <w:rPr>
                <w:rFonts w:hint="default" w:ascii="Times New Roman" w:hAnsi="Times New Roman" w:eastAsia="宋体" w:cs="Times New Roman"/>
                <w:b/>
                <w:color w:val="000000"/>
                <w:sz w:val="21"/>
                <w:szCs w:val="21"/>
                <w:lang w:bidi="ar"/>
              </w:rPr>
              <w:t>S3-1</w:t>
            </w:r>
          </w:p>
        </w:tc>
        <w:tc>
          <w:tcPr>
            <w:tcW w:w="1318"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危险废物</w:t>
            </w:r>
          </w:p>
        </w:tc>
        <w:tc>
          <w:tcPr>
            <w:tcW w:w="1193"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HW11</w:t>
            </w:r>
          </w:p>
        </w:tc>
        <w:tc>
          <w:tcPr>
            <w:tcW w:w="1669"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900-013-11</w:t>
            </w:r>
          </w:p>
        </w:tc>
        <w:tc>
          <w:tcPr>
            <w:tcW w:w="1429"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lang w:bidi="ar"/>
              </w:rPr>
              <w:t>29.67</w:t>
            </w:r>
          </w:p>
        </w:tc>
        <w:tc>
          <w:tcPr>
            <w:tcW w:w="811"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液态</w:t>
            </w:r>
          </w:p>
        </w:tc>
        <w:tc>
          <w:tcPr>
            <w:tcW w:w="2205"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含脱氢抗坏血酸、乙醇、银的残液</w:t>
            </w:r>
          </w:p>
        </w:tc>
        <w:tc>
          <w:tcPr>
            <w:vMerge w:val="continue"/>
            <w:noWrap w:val="0"/>
          </w:tcPr>
          <w:p/>
        </w:tc>
        <w:tc>
          <w:tcPr>
            <w:vMerge w:val="continue"/>
            <w:tcBorders>
              <w:right w:val="single" w:color="auto" w:sz="4" w:space="0"/>
            </w:tcBorders>
            <w:noWrap w:val="0"/>
          </w:tc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615" w:type="dxa"/>
            <w:gridSpan w:val="2"/>
            <w:tcBorders>
              <w:left w:val="single" w:color="auto" w:sz="4" w:space="0"/>
            </w:tcBorders>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机修废机械油</w:t>
            </w:r>
          </w:p>
        </w:tc>
        <w:tc>
          <w:tcPr>
            <w:tcW w:w="1318"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危险废物</w:t>
            </w:r>
          </w:p>
        </w:tc>
        <w:tc>
          <w:tcPr>
            <w:tcW w:w="1193" w:type="dxa"/>
            <w:noWrap w:val="0"/>
            <w:vAlign w:val="center"/>
          </w:tcPr>
          <w:p>
            <w:pPr>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HW08</w:t>
            </w:r>
          </w:p>
        </w:tc>
        <w:tc>
          <w:tcPr>
            <w:tcW w:w="1669" w:type="dxa"/>
            <w:noWrap w:val="0"/>
            <w:vAlign w:val="center"/>
          </w:tcPr>
          <w:p>
            <w:pPr>
              <w:widowControl/>
              <w:spacing w:line="240" w:lineRule="auto"/>
              <w:ind w:firstLine="0"/>
              <w:jc w:val="center"/>
              <w:textAlignment w:val="center"/>
              <w:rPr>
                <w:rFonts w:hint="default" w:ascii="Times New Roman" w:hAnsi="Times New Roman" w:eastAsia="宋体" w:cs="Times New Roman"/>
                <w:snapToGrid w:val="0"/>
                <w:color w:val="000000"/>
                <w:kern w:val="0"/>
                <w:sz w:val="21"/>
                <w:szCs w:val="22"/>
              </w:rPr>
            </w:pPr>
            <w:r>
              <w:rPr>
                <w:rFonts w:hint="default" w:ascii="Times New Roman" w:hAnsi="Times New Roman" w:eastAsia="宋体" w:cs="Times New Roman"/>
                <w:color w:val="000000"/>
                <w:sz w:val="21"/>
                <w:szCs w:val="21"/>
                <w:lang w:bidi="ar"/>
              </w:rPr>
              <w:t>900-249-08</w:t>
            </w:r>
          </w:p>
        </w:tc>
        <w:tc>
          <w:tcPr>
            <w:tcW w:w="1429"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0.5</w:t>
            </w:r>
          </w:p>
        </w:tc>
        <w:tc>
          <w:tcPr>
            <w:tcW w:w="811"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液态</w:t>
            </w:r>
          </w:p>
        </w:tc>
        <w:tc>
          <w:tcPr>
            <w:tcW w:w="2205"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lang w:bidi="ar"/>
              </w:rPr>
              <w:t>废机油</w:t>
            </w:r>
          </w:p>
        </w:tc>
        <w:tc>
          <w:tcPr>
            <w:vMerge w:val="continue"/>
            <w:noWrap w:val="0"/>
          </w:tcPr>
          <w:p/>
        </w:tc>
        <w:tc>
          <w:tcPr>
            <w:vMerge w:val="continue"/>
            <w:tcBorders>
              <w:right w:val="single" w:color="auto" w:sz="4" w:space="0"/>
            </w:tcBorders>
            <w:noWrap w:val="0"/>
          </w:tc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615" w:type="dxa"/>
            <w:gridSpan w:val="2"/>
            <w:tcBorders>
              <w:left w:val="single" w:color="auto" w:sz="4" w:space="0"/>
            </w:tcBorders>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化验室废试剂及药品</w:t>
            </w:r>
          </w:p>
        </w:tc>
        <w:tc>
          <w:tcPr>
            <w:tcW w:w="1318"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危险废物</w:t>
            </w:r>
          </w:p>
        </w:tc>
        <w:tc>
          <w:tcPr>
            <w:tcW w:w="1193"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HW49</w:t>
            </w:r>
          </w:p>
        </w:tc>
        <w:tc>
          <w:tcPr>
            <w:tcW w:w="1669" w:type="dxa"/>
            <w:noWrap w:val="0"/>
            <w:vAlign w:val="center"/>
          </w:tcPr>
          <w:p>
            <w:pPr>
              <w:widowControl/>
              <w:spacing w:line="240" w:lineRule="auto"/>
              <w:ind w:firstLine="0"/>
              <w:jc w:val="center"/>
              <w:textAlignment w:val="center"/>
              <w:rPr>
                <w:rFonts w:hint="default" w:ascii="Times New Roman" w:hAnsi="Times New Roman" w:eastAsia="宋体" w:cs="Times New Roman"/>
                <w:snapToGrid w:val="0"/>
                <w:color w:val="000000"/>
                <w:kern w:val="0"/>
                <w:sz w:val="21"/>
                <w:szCs w:val="22"/>
              </w:rPr>
            </w:pPr>
            <w:r>
              <w:rPr>
                <w:rFonts w:hint="default" w:ascii="Times New Roman" w:hAnsi="Times New Roman" w:eastAsia="宋体" w:cs="Times New Roman"/>
                <w:color w:val="000000"/>
                <w:sz w:val="21"/>
                <w:szCs w:val="21"/>
                <w:lang w:bidi="ar"/>
              </w:rPr>
              <w:t>900-047-49</w:t>
            </w:r>
          </w:p>
        </w:tc>
        <w:tc>
          <w:tcPr>
            <w:tcW w:w="1429"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0.05</w:t>
            </w:r>
          </w:p>
        </w:tc>
        <w:tc>
          <w:tcPr>
            <w:tcW w:w="811"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固态</w:t>
            </w:r>
          </w:p>
        </w:tc>
        <w:tc>
          <w:tcPr>
            <w:tcW w:w="2205"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lang w:bidi="ar"/>
              </w:rPr>
              <w:t>废试剂及药品</w:t>
            </w:r>
          </w:p>
        </w:tc>
        <w:tc>
          <w:tcPr>
            <w:vMerge w:val="continue"/>
            <w:noWrap w:val="0"/>
          </w:tcPr>
          <w:p/>
        </w:tc>
        <w:tc>
          <w:tcPr>
            <w:vMerge w:val="continue"/>
            <w:tcBorders>
              <w:right w:val="single" w:color="auto" w:sz="4" w:space="0"/>
            </w:tcBorders>
            <w:noWrap w:val="0"/>
          </w:tc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615" w:type="dxa"/>
            <w:gridSpan w:val="2"/>
            <w:tcBorders>
              <w:left w:val="single" w:color="auto" w:sz="4" w:space="0"/>
            </w:tcBorders>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废包装袋（桶）</w:t>
            </w:r>
          </w:p>
        </w:tc>
        <w:tc>
          <w:tcPr>
            <w:tcW w:w="1318"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危险废物</w:t>
            </w:r>
          </w:p>
        </w:tc>
        <w:tc>
          <w:tcPr>
            <w:tcW w:w="1193"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HW49</w:t>
            </w:r>
          </w:p>
        </w:tc>
        <w:tc>
          <w:tcPr>
            <w:tcW w:w="1669" w:type="dxa"/>
            <w:noWrap w:val="0"/>
            <w:vAlign w:val="center"/>
          </w:tcPr>
          <w:p>
            <w:pPr>
              <w:widowControl/>
              <w:spacing w:line="240" w:lineRule="auto"/>
              <w:ind w:firstLine="0"/>
              <w:jc w:val="center"/>
              <w:textAlignment w:val="center"/>
              <w:rPr>
                <w:rFonts w:hint="default" w:ascii="Times New Roman" w:hAnsi="Times New Roman" w:eastAsia="宋体" w:cs="Times New Roman"/>
                <w:snapToGrid w:val="0"/>
                <w:color w:val="000000"/>
                <w:kern w:val="0"/>
                <w:sz w:val="21"/>
                <w:szCs w:val="22"/>
              </w:rPr>
            </w:pPr>
            <w:r>
              <w:rPr>
                <w:rFonts w:hint="default" w:ascii="Times New Roman" w:hAnsi="Times New Roman" w:eastAsia="宋体" w:cs="Times New Roman"/>
                <w:color w:val="000000"/>
                <w:sz w:val="21"/>
                <w:szCs w:val="21"/>
                <w:lang w:bidi="ar"/>
              </w:rPr>
              <w:t>900-041-49</w:t>
            </w:r>
          </w:p>
        </w:tc>
        <w:tc>
          <w:tcPr>
            <w:tcW w:w="1429"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0.3</w:t>
            </w:r>
          </w:p>
        </w:tc>
        <w:tc>
          <w:tcPr>
            <w:tcW w:w="811"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固态</w:t>
            </w:r>
          </w:p>
        </w:tc>
        <w:tc>
          <w:tcPr>
            <w:tcW w:w="2205"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lang w:bidi="ar"/>
              </w:rPr>
              <w:t>废包装桶</w:t>
            </w:r>
          </w:p>
        </w:tc>
        <w:tc>
          <w:tcPr>
            <w:vMerge w:val="continue"/>
            <w:noWrap w:val="0"/>
          </w:tcPr>
          <w:p/>
        </w:tc>
        <w:tc>
          <w:tcPr>
            <w:vMerge w:val="continue"/>
            <w:tcBorders>
              <w:right w:val="single" w:color="auto" w:sz="4" w:space="0"/>
            </w:tcBorders>
            <w:noWrap w:val="0"/>
          </w:tc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615" w:type="dxa"/>
            <w:gridSpan w:val="2"/>
            <w:tcBorders>
              <w:left w:val="single" w:color="auto" w:sz="4" w:space="0"/>
            </w:tcBorders>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kern w:val="0"/>
                <w:sz w:val="21"/>
                <w:szCs w:val="21"/>
                <w:lang w:val="en-US" w:eastAsia="zh-CN" w:bidi="ar"/>
              </w:rPr>
              <w:t>含银废水预</w:t>
            </w:r>
            <w:r>
              <w:rPr>
                <w:rFonts w:hint="default" w:ascii="Times New Roman" w:hAnsi="Times New Roman" w:eastAsia="宋体" w:cs="Times New Roman"/>
                <w:color w:val="auto"/>
                <w:kern w:val="0"/>
                <w:sz w:val="21"/>
                <w:szCs w:val="21"/>
                <w:lang w:bidi="ar"/>
              </w:rPr>
              <w:t>处理设施</w:t>
            </w:r>
            <w:r>
              <w:rPr>
                <w:rFonts w:hint="eastAsia" w:ascii="Times New Roman" w:hAnsi="Times New Roman" w:eastAsia="宋体" w:cs="Times New Roman"/>
                <w:color w:val="auto"/>
                <w:kern w:val="0"/>
                <w:sz w:val="21"/>
                <w:szCs w:val="21"/>
                <w:lang w:val="en-US" w:eastAsia="zh-CN" w:bidi="ar"/>
              </w:rPr>
              <w:t>污泥</w:t>
            </w:r>
          </w:p>
        </w:tc>
        <w:tc>
          <w:tcPr>
            <w:tcW w:w="1318"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危险废物</w:t>
            </w:r>
          </w:p>
        </w:tc>
        <w:tc>
          <w:tcPr>
            <w:tcW w:w="1193"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HW49</w:t>
            </w:r>
          </w:p>
        </w:tc>
        <w:tc>
          <w:tcPr>
            <w:tcW w:w="1669" w:type="dxa"/>
            <w:noWrap w:val="0"/>
            <w:vAlign w:val="center"/>
          </w:tcPr>
          <w:p>
            <w:pPr>
              <w:widowControl/>
              <w:spacing w:line="240" w:lineRule="auto"/>
              <w:ind w:firstLine="0"/>
              <w:jc w:val="center"/>
              <w:textAlignment w:val="center"/>
              <w:rPr>
                <w:rFonts w:hint="default" w:ascii="Times New Roman" w:hAnsi="Times New Roman" w:eastAsia="宋体" w:cs="Times New Roman"/>
                <w:snapToGrid w:val="0"/>
                <w:color w:val="auto"/>
                <w:kern w:val="0"/>
                <w:sz w:val="21"/>
                <w:szCs w:val="22"/>
              </w:rPr>
            </w:pPr>
            <w:r>
              <w:rPr>
                <w:rFonts w:hint="default" w:ascii="Times New Roman" w:hAnsi="Times New Roman" w:eastAsia="宋体" w:cs="Times New Roman"/>
                <w:color w:val="auto"/>
                <w:sz w:val="21"/>
                <w:szCs w:val="21"/>
                <w:lang w:bidi="ar"/>
              </w:rPr>
              <w:t>900-047-49</w:t>
            </w:r>
          </w:p>
        </w:tc>
        <w:tc>
          <w:tcPr>
            <w:tcW w:w="1429" w:type="dxa"/>
            <w:noWrap w:val="0"/>
            <w:vAlign w:val="center"/>
          </w:tcPr>
          <w:p>
            <w:pPr>
              <w:widowControl/>
              <w:snapToGrid w:val="0"/>
              <w:spacing w:line="300" w:lineRule="exact"/>
              <w:ind w:firstLine="0"/>
              <w:jc w:val="center"/>
              <w:textAlignment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bidi="ar"/>
              </w:rPr>
              <w:t>7</w:t>
            </w:r>
          </w:p>
        </w:tc>
        <w:tc>
          <w:tcPr>
            <w:tcW w:w="811"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固态</w:t>
            </w:r>
          </w:p>
        </w:tc>
        <w:tc>
          <w:tcPr>
            <w:tcW w:w="2205"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bidi="ar"/>
              </w:rPr>
              <w:t>含氧化银的</w:t>
            </w:r>
            <w:r>
              <w:rPr>
                <w:rFonts w:hint="eastAsia" w:ascii="Times New Roman" w:hAnsi="Times New Roman" w:eastAsia="宋体" w:cs="Times New Roman"/>
                <w:color w:val="auto"/>
                <w:kern w:val="0"/>
                <w:sz w:val="21"/>
                <w:szCs w:val="21"/>
                <w:lang w:val="en-US" w:eastAsia="zh-CN" w:bidi="ar"/>
              </w:rPr>
              <w:t>污泥</w:t>
            </w:r>
          </w:p>
        </w:tc>
        <w:tc>
          <w:tcPr>
            <w:vMerge w:val="continue"/>
            <w:noWrap w:val="0"/>
          </w:tcPr>
          <w:p/>
        </w:tc>
        <w:tc>
          <w:tcPr>
            <w:vMerge w:val="continue"/>
            <w:tcBorders>
              <w:right w:val="single" w:color="auto" w:sz="4" w:space="0"/>
            </w:tcBorders>
            <w:noWrap w:val="0"/>
          </w:tc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615" w:type="dxa"/>
            <w:gridSpan w:val="2"/>
            <w:tcBorders>
              <w:left w:val="single" w:color="auto" w:sz="4" w:space="0"/>
            </w:tcBorders>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含银废液</w:t>
            </w:r>
            <w:r>
              <w:rPr>
                <w:rFonts w:hint="eastAsia" w:ascii="Times New Roman" w:hAnsi="Times New Roman" w:eastAsia="宋体" w:cs="Times New Roman"/>
                <w:color w:val="auto"/>
                <w:kern w:val="0"/>
                <w:sz w:val="21"/>
                <w:szCs w:val="21"/>
                <w:lang w:val="en-US" w:eastAsia="zh-CN" w:bidi="ar"/>
              </w:rPr>
              <w:t>三效</w:t>
            </w:r>
            <w:r>
              <w:rPr>
                <w:rFonts w:hint="default" w:ascii="Times New Roman" w:hAnsi="Times New Roman" w:eastAsia="宋体" w:cs="Times New Roman"/>
                <w:color w:val="auto"/>
                <w:kern w:val="0"/>
                <w:sz w:val="21"/>
                <w:szCs w:val="21"/>
                <w:lang w:bidi="ar"/>
              </w:rPr>
              <w:t>蒸发器残渣</w:t>
            </w:r>
          </w:p>
        </w:tc>
        <w:tc>
          <w:tcPr>
            <w:tcW w:w="1318"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危险废物</w:t>
            </w:r>
          </w:p>
        </w:tc>
        <w:tc>
          <w:tcPr>
            <w:tcW w:w="1193"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HW49</w:t>
            </w:r>
          </w:p>
        </w:tc>
        <w:tc>
          <w:tcPr>
            <w:tcW w:w="1669" w:type="dxa"/>
            <w:noWrap w:val="0"/>
            <w:vAlign w:val="center"/>
          </w:tcPr>
          <w:p>
            <w:pPr>
              <w:widowControl/>
              <w:spacing w:line="240" w:lineRule="auto"/>
              <w:ind w:firstLine="0"/>
              <w:textAlignment w:val="center"/>
              <w:rPr>
                <w:rFonts w:hint="default" w:ascii="Times New Roman" w:hAnsi="Times New Roman" w:eastAsia="宋体" w:cs="Times New Roman"/>
                <w:snapToGrid w:val="0"/>
                <w:color w:val="auto"/>
                <w:kern w:val="0"/>
                <w:sz w:val="21"/>
                <w:szCs w:val="22"/>
              </w:rPr>
            </w:pPr>
            <w:r>
              <w:rPr>
                <w:rFonts w:hint="default" w:ascii="Times New Roman" w:hAnsi="Times New Roman" w:eastAsia="宋体" w:cs="Times New Roman"/>
                <w:color w:val="auto"/>
                <w:sz w:val="21"/>
                <w:szCs w:val="21"/>
                <w:lang w:bidi="ar"/>
              </w:rPr>
              <w:t>900-047-49</w:t>
            </w:r>
          </w:p>
        </w:tc>
        <w:tc>
          <w:tcPr>
            <w:tcW w:w="1429"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
              </w:rPr>
              <w:t>1330</w:t>
            </w:r>
          </w:p>
        </w:tc>
        <w:tc>
          <w:tcPr>
            <w:tcW w:w="811"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固态</w:t>
            </w:r>
          </w:p>
        </w:tc>
        <w:tc>
          <w:tcPr>
            <w:tcW w:w="2205"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含脱氢抗坏血酸、无机盐、银的残渣</w:t>
            </w:r>
          </w:p>
        </w:tc>
        <w:tc>
          <w:tcPr>
            <w:vMerge w:val="continue"/>
            <w:noWrap w:val="0"/>
          </w:tcPr>
          <w:p/>
        </w:tc>
        <w:tc>
          <w:tcPr>
            <w:vMerge w:val="continue"/>
            <w:tcBorders>
              <w:right w:val="single" w:color="auto" w:sz="4" w:space="0"/>
            </w:tcBorders>
            <w:noWrap w:val="0"/>
          </w:tc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615" w:type="dxa"/>
            <w:gridSpan w:val="2"/>
            <w:tcBorders>
              <w:left w:val="single" w:color="auto" w:sz="4" w:space="0"/>
            </w:tcBorders>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有机废气处理废活性炭</w:t>
            </w:r>
          </w:p>
        </w:tc>
        <w:tc>
          <w:tcPr>
            <w:tcW w:w="1318"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危险废物</w:t>
            </w:r>
          </w:p>
        </w:tc>
        <w:tc>
          <w:tcPr>
            <w:tcW w:w="1193" w:type="dxa"/>
            <w:noWrap w:val="0"/>
            <w:vAlign w:val="center"/>
          </w:tcPr>
          <w:p>
            <w:pPr>
              <w:widowControl/>
              <w:spacing w:line="240" w:lineRule="auto"/>
              <w:ind w:firstLine="0"/>
              <w:jc w:val="center"/>
              <w:textAlignment w:val="center"/>
              <w:rPr>
                <w:rFonts w:hint="eastAsia" w:ascii="Times New Roman" w:hAnsi="Times New Roman" w:eastAsia="宋体" w:cs="Times New Roman"/>
                <w:color w:val="auto"/>
                <w:sz w:val="21"/>
                <w:szCs w:val="21"/>
                <w:lang w:val="en-US" w:eastAsia="zh-CN" w:bidi="ar"/>
              </w:rPr>
            </w:pPr>
            <w:r>
              <w:rPr>
                <w:rFonts w:hint="default" w:ascii="Times New Roman" w:hAnsi="Times New Roman" w:eastAsia="宋体" w:cs="Times New Roman"/>
                <w:color w:val="auto"/>
                <w:sz w:val="21"/>
                <w:szCs w:val="21"/>
                <w:lang w:bidi="ar"/>
              </w:rPr>
              <w:t>HW4</w:t>
            </w:r>
            <w:r>
              <w:rPr>
                <w:rFonts w:hint="eastAsia" w:ascii="Times New Roman" w:hAnsi="Times New Roman" w:eastAsia="宋体" w:cs="Times New Roman"/>
                <w:color w:val="auto"/>
                <w:sz w:val="21"/>
                <w:szCs w:val="21"/>
                <w:lang w:val="en-US" w:eastAsia="zh-CN" w:bidi="ar"/>
              </w:rPr>
              <w:t>9</w:t>
            </w:r>
          </w:p>
        </w:tc>
        <w:tc>
          <w:tcPr>
            <w:tcW w:w="166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900-039-49</w:t>
            </w:r>
          </w:p>
        </w:tc>
        <w:tc>
          <w:tcPr>
            <w:tcW w:w="1429"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kern w:val="0"/>
                <w:sz w:val="21"/>
                <w:szCs w:val="21"/>
                <w:lang w:val="en-US" w:eastAsia="zh-CN" w:bidi="ar"/>
              </w:rPr>
              <w:t>16.3</w:t>
            </w:r>
          </w:p>
        </w:tc>
        <w:tc>
          <w:tcPr>
            <w:tcW w:w="811"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固态</w:t>
            </w:r>
          </w:p>
        </w:tc>
        <w:tc>
          <w:tcPr>
            <w:tcW w:w="2205"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废活性炭</w:t>
            </w:r>
          </w:p>
        </w:tc>
        <w:tc>
          <w:tcPr>
            <w:vMerge w:val="continue"/>
            <w:noWrap w:val="0"/>
          </w:tcPr>
          <w:p/>
        </w:tc>
        <w:tc>
          <w:tcPr>
            <w:vMerge w:val="continue"/>
            <w:tcBorders>
              <w:right w:val="single" w:color="auto" w:sz="4" w:space="0"/>
            </w:tcBorders>
            <w:noWrap w:val="0"/>
          </w:tc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920" w:type="dxa"/>
            <w:vMerge w:val="restart"/>
            <w:tcBorders>
              <w:left w:val="single" w:color="auto" w:sz="4" w:space="0"/>
            </w:tcBorders>
            <w:noWrap w:val="0"/>
            <w:vAlign w:val="center"/>
          </w:tcPr>
          <w:p>
            <w:pPr>
              <w:widowControl/>
              <w:snapToGrid w:val="0"/>
              <w:spacing w:line="300" w:lineRule="exact"/>
              <w:ind w:firstLine="0"/>
              <w:jc w:val="center"/>
              <w:textAlignment w:val="center"/>
              <w:rPr>
                <w:rFonts w:hint="eastAsia" w:ascii="Times New Roman" w:hAnsi="Times New Roman" w:eastAsia="宋体" w:cs="Times New Roman"/>
                <w:color w:val="auto"/>
                <w:sz w:val="21"/>
                <w:szCs w:val="21"/>
                <w:lang w:val="en-US" w:eastAsia="zh-CN" w:bidi="ar"/>
              </w:rPr>
            </w:pPr>
            <w:r>
              <w:rPr>
                <w:rFonts w:hint="default" w:ascii="Times New Roman" w:hAnsi="Times New Roman" w:eastAsia="宋体" w:cs="Times New Roman"/>
                <w:color w:val="auto"/>
                <w:kern w:val="0"/>
                <w:sz w:val="21"/>
                <w:szCs w:val="21"/>
                <w:lang w:bidi="ar"/>
              </w:rPr>
              <w:t>污水站</w:t>
            </w:r>
          </w:p>
        </w:tc>
        <w:tc>
          <w:tcPr>
            <w:tcW w:w="1695" w:type="dxa"/>
            <w:tcBorders>
              <w:left w:val="single" w:color="auto" w:sz="4" w:space="0"/>
            </w:tcBorders>
            <w:noWrap w:val="0"/>
            <w:vAlign w:val="center"/>
          </w:tcPr>
          <w:p>
            <w:pPr>
              <w:widowControl/>
              <w:snapToGrid w:val="0"/>
              <w:spacing w:line="300" w:lineRule="exact"/>
              <w:ind w:firstLine="0"/>
              <w:jc w:val="center"/>
              <w:textAlignment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蒸发器残渣</w:t>
            </w:r>
          </w:p>
        </w:tc>
        <w:tc>
          <w:tcPr>
            <w:tcW w:w="1318"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危险废物</w:t>
            </w:r>
          </w:p>
        </w:tc>
        <w:tc>
          <w:tcPr>
            <w:tcW w:w="1193"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HW49</w:t>
            </w:r>
          </w:p>
        </w:tc>
        <w:tc>
          <w:tcPr>
            <w:tcW w:w="1669" w:type="dxa"/>
            <w:noWrap w:val="0"/>
            <w:vAlign w:val="center"/>
          </w:tcPr>
          <w:p>
            <w:pPr>
              <w:topLinePunct/>
              <w:adjustRightInd w:val="0"/>
              <w:snapToGrid w:val="0"/>
              <w:spacing w:line="240" w:lineRule="atLeast"/>
              <w:ind w:firstLine="0"/>
              <w:jc w:val="center"/>
              <w:rPr>
                <w:rFonts w:hint="eastAsia" w:ascii="宋体" w:hAnsi="宋体" w:eastAsia="宋体" w:cs="宋体"/>
                <w:color w:val="auto"/>
                <w:sz w:val="21"/>
                <w:szCs w:val="15"/>
                <w:lang w:val="en-US" w:eastAsia="zh-CN"/>
              </w:rPr>
            </w:pPr>
            <w:r>
              <w:rPr>
                <w:rFonts w:hint="default" w:ascii="Times New Roman" w:hAnsi="Times New Roman" w:eastAsia="宋体" w:cs="Times New Roman"/>
                <w:color w:val="auto"/>
                <w:kern w:val="0"/>
                <w:sz w:val="21"/>
                <w:szCs w:val="21"/>
                <w:lang w:bidi="ar"/>
              </w:rPr>
              <w:t>900-047-49</w:t>
            </w:r>
          </w:p>
        </w:tc>
        <w:tc>
          <w:tcPr>
            <w:tcW w:w="142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43</w:t>
            </w:r>
          </w:p>
        </w:tc>
        <w:tc>
          <w:tcPr>
            <w:tcW w:w="811"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固态</w:t>
            </w:r>
          </w:p>
        </w:tc>
        <w:tc>
          <w:tcPr>
            <w:tcW w:w="2205"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kern w:val="0"/>
                <w:sz w:val="21"/>
                <w:szCs w:val="21"/>
                <w:lang w:bidi="ar"/>
              </w:rPr>
              <w:t>硝酸铵</w:t>
            </w:r>
            <w:r>
              <w:rPr>
                <w:rFonts w:hint="default" w:ascii="Times New Roman" w:hAnsi="Times New Roman" w:eastAsia="宋体" w:cs="Times New Roman"/>
                <w:color w:val="auto"/>
                <w:kern w:val="0"/>
                <w:sz w:val="21"/>
                <w:szCs w:val="21"/>
                <w:lang w:eastAsia="zh-CN" w:bidi="ar"/>
              </w:rPr>
              <w:t>、</w:t>
            </w:r>
            <w:r>
              <w:rPr>
                <w:rFonts w:hint="default" w:ascii="Times New Roman" w:hAnsi="Times New Roman" w:eastAsia="宋体" w:cs="Times New Roman"/>
                <w:color w:val="auto"/>
                <w:kern w:val="0"/>
                <w:sz w:val="21"/>
                <w:szCs w:val="21"/>
                <w:lang w:val="en-US" w:eastAsia="zh-CN" w:bidi="ar"/>
              </w:rPr>
              <w:t>硝酸钠</w:t>
            </w:r>
            <w:r>
              <w:rPr>
                <w:rFonts w:hint="default" w:ascii="Times New Roman" w:hAnsi="Times New Roman" w:eastAsia="宋体" w:cs="Times New Roman"/>
                <w:color w:val="auto"/>
                <w:kern w:val="0"/>
                <w:sz w:val="21"/>
                <w:szCs w:val="21"/>
                <w:lang w:bidi="ar"/>
              </w:rPr>
              <w:t>及</w:t>
            </w:r>
            <w:r>
              <w:rPr>
                <w:rFonts w:hint="default" w:ascii="Times New Roman" w:hAnsi="Times New Roman" w:eastAsia="宋体" w:cs="Times New Roman"/>
                <w:color w:val="auto"/>
                <w:kern w:val="0"/>
                <w:sz w:val="21"/>
                <w:szCs w:val="21"/>
                <w:lang w:val="en-US" w:eastAsia="zh-CN" w:bidi="ar"/>
              </w:rPr>
              <w:t>微量</w:t>
            </w:r>
            <w:r>
              <w:rPr>
                <w:rFonts w:hint="default" w:ascii="Times New Roman" w:hAnsi="Times New Roman" w:eastAsia="宋体" w:cs="Times New Roman"/>
                <w:color w:val="auto"/>
                <w:kern w:val="0"/>
                <w:sz w:val="21"/>
                <w:szCs w:val="21"/>
                <w:lang w:bidi="ar"/>
              </w:rPr>
              <w:t>银</w:t>
            </w:r>
            <w:r>
              <w:rPr>
                <w:rFonts w:hint="eastAsia" w:ascii="Times New Roman" w:hAnsi="Times New Roman" w:eastAsia="宋体" w:cs="Times New Roman"/>
                <w:color w:val="auto"/>
                <w:kern w:val="0"/>
                <w:sz w:val="21"/>
                <w:szCs w:val="21"/>
                <w:lang w:val="en-US" w:eastAsia="zh-CN" w:bidi="ar"/>
              </w:rPr>
              <w:t>的查吗在残渣</w:t>
            </w:r>
          </w:p>
        </w:tc>
        <w:tc>
          <w:tcPr>
            <w:vMerge w:val="continue"/>
            <w:noWrap w:val="0"/>
          </w:tcPr>
          <w:p/>
        </w:tc>
        <w:tc>
          <w:tcPr>
            <w:vMerge w:val="continue"/>
            <w:tcBorders>
              <w:right w:val="single" w:color="auto" w:sz="4" w:space="0"/>
            </w:tcBorders>
            <w:noWrap w:val="0"/>
          </w:tc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vMerge w:val="continue"/>
            <w:tcBorders>
              <w:left w:val="single" w:color="auto" w:sz="4" w:space="0"/>
            </w:tcBorders>
            <w:noWrap w:val="0"/>
          </w:tcPr>
          <w:p/>
        </w:tc>
        <w:tc>
          <w:tcPr>
            <w:tcW w:w="1695" w:type="dxa"/>
            <w:tcBorders>
              <w:left w:val="single" w:color="auto" w:sz="4" w:space="0"/>
            </w:tcBorders>
            <w:noWrap w:val="0"/>
            <w:vAlign w:val="center"/>
          </w:tcPr>
          <w:p>
            <w:pPr>
              <w:widowControl/>
              <w:snapToGrid w:val="0"/>
              <w:spacing w:line="300" w:lineRule="exact"/>
              <w:ind w:firstLine="0"/>
              <w:jc w:val="center"/>
              <w:textAlignment w:val="center"/>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废超滤膜、反渗透膜</w:t>
            </w:r>
          </w:p>
        </w:tc>
        <w:tc>
          <w:tcPr>
            <w:tcW w:w="1318"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危险废物</w:t>
            </w:r>
          </w:p>
        </w:tc>
        <w:tc>
          <w:tcPr>
            <w:tcW w:w="1193"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val="en-US" w:eastAsia="zh-CN" w:bidi="ar"/>
              </w:rPr>
              <w:t>HW13</w:t>
            </w:r>
          </w:p>
        </w:tc>
        <w:tc>
          <w:tcPr>
            <w:tcW w:w="1669"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val="en-US" w:eastAsia="zh-CN" w:bidi="ar"/>
              </w:rPr>
              <w:t>900-015-13</w:t>
            </w:r>
          </w:p>
        </w:tc>
        <w:tc>
          <w:tcPr>
            <w:tcW w:w="142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0.6</w:t>
            </w:r>
          </w:p>
        </w:tc>
        <w:tc>
          <w:tcPr>
            <w:tcW w:w="811"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固态</w:t>
            </w:r>
          </w:p>
        </w:tc>
        <w:tc>
          <w:tcPr>
            <w:tcW w:w="2205"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val="en-US" w:eastAsia="zh-CN" w:bidi="ar"/>
              </w:rPr>
              <w:t>废超滤膜、反渗透膜</w:t>
            </w:r>
          </w:p>
        </w:tc>
        <w:tc>
          <w:tcPr>
            <w:vMerge w:val="continue"/>
            <w:noWrap w:val="0"/>
          </w:tcPr>
          <w:p/>
        </w:tc>
        <w:tc>
          <w:tcPr>
            <w:vMerge w:val="continue"/>
            <w:tcBorders>
              <w:right w:val="single" w:color="auto" w:sz="4" w:space="0"/>
            </w:tcBorders>
            <w:noWrap w:val="0"/>
          </w:tc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vMerge w:val="continue"/>
            <w:tcBorders>
              <w:left w:val="single" w:color="auto" w:sz="4" w:space="0"/>
            </w:tcBorders>
            <w:noWrap w:val="0"/>
          </w:tcPr>
          <w:p/>
        </w:tc>
        <w:tc>
          <w:tcPr>
            <w:tcW w:w="1695" w:type="dxa"/>
            <w:tcBorders>
              <w:left w:val="single" w:color="auto" w:sz="4" w:space="0"/>
            </w:tcBorders>
            <w:noWrap w:val="0"/>
            <w:vAlign w:val="center"/>
          </w:tcPr>
          <w:p>
            <w:pPr>
              <w:widowControl/>
              <w:snapToGrid w:val="0"/>
              <w:spacing w:line="300" w:lineRule="exact"/>
              <w:ind w:firstLine="0"/>
              <w:jc w:val="center"/>
              <w:textAlignment w:val="center"/>
              <w:rPr>
                <w:rFonts w:hint="eastAsia"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污水站</w:t>
            </w:r>
            <w:r>
              <w:rPr>
                <w:rFonts w:hint="default" w:ascii="Times New Roman" w:hAnsi="Times New Roman" w:eastAsia="宋体" w:cs="Times New Roman"/>
                <w:color w:val="auto"/>
                <w:sz w:val="21"/>
                <w:szCs w:val="21"/>
                <w:lang w:bidi="ar"/>
              </w:rPr>
              <w:t>污泥</w:t>
            </w:r>
          </w:p>
        </w:tc>
        <w:tc>
          <w:tcPr>
            <w:tcW w:w="1318"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待鉴别固废</w:t>
            </w:r>
          </w:p>
        </w:tc>
        <w:tc>
          <w:tcPr>
            <w:tcW w:w="1193"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rPr>
              <w:t>/</w:t>
            </w:r>
          </w:p>
        </w:tc>
        <w:tc>
          <w:tcPr>
            <w:tcW w:w="1669"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auto"/>
                <w:sz w:val="21"/>
                <w:szCs w:val="21"/>
                <w:lang w:bidi="ar"/>
              </w:rPr>
            </w:pPr>
            <w:r>
              <w:rPr>
                <w:rFonts w:hint="eastAsia" w:ascii="宋体" w:hAnsi="宋体" w:eastAsia="宋体" w:cs="宋体"/>
                <w:color w:val="auto"/>
                <w:sz w:val="21"/>
                <w:szCs w:val="15"/>
                <w:lang w:val="en-US" w:eastAsia="zh-CN"/>
              </w:rPr>
              <w:t>待鉴定</w:t>
            </w:r>
          </w:p>
        </w:tc>
        <w:tc>
          <w:tcPr>
            <w:tcW w:w="142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40</w:t>
            </w:r>
          </w:p>
        </w:tc>
        <w:tc>
          <w:tcPr>
            <w:tcW w:w="811"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固态</w:t>
            </w:r>
          </w:p>
        </w:tc>
        <w:tc>
          <w:tcPr>
            <w:tcW w:w="2205"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含脱氢抗坏血酸、乙醇等污泥</w:t>
            </w:r>
          </w:p>
        </w:tc>
        <w:tc>
          <w:tcPr>
            <w:vMerge w:val="continue"/>
            <w:noWrap w:val="0"/>
          </w:tcPr>
          <w:p/>
        </w:tc>
        <w:tc>
          <w:tcPr>
            <w:tcW w:w="2261" w:type="dxa"/>
            <w:tcBorders>
              <w:right w:val="single" w:color="auto" w:sz="4" w:space="0"/>
            </w:tcBorders>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sz w:val="21"/>
                <w:szCs w:val="21"/>
                <w:lang w:val="en-US" w:eastAsia="zh-CN" w:bidi="ar"/>
              </w:rPr>
              <w:t>待鉴定，暂按危险废物管理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615" w:type="dxa"/>
            <w:gridSpan w:val="2"/>
            <w:tcBorders>
              <w:left w:val="single" w:color="auto" w:sz="4" w:space="0"/>
            </w:tcBorders>
            <w:noWrap w:val="0"/>
            <w:vAlign w:val="center"/>
          </w:tcPr>
          <w:p>
            <w:pPr>
              <w:autoSpaceDE w:val="0"/>
              <w:autoSpaceDN w:val="0"/>
              <w:adjustRightInd w:val="0"/>
              <w:spacing w:line="240" w:lineRule="atLeast"/>
              <w:ind w:left="111" w:right="-20"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废反渗透膜</w:t>
            </w:r>
          </w:p>
        </w:tc>
        <w:tc>
          <w:tcPr>
            <w:tcW w:w="1318"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一般固废</w:t>
            </w:r>
          </w:p>
        </w:tc>
        <w:tc>
          <w:tcPr>
            <w:tcW w:w="1193"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669"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900-999-99</w:t>
            </w:r>
          </w:p>
        </w:tc>
        <w:tc>
          <w:tcPr>
            <w:tcW w:w="1429"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0.2</w:t>
            </w:r>
          </w:p>
        </w:tc>
        <w:tc>
          <w:tcPr>
            <w:tcW w:w="811"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固态</w:t>
            </w:r>
          </w:p>
        </w:tc>
        <w:tc>
          <w:tcPr>
            <w:tcW w:w="2205"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bidi="ar"/>
              </w:rPr>
              <w:t>废反渗透膜</w:t>
            </w:r>
          </w:p>
        </w:tc>
        <w:tc>
          <w:tcPr>
            <w:tcW w:w="1285" w:type="dxa"/>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一般固废暂存间</w:t>
            </w:r>
          </w:p>
        </w:tc>
        <w:tc>
          <w:tcPr>
            <w:tcW w:w="2261" w:type="dxa"/>
            <w:tcBorders>
              <w:right w:val="single" w:color="auto" w:sz="4" w:space="0"/>
            </w:tcBorders>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lang w:bidi="ar"/>
              </w:rPr>
              <w:t>工业填埋场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615" w:type="dxa"/>
            <w:gridSpan w:val="2"/>
            <w:tcBorders>
              <w:left w:val="single" w:color="auto" w:sz="4" w:space="0"/>
              <w:bottom w:val="single" w:color="auto" w:sz="4" w:space="0"/>
            </w:tcBorders>
            <w:noWrap w:val="0"/>
            <w:vAlign w:val="center"/>
          </w:tcPr>
          <w:p>
            <w:pPr>
              <w:autoSpaceDE w:val="0"/>
              <w:autoSpaceDN w:val="0"/>
              <w:adjustRightInd w:val="0"/>
              <w:spacing w:line="240" w:lineRule="atLeast"/>
              <w:ind w:left="111" w:right="-20"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生活垃圾</w:t>
            </w:r>
          </w:p>
        </w:tc>
        <w:tc>
          <w:tcPr>
            <w:tcW w:w="1318" w:type="dxa"/>
            <w:tcBorders>
              <w:bottom w:val="single" w:color="auto" w:sz="4" w:space="0"/>
            </w:tcBorders>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生活垃圾</w:t>
            </w:r>
          </w:p>
        </w:tc>
        <w:tc>
          <w:tcPr>
            <w:tcW w:w="1193" w:type="dxa"/>
            <w:tcBorders>
              <w:bottom w:val="single" w:color="auto" w:sz="4" w:space="0"/>
            </w:tcBorders>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1669" w:type="dxa"/>
            <w:tcBorders>
              <w:bottom w:val="single" w:color="auto" w:sz="4" w:space="0"/>
            </w:tcBorders>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1429" w:type="dxa"/>
            <w:tcBorders>
              <w:bottom w:val="single" w:color="auto" w:sz="4" w:space="0"/>
            </w:tcBorders>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lang w:bidi="ar"/>
              </w:rPr>
              <w:t>31.2</w:t>
            </w:r>
          </w:p>
        </w:tc>
        <w:tc>
          <w:tcPr>
            <w:tcW w:w="811" w:type="dxa"/>
            <w:tcBorders>
              <w:bottom w:val="single" w:color="auto" w:sz="4" w:space="0"/>
            </w:tcBorders>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固态</w:t>
            </w:r>
          </w:p>
        </w:tc>
        <w:tc>
          <w:tcPr>
            <w:tcW w:w="2205" w:type="dxa"/>
            <w:tcBorders>
              <w:bottom w:val="single" w:color="auto" w:sz="4" w:space="0"/>
            </w:tcBorders>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生活垃圾</w:t>
            </w:r>
          </w:p>
        </w:tc>
        <w:tc>
          <w:tcPr>
            <w:tcW w:w="1285" w:type="dxa"/>
            <w:tcBorders>
              <w:bottom w:val="single" w:color="auto" w:sz="4" w:space="0"/>
            </w:tcBorders>
            <w:noWrap w:val="0"/>
            <w:vAlign w:val="center"/>
          </w:tcPr>
          <w:p>
            <w:pPr>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rPr>
              <w:t>垃圾箱</w:t>
            </w:r>
          </w:p>
        </w:tc>
        <w:tc>
          <w:tcPr>
            <w:tcW w:w="2261" w:type="dxa"/>
            <w:tcBorders>
              <w:bottom w:val="single" w:color="auto" w:sz="4" w:space="0"/>
              <w:right w:val="single" w:color="auto" w:sz="4" w:space="0"/>
            </w:tcBorders>
            <w:noWrap w:val="0"/>
            <w:vAlign w:val="center"/>
          </w:tcPr>
          <w:p>
            <w:pPr>
              <w:topLinePunct/>
              <w:adjustRightInd w:val="0"/>
              <w:snapToGrid w:val="0"/>
              <w:spacing w:line="240" w:lineRule="atLeast"/>
              <w:ind w:firstLine="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委托环卫部门处置</w:t>
            </w:r>
          </w:p>
        </w:tc>
      </w:tr>
    </w:tbl>
    <w:p>
      <w:pPr>
        <w:pStyle w:val="88"/>
        <w:rPr>
          <w:rFonts w:hint="default"/>
        </w:rPr>
        <w:sectPr>
          <w:pgSz w:w="16838" w:h="11906" w:orient="landscape"/>
          <w:pgMar w:top="1588" w:right="1134" w:bottom="1247" w:left="1134" w:header="1021" w:footer="907" w:gutter="0"/>
          <w:pgNumType w:fmt="decimal"/>
          <w:cols w:space="720" w:num="1"/>
          <w:docGrid w:type="linesAndChars" w:linePitch="312" w:charSpace="0"/>
        </w:sectPr>
      </w:pPr>
    </w:p>
    <w:p>
      <w:pPr>
        <w:keepNext/>
        <w:keepLines/>
        <w:tabs>
          <w:tab w:val="left" w:pos="680"/>
        </w:tabs>
        <w:snapToGrid w:val="0"/>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5.4.2固体废物环境影响分析</w:t>
      </w:r>
    </w:p>
    <w:p>
      <w:pPr>
        <w:snapToGrid w:val="0"/>
        <w:spacing w:line="36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5.4.2.1一般固废环境影响分析</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（1）一般工业固废</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本项目一般工业固废为废反渗透膜，收集于项目一般工业固废暂存间内暂存，一般工业固废暂存间按照《一般工业固体废物贮存和填埋污染控制标准》（GB18599-2020）建设，做好防渗、溢流措施，并应采取设置顶盖等防治降雨（水）的进入），最终送一般固废填埋场处置，不会对外环境造成明显影响。</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（2）生活垃圾</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生活垃圾由环卫部门进行统一收集后进行填埋。</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综上，项目一般固废处置方式符合国家有关规定，也符合项目工程和实际情况，对周围环境影响很小，处置措施可行。</w:t>
      </w:r>
    </w:p>
    <w:p>
      <w:pPr>
        <w:spacing w:line="36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5.4.2.2危险废物环境影响分析</w:t>
      </w:r>
    </w:p>
    <w:p>
      <w:pPr>
        <w:tabs>
          <w:tab w:val="left" w:pos="1590"/>
        </w:tabs>
        <w:spacing w:line="360" w:lineRule="auto"/>
        <w:ind w:firstLine="480"/>
        <w:rPr>
          <w:rFonts w:hint="default" w:ascii="Times New Roman" w:hAnsi="Times New Roman" w:eastAsia="宋体" w:cs="Times New Roman"/>
          <w:color w:val="000000"/>
          <w:sz w:val="24"/>
          <w:szCs w:val="22"/>
        </w:rPr>
      </w:pPr>
      <w:r>
        <w:rPr>
          <w:rFonts w:hint="default" w:ascii="Times New Roman" w:hAnsi="Times New Roman" w:eastAsia="宋体" w:cs="Times New Roman"/>
          <w:color w:val="000000"/>
          <w:sz w:val="24"/>
          <w:szCs w:val="22"/>
        </w:rPr>
        <w:t>本评价按照《建设项目危险废物环境影响评价指南》全程评价的要求，从危废产生、收集、贮存、运输、处置等全过程考虑，分析预测其可能造成的环境影响</w:t>
      </w:r>
      <w:r>
        <w:rPr>
          <w:rFonts w:hint="eastAsia" w:ascii="Times New Roman" w:hAnsi="Times New Roman" w:eastAsia="宋体" w:cs="Times New Roman"/>
          <w:color w:val="000000"/>
          <w:sz w:val="24"/>
          <w:szCs w:val="22"/>
          <w:lang w:eastAsia="zh-CN"/>
        </w:rPr>
        <w:t>，</w:t>
      </w:r>
      <w:r>
        <w:rPr>
          <w:rFonts w:hint="eastAsia" w:ascii="Times New Roman" w:hAnsi="Times New Roman" w:eastAsia="宋体" w:cs="Times New Roman"/>
          <w:color w:val="000000"/>
          <w:sz w:val="24"/>
          <w:szCs w:val="22"/>
          <w:lang w:val="en-US" w:eastAsia="zh-CN"/>
        </w:rPr>
        <w:t>待鉴定废物暂按危险废物管理</w:t>
      </w:r>
      <w:r>
        <w:rPr>
          <w:rFonts w:hint="default" w:ascii="Times New Roman" w:hAnsi="Times New Roman" w:eastAsia="宋体" w:cs="Times New Roman"/>
          <w:color w:val="000000"/>
          <w:sz w:val="24"/>
          <w:szCs w:val="22"/>
        </w:rPr>
        <w:t>。</w:t>
      </w:r>
    </w:p>
    <w:p>
      <w:pPr>
        <w:tabs>
          <w:tab w:val="left" w:pos="1590"/>
        </w:tabs>
        <w:spacing w:line="360" w:lineRule="auto"/>
        <w:ind w:firstLine="482"/>
        <w:rPr>
          <w:rFonts w:hint="default" w:ascii="Times New Roman" w:hAnsi="Times New Roman" w:eastAsia="宋体" w:cs="Times New Roman"/>
          <w:b/>
          <w:bCs/>
          <w:color w:val="000000"/>
          <w:sz w:val="24"/>
          <w:szCs w:val="22"/>
        </w:rPr>
      </w:pPr>
      <w:r>
        <w:rPr>
          <w:rFonts w:hint="default" w:ascii="Times New Roman" w:hAnsi="Times New Roman" w:eastAsia="宋体" w:cs="Times New Roman"/>
          <w:b/>
          <w:bCs/>
          <w:color w:val="000000"/>
          <w:sz w:val="24"/>
          <w:szCs w:val="22"/>
        </w:rPr>
        <w:t>（1）产生、收集过程环境影响分析</w:t>
      </w:r>
    </w:p>
    <w:p>
      <w:pPr>
        <w:tabs>
          <w:tab w:val="left" w:pos="1590"/>
        </w:tabs>
        <w:spacing w:line="360" w:lineRule="auto"/>
        <w:ind w:firstLine="480"/>
        <w:rPr>
          <w:rFonts w:hint="default" w:ascii="Times New Roman" w:hAnsi="Times New Roman" w:eastAsia="宋体" w:cs="Times New Roman"/>
          <w:color w:val="000000"/>
          <w:sz w:val="24"/>
          <w:szCs w:val="22"/>
        </w:rPr>
      </w:pPr>
      <w:r>
        <w:rPr>
          <w:rFonts w:hint="default" w:ascii="Times New Roman" w:hAnsi="Times New Roman" w:eastAsia="宋体" w:cs="Times New Roman"/>
          <w:color w:val="000000"/>
          <w:sz w:val="24"/>
          <w:szCs w:val="22"/>
        </w:rPr>
        <w:t>项目产生的危险废物应按照国家有关规定进行申报登记。根据危险废物的成分，用符合国家标准的专门容器分类收集，并贴有标签，标签上应详细标明危险废物的名称、重量、成分、特性及发生泄漏、扩散污染事故时应急措施和补救方法。项目对于产生的危险废物按照国家规范收集，防止扩散泄漏，从源头上减少危险废物产生、收集过程的影响。</w:t>
      </w:r>
    </w:p>
    <w:p>
      <w:pPr>
        <w:tabs>
          <w:tab w:val="left" w:pos="1590"/>
        </w:tabs>
        <w:spacing w:line="360" w:lineRule="auto"/>
        <w:ind w:firstLine="482"/>
        <w:rPr>
          <w:rFonts w:hint="default" w:ascii="Times New Roman" w:hAnsi="Times New Roman" w:eastAsia="宋体" w:cs="Times New Roman"/>
          <w:b/>
          <w:bCs/>
          <w:color w:val="000000"/>
          <w:sz w:val="24"/>
          <w:szCs w:val="22"/>
        </w:rPr>
      </w:pPr>
      <w:r>
        <w:rPr>
          <w:rFonts w:hint="default" w:ascii="Times New Roman" w:hAnsi="Times New Roman" w:eastAsia="宋体" w:cs="Times New Roman"/>
          <w:b/>
          <w:bCs/>
          <w:color w:val="000000"/>
          <w:sz w:val="24"/>
          <w:szCs w:val="22"/>
        </w:rPr>
        <w:t>（2）危险废物暂存场所环境影响分析</w:t>
      </w:r>
    </w:p>
    <w:p>
      <w:pPr>
        <w:tabs>
          <w:tab w:val="left" w:pos="1590"/>
        </w:tabs>
        <w:spacing w:line="360" w:lineRule="auto"/>
        <w:ind w:firstLine="480"/>
        <w:rPr>
          <w:rFonts w:hint="default" w:ascii="Times New Roman" w:hAnsi="Times New Roman" w:eastAsia="宋体" w:cs="Times New Roman"/>
          <w:color w:val="000000"/>
          <w:sz w:val="24"/>
          <w:szCs w:val="22"/>
        </w:rPr>
      </w:pPr>
      <w:r>
        <w:rPr>
          <w:rFonts w:hint="default" w:ascii="Times New Roman" w:hAnsi="Times New Roman" w:eastAsia="宋体" w:cs="Times New Roman"/>
          <w:color w:val="000000"/>
          <w:sz w:val="24"/>
          <w:szCs w:val="22"/>
        </w:rPr>
        <w:t>本项目危险废物暂存库应根据《危险废物贮存污染控制标准》（18597-2001）及修改单进行建设，采取“四防”（防风、防雨、防晒、防渗漏）措施，危险废物暂存库位于厂区东南角，周边500m范围内无村庄等敏感目标，因此，危险废物贮存过程中对环境空气、地表水、地下水、土壤以及环境敏感保护目标影响不大。</w:t>
      </w:r>
    </w:p>
    <w:p>
      <w:pPr>
        <w:tabs>
          <w:tab w:val="left" w:pos="1590"/>
        </w:tabs>
        <w:spacing w:line="360" w:lineRule="auto"/>
        <w:ind w:firstLine="482"/>
        <w:rPr>
          <w:rFonts w:hint="default" w:ascii="Times New Roman" w:hAnsi="Times New Roman" w:eastAsia="宋体" w:cs="Times New Roman"/>
          <w:b/>
          <w:bCs/>
          <w:color w:val="000000"/>
          <w:sz w:val="24"/>
          <w:szCs w:val="22"/>
        </w:rPr>
      </w:pPr>
      <w:r>
        <w:rPr>
          <w:rFonts w:hint="default" w:ascii="Times New Roman" w:hAnsi="Times New Roman" w:eastAsia="宋体" w:cs="Times New Roman"/>
          <w:b/>
          <w:bCs/>
          <w:color w:val="000000"/>
          <w:sz w:val="24"/>
          <w:szCs w:val="22"/>
        </w:rPr>
        <w:t>（3）运输过程环境影响分析</w:t>
      </w:r>
    </w:p>
    <w:p>
      <w:pPr>
        <w:tabs>
          <w:tab w:val="left" w:pos="1590"/>
        </w:tabs>
        <w:spacing w:line="360" w:lineRule="auto"/>
        <w:ind w:firstLine="480"/>
        <w:rPr>
          <w:rFonts w:hint="default" w:ascii="Times New Roman" w:hAnsi="Times New Roman" w:eastAsia="宋体" w:cs="Times New Roman"/>
          <w:color w:val="000000"/>
          <w:sz w:val="24"/>
          <w:szCs w:val="22"/>
        </w:rPr>
      </w:pPr>
      <w:r>
        <w:rPr>
          <w:rFonts w:hint="default" w:ascii="Times New Roman" w:hAnsi="Times New Roman" w:eastAsia="宋体" w:cs="Times New Roman"/>
          <w:color w:val="000000"/>
          <w:sz w:val="24"/>
          <w:szCs w:val="22"/>
        </w:rPr>
        <w:t>危险废物运输和转移过程需注意：①危险废物运输单位必须具备相应的条件和能力；②需和负责运输的单位签订安全环保责任状，保证分工明确，责任到位；③危险废物的转移按国家关于危险废物管理办法运输，避免和减缓转移过程的环境风险。</w:t>
      </w:r>
    </w:p>
    <w:p>
      <w:pPr>
        <w:tabs>
          <w:tab w:val="left" w:pos="1590"/>
        </w:tabs>
        <w:spacing w:line="360" w:lineRule="auto"/>
        <w:ind w:firstLine="480"/>
        <w:rPr>
          <w:rFonts w:hint="default" w:ascii="Times New Roman" w:hAnsi="Times New Roman" w:eastAsia="宋体" w:cs="Times New Roman"/>
          <w:color w:val="000000"/>
          <w:sz w:val="24"/>
          <w:szCs w:val="22"/>
        </w:rPr>
      </w:pPr>
      <w:r>
        <w:rPr>
          <w:rFonts w:hint="default" w:ascii="Times New Roman" w:hAnsi="Times New Roman" w:eastAsia="宋体" w:cs="Times New Roman"/>
          <w:color w:val="000000"/>
          <w:sz w:val="24"/>
          <w:szCs w:val="22"/>
        </w:rPr>
        <w:t>另外，危险废物处置或利用单位必须具备相应的能力和资质，不允许将危险废物出售给没有加工或使用能力的单位和个人，废物处理之前需要对其生产技术、设备、加工处理能力进行考察，保证不会产生二次污染，废物处理之后还要进行跟踪，以便及时得到反馈信息并处理遗留问题。</w:t>
      </w:r>
    </w:p>
    <w:p>
      <w:pPr>
        <w:tabs>
          <w:tab w:val="left" w:pos="1590"/>
        </w:tabs>
        <w:spacing w:line="360" w:lineRule="auto"/>
        <w:ind w:firstLine="482"/>
        <w:rPr>
          <w:rFonts w:hint="default" w:ascii="Times New Roman" w:hAnsi="Times New Roman" w:eastAsia="宋体" w:cs="Times New Roman"/>
          <w:b/>
          <w:bCs/>
          <w:color w:val="000000"/>
          <w:sz w:val="24"/>
          <w:szCs w:val="22"/>
        </w:rPr>
      </w:pPr>
      <w:r>
        <w:rPr>
          <w:rFonts w:hint="default" w:ascii="Times New Roman" w:hAnsi="Times New Roman" w:eastAsia="宋体" w:cs="Times New Roman"/>
          <w:b/>
          <w:bCs/>
          <w:color w:val="000000"/>
          <w:sz w:val="24"/>
          <w:szCs w:val="22"/>
        </w:rPr>
        <w:t>（4）处置的环境影响分析</w:t>
      </w:r>
    </w:p>
    <w:p>
      <w:pPr>
        <w:tabs>
          <w:tab w:val="left" w:pos="1590"/>
        </w:tabs>
        <w:spacing w:line="360" w:lineRule="auto"/>
        <w:ind w:firstLine="480"/>
        <w:rPr>
          <w:rFonts w:hint="default" w:ascii="Times New Roman" w:hAnsi="Times New Roman" w:eastAsia="宋体" w:cs="Times New Roman"/>
          <w:color w:val="000000"/>
          <w:sz w:val="24"/>
          <w:szCs w:val="22"/>
        </w:rPr>
      </w:pPr>
      <w:r>
        <w:rPr>
          <w:rFonts w:hint="default" w:ascii="Times New Roman" w:hAnsi="Times New Roman" w:eastAsia="宋体" w:cs="Times New Roman"/>
          <w:color w:val="000000"/>
          <w:sz w:val="24"/>
          <w:szCs w:val="22"/>
        </w:rPr>
        <w:t>本项目产生的危险废物均暂存在厂区的危险废物暂存库，定期外委有资质单位进行处置。危险废物处置前，建设单位应与有资质的单位鉴定危险废物委托处置合同。危险废物的运输采取危险废物转移“电子联单”制度，保证运输安全，防止非法转移和非法处置，保证危险废物的安全监控，防止危险废物污染事故发生。</w:t>
      </w:r>
    </w:p>
    <w:p>
      <w:pPr>
        <w:tabs>
          <w:tab w:val="left" w:pos="1590"/>
        </w:tabs>
        <w:spacing w:line="360" w:lineRule="auto"/>
        <w:ind w:firstLine="480"/>
        <w:rPr>
          <w:rFonts w:hint="default" w:ascii="Times New Roman" w:hAnsi="Times New Roman" w:eastAsia="宋体" w:cs="Times New Roman"/>
          <w:color w:val="000000"/>
          <w:sz w:val="24"/>
          <w:szCs w:val="22"/>
        </w:rPr>
      </w:pPr>
      <w:r>
        <w:rPr>
          <w:rFonts w:hint="default" w:ascii="Times New Roman" w:hAnsi="Times New Roman" w:eastAsia="宋体" w:cs="Times New Roman"/>
          <w:color w:val="000000"/>
          <w:sz w:val="24"/>
          <w:szCs w:val="22"/>
        </w:rPr>
        <w:t>“电子联单”应通过福建省固体废物环境监管平台申请电子联单，危险废物产生者及其它需要转移危险废物的单位在转移危险废物之前，须按照国家有关规定报批危险废物转移计划。经批准后，通过《信息系统》申请电子联单。</w:t>
      </w:r>
    </w:p>
    <w:p>
      <w:pPr>
        <w:tabs>
          <w:tab w:val="left" w:pos="1590"/>
        </w:tabs>
        <w:spacing w:line="360" w:lineRule="auto"/>
        <w:ind w:firstLine="480"/>
        <w:rPr>
          <w:rFonts w:hint="default" w:ascii="Times New Roman" w:hAnsi="Times New Roman" w:eastAsia="宋体" w:cs="Times New Roman"/>
          <w:color w:val="000000"/>
          <w:sz w:val="24"/>
          <w:szCs w:val="22"/>
        </w:rPr>
      </w:pPr>
      <w:r>
        <w:rPr>
          <w:rFonts w:hint="default" w:ascii="Times New Roman" w:hAnsi="Times New Roman" w:eastAsia="宋体" w:cs="Times New Roman"/>
          <w:color w:val="000000"/>
          <w:sz w:val="24"/>
          <w:szCs w:val="22"/>
        </w:rPr>
        <w:t>电子联单实行每转移一车、船（次）同类危险废物，执行一份电子联单；每车、船（次）中有多类危险废物时，每一类别危险废物执行一份电子联单。危险废物移出者应当如实填写电子联单中产生单位栏目。危险废物转移时，通过《信息系统》打印危险废物转移纸质联单，加盖公章，交付危险废物运输单位随车携带。危险废物运输单位按照联单对危险废物填写的情况核实，通过扫描电子联单条码进行交接确认，并在运输过程中随车携带。危险废物运至接受单位后，运输单位将随车携带的纸质联单交接受单位，危险废物接受单位按照联单内容对危险废物核实验收，通过扫描电子联单条码进行接受确认。接受危险废物的当天，接受单位应当通过《信息系统》打印纸质联单一式三份，加盖公章，一份自留存档，一份交运输单位，另一份在十日之内交付移出单位。移出地和接收地环境保护主管部门通过《信息系统》打印纸质联单，自留存档。</w:t>
      </w:r>
      <w:bookmarkEnd w:id="284"/>
    </w:p>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5.4.3小结</w:t>
      </w:r>
    </w:p>
    <w:p>
      <w:pPr>
        <w:tabs>
          <w:tab w:val="left" w:pos="1590"/>
        </w:tabs>
        <w:spacing w:line="360" w:lineRule="auto"/>
        <w:ind w:firstLine="480"/>
        <w:rPr>
          <w:rFonts w:hint="default" w:ascii="Times New Roman" w:hAnsi="Times New Roman" w:eastAsia="宋体" w:cs="Times New Roman"/>
          <w:b/>
          <w:color w:val="000000"/>
          <w:sz w:val="30"/>
          <w:szCs w:val="30"/>
          <w:lang w:bidi="ar"/>
        </w:rPr>
      </w:pPr>
      <w:r>
        <w:rPr>
          <w:rFonts w:hint="default" w:ascii="Times New Roman" w:hAnsi="Times New Roman" w:eastAsia="宋体" w:cs="Times New Roman"/>
          <w:color w:val="000000"/>
          <w:sz w:val="24"/>
          <w:szCs w:val="24"/>
        </w:rPr>
        <w:t>综上所述，项目危险废物从产生、收集、贮存、运输、处置等全过程均采取有效措施降低其对环境的影响，符合国家有关规定。项目一般固废及危险废物处置也切合项目工程和实际情况，最终能得到妥善处置，对周围环境影响很小。</w:t>
      </w:r>
    </w:p>
    <w:p>
      <w:pPr>
        <w:keepNext/>
        <w:keepLines/>
        <w:spacing w:line="360" w:lineRule="auto"/>
        <w:ind w:firstLine="0"/>
        <w:outlineLvl w:val="1"/>
        <w:rPr>
          <w:rFonts w:hint="default" w:ascii="Times New Roman" w:hAnsi="Times New Roman" w:eastAsia="黑体" w:cs="Times New Roman"/>
          <w:bCs/>
          <w:sz w:val="32"/>
          <w:szCs w:val="30"/>
        </w:rPr>
      </w:pPr>
      <w:bookmarkStart w:id="285" w:name="_Toc21835"/>
      <w:r>
        <w:rPr>
          <w:rFonts w:hint="default" w:ascii="Times New Roman" w:hAnsi="Times New Roman" w:eastAsia="黑体" w:cs="Times New Roman"/>
          <w:bCs/>
          <w:sz w:val="32"/>
          <w:szCs w:val="30"/>
        </w:rPr>
        <w:t>5.5地下水影响评价</w:t>
      </w:r>
      <w:bookmarkEnd w:id="283"/>
      <w:bookmarkEnd w:id="285"/>
    </w:p>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5.5.1 区域水文地质条件</w:t>
      </w:r>
    </w:p>
    <w:p>
      <w:pPr>
        <w:spacing w:line="36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5.5.1.1区域地下水类型与水文地质特征</w:t>
      </w:r>
    </w:p>
    <w:p>
      <w:pPr>
        <w:spacing w:line="360" w:lineRule="auto"/>
        <w:ind w:firstLine="465"/>
        <w:rPr>
          <w:rFonts w:hint="default" w:ascii="Times New Roman" w:hAnsi="Times New Roman" w:eastAsia="宋体" w:cs="Times New Roman"/>
          <w:color w:val="000000"/>
          <w:sz w:val="24"/>
          <w:szCs w:val="22"/>
        </w:rPr>
      </w:pPr>
      <w:r>
        <w:rPr>
          <w:rFonts w:hint="default" w:ascii="Times New Roman" w:hAnsi="Times New Roman" w:eastAsia="宋体" w:cs="Times New Roman"/>
          <w:color w:val="000000"/>
          <w:sz w:val="24"/>
          <w:szCs w:val="22"/>
          <w:lang w:bidi="ar"/>
        </w:rPr>
        <w:t>根据《1:20万区域水文地质图(福清幅)》，本区区域上地下水类型主要分为第四系松散岩类孔隙水、风化带网状裂隙水和构造裂隙水三种。</w:t>
      </w:r>
    </w:p>
    <w:p>
      <w:pPr>
        <w:spacing w:line="360" w:lineRule="auto"/>
        <w:ind w:firstLine="465"/>
        <w:rPr>
          <w:rFonts w:hint="default" w:ascii="Times New Roman" w:hAnsi="Times New Roman" w:eastAsia="宋体" w:cs="Times New Roman"/>
          <w:color w:val="000000"/>
          <w:sz w:val="24"/>
          <w:szCs w:val="22"/>
          <w:lang w:bidi="ar"/>
        </w:rPr>
      </w:pPr>
      <w:r>
        <w:rPr>
          <w:rFonts w:hint="default" w:ascii="Times New Roman" w:hAnsi="Times New Roman" w:eastAsia="宋体" w:cs="Times New Roman"/>
          <w:color w:val="000000"/>
          <w:sz w:val="24"/>
          <w:szCs w:val="22"/>
          <w:lang w:bidi="ar"/>
        </w:rPr>
        <w:t>（1）松散岩类孔隙水</w:t>
      </w:r>
    </w:p>
    <w:p>
      <w:pPr>
        <w:spacing w:line="360" w:lineRule="auto"/>
        <w:ind w:firstLine="465"/>
        <w:rPr>
          <w:rFonts w:hint="default" w:ascii="Times New Roman" w:hAnsi="Times New Roman" w:eastAsia="宋体" w:cs="Times New Roman"/>
          <w:color w:val="000000"/>
          <w:sz w:val="24"/>
          <w:szCs w:val="22"/>
          <w:lang w:bidi="ar"/>
        </w:rPr>
      </w:pPr>
      <w:r>
        <w:rPr>
          <w:rFonts w:hint="default" w:ascii="Times New Roman" w:hAnsi="Times New Roman" w:eastAsia="宋体" w:cs="Times New Roman"/>
          <w:color w:val="000000"/>
          <w:sz w:val="24"/>
          <w:szCs w:val="22"/>
          <w:lang w:bidi="ar"/>
        </w:rPr>
        <w:t>松散岩类孔隙水主要分布于测区冲洪积的中粗砂及砂砾卵石层中，埋深一般10米以下，具承压性，与南部海水具有一定的水力联系，接受上游丘陵区入渗入侧向补给，该层渗透性较好，地下水富水性中等-较丰富，单孔涌水量100-500m</w:t>
      </w:r>
      <w:r>
        <w:rPr>
          <w:rFonts w:hint="default" w:ascii="Times New Roman" w:hAnsi="Times New Roman" w:eastAsia="宋体" w:cs="Times New Roman"/>
          <w:color w:val="000000"/>
          <w:sz w:val="24"/>
          <w:szCs w:val="22"/>
          <w:vertAlign w:val="superscript"/>
          <w:lang w:bidi="ar"/>
        </w:rPr>
        <w:t>3</w:t>
      </w:r>
      <w:r>
        <w:rPr>
          <w:rFonts w:hint="default" w:ascii="Times New Roman" w:hAnsi="Times New Roman" w:eastAsia="宋体" w:cs="Times New Roman"/>
          <w:color w:val="000000"/>
          <w:sz w:val="24"/>
          <w:szCs w:val="22"/>
          <w:lang w:bidi="ar"/>
        </w:rPr>
        <w:t xml:space="preserve">/d。 </w:t>
      </w:r>
    </w:p>
    <w:p>
      <w:pPr>
        <w:spacing w:line="360" w:lineRule="auto"/>
        <w:ind w:firstLine="465"/>
        <w:rPr>
          <w:rFonts w:hint="default" w:ascii="Times New Roman" w:hAnsi="Times New Roman" w:eastAsia="宋体" w:cs="Times New Roman"/>
          <w:color w:val="000000"/>
          <w:sz w:val="24"/>
          <w:szCs w:val="22"/>
          <w:lang w:bidi="ar"/>
        </w:rPr>
      </w:pPr>
      <w:r>
        <w:rPr>
          <w:rFonts w:hint="default" w:ascii="Times New Roman" w:hAnsi="Times New Roman" w:eastAsia="宋体" w:cs="Times New Roman"/>
          <w:color w:val="000000"/>
          <w:sz w:val="24"/>
          <w:szCs w:val="22"/>
          <w:lang w:bidi="ar"/>
        </w:rPr>
        <w:t>（2）风化带网状裂隙水</w:t>
      </w:r>
    </w:p>
    <w:p>
      <w:pPr>
        <w:spacing w:line="360" w:lineRule="auto"/>
        <w:ind w:firstLine="465"/>
        <w:rPr>
          <w:rFonts w:hint="default" w:ascii="Times New Roman" w:hAnsi="Times New Roman" w:eastAsia="宋体" w:cs="Times New Roman"/>
          <w:color w:val="000000"/>
          <w:sz w:val="24"/>
          <w:szCs w:val="22"/>
          <w:lang w:bidi="ar"/>
        </w:rPr>
      </w:pPr>
      <w:r>
        <w:rPr>
          <w:rFonts w:hint="default" w:ascii="Times New Roman" w:hAnsi="Times New Roman" w:eastAsia="宋体" w:cs="Times New Roman"/>
          <w:color w:val="000000"/>
          <w:sz w:val="24"/>
          <w:szCs w:val="22"/>
          <w:lang w:bidi="ar"/>
        </w:rPr>
        <w:t>风化带网状裂隙水主要赋存于测区的全-强风化基岩的网状孔隙裂隙中，接受大气降水补给，由低山、丘陵向海域方向迳流，以向第四系孔隙含水层排泄为主。由于区内风化基岩节理多呈闭合状，富水性差，故含水层水量贫乏，单孔涌水量小于100m</w:t>
      </w:r>
      <w:r>
        <w:rPr>
          <w:rFonts w:hint="default" w:ascii="Times New Roman" w:hAnsi="Times New Roman" w:eastAsia="宋体" w:cs="Times New Roman"/>
          <w:color w:val="000000"/>
          <w:sz w:val="24"/>
          <w:szCs w:val="22"/>
          <w:vertAlign w:val="superscript"/>
          <w:lang w:bidi="ar"/>
        </w:rPr>
        <w:t>3</w:t>
      </w:r>
      <w:r>
        <w:rPr>
          <w:rFonts w:hint="default" w:ascii="Times New Roman" w:hAnsi="Times New Roman" w:eastAsia="宋体" w:cs="Times New Roman"/>
          <w:color w:val="000000"/>
          <w:sz w:val="24"/>
          <w:szCs w:val="22"/>
          <w:lang w:bidi="ar"/>
        </w:rPr>
        <w:t>/d。</w:t>
      </w:r>
    </w:p>
    <w:p>
      <w:pPr>
        <w:spacing w:line="360" w:lineRule="auto"/>
        <w:ind w:firstLine="465"/>
        <w:rPr>
          <w:rFonts w:hint="default" w:ascii="Times New Roman" w:hAnsi="Times New Roman" w:eastAsia="宋体" w:cs="Times New Roman"/>
          <w:color w:val="000000"/>
          <w:sz w:val="24"/>
          <w:szCs w:val="22"/>
          <w:lang w:bidi="ar"/>
        </w:rPr>
      </w:pPr>
      <w:r>
        <w:rPr>
          <w:rFonts w:hint="default" w:ascii="Times New Roman" w:hAnsi="Times New Roman" w:eastAsia="宋体" w:cs="Times New Roman"/>
          <w:color w:val="000000"/>
          <w:sz w:val="24"/>
          <w:szCs w:val="22"/>
          <w:lang w:bidi="ar"/>
        </w:rPr>
        <w:t>（3）构造裂隙水</w:t>
      </w:r>
    </w:p>
    <w:p>
      <w:pPr>
        <w:spacing w:line="360" w:lineRule="auto"/>
        <w:ind w:firstLine="465"/>
        <w:rPr>
          <w:rFonts w:hint="default" w:ascii="Times New Roman" w:hAnsi="Times New Roman" w:eastAsia="宋体" w:cs="Times New Roman"/>
          <w:color w:val="000000"/>
          <w:sz w:val="24"/>
          <w:szCs w:val="22"/>
          <w:lang w:bidi="ar"/>
        </w:rPr>
      </w:pPr>
      <w:r>
        <w:rPr>
          <w:rFonts w:hint="default" w:ascii="Times New Roman" w:hAnsi="Times New Roman" w:eastAsia="宋体" w:cs="Times New Roman"/>
          <w:color w:val="000000"/>
          <w:sz w:val="24"/>
          <w:szCs w:val="22"/>
          <w:lang w:bidi="ar"/>
        </w:rPr>
        <w:t>构造裂隙水主要赋存于测区的中-微风化基岩的构造裂隙中，可细分为块状岩类裂隙水和块状夹层状裂隙水两种，含水层呈脉状，富水性与构造的破碎程度密切相关，工作区断裂构造不发育，仅局部发育短小的次级构造，破碎带基岩裂隙多被方解石等后期充填，较为完整，透水性弱，总体水量贫乏，其地下水主要是大气降水补给，由低山、丘陵向海域方向迳流，以向第四系孔隙含水层排泄为主。单孔涌水量小于100m</w:t>
      </w:r>
      <w:r>
        <w:rPr>
          <w:rFonts w:hint="default" w:ascii="Times New Roman" w:hAnsi="Times New Roman" w:eastAsia="宋体" w:cs="Times New Roman"/>
          <w:color w:val="000000"/>
          <w:sz w:val="24"/>
          <w:szCs w:val="22"/>
          <w:vertAlign w:val="superscript"/>
          <w:lang w:bidi="ar"/>
        </w:rPr>
        <w:t>3</w:t>
      </w:r>
      <w:r>
        <w:rPr>
          <w:rFonts w:hint="default" w:ascii="Times New Roman" w:hAnsi="Times New Roman" w:eastAsia="宋体" w:cs="Times New Roman"/>
          <w:color w:val="000000"/>
          <w:sz w:val="24"/>
          <w:szCs w:val="22"/>
          <w:lang w:bidi="ar"/>
        </w:rPr>
        <w:t>/d。</w:t>
      </w:r>
    </w:p>
    <w:p>
      <w:pPr>
        <w:spacing w:line="360" w:lineRule="auto"/>
        <w:ind w:firstLine="0"/>
        <w:textAlignment w:val="baseline"/>
        <w:outlineLvl w:val="3"/>
        <w:rPr>
          <w:rFonts w:hint="default" w:ascii="Times New Roman" w:hAnsi="Times New Roman" w:eastAsia="黑体" w:cs="Times New Roman"/>
          <w:kern w:val="0"/>
          <w:szCs w:val="22"/>
        </w:rPr>
      </w:pPr>
      <w:r>
        <w:rPr>
          <w:rFonts w:hint="default" w:ascii="Times New Roman" w:hAnsi="Times New Roman" w:eastAsia="黑体" w:cs="Times New Roman"/>
          <w:kern w:val="0"/>
          <w:szCs w:val="22"/>
        </w:rPr>
        <w:t>5.5.1.2区域地下水的补径排条件与动态特征</w:t>
      </w:r>
    </w:p>
    <w:p>
      <w:pPr>
        <w:spacing w:line="360" w:lineRule="auto"/>
        <w:ind w:firstLine="465"/>
        <w:rPr>
          <w:rFonts w:hint="default" w:ascii="Times New Roman" w:hAnsi="Times New Roman" w:eastAsia="宋体" w:cs="Times New Roman"/>
          <w:color w:val="000000"/>
          <w:sz w:val="24"/>
          <w:szCs w:val="22"/>
          <w:lang w:bidi="ar"/>
        </w:rPr>
      </w:pPr>
      <w:r>
        <w:rPr>
          <w:rFonts w:hint="default" w:ascii="Times New Roman" w:hAnsi="Times New Roman" w:eastAsia="宋体" w:cs="Times New Roman"/>
          <w:color w:val="000000"/>
          <w:sz w:val="24"/>
          <w:szCs w:val="22"/>
          <w:lang w:bidi="ar"/>
        </w:rPr>
        <w:t>本区地下水主要接受大气降雨量补给及侧向入渗补给，地下水总体上由北向南方向径流，测区内北东侧的低丘山脊为水文单元的分水岭，分水岭以东地下水流向为北西向南东方向，分水岭以西地下水流向为北东向西南方向，均向海域方向排泄。</w:t>
      </w:r>
    </w:p>
    <w:p>
      <w:pPr>
        <w:spacing w:line="360" w:lineRule="auto"/>
        <w:ind w:firstLine="465"/>
        <w:rPr>
          <w:rFonts w:hint="default" w:ascii="Times New Roman" w:hAnsi="Times New Roman" w:eastAsia="宋体" w:cs="Times New Roman"/>
          <w:color w:val="000000"/>
          <w:sz w:val="24"/>
          <w:szCs w:val="22"/>
          <w:lang w:bidi="ar"/>
        </w:rPr>
      </w:pPr>
      <w:r>
        <w:rPr>
          <w:rFonts w:hint="default" w:ascii="Times New Roman" w:hAnsi="Times New Roman" w:eastAsia="宋体" w:cs="Times New Roman"/>
          <w:color w:val="000000"/>
          <w:sz w:val="24"/>
          <w:szCs w:val="22"/>
          <w:lang w:bidi="ar"/>
        </w:rPr>
        <w:t>根据区域水文地质资料，本区区域地下水在海滨阶地区域的地下水水位埋深约1.0-4.0m，地下水的水位年变幅约2.0-3.0m；低山、丘陵区地下水水位埋深随地形、地势变化而变化，近坡脚地带一般1.0-5.0m，坡地可达10.0m以上，水位年变幅一般约3.0-5.0m。区域地下水化学类型概况如下图5.5-1。</w:t>
      </w:r>
    </w:p>
    <w:p>
      <w:pPr>
        <w:spacing w:line="480" w:lineRule="auto"/>
        <w:ind w:firstLine="0"/>
        <w:jc w:val="center"/>
        <w:rPr>
          <w:rFonts w:hint="default" w:ascii="Times New Roman" w:hAnsi="Times New Roman" w:eastAsia="宋体" w:cs="Times New Roman"/>
          <w:color w:val="000000"/>
          <w:sz w:val="18"/>
          <w:szCs w:val="18"/>
        </w:rPr>
      </w:pPr>
      <w:r>
        <mc:AlternateContent>
          <mc:Choice Requires="wps">
            <w:drawing>
              <wp:anchor distT="0" distB="0" distL="114300" distR="114300" simplePos="0" relativeHeight="251662336" behindDoc="1" locked="0" layoutInCell="1" allowOverlap="1">
                <wp:simplePos x="0" y="0"/>
                <wp:positionH relativeFrom="column">
                  <wp:posOffset>1628140</wp:posOffset>
                </wp:positionH>
                <wp:positionV relativeFrom="paragraph">
                  <wp:posOffset>2168525</wp:posOffset>
                </wp:positionV>
                <wp:extent cx="66675" cy="98425"/>
                <wp:effectExtent l="4445" t="4445" r="5080" b="11430"/>
                <wp:wrapNone/>
                <wp:docPr id="157" name="椭圆 7"/>
                <wp:cNvGraphicFramePr/>
                <a:graphic xmlns:a="http://schemas.openxmlformats.org/drawingml/2006/main">
                  <a:graphicData uri="http://schemas.microsoft.com/office/word/2010/wordprocessingShape">
                    <wps:wsp>
                      <wps:cNvSpPr/>
                      <wps:spPr>
                        <a:xfrm>
                          <a:off x="0" y="0"/>
                          <a:ext cx="66675" cy="98425"/>
                        </a:xfrm>
                        <a:prstGeom prst="ellipse">
                          <a:avLst/>
                        </a:prstGeom>
                        <a:solidFill>
                          <a:srgbClr val="333300"/>
                        </a:solidFill>
                        <a:ln w="9525" cap="flat" cmpd="sng">
                          <a:solidFill>
                            <a:srgbClr val="000000"/>
                          </a:solidFill>
                          <a:prstDash val="solid"/>
                          <a:headEnd type="none" w="med" len="med"/>
                          <a:tailEnd type="none" w="med" len="med"/>
                        </a:ln>
                        <a:effectLst/>
                      </wps:spPr>
                      <wps:bodyPr wrap="square" upright="1"/>
                    </wps:wsp>
                  </a:graphicData>
                </a:graphic>
              </wp:anchor>
            </w:drawing>
          </mc:Choice>
          <mc:Fallback>
            <w:pict>
              <v:shape id="椭圆 7" o:spid="_x0000_s1026" o:spt="3" type="#_x0000_t3" style="position:absolute;left:0pt;margin-left:128.2pt;margin-top:170.75pt;height:7.75pt;width:5.25pt;z-index:-251654144;mso-width-relative:page;mso-height-relative:page;" fillcolor="#333300" filled="t" stroked="t" coordsize="21600,21600" o:gfxdata="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XKXkmtoAAAALAQAADwAAAAAAAAABACAAAAAi&#10;AAAAZHJzL2Rvd25yZXYueG1sUEsBAhQAFAAAAAgAh07iQBmeDswIAgAAMgQAAA4AAAAAAAAAAQAg&#10;AAAAKQEAAGRycy9lMm9Eb2MueG1sUEsFBgAAAAAGAAYAWQEAAKMFAAAAAA==&#10;">
                <v:fill on="t" focussize="0,0"/>
                <v:stroke color="#000000" joinstyle="round"/>
                <v:imagedata o:title=""/>
                <o:lock v:ext="edit" aspectratio="f"/>
              </v:shape>
            </w:pict>
          </mc:Fallback>
        </mc:AlternateContent>
      </w:r>
      <w:r>
        <mc:AlternateContent>
          <mc:Choice Requires="wps">
            <w:drawing>
              <wp:anchor distT="0" distB="0" distL="114300" distR="114300" simplePos="0" relativeHeight="251660288" behindDoc="1" locked="0" layoutInCell="1" allowOverlap="1">
                <wp:simplePos x="0" y="0"/>
                <wp:positionH relativeFrom="column">
                  <wp:posOffset>2028190</wp:posOffset>
                </wp:positionH>
                <wp:positionV relativeFrom="paragraph">
                  <wp:posOffset>1673225</wp:posOffset>
                </wp:positionV>
                <wp:extent cx="688975" cy="292100"/>
                <wp:effectExtent l="4445" t="5080" r="11430" b="7620"/>
                <wp:wrapNone/>
                <wp:docPr id="155" name="文本框 5"/>
                <wp:cNvGraphicFramePr/>
                <a:graphic xmlns:a="http://schemas.openxmlformats.org/drawingml/2006/main">
                  <a:graphicData uri="http://schemas.microsoft.com/office/word/2010/wordprocessingShape">
                    <wps:wsp>
                      <wps:cNvSpPr txBox="1"/>
                      <wps:spPr>
                        <a:xfrm>
                          <a:off x="0" y="0"/>
                          <a:ext cx="688975" cy="2921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sz w:val="18"/>
                              </w:rPr>
                            </w:pPr>
                            <w:r>
                              <w:rPr>
                                <w:rFonts w:hint="eastAsia" w:cs="宋体"/>
                                <w:sz w:val="18"/>
                                <w:lang w:bidi="ar"/>
                              </w:rPr>
                              <w:t>项目位置</w:t>
                            </w:r>
                          </w:p>
                        </w:txbxContent>
                      </wps:txbx>
                      <wps:bodyPr wrap="square" upright="1"/>
                    </wps:wsp>
                  </a:graphicData>
                </a:graphic>
              </wp:anchor>
            </w:drawing>
          </mc:Choice>
          <mc:Fallback>
            <w:pict>
              <v:shape id="文本框 5" o:spid="_x0000_s1026" o:spt="202" type="#_x0000_t202" style="position:absolute;left:0pt;margin-left:159.7pt;margin-top:131.75pt;height:23pt;width:54.25pt;z-index:-251656192;mso-width-relative:page;mso-height-relative:page;" fillcolor="#FFFFFF" filled="t" stroked="t" coordsize="21600,21600" o:gfxdata="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ZeWR3tsA&#10;AAALAQAADwAAAAAAAAABACAAAAAiAAAAZHJzL2Rvd25yZXYueG1sUEsBAhQAFAAAAAgAh07iQB2t&#10;7b0cAgAAUwQAAA4AAAAAAAAAAQAgAAAAKgEAAGRycy9lMm9Eb2MueG1sUEsFBgAAAAAGAAYAWQEA&#10;ALgFAAAAAA==&#10;">
                <v:fill on="t" focussize="0,0"/>
                <v:stroke color="#000000" joinstyle="miter"/>
                <v:imagedata o:title=""/>
                <o:lock v:ext="edit" aspectratio="f"/>
                <v:textbox>
                  <w:txbxContent>
                    <w:p>
                      <w:pPr>
                        <w:rPr>
                          <w:sz w:val="18"/>
                        </w:rPr>
                      </w:pPr>
                      <w:r>
                        <w:rPr>
                          <w:rFonts w:hint="eastAsia" w:cs="宋体"/>
                          <w:sz w:val="18"/>
                          <w:lang w:bidi="ar"/>
                        </w:rPr>
                        <w:t>项目位置</w:t>
                      </w:r>
                    </w:p>
                  </w:txbxContent>
                </v:textbox>
              </v:shape>
            </w:pict>
          </mc:Fallback>
        </mc:AlternateContent>
      </w:r>
      <w:r>
        <mc:AlternateContent>
          <mc:Choice Requires="wps">
            <w:drawing>
              <wp:anchor distT="0" distB="0" distL="114300" distR="114300" simplePos="0" relativeHeight="251661312" behindDoc="1" locked="0" layoutInCell="1" allowOverlap="1">
                <wp:simplePos x="0" y="0"/>
                <wp:positionH relativeFrom="column">
                  <wp:posOffset>1694815</wp:posOffset>
                </wp:positionH>
                <wp:positionV relativeFrom="paragraph">
                  <wp:posOffset>1871345</wp:posOffset>
                </wp:positionV>
                <wp:extent cx="333375" cy="297180"/>
                <wp:effectExtent l="0" t="3810" r="9525" b="3810"/>
                <wp:wrapNone/>
                <wp:docPr id="156" name="自选图形 6"/>
                <wp:cNvGraphicFramePr/>
                <a:graphic xmlns:a="http://schemas.openxmlformats.org/drawingml/2006/main">
                  <a:graphicData uri="http://schemas.microsoft.com/office/word/2010/wordprocessingShape">
                    <wps:wsp>
                      <wps:cNvCnPr>
                        <a:endCxn id="55" idx="2"/>
                      </wps:cNvCnPr>
                      <wps:spPr>
                        <a:xfrm flipH="1">
                          <a:off x="0" y="0"/>
                          <a:ext cx="333375" cy="297180"/>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自选图形 6" o:spid="_x0000_s1026" o:spt="32" type="#_x0000_t32" style="position:absolute;left:0pt;flip:x;margin-left:133.45pt;margin-top:147.35pt;height:23.4pt;width:26.25pt;z-index:-251655168;mso-width-relative:page;mso-height-relative:page;" filled="f" stroked="t" coordsize="21600,21600" o:gfxdata="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Hb5G77a&#10;AAAACwEAAA8AAAAAAAAAAQAgAAAAIgAAAGRycy9kb3ducmV2LnhtbFBLAQIUABQAAAAIAIdO4kB5&#10;ilmwHgIAAC0EAAAOAAAAAAAAAAEAIAAAACkBAABkcnMvZTJvRG9jLnhtbFBLBQYAAAAABgAGAFkB&#10;AAC5BQAAAAA=&#10;">
                <v:fill on="f" focussize="0,0"/>
                <v:stroke color="#000000" joinstyle="round" endarrow="block"/>
                <v:imagedata o:title=""/>
                <o:lock v:ext="edit" aspectratio="f"/>
              </v:shape>
            </w:pict>
          </mc:Fallback>
        </mc:AlternateContent>
      </w:r>
      <w:r>
        <w:drawing>
          <wp:inline distT="0" distB="0" distL="114300" distR="114300">
            <wp:extent cx="3048000" cy="3055620"/>
            <wp:effectExtent l="0" t="0" r="0" b="11430"/>
            <wp:docPr id="109" name="图片 53" descr="区域地下水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53" descr="区域地下水类型图"/>
                    <pic:cNvPicPr>
                      <a:picLocks noChangeAspect="1"/>
                    </pic:cNvPicPr>
                  </pic:nvPicPr>
                  <pic:blipFill>
                    <a:blip r:embed="rId61"/>
                    <a:stretch>
                      <a:fillRect/>
                    </a:stretch>
                  </pic:blipFill>
                  <pic:spPr>
                    <a:xfrm>
                      <a:off x="0" y="0"/>
                      <a:ext cx="3048000" cy="3055620"/>
                    </a:xfrm>
                    <a:prstGeom prst="rect">
                      <a:avLst/>
                    </a:prstGeom>
                    <a:noFill/>
                    <a:ln>
                      <a:noFill/>
                    </a:ln>
                  </pic:spPr>
                </pic:pic>
              </a:graphicData>
            </a:graphic>
          </wp:inline>
        </w:drawing>
      </w:r>
    </w:p>
    <w:p>
      <w:pPr>
        <w:snapToGrid w:val="0"/>
        <w:spacing w:line="360" w:lineRule="auto"/>
        <w:ind w:firstLine="0"/>
        <w:jc w:val="center"/>
        <w:outlineLvl w:val="4"/>
        <w:rPr>
          <w:rFonts w:hint="default" w:ascii="Times New Roman" w:hAnsi="Times New Roman" w:eastAsia="黑体" w:cs="Times New Roman"/>
          <w:b/>
          <w:bCs/>
          <w:kern w:val="0"/>
          <w:sz w:val="24"/>
          <w:szCs w:val="24"/>
          <w:lang w:val="en-GB" w:eastAsia="zh-TW"/>
        </w:rPr>
      </w:pPr>
      <w:r>
        <w:rPr>
          <w:rFonts w:hint="default" w:ascii="Times New Roman" w:hAnsi="Times New Roman" w:eastAsia="黑体" w:cs="Times New Roman"/>
          <w:b/>
          <w:bCs/>
          <w:kern w:val="0"/>
          <w:sz w:val="24"/>
          <w:szCs w:val="24"/>
          <w:lang w:val="en-GB" w:eastAsia="zh-TW"/>
        </w:rPr>
        <w:t>图5.5-1   区域地下水化学类型略图   1:20万福清幅水文地质图</w:t>
      </w:r>
    </w:p>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5.5.2 场地水文地质条件</w:t>
      </w:r>
    </w:p>
    <w:p>
      <w:pPr>
        <w:snapToGrid w:val="0"/>
        <w:spacing w:line="360" w:lineRule="auto"/>
        <w:ind w:firstLine="482"/>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p>
      <w:pPr>
        <w:adjustRightInd w:val="0"/>
        <w:snapToGrid w:val="0"/>
        <w:spacing w:line="360" w:lineRule="auto"/>
        <w:ind w:firstLine="480"/>
        <w:rPr>
          <w:rFonts w:hint="default" w:ascii="Times New Roman" w:hAnsi="Times New Roman" w:eastAsia="宋体" w:cs="Times New Roman"/>
          <w:bCs/>
          <w:color w:val="000000"/>
          <w:sz w:val="24"/>
          <w:szCs w:val="22"/>
          <w:lang w:bidi="ar"/>
        </w:rPr>
      </w:pPr>
      <w:r>
        <w:rPr>
          <w:rFonts w:hint="default" w:ascii="Times New Roman" w:hAnsi="Times New Roman" w:eastAsia="宋体" w:cs="Times New Roman"/>
          <w:bCs/>
          <w:color w:val="000000"/>
          <w:sz w:val="24"/>
          <w:lang w:bidi="ar"/>
        </w:rPr>
        <w:t>评价范围内各监测点位各监测因子监测值均符合《地下水质量标准》（GB/T14848-2017）中Ⅲ类地下水水质要求，评价范围内的地下水环境质量状况尚好。</w:t>
      </w:r>
    </w:p>
    <w:p>
      <w:pPr>
        <w:adjustRightInd w:val="0"/>
        <w:snapToGrid w:val="0"/>
        <w:spacing w:line="360" w:lineRule="auto"/>
        <w:ind w:firstLine="480"/>
        <w:rPr>
          <w:rFonts w:hint="default" w:ascii="Times New Roman" w:hAnsi="Times New Roman" w:eastAsia="宋体" w:cs="Times New Roman"/>
          <w:bCs/>
          <w:color w:val="000000"/>
          <w:sz w:val="24"/>
          <w:lang w:bidi="ar"/>
        </w:rPr>
      </w:pPr>
      <w:r>
        <w:rPr>
          <w:rFonts w:hint="default" w:ascii="Times New Roman" w:hAnsi="Times New Roman" w:eastAsia="宋体" w:cs="Times New Roman"/>
          <w:bCs/>
          <w:color w:val="000000"/>
          <w:sz w:val="24"/>
          <w:lang w:bidi="ar"/>
        </w:rPr>
        <w:t>项目对各工程及生产场所进行切实有效的地下水污染防渗。通过污染途径及对应措施分析可知，项目对可能产生地下水影响的各项途径均进行有效预防。在正常情况下，项目污染地下水可能性较小，不会对所在区域地下水环境造成明显不利影响。但在防渗层出现裂缝的非正常状况下，将对地下水环境造成明显不利影响。</w:t>
      </w:r>
    </w:p>
    <w:p>
      <w:pPr>
        <w:snapToGrid w:val="0"/>
        <w:spacing w:line="360" w:lineRule="auto"/>
        <w:ind w:firstLine="480"/>
        <w:rPr>
          <w:rFonts w:hint="default" w:ascii="Times New Roman" w:hAnsi="Times New Roman" w:eastAsia="宋体" w:cs="Times New Roman"/>
          <w:color w:val="000000"/>
          <w:sz w:val="24"/>
          <w:szCs w:val="24"/>
          <w:lang w:bidi="ar"/>
        </w:rPr>
      </w:pPr>
      <w:r>
        <w:rPr>
          <w:rFonts w:hint="default" w:ascii="Times New Roman" w:hAnsi="Times New Roman" w:eastAsia="宋体" w:cs="Times New Roman"/>
          <w:bCs/>
          <w:color w:val="000000"/>
          <w:sz w:val="24"/>
          <w:lang w:bidi="ar"/>
        </w:rPr>
        <w:t>建设单位应从源头控制泄漏，严格按照相关技术规范做好防渗、保证工程质量，加强环境管理、维护环保设施的正常运行，杜绝非正常排放。</w:t>
      </w:r>
    </w:p>
    <w:p>
      <w:pPr>
        <w:spacing w:line="360" w:lineRule="auto"/>
        <w:ind w:firstLine="0"/>
        <w:outlineLvl w:val="1"/>
        <w:rPr>
          <w:rFonts w:hint="default" w:ascii="Times New Roman" w:hAnsi="Times New Roman" w:eastAsia="黑体" w:cs="Times New Roman"/>
          <w:sz w:val="32"/>
          <w:szCs w:val="32"/>
        </w:rPr>
      </w:pPr>
      <w:bookmarkStart w:id="286" w:name="_Toc25141"/>
      <w:bookmarkStart w:id="287" w:name="_Toc6470"/>
      <w:r>
        <w:rPr>
          <w:rFonts w:hint="default" w:ascii="Times New Roman" w:hAnsi="Times New Roman" w:eastAsia="黑体" w:cs="Times New Roman"/>
          <w:sz w:val="32"/>
          <w:szCs w:val="32"/>
        </w:rPr>
        <w:t>5.6土壤环境影响预测与评价</w:t>
      </w:r>
      <w:bookmarkEnd w:id="286"/>
      <w:bookmarkEnd w:id="287"/>
    </w:p>
    <w:p>
      <w:pPr>
        <w:snapToGrid w:val="0"/>
        <w:spacing w:line="360" w:lineRule="auto"/>
        <w:ind w:firstLine="482"/>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p>
      <w:pPr>
        <w:adjustRightIn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正常情况下，本项目废气排放银累积贡献值逐年增加，排放的银的累积贡献值较低，对土壤生态环境的风险低。事故状态下排放的总银和甲醛累积量较小，对土壤环境的影响很小。因此，本项目对土壤环境的影响可以接受。</w:t>
      </w:r>
    </w:p>
    <w:p>
      <w:pPr>
        <w:adjustRightIn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项目的建设过程中，要求对生产车间、污水处理设施、危险废物储存间、综合仓库、罐区等区域切实按照相应规范要求做好防渗、防溢流等措施。正常运营时，防渗措施能够达到设计要求，防渗性能完好，可有效防止物料、废水渗漏污染土壤环境。但在防渗层失效时，泄漏物料、废水将会对项目所在地土壤造成影响。因此，建设单位需从源头、过程严格采取土壤环境保护措施，保护项目所在地土壤环境。</w:t>
      </w:r>
    </w:p>
    <w:p>
      <w:pPr>
        <w:adjustRightInd w:val="0"/>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土壤环境影响评价自查表见表5.6-4。</w:t>
      </w:r>
    </w:p>
    <w:p>
      <w:pPr>
        <w:spacing w:line="360" w:lineRule="auto"/>
        <w:ind w:firstLine="0"/>
        <w:jc w:val="center"/>
        <w:outlineLvl w:val="4"/>
        <w:rPr>
          <w:rFonts w:hint="default" w:ascii="Times New Roman" w:hAnsi="Times New Roman" w:eastAsia="黑体" w:cs="Times New Roman"/>
          <w:sz w:val="24"/>
          <w:szCs w:val="24"/>
        </w:rPr>
      </w:pPr>
      <w:r>
        <w:rPr>
          <w:rFonts w:hint="default" w:ascii="Times New Roman" w:hAnsi="Times New Roman" w:eastAsia="黑体" w:cs="Times New Roman"/>
          <w:sz w:val="24"/>
          <w:szCs w:val="24"/>
        </w:rPr>
        <w:t>表5.6-4 土壤环境影响评价自查</w:t>
      </w:r>
    </w:p>
    <w:tbl>
      <w:tblPr>
        <w:tblStyle w:val="90"/>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53"/>
        <w:gridCol w:w="1477"/>
        <w:gridCol w:w="1497"/>
        <w:gridCol w:w="1622"/>
        <w:gridCol w:w="1717"/>
        <w:gridCol w:w="178"/>
        <w:gridCol w:w="1364"/>
        <w:gridCol w:w="9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blHeader/>
        </w:trPr>
        <w:tc>
          <w:tcPr>
            <w:tcW w:w="1730"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工作内容</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完成情况</w:t>
            </w:r>
          </w:p>
        </w:tc>
        <w:tc>
          <w:tcPr>
            <w:tcW w:w="963"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253" w:type="dxa"/>
            <w:vMerge w:val="restart"/>
            <w:noWrap w:val="0"/>
            <w:vAlign w:val="center"/>
          </w:tcPr>
          <w:p>
            <w:pPr>
              <w:widowControl/>
              <w:adjustRightInd w:val="0"/>
              <w:snapToGrid w:val="0"/>
              <w:spacing w:line="240" w:lineRule="auto"/>
              <w:ind w:firstLine="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影响识别</w:t>
            </w: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影响类型</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污染影响型√；生态影响型□；两种兼有□</w:t>
            </w:r>
          </w:p>
        </w:tc>
        <w:tc>
          <w:tcPr>
            <w:tcW w:w="963"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土地利用类型</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建设用地√；农用地□；未利用地□</w:t>
            </w:r>
          </w:p>
        </w:tc>
        <w:tc>
          <w:tcPr>
            <w:tcW w:w="963"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土地利用类型图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占地规模</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（4.2）hm</w:t>
            </w:r>
            <w:r>
              <w:rPr>
                <w:rFonts w:hint="default" w:ascii="Times New Roman" w:hAnsi="Times New Roman" w:eastAsia="宋体" w:cs="Times New Roman"/>
                <w:color w:val="000000"/>
                <w:sz w:val="21"/>
                <w:szCs w:val="21"/>
                <w:vertAlign w:val="superscript"/>
              </w:rPr>
              <w:t>2</w:t>
            </w:r>
          </w:p>
        </w:tc>
        <w:tc>
          <w:tcPr>
            <w:tcW w:w="963"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敏感目标信息</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敏感目标（无）、方位（）、距离（）</w:t>
            </w:r>
          </w:p>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敏感目标（无）、方位（）、距离（）</w:t>
            </w:r>
          </w:p>
        </w:tc>
        <w:tc>
          <w:tcPr>
            <w:tcW w:w="963"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影响途径</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大气沉降√；地面漫流□；垂直入渗□；地下水位□；其他（）</w:t>
            </w:r>
          </w:p>
        </w:tc>
        <w:tc>
          <w:tcPr>
            <w:tcW w:w="963"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全部污染物</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bCs/>
                <w:color w:val="000000"/>
                <w:kern w:val="0"/>
                <w:sz w:val="21"/>
                <w:szCs w:val="21"/>
              </w:rPr>
              <w:t>氨、甲醛、NMHC、氮氧化物、银及其化合物</w:t>
            </w:r>
          </w:p>
        </w:tc>
        <w:tc>
          <w:tcPr>
            <w:tcW w:w="963"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特征因子</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银、甲醛</w:t>
            </w:r>
          </w:p>
        </w:tc>
        <w:tc>
          <w:tcPr>
            <w:tcW w:w="963"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所属土壤环境影响</w:t>
            </w:r>
          </w:p>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评价项目类别</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Ⅰ类√；Ⅱ类□；Ⅲ类□；Ⅳ类□</w:t>
            </w:r>
          </w:p>
        </w:tc>
        <w:tc>
          <w:tcPr>
            <w:tcW w:w="963"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敏感程度</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敏感□；较敏感□；不敏感√</w:t>
            </w:r>
          </w:p>
        </w:tc>
        <w:tc>
          <w:tcPr>
            <w:tcW w:w="963"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730"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评价工作等级</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一级□；二级√；三级□</w:t>
            </w:r>
          </w:p>
        </w:tc>
        <w:tc>
          <w:tcPr>
            <w:tcW w:w="963"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253" w:type="dxa"/>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现状调查内容</w:t>
            </w: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资料收集</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a）√；b）□；c）□；d）□</w:t>
            </w:r>
          </w:p>
        </w:tc>
        <w:tc>
          <w:tcPr>
            <w:tcW w:w="963"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理化特性</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项目区域土壤黄褐黄色、以砂土为主</w:t>
            </w:r>
          </w:p>
        </w:tc>
        <w:tc>
          <w:tcPr>
            <w:tcW w:w="963"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同附录 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tcW w:w="1477" w:type="dxa"/>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现状监测点位</w:t>
            </w:r>
          </w:p>
        </w:tc>
        <w:tc>
          <w:tcPr>
            <w:tcW w:w="149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1622"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占地范围内</w:t>
            </w:r>
          </w:p>
        </w:tc>
        <w:tc>
          <w:tcPr>
            <w:tcW w:w="1895"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占地范围外</w:t>
            </w:r>
          </w:p>
        </w:tc>
        <w:tc>
          <w:tcPr>
            <w:tcW w:w="1364"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深度</w:t>
            </w:r>
          </w:p>
        </w:tc>
        <w:tc>
          <w:tcPr>
            <w:tcW w:w="963" w:type="dxa"/>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点位布置图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vMerge w:val="continue"/>
            <w:noWrap w:val="0"/>
          </w:tcPr>
          <w:p/>
        </w:tc>
        <w:tc>
          <w:tcPr>
            <w:tcW w:w="149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表层样点数</w:t>
            </w:r>
          </w:p>
        </w:tc>
        <w:tc>
          <w:tcPr>
            <w:tcW w:w="1622"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895"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364"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0-0.2m</w:t>
            </w:r>
          </w:p>
        </w:tc>
        <w:tc>
          <w:tcPr>
            <w:vMerge w:val="continue"/>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vMerge w:val="continue"/>
            <w:noWrap w:val="0"/>
          </w:tcPr>
          <w:p/>
        </w:tc>
        <w:tc>
          <w:tcPr>
            <w:tcW w:w="149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柱状样点数</w:t>
            </w:r>
          </w:p>
        </w:tc>
        <w:tc>
          <w:tcPr>
            <w:tcW w:w="1622" w:type="dxa"/>
            <w:noWrap w:val="0"/>
            <w:vAlign w:val="center"/>
          </w:tcPr>
          <w:p>
            <w:pPr>
              <w:widowControl/>
              <w:adjustRightInd w:val="0"/>
              <w:snapToGrid w:val="0"/>
              <w:spacing w:line="240" w:lineRule="auto"/>
              <w:ind w:firstLine="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7</w:t>
            </w:r>
          </w:p>
        </w:tc>
        <w:tc>
          <w:tcPr>
            <w:tcW w:w="1895"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364"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0-0.5m</w:t>
            </w:r>
          </w:p>
          <w:p>
            <w:pPr>
              <w:widowControl/>
              <w:adjustRightInd w:val="0"/>
              <w:snapToGrid w:val="0"/>
              <w:spacing w:line="240" w:lineRule="auto"/>
              <w:ind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0.5-1.5m</w:t>
            </w:r>
          </w:p>
          <w:p>
            <w:pPr>
              <w:widowControl/>
              <w:adjustRightInd w:val="0"/>
              <w:snapToGrid w:val="0"/>
              <w:spacing w:line="240" w:lineRule="auto"/>
              <w:ind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1.5-3m</w:t>
            </w:r>
          </w:p>
          <w:p>
            <w:pPr>
              <w:widowControl/>
              <w:adjustRightInd w:val="0"/>
              <w:snapToGrid w:val="0"/>
              <w:spacing w:line="240" w:lineRule="auto"/>
              <w:ind w:firstLine="0"/>
              <w:jc w:val="center"/>
              <w:rPr>
                <w:rFonts w:hint="default"/>
                <w:color w:val="auto"/>
              </w:rPr>
            </w:pPr>
            <w:r>
              <w:rPr>
                <w:rFonts w:hint="eastAsia" w:ascii="Times New Roman" w:hAnsi="Times New Roman" w:eastAsia="宋体" w:cs="Times New Roman"/>
                <w:color w:val="auto"/>
                <w:sz w:val="21"/>
                <w:szCs w:val="21"/>
                <w:lang w:val="en-US" w:eastAsia="zh-CN"/>
              </w:rPr>
              <w:t>3.1-4.6</w:t>
            </w:r>
            <w:r>
              <w:rPr>
                <w:rFonts w:hint="default" w:ascii="Times New Roman" w:hAnsi="Times New Roman" w:eastAsia="宋体" w:cs="Times New Roman"/>
                <w:color w:val="auto"/>
                <w:sz w:val="21"/>
                <w:szCs w:val="21"/>
                <w:lang w:val="en-US" w:eastAsia="zh-CN"/>
              </w:rPr>
              <w:t>m</w:t>
            </w:r>
          </w:p>
        </w:tc>
        <w:tc>
          <w:tcPr>
            <w:vMerge w:val="continue"/>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现状监测因子</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GB36600基本45项+甲醛</w:t>
            </w:r>
          </w:p>
        </w:tc>
        <w:tc>
          <w:tcPr>
            <w:tcW w:w="963" w:type="dxa"/>
            <w:noWrap w:val="0"/>
            <w:vAlign w:val="top"/>
          </w:tcPr>
          <w:p>
            <w:pPr>
              <w:spacing w:line="240" w:lineRule="auto"/>
              <w:ind w:firstLine="42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253" w:type="dxa"/>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现状评</w:t>
            </w:r>
          </w:p>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价</w:t>
            </w: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评价因子</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GB36600基本45项+甲醛</w:t>
            </w:r>
          </w:p>
        </w:tc>
        <w:tc>
          <w:tcPr>
            <w:tcW w:w="963" w:type="dxa"/>
            <w:noWrap w:val="0"/>
            <w:vAlign w:val="top"/>
          </w:tcPr>
          <w:p>
            <w:pPr>
              <w:spacing w:line="240" w:lineRule="auto"/>
              <w:ind w:firstLine="42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评价标准</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GB 15618□；GB 36600√；表D.1□；表 D.2□；其他（）</w:t>
            </w:r>
          </w:p>
        </w:tc>
        <w:tc>
          <w:tcPr>
            <w:tcW w:w="963" w:type="dxa"/>
            <w:noWrap w:val="0"/>
            <w:vAlign w:val="top"/>
          </w:tcPr>
          <w:p>
            <w:pPr>
              <w:spacing w:line="240" w:lineRule="auto"/>
              <w:ind w:firstLine="42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现状评价结论</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项目周边土壤污染风险低</w:t>
            </w:r>
          </w:p>
        </w:tc>
        <w:tc>
          <w:tcPr>
            <w:tcW w:w="963" w:type="dxa"/>
            <w:noWrap w:val="0"/>
            <w:vAlign w:val="top"/>
          </w:tcPr>
          <w:p>
            <w:pPr>
              <w:spacing w:line="240" w:lineRule="auto"/>
              <w:ind w:firstLine="42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253" w:type="dxa"/>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p>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影响预测</w:t>
            </w: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预测因子</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银</w:t>
            </w:r>
          </w:p>
        </w:tc>
        <w:tc>
          <w:tcPr>
            <w:tcW w:w="963" w:type="dxa"/>
            <w:noWrap w:val="0"/>
            <w:vAlign w:val="top"/>
          </w:tcPr>
          <w:p>
            <w:pPr>
              <w:spacing w:line="240" w:lineRule="auto"/>
              <w:ind w:firstLine="42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预测方法</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附录 E√；附录 F□；其他（</w:t>
            </w:r>
            <w:r>
              <w:rPr>
                <w:rFonts w:hint="default" w:ascii="Times New Roman" w:hAnsi="Times New Roman" w:eastAsia="宋体" w:cs="Times New Roman"/>
                <w:color w:val="000000"/>
                <w:sz w:val="21"/>
                <w:szCs w:val="21"/>
              </w:rPr>
              <w:tab/>
            </w:r>
            <w:r>
              <w:rPr>
                <w:rFonts w:hint="default" w:ascii="Times New Roman" w:hAnsi="Times New Roman" w:eastAsia="宋体" w:cs="Times New Roman"/>
                <w:color w:val="000000"/>
                <w:sz w:val="21"/>
                <w:szCs w:val="21"/>
              </w:rPr>
              <w:t>）</w:t>
            </w:r>
          </w:p>
        </w:tc>
        <w:tc>
          <w:tcPr>
            <w:tcW w:w="963" w:type="dxa"/>
            <w:noWrap w:val="0"/>
            <w:vAlign w:val="top"/>
          </w:tcPr>
          <w:p>
            <w:pPr>
              <w:spacing w:line="240" w:lineRule="auto"/>
              <w:ind w:firstLine="42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预测分析内容</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影响范围（项目占地范围外0.2km范围）</w:t>
            </w:r>
          </w:p>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影响程度（土壤环境影响为可接受）</w:t>
            </w:r>
          </w:p>
        </w:tc>
        <w:tc>
          <w:tcPr>
            <w:tcW w:w="963" w:type="dxa"/>
            <w:noWrap w:val="0"/>
            <w:vAlign w:val="top"/>
          </w:tcPr>
          <w:p>
            <w:pPr>
              <w:spacing w:line="240" w:lineRule="auto"/>
              <w:ind w:firstLine="42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预测结论</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达标结论：a）√；b）□；c）□</w:t>
            </w:r>
          </w:p>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不达标结论：a）□；b）□</w:t>
            </w:r>
          </w:p>
        </w:tc>
        <w:tc>
          <w:tcPr>
            <w:tcW w:w="963" w:type="dxa"/>
            <w:noWrap w:val="0"/>
            <w:vAlign w:val="top"/>
          </w:tcPr>
          <w:p>
            <w:pPr>
              <w:spacing w:line="240" w:lineRule="auto"/>
              <w:ind w:firstLine="42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253" w:type="dxa"/>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防治措</w:t>
            </w:r>
          </w:p>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施</w:t>
            </w: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防控措施</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土壤环境质量现状保障□；源头控制√；过程防控□；其他（）</w:t>
            </w:r>
          </w:p>
        </w:tc>
        <w:tc>
          <w:tcPr>
            <w:tcW w:w="963" w:type="dxa"/>
            <w:noWrap w:val="0"/>
            <w:vAlign w:val="top"/>
          </w:tcPr>
          <w:p>
            <w:pPr>
              <w:spacing w:line="240" w:lineRule="auto"/>
              <w:ind w:firstLine="42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tcW w:w="1477" w:type="dxa"/>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跟踪监测</w:t>
            </w:r>
          </w:p>
        </w:tc>
        <w:tc>
          <w:tcPr>
            <w:tcW w:w="3119"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监测点数</w:t>
            </w:r>
          </w:p>
        </w:tc>
        <w:tc>
          <w:tcPr>
            <w:tcW w:w="1717" w:type="dxa"/>
            <w:noWrap w:val="0"/>
            <w:vAlign w:val="center"/>
          </w:tcPr>
          <w:p>
            <w:pPr>
              <w:adjustRightInd w:val="0"/>
              <w:snapToGrid w:val="0"/>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1"/>
              </w:rPr>
              <w:t>/</w:t>
            </w:r>
          </w:p>
        </w:tc>
        <w:tc>
          <w:tcPr>
            <w:tcW w:w="1542"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监测频次</w:t>
            </w:r>
          </w:p>
        </w:tc>
        <w:tc>
          <w:tcPr>
            <w:tcW w:w="963" w:type="dxa"/>
            <w:vMerge w:val="restart"/>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vMerge w:val="continue"/>
            <w:noWrap w:val="0"/>
          </w:tcPr>
          <w:p/>
        </w:tc>
        <w:tc>
          <w:tcPr>
            <w:tcW w:w="3119"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1717" w:type="dxa"/>
            <w:noWrap w:val="0"/>
            <w:vAlign w:val="center"/>
          </w:tcPr>
          <w:p>
            <w:pPr>
              <w:adjustRightInd w:val="0"/>
              <w:snapToGrid w:val="0"/>
              <w:spacing w:line="240" w:lineRule="auto"/>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1"/>
              </w:rPr>
              <w:t>/</w:t>
            </w:r>
          </w:p>
        </w:tc>
        <w:tc>
          <w:tcPr>
            <w:tcW w:w="1542"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1次/年</w:t>
            </w:r>
          </w:p>
        </w:tc>
        <w:tc>
          <w:tcPr>
            <w:vMerge w:val="continue"/>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vMerge w:val="continue"/>
            <w:noWrap w:val="0"/>
          </w:tcPr>
          <w:p/>
        </w:tc>
        <w:tc>
          <w:tcPr>
            <w:tcW w:w="1477"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信息公开指标</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p>
        </w:tc>
        <w:tc>
          <w:tcPr>
            <w:vMerge w:val="continue"/>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730" w:type="dxa"/>
            <w:gridSpan w:val="2"/>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评价结论</w:t>
            </w:r>
          </w:p>
        </w:tc>
        <w:tc>
          <w:tcPr>
            <w:tcW w:w="6378" w:type="dxa"/>
            <w:gridSpan w:val="5"/>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土壤环境影响为可接受</w:t>
            </w:r>
          </w:p>
        </w:tc>
        <w:tc>
          <w:tcPr>
            <w:tcW w:w="963" w:type="dxa"/>
            <w:noWrap w:val="0"/>
            <w:vAlign w:val="center"/>
          </w:tcPr>
          <w:p>
            <w:pPr>
              <w:widowControl/>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9071" w:type="dxa"/>
            <w:gridSpan w:val="8"/>
            <w:noWrap w:val="0"/>
            <w:vAlign w:val="center"/>
          </w:tcPr>
          <w:p>
            <w:pPr>
              <w:widowControl/>
              <w:adjustRightInd w:val="0"/>
              <w:snapToGrid w:val="0"/>
              <w:spacing w:line="240" w:lineRule="auto"/>
              <w:ind w:firstLine="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注 1：“□”为勾选项，可√；“（ ）”为内容填写项；“备注”为其他补充内容。</w:t>
            </w:r>
          </w:p>
          <w:p>
            <w:pPr>
              <w:widowControl/>
              <w:adjustRightInd w:val="0"/>
              <w:snapToGrid w:val="0"/>
              <w:spacing w:line="240" w:lineRule="auto"/>
              <w:ind w:firstLine="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注 2：需要分别开展土壤环境影响评级工作的，分别填写自查表。</w:t>
            </w:r>
          </w:p>
        </w:tc>
      </w:tr>
    </w:tbl>
    <w:p>
      <w:pPr>
        <w:keepNext w:val="0"/>
        <w:keepLines w:val="0"/>
        <w:pageBreakBefore w:val="0"/>
        <w:widowControl w:val="0"/>
        <w:kinsoku/>
        <w:wordWrap/>
        <w:overflowPunct/>
        <w:topLinePunct w:val="0"/>
        <w:autoSpaceDE/>
        <w:autoSpaceDN/>
        <w:bidi w:val="0"/>
        <w:snapToGrid/>
        <w:spacing w:line="360" w:lineRule="auto"/>
        <w:ind w:firstLine="0"/>
        <w:textAlignment w:val="auto"/>
        <w:outlineLvl w:val="2"/>
        <w:rPr>
          <w:rFonts w:hint="default" w:ascii="Times New Roman" w:hAnsi="Times New Roman" w:eastAsia="黑体" w:cs="Times New Roman"/>
          <w:sz w:val="30"/>
          <w:szCs w:val="28"/>
        </w:rPr>
      </w:pPr>
      <w:r>
        <w:rPr>
          <w:rFonts w:hint="default" w:ascii="Times New Roman" w:hAnsi="Times New Roman" w:eastAsia="黑体" w:cs="Times New Roman"/>
          <w:sz w:val="30"/>
          <w:szCs w:val="28"/>
        </w:rPr>
        <w:t>5.6.8小结</w:t>
      </w:r>
    </w:p>
    <w:p>
      <w:pPr>
        <w:keepNext w:val="0"/>
        <w:keepLines w:val="0"/>
        <w:pageBreakBefore w:val="0"/>
        <w:widowControl w:val="0"/>
        <w:kinsoku/>
        <w:wordWrap/>
        <w:overflowPunct/>
        <w:topLinePunct w:val="0"/>
        <w:autoSpaceDE/>
        <w:autoSpaceDN/>
        <w:bidi w:val="0"/>
        <w:adjustRightInd w:val="0"/>
        <w:snapToGrid/>
        <w:spacing w:line="360" w:lineRule="auto"/>
        <w:ind w:firstLine="482"/>
        <w:textAlignment w:val="auto"/>
        <w:rPr>
          <w:rFonts w:hint="default" w:ascii="Times New Roman" w:hAnsi="Times New Roman" w:eastAsia="宋体" w:cs="Times New Roman"/>
          <w:bCs/>
          <w:color w:val="000000"/>
          <w:sz w:val="24"/>
          <w:szCs w:val="22"/>
          <w:lang w:bidi="ar"/>
        </w:rPr>
      </w:pPr>
      <w:r>
        <w:rPr>
          <w:rFonts w:hint="default" w:ascii="Times New Roman" w:hAnsi="Times New Roman" w:eastAsia="宋体" w:cs="Times New Roman"/>
          <w:bCs/>
          <w:color w:val="000000"/>
          <w:sz w:val="24"/>
          <w:szCs w:val="22"/>
          <w:lang w:bidi="ar"/>
        </w:rPr>
        <w:t>本项目属污染影响型项目，正常生产时，项目的生产车间、污水处理设施、危废储存间等均采取严格防渗措施，不会发生渗漏而影响土壤环境。因此，本项目对土壤的污染途径主要来自生产过程中银的排放，可能经过大气沉降，最终在土壤表层不断富集。</w:t>
      </w:r>
    </w:p>
    <w:p>
      <w:pPr>
        <w:keepNext w:val="0"/>
        <w:keepLines w:val="0"/>
        <w:pageBreakBefore w:val="0"/>
        <w:widowControl w:val="0"/>
        <w:kinsoku/>
        <w:wordWrap/>
        <w:overflowPunct/>
        <w:topLinePunct w:val="0"/>
        <w:autoSpaceDE/>
        <w:autoSpaceDN/>
        <w:bidi w:val="0"/>
        <w:adjustRightInd w:val="0"/>
        <w:snapToGrid/>
        <w:spacing w:line="360" w:lineRule="auto"/>
        <w:ind w:firstLine="482"/>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bCs/>
          <w:color w:val="000000"/>
          <w:sz w:val="24"/>
          <w:szCs w:val="22"/>
          <w:lang w:bidi="ar"/>
        </w:rPr>
        <w:t>经预测可知，本项目在投产后30年内周边区域土壤中银、甲醛的累积量较小，</w:t>
      </w:r>
      <w:r>
        <w:rPr>
          <w:rFonts w:hint="default" w:ascii="Times New Roman" w:hAnsi="Times New Roman" w:eastAsia="宋体" w:cs="Times New Roman"/>
          <w:color w:val="000000"/>
          <w:sz w:val="24"/>
          <w:szCs w:val="24"/>
        </w:rPr>
        <w:t>对土壤生态环境的风险低。</w:t>
      </w:r>
    </w:p>
    <w:p>
      <w:pPr>
        <w:keepNext w:val="0"/>
        <w:keepLines w:val="0"/>
        <w:pageBreakBefore w:val="0"/>
        <w:widowControl w:val="0"/>
        <w:kinsoku/>
        <w:wordWrap/>
        <w:overflowPunct/>
        <w:topLinePunct w:val="0"/>
        <w:autoSpaceDE/>
        <w:autoSpaceDN/>
        <w:bidi w:val="0"/>
        <w:adjustRightInd w:val="0"/>
        <w:snapToGrid/>
        <w:spacing w:line="360" w:lineRule="auto"/>
        <w:ind w:firstLine="482"/>
        <w:textAlignment w:val="auto"/>
        <w:rPr>
          <w:rFonts w:hint="default" w:ascii="Times New Roman" w:hAnsi="Times New Roman" w:eastAsia="宋体" w:cs="Times New Roman"/>
          <w:color w:val="0000FF"/>
          <w:sz w:val="21"/>
          <w:szCs w:val="22"/>
        </w:rPr>
      </w:pPr>
      <w:r>
        <w:rPr>
          <w:rFonts w:hint="default" w:ascii="Times New Roman" w:hAnsi="Times New Roman" w:eastAsia="宋体" w:cs="Times New Roman"/>
          <w:bCs/>
          <w:color w:val="000000"/>
          <w:sz w:val="24"/>
          <w:szCs w:val="22"/>
          <w:lang w:bidi="ar"/>
        </w:rPr>
        <w:t>综上所述，本项目在做好污染防治措施的前提下，项目的建设投产对周边土壤环境影响有限。因此，项目土壤环境影响为可接受。</w:t>
      </w:r>
    </w:p>
    <w:bookmarkEnd w:id="250"/>
    <w:p>
      <w:pPr>
        <w:keepNext/>
        <w:keepLines/>
        <w:pageBreakBefore w:val="0"/>
        <w:kinsoku/>
        <w:wordWrap/>
        <w:overflowPunct/>
        <w:topLinePunct w:val="0"/>
        <w:autoSpaceDE/>
        <w:autoSpaceDN/>
        <w:bidi w:val="0"/>
        <w:snapToGrid/>
        <w:spacing w:line="360" w:lineRule="auto"/>
        <w:ind w:firstLine="0"/>
        <w:outlineLvl w:val="1"/>
        <w:rPr>
          <w:rFonts w:hint="default" w:ascii="Times New Roman" w:hAnsi="Times New Roman" w:eastAsia="黑体" w:cs="Times New Roman"/>
          <w:bCs/>
          <w:color w:val="000000"/>
          <w:sz w:val="32"/>
          <w:szCs w:val="30"/>
        </w:rPr>
      </w:pPr>
      <w:bookmarkStart w:id="288" w:name="_Toc10021"/>
      <w:r>
        <w:rPr>
          <w:rFonts w:hint="default" w:ascii="Times New Roman" w:hAnsi="Times New Roman" w:eastAsia="黑体" w:cs="Times New Roman"/>
          <w:bCs/>
          <w:color w:val="000000"/>
          <w:sz w:val="32"/>
          <w:szCs w:val="30"/>
        </w:rPr>
        <w:t>5.</w:t>
      </w:r>
      <w:r>
        <w:rPr>
          <w:rFonts w:hint="eastAsia" w:ascii="Times New Roman" w:hAnsi="Times New Roman" w:eastAsia="黑体" w:cs="Times New Roman"/>
          <w:bCs/>
          <w:color w:val="000000"/>
          <w:sz w:val="32"/>
          <w:szCs w:val="30"/>
          <w:lang w:val="en-US" w:eastAsia="zh-CN"/>
        </w:rPr>
        <w:t>7</w:t>
      </w:r>
      <w:r>
        <w:rPr>
          <w:rFonts w:hint="default" w:ascii="Times New Roman" w:hAnsi="Times New Roman" w:eastAsia="黑体" w:cs="Times New Roman"/>
          <w:bCs/>
          <w:color w:val="000000"/>
          <w:sz w:val="32"/>
          <w:szCs w:val="30"/>
        </w:rPr>
        <w:t>碳排放影响分析与评价</w:t>
      </w:r>
      <w:bookmarkEnd w:id="288"/>
    </w:p>
    <w:p>
      <w:pPr>
        <w:snapToGrid w:val="0"/>
        <w:spacing w:line="360" w:lineRule="auto"/>
        <w:ind w:firstLine="482"/>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p>
      <w:pPr>
        <w:widowControl/>
        <w:spacing w:line="360" w:lineRule="auto"/>
        <w:ind w:firstLine="480"/>
        <w:jc w:val="left"/>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本项目以企业法人独立核算单位为边界，核算生产系统产生的温室气体排放量，主要排放源为调入蒸汽、净调入电力碳排放。拟建项目</w:t>
      </w:r>
      <w:r>
        <w:rPr>
          <w:rFonts w:hint="default" w:ascii="Times New Roman" w:hAnsi="Times New Roman" w:eastAsia="宋体" w:cs="Times New Roman"/>
          <w:color w:val="auto"/>
          <w:sz w:val="24"/>
          <w:szCs w:val="24"/>
        </w:rPr>
        <w:t>碳年排放量合计为</w:t>
      </w:r>
      <w:r>
        <w:rPr>
          <w:rFonts w:hint="eastAsia" w:ascii="Times New Roman" w:hAnsi="Times New Roman" w:eastAsia="宋体" w:cs="Times New Roman"/>
          <w:color w:val="auto"/>
          <w:sz w:val="24"/>
          <w:szCs w:val="24"/>
          <w:lang w:val="en-US" w:eastAsia="zh-CN"/>
        </w:rPr>
        <w:t>21603.179</w:t>
      </w:r>
      <w:r>
        <w:rPr>
          <w:rFonts w:hint="default" w:ascii="Times New Roman" w:hAnsi="Times New Roman" w:eastAsia="宋体" w:cs="Times New Roman"/>
          <w:color w:val="auto"/>
          <w:sz w:val="24"/>
          <w:szCs w:val="24"/>
        </w:rPr>
        <w:t>tCO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000000"/>
          <w:sz w:val="24"/>
          <w:szCs w:val="24"/>
        </w:rPr>
        <w:t>在工艺设计、电气系统、建筑设备等方面，本项目采用了一系列节能措施对生产中各个环节进行节能降耗。</w:t>
      </w:r>
    </w:p>
    <w:p>
      <w:pPr>
        <w:snapToGrid w:val="0"/>
        <w:spacing w:line="360" w:lineRule="auto"/>
        <w:ind w:firstLine="480"/>
        <w:rPr>
          <w:rFonts w:hint="default" w:ascii="Times New Roman" w:hAnsi="Times New Roman" w:eastAsia="宋体" w:cs="Times New Roman"/>
          <w:color w:val="000000"/>
          <w:sz w:val="24"/>
          <w:szCs w:val="24"/>
        </w:rPr>
      </w:pPr>
    </w:p>
    <w:p>
      <w:pPr>
        <w:rPr>
          <w:rFonts w:hint="default" w:ascii="Times New Roman" w:hAnsi="Times New Roman" w:cs="Times New Roman"/>
        </w:rPr>
        <w:sectPr>
          <w:headerReference r:id="rId17" w:type="default"/>
          <w:pgSz w:w="11907" w:h="16840"/>
          <w:pgMar w:top="1417" w:right="1417" w:bottom="1417" w:left="1417" w:header="851" w:footer="992" w:gutter="0"/>
          <w:pgNumType w:fmt="decimal"/>
          <w:cols w:space="720" w:num="1"/>
          <w:docGrid w:linePitch="389" w:charSpace="0"/>
        </w:sectPr>
      </w:pPr>
    </w:p>
    <w:p>
      <w:pPr>
        <w:keepNext w:val="0"/>
        <w:keepLines w:val="0"/>
        <w:pageBreakBefore w:val="0"/>
        <w:widowControl w:val="0"/>
        <w:kinsoku/>
        <w:wordWrap/>
        <w:overflowPunct/>
        <w:topLinePunct w:val="0"/>
        <w:autoSpaceDE/>
        <w:autoSpaceDN/>
        <w:bidi w:val="0"/>
        <w:adjustRightInd/>
        <w:snapToGrid/>
        <w:spacing w:line="360" w:lineRule="auto"/>
        <w:ind w:firstLine="0"/>
        <w:jc w:val="both"/>
        <w:textAlignment w:val="auto"/>
        <w:outlineLvl w:val="0"/>
        <w:rPr>
          <w:rFonts w:hint="default" w:ascii="Times New Roman" w:hAnsi="Times New Roman" w:eastAsia="黑体" w:cs="Times New Roman"/>
          <w:b/>
          <w:color w:val="auto"/>
          <w:kern w:val="2"/>
          <w:sz w:val="44"/>
          <w:szCs w:val="44"/>
          <w:lang w:val="en-US" w:eastAsia="zh-CN" w:bidi="ar-SA"/>
        </w:rPr>
      </w:pPr>
      <w:bookmarkStart w:id="289" w:name="_Toc11127"/>
      <w:r>
        <w:rPr>
          <w:rFonts w:hint="default" w:ascii="Times New Roman" w:hAnsi="Times New Roman" w:eastAsia="黑体" w:cs="Times New Roman"/>
          <w:b/>
          <w:color w:val="auto"/>
          <w:kern w:val="2"/>
          <w:sz w:val="44"/>
          <w:szCs w:val="44"/>
          <w:lang w:val="en-US" w:eastAsia="zh-CN" w:bidi="ar-SA"/>
        </w:rPr>
        <w:t>6环境风险评价</w:t>
      </w:r>
      <w:bookmarkEnd w:id="289"/>
    </w:p>
    <w:p>
      <w:pPr>
        <w:keepNext w:val="0"/>
        <w:keepLines w:val="0"/>
        <w:pageBreakBefore w:val="0"/>
        <w:widowControl w:val="0"/>
        <w:kinsoku/>
        <w:wordWrap/>
        <w:overflowPunct/>
        <w:topLinePunct w:val="0"/>
        <w:autoSpaceDE/>
        <w:autoSpaceDN/>
        <w:bidi w:val="0"/>
        <w:adjustRightInd/>
        <w:snapToGrid/>
        <w:spacing w:line="360" w:lineRule="auto"/>
        <w:ind w:firstLine="480"/>
        <w:jc w:val="both"/>
        <w:textAlignment w:val="auto"/>
        <w:outlineLvl w:val="9"/>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环境风险评价的目的是分析和预测工程建设存在的潜在危险、有害因素，项目施工和运营期间可能发生的突发性事件或事故（一般不包括人为破坏及自然灾害），引起有毒有害和易燃易爆等物质泄漏，所造成的人身安全与环境影响和损害程度，提出合理可行的防范、应急与减缓措施，以使项目事故率、损失和环境影响达到可接受水平。</w:t>
      </w:r>
    </w:p>
    <w:p>
      <w:pPr>
        <w:keepNext w:val="0"/>
        <w:keepLines w:val="0"/>
        <w:pageBreakBefore w:val="0"/>
        <w:widowControl w:val="0"/>
        <w:kinsoku/>
        <w:wordWrap/>
        <w:overflowPunct/>
        <w:topLinePunct w:val="0"/>
        <w:autoSpaceDE/>
        <w:autoSpaceDN/>
        <w:bidi w:val="0"/>
        <w:adjustRightInd/>
        <w:snapToGrid/>
        <w:spacing w:line="360" w:lineRule="auto"/>
        <w:ind w:firstLine="480"/>
        <w:jc w:val="both"/>
        <w:textAlignment w:val="auto"/>
        <w:outlineLvl w:val="9"/>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根据化工生产过程系统环境风险评价程序，结合本项目特点，技术工作程序包括风险识别、风险分析、后果计算、风险评价、风险管理和防范措施及应急计划等内容。风险评价采用危险指数评价法，在风险分析的初始阶段，先用简单的方法鉴别潜在的危险，然后用半定量和定量方法进行评估，其环境风险评价程序见图6.1-1。</w:t>
      </w:r>
    </w:p>
    <w:p>
      <w:pPr>
        <w:keepNext/>
        <w:keepLines/>
        <w:pageBreakBefore w:val="0"/>
        <w:widowControl w:val="0"/>
        <w:kinsoku/>
        <w:wordWrap/>
        <w:overflowPunct/>
        <w:topLinePunct w:val="0"/>
        <w:autoSpaceDE/>
        <w:autoSpaceDN/>
        <w:bidi w:val="0"/>
        <w:adjustRightInd/>
        <w:snapToGrid/>
        <w:spacing w:after="0" w:afterLines="0" w:line="360" w:lineRule="auto"/>
        <w:ind w:firstLine="0"/>
        <w:jc w:val="both"/>
        <w:outlineLvl w:val="1"/>
        <w:rPr>
          <w:rFonts w:hint="default" w:ascii="Times New Roman" w:hAnsi="Times New Roman" w:eastAsia="黑体" w:cs="Times New Roman"/>
          <w:b w:val="0"/>
          <w:bCs w:val="0"/>
          <w:color w:val="auto"/>
          <w:kern w:val="2"/>
          <w:sz w:val="32"/>
          <w:szCs w:val="30"/>
          <w:lang w:val="en-US" w:eastAsia="zh-CN" w:bidi="ar-SA"/>
        </w:rPr>
      </w:pPr>
      <w:bookmarkStart w:id="290" w:name="_Toc8848"/>
      <w:r>
        <w:rPr>
          <w:rFonts w:hint="default" w:ascii="Times New Roman" w:hAnsi="Times New Roman" w:eastAsia="黑体" w:cs="Times New Roman"/>
          <w:b w:val="0"/>
          <w:bCs w:val="0"/>
          <w:color w:val="auto"/>
          <w:kern w:val="2"/>
          <w:sz w:val="32"/>
          <w:szCs w:val="30"/>
          <w:lang w:val="en-US" w:eastAsia="zh-CN" w:bidi="ar-SA"/>
        </w:rPr>
        <w:t>6.1风险识别</w:t>
      </w:r>
      <w:bookmarkEnd w:id="290"/>
    </w:p>
    <w:p>
      <w:pPr>
        <w:keepNext/>
        <w:keepLines/>
        <w:pageBreakBefore w:val="0"/>
        <w:widowControl w:val="0"/>
        <w:kinsoku/>
        <w:wordWrap/>
        <w:overflowPunct/>
        <w:topLinePunct w:val="0"/>
        <w:autoSpaceDE/>
        <w:autoSpaceDN/>
        <w:bidi w:val="0"/>
        <w:adjustRightInd/>
        <w:snapToGrid/>
        <w:spacing w:before="0" w:after="0" w:afterLines="0" w:line="360" w:lineRule="auto"/>
        <w:ind w:firstLine="0"/>
        <w:jc w:val="both"/>
        <w:textAlignment w:val="baseline"/>
        <w:outlineLvl w:val="2"/>
        <w:rPr>
          <w:rFonts w:hint="default" w:ascii="Times New Roman" w:hAnsi="Times New Roman" w:eastAsia="黑体" w:cs="Times New Roman"/>
          <w:b w:val="0"/>
          <w:bCs/>
          <w:color w:val="auto"/>
          <w:kern w:val="0"/>
          <w:sz w:val="30"/>
          <w:szCs w:val="30"/>
          <w:lang w:val="en-US" w:eastAsia="zh-CN" w:bidi="ar-SA"/>
        </w:rPr>
      </w:pPr>
      <w:r>
        <w:rPr>
          <w:rFonts w:hint="default" w:ascii="Times New Roman" w:hAnsi="Times New Roman" w:eastAsia="黑体" w:cs="Times New Roman"/>
          <w:b w:val="0"/>
          <w:bCs/>
          <w:color w:val="auto"/>
          <w:kern w:val="0"/>
          <w:sz w:val="30"/>
          <w:szCs w:val="30"/>
          <w:lang w:val="en-US" w:eastAsia="zh-CN" w:bidi="ar-SA"/>
        </w:rPr>
        <w:t>6.1.1风险物质范围和类型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jc w:val="both"/>
        <w:textAlignment w:val="auto"/>
        <w:outlineLvl w:val="9"/>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（1）风险识别范围</w:t>
      </w:r>
    </w:p>
    <w:p>
      <w:pPr>
        <w:keepNext w:val="0"/>
        <w:keepLines w:val="0"/>
        <w:pageBreakBefore w:val="0"/>
        <w:widowControl w:val="0"/>
        <w:kinsoku/>
        <w:wordWrap/>
        <w:overflowPunct/>
        <w:topLinePunct w:val="0"/>
        <w:autoSpaceDE/>
        <w:autoSpaceDN/>
        <w:bidi w:val="0"/>
        <w:adjustRightInd/>
        <w:snapToGrid/>
        <w:spacing w:line="360" w:lineRule="auto"/>
        <w:ind w:firstLine="480"/>
        <w:jc w:val="both"/>
        <w:textAlignment w:val="auto"/>
        <w:outlineLvl w:val="9"/>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风险识别范围包括全厂生产设施风险识别和生产过程中所涉及的物质风险识别。</w:t>
      </w:r>
    </w:p>
    <w:p>
      <w:pPr>
        <w:keepNext w:val="0"/>
        <w:keepLines w:val="0"/>
        <w:pageBreakBefore w:val="0"/>
        <w:widowControl w:val="0"/>
        <w:kinsoku/>
        <w:wordWrap/>
        <w:overflowPunct/>
        <w:topLinePunct w:val="0"/>
        <w:autoSpaceDE/>
        <w:autoSpaceDN/>
        <w:bidi w:val="0"/>
        <w:adjustRightInd/>
        <w:snapToGrid/>
        <w:spacing w:line="360" w:lineRule="auto"/>
        <w:ind w:firstLine="480"/>
        <w:jc w:val="both"/>
        <w:textAlignment w:val="auto"/>
        <w:outlineLvl w:val="9"/>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①物质风险识别范围包括：全厂主要原材料及辅助材料、燃料、中间产品、最终产品、副产品以及生产过程中排放的“三废”污染物等。</w:t>
      </w:r>
    </w:p>
    <w:p>
      <w:pPr>
        <w:keepNext w:val="0"/>
        <w:keepLines w:val="0"/>
        <w:pageBreakBefore w:val="0"/>
        <w:widowControl w:val="0"/>
        <w:kinsoku/>
        <w:wordWrap/>
        <w:overflowPunct/>
        <w:topLinePunct w:val="0"/>
        <w:autoSpaceDE/>
        <w:autoSpaceDN/>
        <w:bidi w:val="0"/>
        <w:adjustRightInd/>
        <w:snapToGrid/>
        <w:spacing w:line="360" w:lineRule="auto"/>
        <w:ind w:firstLine="480"/>
        <w:jc w:val="both"/>
        <w:textAlignment w:val="auto"/>
        <w:outlineLvl w:val="9"/>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②生产设施风险识别范围包括：全厂主要生产装置、储运系统、公用工程系统、工程环保设施及辅助生产设施。</w:t>
      </w:r>
    </w:p>
    <w:p>
      <w:pPr>
        <w:keepNext w:val="0"/>
        <w:keepLines w:val="0"/>
        <w:pageBreakBefore w:val="0"/>
        <w:widowControl w:val="0"/>
        <w:kinsoku/>
        <w:wordWrap/>
        <w:overflowPunct/>
        <w:topLinePunct w:val="0"/>
        <w:autoSpaceDE/>
        <w:autoSpaceDN/>
        <w:bidi w:val="0"/>
        <w:adjustRightInd/>
        <w:snapToGrid/>
        <w:spacing w:line="360" w:lineRule="auto"/>
        <w:ind w:firstLine="480"/>
        <w:jc w:val="both"/>
        <w:textAlignment w:val="auto"/>
        <w:outlineLvl w:val="9"/>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（2）风险识别类型</w:t>
      </w:r>
    </w:p>
    <w:p>
      <w:pPr>
        <w:keepNext w:val="0"/>
        <w:keepLines w:val="0"/>
        <w:pageBreakBefore w:val="0"/>
        <w:widowControl w:val="0"/>
        <w:kinsoku/>
        <w:wordWrap/>
        <w:overflowPunct/>
        <w:topLinePunct w:val="0"/>
        <w:autoSpaceDE/>
        <w:autoSpaceDN/>
        <w:bidi w:val="0"/>
        <w:adjustRightInd/>
        <w:snapToGrid/>
        <w:spacing w:line="360" w:lineRule="auto"/>
        <w:ind w:firstLine="480"/>
        <w:jc w:val="both"/>
        <w:textAlignment w:val="auto"/>
        <w:outlineLvl w:val="9"/>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根据有毒有害物质放散起因，分为泄漏、火灾、爆炸伴生/次生污染物排放三种类型。</w:t>
      </w:r>
    </w:p>
    <w:p>
      <w:pPr>
        <w:keepNext w:val="0"/>
        <w:keepLines w:val="0"/>
        <w:pageBreakBefore w:val="0"/>
        <w:widowControl w:val="0"/>
        <w:kinsoku/>
        <w:wordWrap/>
        <w:overflowPunct/>
        <w:topLinePunct w:val="0"/>
        <w:autoSpaceDE/>
        <w:autoSpaceDN/>
        <w:bidi w:val="0"/>
        <w:adjustRightInd/>
        <w:snapToGrid/>
        <w:spacing w:line="360" w:lineRule="auto"/>
        <w:ind w:firstLine="480"/>
        <w:jc w:val="both"/>
        <w:textAlignment w:val="auto"/>
        <w:outlineLvl w:val="9"/>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本项目生产和储存过程中这三种风险类型均会出现，因此考虑由此造成污染事故排放，不考虑自然火灾如地震、洪水、台风等引起的事故风险。</w:t>
      </w:r>
    </w:p>
    <w:p>
      <w:pPr>
        <w:keepNext/>
        <w:keepLines/>
        <w:pageBreakBefore w:val="0"/>
        <w:widowControl w:val="0"/>
        <w:kinsoku/>
        <w:wordWrap/>
        <w:overflowPunct/>
        <w:topLinePunct w:val="0"/>
        <w:autoSpaceDE/>
        <w:autoSpaceDN/>
        <w:bidi w:val="0"/>
        <w:adjustRightInd/>
        <w:snapToGrid/>
        <w:spacing w:before="0" w:beforeLines="0" w:after="0" w:afterLines="0" w:line="360" w:lineRule="auto"/>
        <w:ind w:firstLine="0"/>
        <w:jc w:val="both"/>
        <w:textAlignment w:val="baseline"/>
        <w:outlineLvl w:val="2"/>
        <w:rPr>
          <w:rFonts w:hint="default" w:ascii="Times New Roman" w:hAnsi="Times New Roman" w:eastAsia="黑体" w:cs="Times New Roman"/>
          <w:b w:val="0"/>
          <w:bCs/>
          <w:color w:val="auto"/>
          <w:kern w:val="0"/>
          <w:sz w:val="30"/>
          <w:szCs w:val="30"/>
          <w:lang w:val="en-US" w:eastAsia="zh-CN" w:bidi="ar-SA"/>
        </w:rPr>
      </w:pPr>
      <w:bookmarkStart w:id="291" w:name="_Toc1935986"/>
      <w:bookmarkStart w:id="292" w:name="_Hlk12891954"/>
      <w:r>
        <w:rPr>
          <w:rFonts w:hint="default" w:ascii="Times New Roman" w:hAnsi="Times New Roman" w:eastAsia="黑体" w:cs="Times New Roman"/>
          <w:b w:val="0"/>
          <w:bCs/>
          <w:color w:val="auto"/>
          <w:kern w:val="0"/>
          <w:sz w:val="30"/>
          <w:szCs w:val="30"/>
          <w:lang w:val="en-US" w:eastAsia="zh-CN" w:bidi="ar-SA"/>
        </w:rPr>
        <w:t>6.1.</w:t>
      </w:r>
      <w:bookmarkEnd w:id="291"/>
      <w:r>
        <w:rPr>
          <w:rFonts w:hint="default" w:ascii="Times New Roman" w:hAnsi="Times New Roman" w:eastAsia="黑体" w:cs="Times New Roman"/>
          <w:b w:val="0"/>
          <w:bCs/>
          <w:color w:val="auto"/>
          <w:kern w:val="0"/>
          <w:sz w:val="30"/>
          <w:szCs w:val="30"/>
          <w:lang w:val="en-US" w:eastAsia="zh-CN" w:bidi="ar-SA"/>
        </w:rPr>
        <w:t>2风险物质识别分析</w:t>
      </w:r>
    </w:p>
    <w:bookmarkEnd w:id="292"/>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收集本项目所使用的主要原辅助料、中间产品、最终产品、副产品以及生产过程中排放的“三废”污染物的MSDS，对照《危险化学品目录（2015年版）》判定是危险化学品还是一般化学品，分别统计其理化性质，见表6.1-1。</w:t>
      </w:r>
    </w:p>
    <w:p>
      <w:pPr>
        <w:pStyle w:val="24"/>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jc w:val="both"/>
        <w:textAlignment w:val="auto"/>
        <w:outlineLvl w:val="9"/>
        <w:rPr>
          <w:rFonts w:hint="default" w:ascii="Times New Roman" w:hAnsi="Times New Roman" w:eastAsia="黑体" w:cs="Times New Roman"/>
          <w:snapToGrid w:val="0"/>
          <w:color w:val="auto"/>
          <w:kern w:val="0"/>
          <w:sz w:val="24"/>
          <w:szCs w:val="24"/>
          <w:lang w:val="en-US" w:eastAsia="zh-CN" w:bidi="ar-SA"/>
        </w:rPr>
      </w:pPr>
      <w:r>
        <mc:AlternateContent>
          <mc:Choice Requires="wpc">
            <w:drawing>
              <wp:anchor distT="0" distB="0" distL="114300" distR="114300" simplePos="0" relativeHeight="251743232" behindDoc="0" locked="1" layoutInCell="1" allowOverlap="1">
                <wp:simplePos x="0" y="0"/>
                <wp:positionH relativeFrom="column">
                  <wp:posOffset>0</wp:posOffset>
                </wp:positionH>
                <wp:positionV relativeFrom="paragraph">
                  <wp:posOffset>0</wp:posOffset>
                </wp:positionV>
                <wp:extent cx="5760085" cy="6335395"/>
                <wp:effectExtent l="0" t="0" r="12065" b="46355"/>
                <wp:wrapNone/>
                <wp:docPr id="63" name="画布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rgbClr val="FFFFFF"/>
                        </a:solidFill>
                      </wpc:bg>
                      <wpc:whole>
                        <a:ln>
                          <a:noFill/>
                        </a:ln>
                      </wpc:whole>
                      <pic:pic xmlns:pic="http://schemas.openxmlformats.org/drawingml/2006/picture">
                        <pic:nvPicPr>
                          <pic:cNvPr id="66" name="Picture 4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484852"/>
                            <a:ext cx="5666484" cy="5878228"/>
                          </a:xfrm>
                          <a:prstGeom prst="rect">
                            <a:avLst/>
                          </a:prstGeom>
                          <a:noFill/>
                          <a:ln w="9525">
                            <a:noFill/>
                          </a:ln>
                          <a:effectLst/>
                        </pic:spPr>
                      </pic:pic>
                    </wpc:wpc>
                  </a:graphicData>
                </a:graphic>
              </wp:anchor>
            </w:drawing>
          </mc:Choice>
          <mc:Fallback>
            <w:pict>
              <v:group id="画布 1" o:spid="_x0000_s1026" o:spt="203" style="position:absolute;left:0pt;margin-left:0pt;margin-top:0pt;height:498.85pt;width:453.55pt;z-index:251743232;mso-width-relative:page;mso-height-relative:page;" coordsize="5760085,6335395" editas="canvas" o:gfxdata="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qJg6+tgAAACEBAAAZAAAAZHJzL19yZWxzL2Uy&#10;b0RvYy54bWwucmVsc4WPQWrDMBBF94XcQcw+lp1FKMWyN6HgbUgOMEhjWcQaCUkt9e0jyCaBQJfz&#10;P/89ph///Cp+KWUXWEHXtCCIdTCOrYLr5Xv/CSIXZINrYFKwUYZx2H30Z1qx1FFeXMyiUjgrWEqJ&#10;X1JmvZDH3IRIXJs5JI+lnsnKiPqGluShbY8yPTNgeGGKyShIk+lAXLZYzf+zwzw7TaegfzxxeaOQ&#10;zld3BWKyVBR4Mg4fYddEtiCHXr48NtwB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">
                <o:lock v:ext="edit" aspectratio="f"/>
                <v:shape id="画布 1" o:spid="_x0000_s1026" style="position:absolute;left:0;top:0;height:6335395;width:5760085;" fillcolor="#FFFFFF" filled="t" stroked="f" coordsize="21600,21600" o:gfxdata="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">
                  <v:fill on="t" focussize="0,0"/>
                  <v:stroke on="f"/>
                  <v:imagedata o:title=""/>
                  <o:lock v:ext="edit" aspectratio="t"/>
                </v:shape>
                <v:shape id="Picture 49" o:spid="_x0000_s1026" o:spt="75" type="#_x0000_t75" style="position:absolute;left:0;top:484852;height:5878228;width:5666484;" filled="f" o:preferrelative="t" stroked="f" coordsize="21600,21600" o:gfxdata="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">
                  <v:fill on="f" focussize="0,0"/>
                  <v:stroke on="f"/>
                  <v:imagedata r:id="rId62" o:title=""/>
                  <o:lock v:ext="edit" aspectratio="t"/>
                </v:shape>
                <w10:anchorlock/>
              </v:group>
            </w:pict>
          </mc:Fallback>
        </mc:AlternateContent>
      </w:r>
      <w:r>
        <mc:AlternateContent>
          <mc:Choice Requires="wps">
            <w:drawing>
              <wp:inline distT="0" distB="0" distL="114300" distR="114300">
                <wp:extent cx="5760085" cy="6335395"/>
                <wp:effectExtent l="0" t="0" r="0" b="0"/>
                <wp:docPr id="1" name="矩形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wps:cNvSpPr>
                      <wps:spPr>
                        <a:xfrm>
                          <a:off x="0" y="0"/>
                          <a:ext cx="5760085" cy="6335395"/>
                        </a:xfrm>
                        <a:prstGeom prst="rect">
                          <a:avLst/>
                        </a:prstGeom>
                        <a:noFill/>
                        <a:ln>
                          <a:noFill/>
                        </a:ln>
                      </wps:spPr>
                      <wps:txbx>
                        <w:txbxContent>
                          <w:p>
                            <w:pPr>
                              <w:spacing w:line="240" w:lineRule="auto"/>
                              <w:ind w:firstLine="0"/>
                              <w:rPr>
                                <w:rFonts w:ascii="Calibri" w:hAnsi="Calibri" w:eastAsia="宋体" w:cs="Times New Roman"/>
                                <w:sz w:val="21"/>
                              </w:rPr>
                            </w:pPr>
                          </w:p>
                        </w:txbxContent>
                      </wps:txbx>
                      <wps:bodyPr wrap="square" upright="1"/>
                    </wps:wsp>
                  </a:graphicData>
                </a:graphic>
              </wp:inline>
            </w:drawing>
          </mc:Choice>
          <mc:Fallback>
            <w:pict>
              <v:rect id="矩形 22" o:spid="_x0000_s1026" o:spt="1" style="height:498.85pt;width:453.55pt;" filled="f" stroked="f" coordsize="21600,21600" o:gfxdata="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lGXhLNYAAAAFAQAADwAAAAAAAAABACAAAAAiAAAAZHJzL2Rv&#10;d25yZXYueG1sUEsBAhQAFAAAAAgAh07iQKRq02rKAQAAhwMAAA4AAAAAAAAAAQAgAAAAJQEAAGRy&#10;cy9lMm9Eb2MueG1sUEsFBgAAAAAGAAYAWQEAAGEFAAAAAA==&#10;">
                <v:fill on="f" focussize="0,0"/>
                <v:stroke on="f"/>
                <v:imagedata o:title=""/>
                <o:lock v:ext="edit" rotation="t" aspectratio="t"/>
                <v:textbox>
                  <w:txbxContent>
                    <w:p>
                      <w:pPr>
                        <w:spacing w:line="240" w:lineRule="auto"/>
                        <w:ind w:firstLine="0"/>
                        <w:rPr>
                          <w:rFonts w:ascii="Calibri" w:hAnsi="Calibri" w:eastAsia="宋体" w:cs="Times New Roman"/>
                          <w:sz w:val="21"/>
                        </w:rPr>
                      </w:pPr>
                    </w:p>
                  </w:txbxContent>
                </v:textbox>
                <w10:wrap type="none"/>
                <w10:anchorlock/>
              </v:rect>
            </w:pict>
          </mc:Fallback>
        </mc:AlternateContent>
      </w:r>
    </w:p>
    <w:p>
      <w:pPr>
        <w:widowControl w:val="0"/>
        <w:spacing w:after="120" w:afterLines="0" w:line="360" w:lineRule="auto"/>
        <w:ind w:firstLine="0"/>
        <w:jc w:val="center"/>
        <w:outlineLvl w:val="4"/>
        <w:rPr>
          <w:rFonts w:hint="default" w:ascii="Times New Roman" w:hAnsi="Times New Roman" w:eastAsia="黑体" w:cs="Times New Roman"/>
          <w:b/>
          <w:color w:val="auto"/>
          <w:kern w:val="2"/>
          <w:sz w:val="24"/>
          <w:szCs w:val="24"/>
          <w:lang w:val="en-US" w:eastAsia="zh-CN" w:bidi="ar-SA"/>
        </w:rPr>
      </w:pPr>
      <w:r>
        <w:rPr>
          <w:rFonts w:hint="default" w:ascii="Times New Roman" w:hAnsi="Times New Roman" w:eastAsia="黑体" w:cs="Times New Roman"/>
          <w:b/>
          <w:color w:val="auto"/>
          <w:kern w:val="2"/>
          <w:sz w:val="24"/>
          <w:szCs w:val="24"/>
          <w:lang w:val="en-US" w:eastAsia="zh-CN" w:bidi="ar-SA"/>
        </w:rPr>
        <w:t>图 6.1-1 环境风险评价程序</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p>
    <w:p>
      <w:pPr>
        <w:rPr>
          <w:rFonts w:hint="default" w:ascii="Times New Roman" w:hAnsi="Times New Roman" w:cs="Times New Roman"/>
          <w:color w:val="auto"/>
        </w:rPr>
        <w:sectPr>
          <w:footerReference r:id="rId19" w:type="default"/>
          <w:headerReference r:id="rId18" w:type="even"/>
          <w:footerReference r:id="rId20" w:type="even"/>
          <w:pgSz w:w="11906" w:h="16838"/>
          <w:pgMar w:top="1304" w:right="1418" w:bottom="1304" w:left="1418" w:header="851" w:footer="992" w:gutter="0"/>
          <w:pgBorders>
            <w:top w:val="none" w:sz="0" w:space="0"/>
            <w:left w:val="none" w:sz="0" w:space="0"/>
            <w:bottom w:val="none" w:sz="0" w:space="0"/>
            <w:right w:val="none" w:sz="0" w:space="0"/>
          </w:pgBorders>
          <w:pgNumType w:fmt="decimal"/>
          <w:cols w:space="720" w:num="1"/>
          <w:docGrid w:linePitch="380" w:charSpace="-5735"/>
        </w:sectPr>
      </w:pPr>
    </w:p>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color w:val="auto"/>
          <w:kern w:val="2"/>
          <w:sz w:val="24"/>
          <w:szCs w:val="24"/>
          <w:lang w:val="en-US" w:eastAsia="zh-CN" w:bidi="ar-SA"/>
        </w:rPr>
      </w:pPr>
      <w:bookmarkStart w:id="293" w:name="_Ref50120650"/>
      <w:r>
        <w:rPr>
          <w:rFonts w:hint="default" w:ascii="Times New Roman" w:hAnsi="Times New Roman" w:eastAsia="黑体" w:cs="Times New Roman"/>
          <w:b/>
          <w:color w:val="auto"/>
          <w:kern w:val="2"/>
          <w:sz w:val="24"/>
          <w:szCs w:val="24"/>
          <w:lang w:val="en-US" w:eastAsia="zh-CN" w:bidi="ar-SA"/>
        </w:rPr>
        <w:t xml:space="preserve">表 </w:t>
      </w:r>
      <w:bookmarkEnd w:id="293"/>
      <w:r>
        <w:rPr>
          <w:rFonts w:hint="default" w:ascii="Times New Roman" w:hAnsi="Times New Roman" w:eastAsia="黑体" w:cs="Times New Roman"/>
          <w:b/>
          <w:color w:val="auto"/>
          <w:kern w:val="2"/>
          <w:sz w:val="24"/>
          <w:szCs w:val="24"/>
          <w:lang w:val="en-US" w:eastAsia="zh-CN" w:bidi="ar-SA"/>
        </w:rPr>
        <w:t>6.1-1  本项目涉及危险化学品理化性质、毒性一览表</w:t>
      </w:r>
    </w:p>
    <w:tbl>
      <w:tblPr>
        <w:tblStyle w:val="90"/>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7"/>
        <w:gridCol w:w="1077"/>
        <w:gridCol w:w="1096"/>
        <w:gridCol w:w="1164"/>
        <w:gridCol w:w="1487"/>
        <w:gridCol w:w="1251"/>
        <w:gridCol w:w="936"/>
        <w:gridCol w:w="1090"/>
        <w:gridCol w:w="1150"/>
        <w:gridCol w:w="1212"/>
        <w:gridCol w:w="1076"/>
        <w:gridCol w:w="1176"/>
        <w:gridCol w:w="1689"/>
        <w:gridCol w:w="2438"/>
        <w:gridCol w:w="334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tblHeader/>
          <w:jc w:val="center"/>
        </w:trPr>
        <w:tc>
          <w:tcPr>
            <w:tcW w:w="1177" w:type="dxa"/>
            <w:vMerge w:val="restart"/>
            <w:tcBorders>
              <w:lef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危险物质名称</w:t>
            </w:r>
          </w:p>
        </w:tc>
        <w:tc>
          <w:tcPr>
            <w:tcW w:w="1077" w:type="dxa"/>
            <w:vMerge w:val="restart"/>
            <w:noWrap w:val="0"/>
            <w:vAlign w:val="center"/>
          </w:tcPr>
          <w:p>
            <w:pPr>
              <w:keepNext w:val="0"/>
              <w:keepLines w:val="0"/>
              <w:pageBreakBefore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化学式</w:t>
            </w:r>
          </w:p>
        </w:tc>
        <w:tc>
          <w:tcPr>
            <w:tcW w:w="1096" w:type="dxa"/>
            <w:vMerge w:val="restart"/>
            <w:noWrap w:val="0"/>
            <w:vAlign w:val="center"/>
          </w:tcPr>
          <w:p>
            <w:pPr>
              <w:keepNext w:val="0"/>
              <w:keepLines w:val="0"/>
              <w:pageBreakBefore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CAS号</w:t>
            </w:r>
          </w:p>
        </w:tc>
        <w:tc>
          <w:tcPr>
            <w:tcW w:w="1164" w:type="dxa"/>
            <w:vMerge w:val="restart"/>
            <w:noWrap w:val="0"/>
            <w:vAlign w:val="center"/>
          </w:tcPr>
          <w:p>
            <w:pPr>
              <w:keepNext w:val="0"/>
              <w:keepLines w:val="0"/>
              <w:pageBreakBefore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分子量</w:t>
            </w:r>
          </w:p>
        </w:tc>
        <w:tc>
          <w:tcPr>
            <w:tcW w:w="5914" w:type="dxa"/>
            <w:gridSpan w:val="5"/>
            <w:noWrap w:val="0"/>
            <w:vAlign w:val="center"/>
          </w:tcPr>
          <w:p>
            <w:pPr>
              <w:keepNext w:val="0"/>
              <w:keepLines w:val="0"/>
              <w:pageBreakBefore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物理特性</w:t>
            </w:r>
          </w:p>
        </w:tc>
        <w:tc>
          <w:tcPr>
            <w:tcW w:w="3464" w:type="dxa"/>
            <w:gridSpan w:val="3"/>
            <w:noWrap w:val="0"/>
            <w:vAlign w:val="center"/>
          </w:tcPr>
          <w:p>
            <w:pPr>
              <w:keepNext w:val="0"/>
              <w:keepLines w:val="0"/>
              <w:pageBreakBefore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燃爆特性</w:t>
            </w:r>
          </w:p>
        </w:tc>
        <w:tc>
          <w:tcPr>
            <w:tcW w:w="4127" w:type="dxa"/>
            <w:gridSpan w:val="2"/>
            <w:noWrap w:val="0"/>
            <w:vAlign w:val="center"/>
          </w:tcPr>
          <w:p>
            <w:pPr>
              <w:keepNext w:val="0"/>
              <w:keepLines w:val="0"/>
              <w:pageBreakBefore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毒理学信息</w:t>
            </w:r>
            <w:r>
              <w:rPr>
                <w:rFonts w:hint="default" w:ascii="Times New Roman" w:hAnsi="Times New Roman" w:eastAsia="宋体" w:cs="Times New Roman"/>
                <w:color w:val="000000"/>
                <w:sz w:val="21"/>
                <w:szCs w:val="21"/>
                <w:vertAlign w:val="superscript"/>
              </w:rPr>
              <w:t>（1）</w:t>
            </w:r>
          </w:p>
        </w:tc>
        <w:tc>
          <w:tcPr>
            <w:tcW w:w="3346" w:type="dxa"/>
            <w:vMerge w:val="restart"/>
            <w:tcBorders>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危险性类别</w:t>
            </w:r>
            <w:r>
              <w:rPr>
                <w:rFonts w:hint="default" w:ascii="Times New Roman" w:hAnsi="Times New Roman" w:eastAsia="宋体" w:cs="Times New Roman"/>
                <w:color w:val="000000"/>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tblHeader/>
          <w:jc w:val="center"/>
        </w:trPr>
        <w:tc>
          <w:tcPr>
            <w:vMerge w:val="continue"/>
            <w:tcBorders>
              <w:left w:val="single" w:color="auto" w:sz="4" w:space="0"/>
            </w:tcBorders>
            <w:noWrap w:val="0"/>
          </w:tcPr>
          <w:p/>
        </w:tc>
        <w:tc>
          <w:tcPr>
            <w:vMerge w:val="continue"/>
            <w:noWrap w:val="0"/>
          </w:tcPr>
          <w:p/>
        </w:tc>
        <w:tc>
          <w:tcPr>
            <w:vMerge w:val="continue"/>
            <w:noWrap w:val="0"/>
          </w:tcPr>
          <w:p/>
        </w:tc>
        <w:tc>
          <w:tcPr>
            <w:vMerge w:val="continue"/>
            <w:noWrap w:val="0"/>
          </w:tcPr>
          <w:p/>
        </w:tc>
        <w:tc>
          <w:tcPr>
            <w:tcW w:w="1487" w:type="dxa"/>
            <w:noWrap w:val="0"/>
            <w:vAlign w:val="center"/>
          </w:tcPr>
          <w:p>
            <w:pPr>
              <w:keepNext w:val="0"/>
              <w:keepLines w:val="0"/>
              <w:pageBreakBefore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形态</w:t>
            </w:r>
          </w:p>
        </w:tc>
        <w:tc>
          <w:tcPr>
            <w:tcW w:w="1251" w:type="dxa"/>
            <w:noWrap w:val="0"/>
            <w:vAlign w:val="center"/>
          </w:tcPr>
          <w:p>
            <w:pPr>
              <w:keepNext w:val="0"/>
              <w:keepLines w:val="0"/>
              <w:pageBreakBefore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密度g/cm</w:t>
            </w:r>
            <w:r>
              <w:rPr>
                <w:rFonts w:hint="default" w:ascii="Times New Roman" w:hAnsi="Times New Roman" w:eastAsia="宋体" w:cs="Times New Roman"/>
                <w:color w:val="000000"/>
                <w:sz w:val="21"/>
                <w:szCs w:val="21"/>
                <w:vertAlign w:val="superscript"/>
              </w:rPr>
              <w:t>3</w:t>
            </w:r>
          </w:p>
        </w:tc>
        <w:tc>
          <w:tcPr>
            <w:tcW w:w="936" w:type="dxa"/>
            <w:noWrap w:val="0"/>
            <w:vAlign w:val="center"/>
          </w:tcPr>
          <w:p>
            <w:pPr>
              <w:keepNext w:val="0"/>
              <w:keepLines w:val="0"/>
              <w:pageBreakBefore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熔点℃</w:t>
            </w:r>
          </w:p>
        </w:tc>
        <w:tc>
          <w:tcPr>
            <w:tcW w:w="1090" w:type="dxa"/>
            <w:noWrap w:val="0"/>
            <w:vAlign w:val="center"/>
          </w:tcPr>
          <w:p>
            <w:pPr>
              <w:keepNext w:val="0"/>
              <w:keepLines w:val="0"/>
              <w:pageBreakBefore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沸点℃</w:t>
            </w:r>
          </w:p>
        </w:tc>
        <w:tc>
          <w:tcPr>
            <w:tcW w:w="1150" w:type="dxa"/>
            <w:noWrap w:val="0"/>
            <w:vAlign w:val="center"/>
          </w:tcPr>
          <w:p>
            <w:pPr>
              <w:keepNext w:val="0"/>
              <w:keepLines w:val="0"/>
              <w:pageBreakBefore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水溶性</w:t>
            </w:r>
          </w:p>
        </w:tc>
        <w:tc>
          <w:tcPr>
            <w:tcW w:w="1212" w:type="dxa"/>
            <w:noWrap w:val="0"/>
            <w:vAlign w:val="center"/>
          </w:tcPr>
          <w:p>
            <w:pPr>
              <w:keepNext w:val="0"/>
              <w:keepLines w:val="0"/>
              <w:pageBreakBefore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闪点℃</w:t>
            </w:r>
          </w:p>
        </w:tc>
        <w:tc>
          <w:tcPr>
            <w:tcW w:w="1076" w:type="dxa"/>
            <w:noWrap w:val="0"/>
            <w:vAlign w:val="center"/>
          </w:tcPr>
          <w:p>
            <w:pPr>
              <w:keepNext w:val="0"/>
              <w:keepLines w:val="0"/>
              <w:pageBreakBefore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爆炸极限</w:t>
            </w:r>
          </w:p>
        </w:tc>
        <w:tc>
          <w:tcPr>
            <w:tcW w:w="1176" w:type="dxa"/>
            <w:noWrap w:val="0"/>
            <w:vAlign w:val="center"/>
          </w:tcPr>
          <w:p>
            <w:pPr>
              <w:keepNext w:val="0"/>
              <w:keepLines w:val="0"/>
              <w:pageBreakBefore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火灾危险性</w:t>
            </w:r>
          </w:p>
        </w:tc>
        <w:tc>
          <w:tcPr>
            <w:tcW w:w="1689" w:type="dxa"/>
            <w:noWrap w:val="0"/>
            <w:vAlign w:val="center"/>
          </w:tcPr>
          <w:p>
            <w:pPr>
              <w:keepNext w:val="0"/>
              <w:keepLines w:val="0"/>
              <w:pageBreakBefore w:val="0"/>
              <w:widowControl w:val="0"/>
              <w:kinsoku/>
              <w:wordWrap/>
              <w:overflowPunct/>
              <w:topLinePunct w:val="0"/>
              <w:autoSpaceDE/>
              <w:autoSpaceDN/>
              <w:bidi w:val="0"/>
              <w:snapToGrid w:val="0"/>
              <w:spacing w:line="300" w:lineRule="exact"/>
              <w:ind w:firstLine="0"/>
              <w:jc w:val="center"/>
              <w:textAlignment w:val="baseline"/>
              <w:outlineLvl w:val="9"/>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LD</w:t>
            </w:r>
            <w:r>
              <w:rPr>
                <w:rFonts w:hint="default" w:ascii="Times New Roman" w:hAnsi="Times New Roman" w:eastAsia="宋体" w:cs="Times New Roman"/>
                <w:color w:val="000000"/>
                <w:kern w:val="2"/>
                <w:sz w:val="21"/>
                <w:szCs w:val="21"/>
                <w:vertAlign w:val="subscript"/>
                <w:lang w:val="en-US" w:eastAsia="zh-CN" w:bidi="ar-SA"/>
              </w:rPr>
              <w:t>50</w:t>
            </w:r>
            <w:r>
              <w:rPr>
                <w:rFonts w:hint="default" w:ascii="Times New Roman" w:hAnsi="Times New Roman" w:eastAsia="宋体" w:cs="Times New Roman"/>
                <w:color w:val="000000"/>
                <w:kern w:val="2"/>
                <w:sz w:val="21"/>
                <w:szCs w:val="21"/>
                <w:lang w:val="en-US" w:eastAsia="zh-CN" w:bidi="ar-SA"/>
              </w:rPr>
              <w:t>（mg/kg）</w:t>
            </w:r>
          </w:p>
        </w:tc>
        <w:tc>
          <w:tcPr>
            <w:tcW w:w="2438" w:type="dxa"/>
            <w:noWrap w:val="0"/>
            <w:vAlign w:val="center"/>
          </w:tcPr>
          <w:p>
            <w:pPr>
              <w:keepNext w:val="0"/>
              <w:keepLines w:val="0"/>
              <w:pageBreakBefore w:val="0"/>
              <w:widowControl w:val="0"/>
              <w:kinsoku/>
              <w:wordWrap/>
              <w:overflowPunct/>
              <w:topLinePunct w:val="0"/>
              <w:autoSpaceDE/>
              <w:autoSpaceDN/>
              <w:bidi w:val="0"/>
              <w:snapToGrid w:val="0"/>
              <w:spacing w:line="300" w:lineRule="exact"/>
              <w:ind w:firstLine="0"/>
              <w:jc w:val="center"/>
              <w:textAlignment w:val="baseline"/>
              <w:outlineLvl w:val="9"/>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LC</w:t>
            </w:r>
            <w:r>
              <w:rPr>
                <w:rFonts w:hint="default" w:ascii="Times New Roman" w:hAnsi="Times New Roman" w:eastAsia="宋体" w:cs="Times New Roman"/>
                <w:color w:val="000000"/>
                <w:kern w:val="2"/>
                <w:sz w:val="21"/>
                <w:szCs w:val="21"/>
                <w:vertAlign w:val="subscript"/>
                <w:lang w:val="en-US" w:eastAsia="zh-CN" w:bidi="ar-SA"/>
              </w:rPr>
              <w:t>50</w:t>
            </w:r>
            <w:r>
              <w:rPr>
                <w:rFonts w:hint="default" w:ascii="Times New Roman" w:hAnsi="Times New Roman" w:eastAsia="宋体" w:cs="Times New Roman"/>
                <w:color w:val="000000"/>
                <w:kern w:val="2"/>
                <w:sz w:val="21"/>
                <w:szCs w:val="21"/>
                <w:lang w:val="en-US" w:eastAsia="zh-CN" w:bidi="ar-SA"/>
              </w:rPr>
              <w:t>（mg/kg）</w:t>
            </w:r>
          </w:p>
        </w:tc>
        <w:tc>
          <w:tcPr>
            <w:vMerge w:val="continue"/>
            <w:tcBorders>
              <w:right w:val="single" w:color="auto" w:sz="4" w:space="0"/>
            </w:tcBorders>
            <w:noWrap w:val="0"/>
          </w:tc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177" w:type="dxa"/>
            <w:tcBorders>
              <w:left w:val="single" w:color="auto" w:sz="4" w:space="0"/>
            </w:tcBorders>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工业级硝酸</w:t>
            </w:r>
            <w:r>
              <w:rPr>
                <w:rFonts w:hint="default" w:ascii="Times New Roman" w:hAnsi="Times New Roman" w:eastAsia="宋体" w:cs="Times New Roman"/>
                <w:color w:val="000000"/>
                <w:sz w:val="21"/>
                <w:lang w:val="en-US" w:eastAsia="zh-CN"/>
              </w:rPr>
              <w:t>98%</w:t>
            </w:r>
          </w:p>
        </w:tc>
        <w:tc>
          <w:tcPr>
            <w:tcW w:w="107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HNO</w:t>
            </w:r>
            <w:r>
              <w:rPr>
                <w:rFonts w:hint="default" w:ascii="Times New Roman" w:hAnsi="Times New Roman" w:eastAsia="宋体" w:cs="Times New Roman"/>
                <w:i w:val="0"/>
                <w:color w:val="000000"/>
                <w:kern w:val="0"/>
                <w:sz w:val="21"/>
                <w:szCs w:val="21"/>
                <w:u w:val="none"/>
                <w:vertAlign w:val="subscript"/>
                <w:lang w:val="en-US" w:eastAsia="zh-CN" w:bidi="ar"/>
              </w:rPr>
              <w:t>3</w:t>
            </w:r>
          </w:p>
        </w:tc>
        <w:tc>
          <w:tcPr>
            <w:tcW w:w="109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7697-37-2</w:t>
            </w:r>
          </w:p>
        </w:tc>
        <w:tc>
          <w:tcPr>
            <w:tcW w:w="1164"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63</w:t>
            </w:r>
          </w:p>
        </w:tc>
        <w:tc>
          <w:tcPr>
            <w:tcW w:w="148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无色液体</w:t>
            </w:r>
          </w:p>
        </w:tc>
        <w:tc>
          <w:tcPr>
            <w:tcW w:w="1251"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1.50</w:t>
            </w:r>
          </w:p>
        </w:tc>
        <w:tc>
          <w:tcPr>
            <w:tcW w:w="93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-42</w:t>
            </w:r>
          </w:p>
        </w:tc>
        <w:tc>
          <w:tcPr>
            <w:tcW w:w="109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83</w:t>
            </w:r>
          </w:p>
        </w:tc>
        <w:tc>
          <w:tcPr>
            <w:tcW w:w="115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易溶于水</w:t>
            </w:r>
          </w:p>
        </w:tc>
        <w:tc>
          <w:tcPr>
            <w:tcW w:w="1212"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120.5</w:t>
            </w:r>
          </w:p>
        </w:tc>
        <w:tc>
          <w:tcPr>
            <w:tcW w:w="10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w:t>
            </w:r>
          </w:p>
        </w:tc>
        <w:tc>
          <w:tcPr>
            <w:tcW w:w="11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lang w:val="en-US" w:eastAsia="zh-CN"/>
              </w:rPr>
              <w:t>丙</w:t>
            </w:r>
          </w:p>
        </w:tc>
        <w:tc>
          <w:tcPr>
            <w:tcW w:w="1689" w:type="dxa"/>
            <w:noWrap w:val="0"/>
            <w:vAlign w:val="center"/>
          </w:tcPr>
          <w:p>
            <w:pPr>
              <w:keepNext/>
              <w:keepLines/>
              <w:pageBreakBefore w:val="0"/>
              <w:widowControl w:val="0"/>
              <w:kinsoku/>
              <w:wordWrap/>
              <w:overflowPunct/>
              <w:topLinePunct w:val="0"/>
              <w:autoSpaceDE w:val="0"/>
              <w:autoSpaceDN w:val="0"/>
              <w:bidi w:val="0"/>
              <w:adjustRightInd w:val="0"/>
              <w:spacing w:line="300" w:lineRule="exact"/>
              <w:ind w:firstLine="0"/>
              <w:jc w:val="left"/>
              <w:outlineLvl w:val="1"/>
              <w:rPr>
                <w:rFonts w:hint="default" w:ascii="Times New Roman" w:hAnsi="Times New Roman" w:eastAsia="宋体" w:cs="Times New Roman"/>
                <w:b w:val="0"/>
                <w:i w:val="0"/>
                <w:caps w:val="0"/>
                <w:color w:val="000000"/>
                <w:spacing w:val="0"/>
                <w:kern w:val="0"/>
                <w:sz w:val="21"/>
                <w:szCs w:val="21"/>
                <w:shd w:val="clear" w:color="auto" w:fill="FFFFFF"/>
                <w:lang w:val="en-US" w:eastAsia="zh-CN" w:bidi="ar-SA"/>
              </w:rPr>
            </w:pPr>
            <w:bookmarkStart w:id="294" w:name="_Toc30921"/>
            <w:bookmarkStart w:id="295" w:name="_Toc7247"/>
            <w:bookmarkStart w:id="296" w:name="_Toc19008"/>
            <w:r>
              <w:rPr>
                <w:rFonts w:hint="default" w:ascii="Times New Roman" w:hAnsi="Times New Roman" w:eastAsia="宋体" w:cs="Times New Roman"/>
                <w:b w:val="0"/>
                <w:i w:val="0"/>
                <w:caps w:val="0"/>
                <w:color w:val="000000"/>
                <w:spacing w:val="0"/>
                <w:kern w:val="0"/>
                <w:sz w:val="21"/>
                <w:szCs w:val="21"/>
                <w:shd w:val="clear" w:color="auto" w:fill="FFFFFF"/>
                <w:lang w:val="en-US" w:eastAsia="zh-CN" w:bidi="ar-SA"/>
              </w:rPr>
              <w:t>4820（大鼠经口）</w:t>
            </w:r>
            <w:bookmarkEnd w:id="294"/>
            <w:bookmarkEnd w:id="295"/>
            <w:bookmarkEnd w:id="296"/>
          </w:p>
          <w:p>
            <w:pPr>
              <w:keepNext/>
              <w:keepLines/>
              <w:pageBreakBefore w:val="0"/>
              <w:widowControl w:val="0"/>
              <w:kinsoku/>
              <w:wordWrap/>
              <w:overflowPunct/>
              <w:topLinePunct w:val="0"/>
              <w:autoSpaceDE w:val="0"/>
              <w:autoSpaceDN w:val="0"/>
              <w:bidi w:val="0"/>
              <w:adjustRightInd w:val="0"/>
              <w:spacing w:line="300" w:lineRule="exact"/>
              <w:ind w:firstLine="0"/>
              <w:jc w:val="left"/>
              <w:outlineLvl w:val="1"/>
              <w:rPr>
                <w:rFonts w:hint="default" w:ascii="Times New Roman" w:hAnsi="Times New Roman" w:eastAsia="宋体" w:cs="Times New Roman"/>
                <w:b w:val="0"/>
                <w:i w:val="0"/>
                <w:caps w:val="0"/>
                <w:color w:val="000000"/>
                <w:spacing w:val="0"/>
                <w:kern w:val="0"/>
                <w:sz w:val="21"/>
                <w:szCs w:val="21"/>
                <w:shd w:val="clear" w:color="auto" w:fill="FFFFFF"/>
                <w:lang w:val="en-US" w:eastAsia="zh-CN" w:bidi="ar-SA"/>
              </w:rPr>
            </w:pPr>
            <w:bookmarkStart w:id="297" w:name="_Toc11392"/>
            <w:bookmarkStart w:id="298" w:name="_Toc9997"/>
            <w:bookmarkStart w:id="299" w:name="_Toc15877"/>
            <w:r>
              <w:rPr>
                <w:rFonts w:hint="default" w:ascii="Times New Roman" w:hAnsi="Times New Roman" w:eastAsia="宋体" w:cs="Times New Roman"/>
                <w:b w:val="0"/>
                <w:i w:val="0"/>
                <w:caps w:val="0"/>
                <w:color w:val="000000"/>
                <w:spacing w:val="0"/>
                <w:kern w:val="0"/>
                <w:sz w:val="21"/>
                <w:szCs w:val="21"/>
                <w:shd w:val="clear" w:color="auto" w:fill="FFFFFF"/>
                <w:lang w:val="en-US" w:eastAsia="zh-CN" w:bidi="ar-SA"/>
              </w:rPr>
              <w:t>2350（大鼠吸口）</w:t>
            </w:r>
            <w:bookmarkEnd w:id="297"/>
            <w:bookmarkEnd w:id="298"/>
            <w:bookmarkEnd w:id="299"/>
          </w:p>
        </w:tc>
        <w:tc>
          <w:tcPr>
            <w:tcW w:w="2438" w:type="dxa"/>
            <w:noWrap w:val="0"/>
            <w:vAlign w:val="center"/>
          </w:tcPr>
          <w:p>
            <w:pPr>
              <w:keepNext/>
              <w:keepLines/>
              <w:pageBreakBefore w:val="0"/>
              <w:widowControl w:val="0"/>
              <w:kinsoku/>
              <w:wordWrap/>
              <w:overflowPunct/>
              <w:topLinePunct w:val="0"/>
              <w:autoSpaceDE w:val="0"/>
              <w:autoSpaceDN w:val="0"/>
              <w:bidi w:val="0"/>
              <w:adjustRightInd w:val="0"/>
              <w:spacing w:line="300" w:lineRule="exact"/>
              <w:jc w:val="center"/>
              <w:outlineLvl w:val="1"/>
              <w:rPr>
                <w:rFonts w:hint="default" w:ascii="Times New Roman" w:hAnsi="Times New Roman" w:eastAsia="宋体" w:cs="Times New Roman"/>
                <w:b w:val="0"/>
                <w:i w:val="0"/>
                <w:caps w:val="0"/>
                <w:color w:val="000000"/>
                <w:spacing w:val="0"/>
                <w:kern w:val="0"/>
                <w:sz w:val="21"/>
                <w:szCs w:val="21"/>
                <w:shd w:val="clear" w:color="auto" w:fill="FFFFFF"/>
                <w:lang w:val="en-US" w:eastAsia="zh-CN" w:bidi="ar-SA"/>
              </w:rPr>
            </w:pPr>
            <w:bookmarkStart w:id="300" w:name="_Toc29547"/>
            <w:bookmarkStart w:id="301" w:name="_Toc18904"/>
            <w:bookmarkStart w:id="302" w:name="_Toc31204"/>
            <w:r>
              <w:rPr>
                <w:rFonts w:hint="default" w:ascii="Times New Roman" w:hAnsi="Times New Roman" w:eastAsia="宋体" w:cs="Times New Roman"/>
                <w:b w:val="0"/>
                <w:i w:val="0"/>
                <w:caps w:val="0"/>
                <w:color w:val="000000"/>
                <w:spacing w:val="0"/>
                <w:kern w:val="0"/>
                <w:sz w:val="21"/>
                <w:szCs w:val="21"/>
                <w:shd w:val="clear" w:color="auto" w:fill="FFFFFF"/>
                <w:lang w:val="en-US" w:eastAsia="zh-CN" w:bidi="ar-SA"/>
              </w:rPr>
              <w:t>130（大鼠吸入）</w:t>
            </w:r>
            <w:bookmarkEnd w:id="300"/>
            <w:bookmarkEnd w:id="301"/>
            <w:bookmarkEnd w:id="302"/>
          </w:p>
        </w:tc>
        <w:tc>
          <w:tcPr>
            <w:tcW w:w="3346" w:type="dxa"/>
            <w:tcBorders>
              <w:right w:val="single" w:color="auto" w:sz="4" w:space="0"/>
            </w:tcBorders>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氧化性液体,类别3</w:t>
            </w:r>
          </w:p>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皮肤腐蚀/刺激,类别1A</w:t>
            </w:r>
          </w:p>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严重眼损伤/眼刺激,类别1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177" w:type="dxa"/>
            <w:tcBorders>
              <w:left w:val="single" w:color="auto" w:sz="4" w:space="0"/>
            </w:tcBorders>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电子级硝酸</w:t>
            </w:r>
            <w:r>
              <w:rPr>
                <w:rFonts w:hint="default" w:ascii="Times New Roman" w:hAnsi="Times New Roman" w:eastAsia="宋体" w:cs="Times New Roman"/>
                <w:color w:val="000000"/>
                <w:sz w:val="21"/>
                <w:lang w:val="en-US" w:eastAsia="zh-CN"/>
              </w:rPr>
              <w:t>65%</w:t>
            </w:r>
          </w:p>
        </w:tc>
        <w:tc>
          <w:tcPr>
            <w:tcW w:w="107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HNO</w:t>
            </w:r>
            <w:r>
              <w:rPr>
                <w:rFonts w:hint="default" w:ascii="Times New Roman" w:hAnsi="Times New Roman" w:eastAsia="宋体" w:cs="Times New Roman"/>
                <w:i w:val="0"/>
                <w:color w:val="000000"/>
                <w:kern w:val="0"/>
                <w:sz w:val="21"/>
                <w:szCs w:val="21"/>
                <w:u w:val="none"/>
                <w:vertAlign w:val="subscript"/>
                <w:lang w:val="en-US" w:eastAsia="zh-CN" w:bidi="ar"/>
              </w:rPr>
              <w:t>3</w:t>
            </w:r>
          </w:p>
        </w:tc>
        <w:tc>
          <w:tcPr>
            <w:tcW w:w="109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7697-37-2</w:t>
            </w:r>
          </w:p>
        </w:tc>
        <w:tc>
          <w:tcPr>
            <w:tcW w:w="1164"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63</w:t>
            </w:r>
          </w:p>
        </w:tc>
        <w:tc>
          <w:tcPr>
            <w:tcW w:w="148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无色液体</w:t>
            </w:r>
          </w:p>
        </w:tc>
        <w:tc>
          <w:tcPr>
            <w:tcW w:w="1251"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1.395</w:t>
            </w:r>
          </w:p>
        </w:tc>
        <w:tc>
          <w:tcPr>
            <w:tcW w:w="93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-42</w:t>
            </w:r>
          </w:p>
        </w:tc>
        <w:tc>
          <w:tcPr>
            <w:tcW w:w="109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83</w:t>
            </w:r>
          </w:p>
        </w:tc>
        <w:tc>
          <w:tcPr>
            <w:tcW w:w="115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易溶于水</w:t>
            </w:r>
          </w:p>
        </w:tc>
        <w:tc>
          <w:tcPr>
            <w:tcW w:w="1212"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120.5</w:t>
            </w:r>
          </w:p>
        </w:tc>
        <w:tc>
          <w:tcPr>
            <w:tcW w:w="10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w:t>
            </w:r>
          </w:p>
        </w:tc>
        <w:tc>
          <w:tcPr>
            <w:tcW w:w="11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lang w:val="en-US" w:eastAsia="zh-CN"/>
              </w:rPr>
              <w:t>丙</w:t>
            </w:r>
          </w:p>
        </w:tc>
        <w:tc>
          <w:tcPr>
            <w:tcW w:w="1689" w:type="dxa"/>
            <w:noWrap w:val="0"/>
            <w:vAlign w:val="center"/>
          </w:tcPr>
          <w:p>
            <w:pPr>
              <w:keepNext/>
              <w:keepLines/>
              <w:pageBreakBefore w:val="0"/>
              <w:widowControl w:val="0"/>
              <w:kinsoku/>
              <w:wordWrap/>
              <w:overflowPunct/>
              <w:topLinePunct w:val="0"/>
              <w:autoSpaceDE w:val="0"/>
              <w:autoSpaceDN w:val="0"/>
              <w:bidi w:val="0"/>
              <w:adjustRightInd w:val="0"/>
              <w:spacing w:line="300" w:lineRule="exact"/>
              <w:ind w:firstLine="0"/>
              <w:jc w:val="left"/>
              <w:outlineLvl w:val="1"/>
              <w:rPr>
                <w:rFonts w:hint="default" w:ascii="Times New Roman" w:hAnsi="Times New Roman" w:eastAsia="宋体" w:cs="Times New Roman"/>
                <w:b w:val="0"/>
                <w:i w:val="0"/>
                <w:caps w:val="0"/>
                <w:color w:val="000000"/>
                <w:spacing w:val="0"/>
                <w:kern w:val="0"/>
                <w:sz w:val="21"/>
                <w:szCs w:val="21"/>
                <w:shd w:val="clear" w:color="auto" w:fill="FFFFFF"/>
                <w:lang w:val="en-US" w:eastAsia="zh-CN" w:bidi="ar-SA"/>
              </w:rPr>
            </w:pPr>
            <w:bookmarkStart w:id="303" w:name="_Toc27156"/>
            <w:bookmarkStart w:id="304" w:name="_Toc10468"/>
            <w:bookmarkStart w:id="305" w:name="_Toc1771"/>
            <w:r>
              <w:rPr>
                <w:rFonts w:hint="default" w:ascii="Times New Roman" w:hAnsi="Times New Roman" w:eastAsia="宋体" w:cs="Times New Roman"/>
                <w:b w:val="0"/>
                <w:i w:val="0"/>
                <w:caps w:val="0"/>
                <w:color w:val="000000"/>
                <w:spacing w:val="0"/>
                <w:kern w:val="0"/>
                <w:sz w:val="21"/>
                <w:szCs w:val="21"/>
                <w:shd w:val="clear" w:color="auto" w:fill="FFFFFF"/>
                <w:lang w:val="en-US" w:eastAsia="zh-CN" w:bidi="ar-SA"/>
              </w:rPr>
              <w:t>4820（大鼠经口）</w:t>
            </w:r>
            <w:bookmarkEnd w:id="303"/>
            <w:bookmarkEnd w:id="304"/>
            <w:bookmarkEnd w:id="305"/>
          </w:p>
          <w:p>
            <w:pPr>
              <w:keepNext/>
              <w:keepLines/>
              <w:pageBreakBefore w:val="0"/>
              <w:widowControl w:val="0"/>
              <w:kinsoku/>
              <w:wordWrap/>
              <w:overflowPunct/>
              <w:topLinePunct w:val="0"/>
              <w:autoSpaceDE w:val="0"/>
              <w:autoSpaceDN w:val="0"/>
              <w:bidi w:val="0"/>
              <w:adjustRightInd w:val="0"/>
              <w:spacing w:line="300" w:lineRule="exact"/>
              <w:ind w:firstLine="0"/>
              <w:jc w:val="left"/>
              <w:outlineLvl w:val="1"/>
              <w:rPr>
                <w:rFonts w:hint="default" w:ascii="Times New Roman" w:hAnsi="Times New Roman" w:eastAsia="宋体" w:cs="Times New Roman"/>
                <w:i w:val="0"/>
                <w:color w:val="000000"/>
                <w:kern w:val="0"/>
                <w:sz w:val="21"/>
                <w:szCs w:val="21"/>
                <w:u w:val="none"/>
                <w:lang w:val="en-US" w:eastAsia="zh-CN" w:bidi="ar"/>
              </w:rPr>
            </w:pPr>
            <w:bookmarkStart w:id="306" w:name="_Toc21433"/>
            <w:bookmarkStart w:id="307" w:name="_Toc12821"/>
            <w:bookmarkStart w:id="308" w:name="_Toc6262"/>
            <w:r>
              <w:rPr>
                <w:rFonts w:hint="default" w:ascii="Times New Roman" w:hAnsi="Times New Roman" w:eastAsia="宋体" w:cs="Times New Roman"/>
                <w:b w:val="0"/>
                <w:i w:val="0"/>
                <w:caps w:val="0"/>
                <w:color w:val="000000"/>
                <w:spacing w:val="0"/>
                <w:kern w:val="0"/>
                <w:sz w:val="21"/>
                <w:szCs w:val="21"/>
                <w:shd w:val="clear" w:color="auto" w:fill="FFFFFF"/>
                <w:lang w:val="en-US" w:eastAsia="zh-CN" w:bidi="ar-SA"/>
              </w:rPr>
              <w:t>2350（大鼠吸口）</w:t>
            </w:r>
            <w:bookmarkEnd w:id="306"/>
            <w:bookmarkEnd w:id="307"/>
            <w:bookmarkEnd w:id="308"/>
          </w:p>
        </w:tc>
        <w:tc>
          <w:tcPr>
            <w:tcW w:w="2438" w:type="dxa"/>
            <w:noWrap w:val="0"/>
            <w:vAlign w:val="center"/>
          </w:tcPr>
          <w:p>
            <w:pPr>
              <w:keepNext/>
              <w:keepLines/>
              <w:pageBreakBefore w:val="0"/>
              <w:widowControl w:val="0"/>
              <w:kinsoku/>
              <w:wordWrap/>
              <w:overflowPunct/>
              <w:topLinePunct w:val="0"/>
              <w:autoSpaceDE w:val="0"/>
              <w:autoSpaceDN w:val="0"/>
              <w:bidi w:val="0"/>
              <w:adjustRightInd w:val="0"/>
              <w:spacing w:line="300" w:lineRule="exact"/>
              <w:jc w:val="center"/>
              <w:outlineLvl w:val="1"/>
              <w:rPr>
                <w:rFonts w:hint="default" w:ascii="Times New Roman" w:hAnsi="Times New Roman" w:eastAsia="宋体" w:cs="Times New Roman"/>
                <w:i w:val="0"/>
                <w:color w:val="000000"/>
                <w:kern w:val="0"/>
                <w:sz w:val="21"/>
                <w:szCs w:val="21"/>
                <w:u w:val="none"/>
                <w:lang w:val="en-US" w:eastAsia="zh-CN" w:bidi="ar"/>
              </w:rPr>
            </w:pPr>
            <w:bookmarkStart w:id="309" w:name="_Toc19901"/>
            <w:bookmarkStart w:id="310" w:name="_Toc22607"/>
            <w:bookmarkStart w:id="311" w:name="_Toc12330"/>
            <w:r>
              <w:rPr>
                <w:rFonts w:hint="default" w:ascii="Times New Roman" w:hAnsi="Times New Roman" w:eastAsia="宋体" w:cs="Times New Roman"/>
                <w:b w:val="0"/>
                <w:i w:val="0"/>
                <w:caps w:val="0"/>
                <w:color w:val="000000"/>
                <w:spacing w:val="0"/>
                <w:kern w:val="0"/>
                <w:sz w:val="21"/>
                <w:szCs w:val="21"/>
                <w:shd w:val="clear" w:color="auto" w:fill="FFFFFF"/>
                <w:lang w:val="en-US" w:eastAsia="zh-CN" w:bidi="ar-SA"/>
              </w:rPr>
              <w:t>130（大鼠吸入）</w:t>
            </w:r>
            <w:bookmarkEnd w:id="309"/>
            <w:bookmarkEnd w:id="310"/>
            <w:bookmarkEnd w:id="311"/>
          </w:p>
        </w:tc>
        <w:tc>
          <w:tcPr>
            <w:tcW w:w="3346" w:type="dxa"/>
            <w:tcBorders>
              <w:right w:val="single" w:color="auto" w:sz="4" w:space="0"/>
            </w:tcBorders>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氧化性液体,类别3</w:t>
            </w:r>
          </w:p>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皮肤腐蚀/刺激，类别1A</w:t>
            </w:r>
          </w:p>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严重眼损伤/眼刺激，类别1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177" w:type="dxa"/>
            <w:tcBorders>
              <w:left w:val="single" w:color="auto" w:sz="4" w:space="0"/>
            </w:tcBorders>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color w:val="000000"/>
                <w:sz w:val="21"/>
                <w:szCs w:val="21"/>
                <w:lang w:val="en-US"/>
              </w:rPr>
            </w:pPr>
            <w:r>
              <w:rPr>
                <w:rFonts w:hint="default" w:ascii="Times New Roman" w:hAnsi="Times New Roman" w:eastAsia="宋体" w:cs="Times New Roman"/>
                <w:i w:val="0"/>
                <w:color w:val="000000"/>
                <w:kern w:val="0"/>
                <w:sz w:val="21"/>
                <w:szCs w:val="21"/>
                <w:u w:val="none"/>
                <w:lang w:val="en-US" w:eastAsia="zh-CN" w:bidi="ar"/>
              </w:rPr>
              <w:t>氨水50%</w:t>
            </w:r>
          </w:p>
        </w:tc>
        <w:tc>
          <w:tcPr>
            <w:tcW w:w="107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NH</w:t>
            </w:r>
            <w:r>
              <w:rPr>
                <w:rFonts w:hint="default" w:ascii="Times New Roman" w:hAnsi="Times New Roman" w:eastAsia="宋体" w:cs="Times New Roman"/>
                <w:i w:val="0"/>
                <w:color w:val="000000"/>
                <w:kern w:val="0"/>
                <w:sz w:val="21"/>
                <w:szCs w:val="21"/>
                <w:u w:val="none"/>
                <w:vertAlign w:val="subscript"/>
                <w:lang w:val="en-US" w:eastAsia="zh-CN" w:bidi="ar"/>
              </w:rPr>
              <w:t>3</w:t>
            </w:r>
          </w:p>
        </w:tc>
        <w:tc>
          <w:tcPr>
            <w:tcW w:w="109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7664-41-7</w:t>
            </w:r>
          </w:p>
        </w:tc>
        <w:tc>
          <w:tcPr>
            <w:tcW w:w="1164"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17.03</w:t>
            </w:r>
          </w:p>
        </w:tc>
        <w:tc>
          <w:tcPr>
            <w:tcW w:w="148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无色、有刺激性恶臭的气体。</w:t>
            </w:r>
          </w:p>
        </w:tc>
        <w:tc>
          <w:tcPr>
            <w:tcW w:w="1251"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0.892</w:t>
            </w:r>
          </w:p>
        </w:tc>
        <w:tc>
          <w:tcPr>
            <w:tcW w:w="93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-77.7</w:t>
            </w:r>
          </w:p>
        </w:tc>
        <w:tc>
          <w:tcPr>
            <w:tcW w:w="109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33.5</w:t>
            </w:r>
          </w:p>
        </w:tc>
        <w:tc>
          <w:tcPr>
            <w:tcW w:w="115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易溶于水</w:t>
            </w:r>
          </w:p>
        </w:tc>
        <w:tc>
          <w:tcPr>
            <w:tcW w:w="1212"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无意义</w:t>
            </w:r>
          </w:p>
        </w:tc>
        <w:tc>
          <w:tcPr>
            <w:tcW w:w="10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15～30.2</w:t>
            </w:r>
          </w:p>
        </w:tc>
        <w:tc>
          <w:tcPr>
            <w:tcW w:w="11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乙A</w:t>
            </w:r>
          </w:p>
        </w:tc>
        <w:tc>
          <w:tcPr>
            <w:tcW w:w="1689"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350(大鼠经口)</w:t>
            </w:r>
          </w:p>
        </w:tc>
        <w:tc>
          <w:tcPr>
            <w:tcW w:w="2438"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1390，4小时(大鼠吸入)</w:t>
            </w:r>
          </w:p>
        </w:tc>
        <w:tc>
          <w:tcPr>
            <w:tcW w:w="3346" w:type="dxa"/>
            <w:tcBorders>
              <w:right w:val="single" w:color="auto" w:sz="4" w:space="0"/>
            </w:tcBorders>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易燃气体,类别 2</w:t>
            </w:r>
          </w:p>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加压气体</w:t>
            </w:r>
          </w:p>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急性毒性-吸入，类别 3*</w:t>
            </w:r>
          </w:p>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皮肤腐蚀/刺激，类别 1B</w:t>
            </w:r>
          </w:p>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严重眼损伤/眼刺激，类别 1</w:t>
            </w:r>
          </w:p>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危害水生环境-急性危害，类别 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177" w:type="dxa"/>
            <w:tcBorders>
              <w:left w:val="single" w:color="auto" w:sz="4" w:space="0"/>
            </w:tcBorders>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color w:val="000000"/>
                <w:sz w:val="21"/>
                <w:szCs w:val="21"/>
                <w:lang w:val="en-US"/>
              </w:rPr>
            </w:pPr>
            <w:r>
              <w:rPr>
                <w:rFonts w:hint="default" w:ascii="Times New Roman" w:hAnsi="Times New Roman" w:eastAsia="宋体" w:cs="Times New Roman"/>
                <w:i w:val="0"/>
                <w:color w:val="000000"/>
                <w:kern w:val="0"/>
                <w:sz w:val="21"/>
                <w:szCs w:val="21"/>
                <w:u w:val="none"/>
                <w:lang w:val="en-US" w:eastAsia="zh-CN" w:bidi="ar"/>
              </w:rPr>
              <w:t>乙醇95%</w:t>
            </w:r>
          </w:p>
        </w:tc>
        <w:tc>
          <w:tcPr>
            <w:tcW w:w="107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C</w:t>
            </w:r>
            <w:r>
              <w:rPr>
                <w:rFonts w:hint="default" w:ascii="Times New Roman" w:hAnsi="Times New Roman" w:eastAsia="宋体" w:cs="Times New Roman"/>
                <w:i w:val="0"/>
                <w:color w:val="000000"/>
                <w:kern w:val="0"/>
                <w:sz w:val="21"/>
                <w:szCs w:val="21"/>
                <w:u w:val="none"/>
                <w:vertAlign w:val="subscript"/>
                <w:lang w:val="en-US" w:eastAsia="zh-CN" w:bidi="ar"/>
              </w:rPr>
              <w:t>2</w:t>
            </w:r>
            <w:r>
              <w:rPr>
                <w:rFonts w:hint="default" w:ascii="Times New Roman" w:hAnsi="Times New Roman" w:eastAsia="宋体" w:cs="Times New Roman"/>
                <w:i w:val="0"/>
                <w:color w:val="000000"/>
                <w:kern w:val="0"/>
                <w:sz w:val="21"/>
                <w:szCs w:val="21"/>
                <w:u w:val="none"/>
                <w:lang w:val="en-US" w:eastAsia="zh-CN" w:bidi="ar"/>
              </w:rPr>
              <w:t>H</w:t>
            </w:r>
            <w:r>
              <w:rPr>
                <w:rFonts w:hint="default" w:ascii="Times New Roman" w:hAnsi="Times New Roman" w:eastAsia="宋体" w:cs="Times New Roman"/>
                <w:i w:val="0"/>
                <w:color w:val="000000"/>
                <w:kern w:val="0"/>
                <w:sz w:val="21"/>
                <w:szCs w:val="21"/>
                <w:u w:val="none"/>
                <w:vertAlign w:val="subscript"/>
                <w:lang w:val="en-US" w:eastAsia="zh-CN" w:bidi="ar"/>
              </w:rPr>
              <w:t>5</w:t>
            </w:r>
            <w:r>
              <w:rPr>
                <w:rFonts w:hint="default" w:ascii="Times New Roman" w:hAnsi="Times New Roman" w:eastAsia="宋体" w:cs="Times New Roman"/>
                <w:i w:val="0"/>
                <w:color w:val="000000"/>
                <w:kern w:val="0"/>
                <w:sz w:val="21"/>
                <w:szCs w:val="21"/>
                <w:u w:val="none"/>
                <w:lang w:val="en-US" w:eastAsia="zh-CN" w:bidi="ar"/>
              </w:rPr>
              <w:t>OH</w:t>
            </w:r>
          </w:p>
        </w:tc>
        <w:tc>
          <w:tcPr>
            <w:tcW w:w="109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64-17-5</w:t>
            </w:r>
          </w:p>
        </w:tc>
        <w:tc>
          <w:tcPr>
            <w:tcW w:w="1164"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46.07</w:t>
            </w:r>
          </w:p>
        </w:tc>
        <w:tc>
          <w:tcPr>
            <w:tcW w:w="148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无色的液体</w:t>
            </w:r>
          </w:p>
        </w:tc>
        <w:tc>
          <w:tcPr>
            <w:tcW w:w="1251"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0.789 </w:t>
            </w:r>
          </w:p>
        </w:tc>
        <w:tc>
          <w:tcPr>
            <w:tcW w:w="93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-114 </w:t>
            </w:r>
          </w:p>
        </w:tc>
        <w:tc>
          <w:tcPr>
            <w:tcW w:w="109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78</w:t>
            </w:r>
          </w:p>
        </w:tc>
        <w:tc>
          <w:tcPr>
            <w:tcW w:w="115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易溶于水</w:t>
            </w:r>
          </w:p>
        </w:tc>
        <w:tc>
          <w:tcPr>
            <w:tcW w:w="1212"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12 (开口)</w:t>
            </w:r>
          </w:p>
        </w:tc>
        <w:tc>
          <w:tcPr>
            <w:tcW w:w="10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both"/>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3.3-19</w:t>
            </w:r>
          </w:p>
        </w:tc>
        <w:tc>
          <w:tcPr>
            <w:tcW w:w="11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甲</w:t>
            </w:r>
          </w:p>
        </w:tc>
        <w:tc>
          <w:tcPr>
            <w:tcW w:w="1689"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7060(大鼠经口)</w:t>
            </w:r>
          </w:p>
          <w:p>
            <w:pPr>
              <w:keepNext/>
              <w:keepLines/>
              <w:pageBreakBefore w:val="0"/>
              <w:widowControl w:val="0"/>
              <w:kinsoku/>
              <w:wordWrap/>
              <w:overflowPunct/>
              <w:topLinePunct w:val="0"/>
              <w:autoSpaceDE w:val="0"/>
              <w:autoSpaceDN w:val="0"/>
              <w:bidi w:val="0"/>
              <w:adjustRightInd w:val="0"/>
              <w:spacing w:line="300" w:lineRule="exact"/>
              <w:ind w:firstLine="0"/>
              <w:jc w:val="left"/>
              <w:outlineLvl w:val="1"/>
              <w:rPr>
                <w:rFonts w:hint="default" w:ascii="Times New Roman" w:hAnsi="Times New Roman" w:eastAsia="黑体" w:cs="Times New Roman"/>
                <w:color w:val="000000"/>
                <w:kern w:val="0"/>
                <w:sz w:val="21"/>
                <w:szCs w:val="21"/>
                <w:lang w:val="en-US" w:eastAsia="zh-CN" w:bidi="ar-SA"/>
              </w:rPr>
            </w:pPr>
            <w:bookmarkStart w:id="312" w:name="_Toc17957"/>
            <w:bookmarkStart w:id="313" w:name="_Toc9590"/>
            <w:bookmarkStart w:id="314" w:name="_Toc21277"/>
            <w:r>
              <w:rPr>
                <w:rFonts w:hint="default" w:ascii="Times New Roman" w:hAnsi="Times New Roman" w:eastAsia="宋体" w:cs="Times New Roman"/>
                <w:i w:val="0"/>
                <w:color w:val="000000"/>
                <w:kern w:val="0"/>
                <w:sz w:val="21"/>
                <w:szCs w:val="21"/>
                <w:u w:val="none"/>
                <w:lang w:val="en-US" w:eastAsia="zh-CN" w:bidi="ar"/>
              </w:rPr>
              <w:t>3450(小鼠经口)</w:t>
            </w:r>
            <w:bookmarkEnd w:id="312"/>
            <w:bookmarkEnd w:id="313"/>
            <w:bookmarkEnd w:id="314"/>
          </w:p>
        </w:tc>
        <w:tc>
          <w:tcPr>
            <w:tcW w:w="2438"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20000</w:t>
            </w:r>
          </w:p>
        </w:tc>
        <w:tc>
          <w:tcPr>
            <w:tcW w:w="3346" w:type="dxa"/>
            <w:tcBorders>
              <w:right w:val="single" w:color="auto" w:sz="4" w:space="0"/>
            </w:tcBorders>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易燃气体,类别 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177" w:type="dxa"/>
            <w:tcBorders>
              <w:left w:val="single" w:color="auto" w:sz="4" w:space="0"/>
            </w:tcBorders>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福尔马林37%</w:t>
            </w:r>
          </w:p>
        </w:tc>
        <w:tc>
          <w:tcPr>
            <w:tcW w:w="107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CH</w:t>
            </w:r>
            <w:r>
              <w:rPr>
                <w:rFonts w:hint="default" w:ascii="Times New Roman" w:hAnsi="Times New Roman" w:eastAsia="宋体" w:cs="Times New Roman"/>
                <w:i w:val="0"/>
                <w:color w:val="000000"/>
                <w:kern w:val="0"/>
                <w:sz w:val="21"/>
                <w:szCs w:val="21"/>
                <w:u w:val="none"/>
                <w:vertAlign w:val="subscript"/>
                <w:lang w:val="en-US" w:eastAsia="zh-CN" w:bidi="ar"/>
              </w:rPr>
              <w:t>2</w:t>
            </w:r>
            <w:r>
              <w:rPr>
                <w:rFonts w:hint="default" w:ascii="Times New Roman" w:hAnsi="Times New Roman" w:eastAsia="宋体" w:cs="Times New Roman"/>
                <w:i w:val="0"/>
                <w:color w:val="000000"/>
                <w:kern w:val="0"/>
                <w:sz w:val="21"/>
                <w:szCs w:val="21"/>
                <w:u w:val="none"/>
                <w:lang w:val="en-US" w:eastAsia="zh-CN" w:bidi="ar"/>
              </w:rPr>
              <w:t>O</w:t>
            </w:r>
          </w:p>
        </w:tc>
        <w:tc>
          <w:tcPr>
            <w:tcW w:w="109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50-00-0</w:t>
            </w:r>
          </w:p>
        </w:tc>
        <w:tc>
          <w:tcPr>
            <w:tcW w:w="1164"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30.03</w:t>
            </w:r>
          </w:p>
        </w:tc>
        <w:tc>
          <w:tcPr>
            <w:tcW w:w="148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无色液体</w:t>
            </w:r>
          </w:p>
        </w:tc>
        <w:tc>
          <w:tcPr>
            <w:tcW w:w="1251" w:type="dxa"/>
            <w:noWrap w:val="0"/>
            <w:vAlign w:val="center"/>
          </w:tcPr>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1.083</w:t>
            </w:r>
          </w:p>
        </w:tc>
        <w:tc>
          <w:tcPr>
            <w:tcW w:w="936" w:type="dxa"/>
            <w:noWrap w:val="0"/>
            <w:vAlign w:val="center"/>
          </w:tcPr>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-92</w:t>
            </w:r>
          </w:p>
        </w:tc>
        <w:tc>
          <w:tcPr>
            <w:tcW w:w="1090" w:type="dxa"/>
            <w:noWrap w:val="0"/>
            <w:vAlign w:val="center"/>
          </w:tcPr>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-19.4</w:t>
            </w:r>
          </w:p>
        </w:tc>
        <w:tc>
          <w:tcPr>
            <w:tcW w:w="1150" w:type="dxa"/>
            <w:noWrap w:val="0"/>
            <w:vAlign w:val="center"/>
          </w:tcPr>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易溶于水</w:t>
            </w:r>
          </w:p>
        </w:tc>
        <w:tc>
          <w:tcPr>
            <w:tcW w:w="1212" w:type="dxa"/>
            <w:noWrap w:val="0"/>
            <w:vAlign w:val="center"/>
          </w:tcPr>
          <w:p>
            <w:pPr>
              <w:keepNext w:val="0"/>
              <w:keepLines w:val="0"/>
              <w:pageBreakBefore w:val="0"/>
              <w:widowControl/>
              <w:kinsoku/>
              <w:wordWrap/>
              <w:overflowPunct/>
              <w:topLinePunct w:val="0"/>
              <w:autoSpaceDE/>
              <w:autoSpaceDN/>
              <w:bidi w:val="0"/>
              <w:snapToGrid w:val="0"/>
              <w:spacing w:before="31" w:after="31" w:line="300" w:lineRule="exact"/>
              <w:ind w:firstLine="0"/>
              <w:jc w:val="center"/>
              <w:outlineLvl w:val="9"/>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50</w:t>
            </w:r>
          </w:p>
        </w:tc>
        <w:tc>
          <w:tcPr>
            <w:tcW w:w="1076" w:type="dxa"/>
            <w:noWrap w:val="0"/>
            <w:vAlign w:val="center"/>
          </w:tcPr>
          <w:p>
            <w:pPr>
              <w:keepNext w:val="0"/>
              <w:keepLines w:val="0"/>
              <w:pageBreakBefore w:val="0"/>
              <w:kinsoku/>
              <w:wordWrap/>
              <w:overflowPunct/>
              <w:topLinePunct w:val="0"/>
              <w:autoSpaceDE/>
              <w:autoSpaceDN/>
              <w:bidi w:val="0"/>
              <w:snapToGrid w:val="0"/>
              <w:spacing w:before="31" w:after="31" w:line="300" w:lineRule="exact"/>
              <w:ind w:firstLine="0"/>
              <w:jc w:val="center"/>
              <w:outlineLvl w:val="9"/>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7.3/73</w:t>
            </w:r>
          </w:p>
        </w:tc>
        <w:tc>
          <w:tcPr>
            <w:tcW w:w="1176" w:type="dxa"/>
            <w:noWrap w:val="0"/>
            <w:vAlign w:val="center"/>
          </w:tcPr>
          <w:p>
            <w:pPr>
              <w:keepNext w:val="0"/>
              <w:keepLines w:val="0"/>
              <w:pageBreakBefore w:val="0"/>
              <w:kinsoku/>
              <w:wordWrap/>
              <w:overflowPunct/>
              <w:topLinePunct w:val="0"/>
              <w:autoSpaceDE/>
              <w:autoSpaceDN/>
              <w:bidi w:val="0"/>
              <w:snapToGrid w:val="0"/>
              <w:spacing w:before="31" w:after="31" w:line="300" w:lineRule="exact"/>
              <w:ind w:firstLine="0"/>
              <w:jc w:val="center"/>
              <w:outlineLvl w:val="9"/>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丙</w:t>
            </w:r>
          </w:p>
        </w:tc>
        <w:tc>
          <w:tcPr>
            <w:tcW w:w="1689" w:type="dxa"/>
            <w:noWrap w:val="0"/>
            <w:vAlign w:val="center"/>
          </w:tcPr>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b w:val="0"/>
                <w:i w:val="0"/>
                <w:caps w:val="0"/>
                <w:color w:val="000000"/>
                <w:spacing w:val="0"/>
                <w:sz w:val="21"/>
                <w:szCs w:val="21"/>
                <w:shd w:val="clear" w:color="auto" w:fill="FFFFFF"/>
                <w:lang w:val="en-US" w:eastAsia="zh-CN"/>
              </w:rPr>
            </w:pPr>
            <w:r>
              <w:rPr>
                <w:rFonts w:hint="default" w:ascii="Times New Roman" w:hAnsi="Times New Roman" w:eastAsia="宋体" w:cs="Times New Roman"/>
                <w:b w:val="0"/>
                <w:i w:val="0"/>
                <w:caps w:val="0"/>
                <w:color w:val="000000"/>
                <w:spacing w:val="0"/>
                <w:sz w:val="21"/>
                <w:szCs w:val="21"/>
                <w:shd w:val="clear" w:color="auto" w:fill="FFFFFF"/>
                <w:lang w:val="en-US" w:eastAsia="zh-CN"/>
              </w:rPr>
              <w:t>800（大鼠经口）</w:t>
            </w:r>
          </w:p>
        </w:tc>
        <w:tc>
          <w:tcPr>
            <w:tcW w:w="2438" w:type="dxa"/>
            <w:noWrap w:val="0"/>
            <w:vAlign w:val="center"/>
          </w:tcPr>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b w:val="0"/>
                <w:i w:val="0"/>
                <w:caps w:val="0"/>
                <w:color w:val="000000"/>
                <w:spacing w:val="0"/>
                <w:sz w:val="21"/>
                <w:szCs w:val="21"/>
                <w:shd w:val="clear" w:color="auto" w:fill="FFFFFF"/>
                <w:lang w:val="en-US" w:eastAsia="zh-CN"/>
              </w:rPr>
            </w:pPr>
            <w:r>
              <w:rPr>
                <w:rFonts w:hint="default" w:ascii="Times New Roman" w:hAnsi="Times New Roman" w:eastAsia="宋体" w:cs="Times New Roman"/>
                <w:b w:val="0"/>
                <w:i w:val="0"/>
                <w:caps w:val="0"/>
                <w:color w:val="000000"/>
                <w:spacing w:val="0"/>
                <w:sz w:val="21"/>
                <w:szCs w:val="21"/>
                <w:shd w:val="clear" w:color="auto" w:fill="FFFFFF"/>
                <w:lang w:val="en-US" w:eastAsia="zh-CN"/>
              </w:rPr>
              <w:t>590</w:t>
            </w:r>
          </w:p>
        </w:tc>
        <w:tc>
          <w:tcPr>
            <w:tcW w:w="3346"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急性毒性-经口</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类别3</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急性毒性-经皮</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类别3</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急性毒性-吸入</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类别3*</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皮肤腐蚀/刺激</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类别1B</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严重眼损伤/眼刺激</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类别1</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皮肤致敏物</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类别1</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生殖细胞致突变性</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类别2</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致癌性</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类别1A</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特异性靶器官毒性</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一次接触</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类别3(呼吸道刺激)</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危害水生环境-急性危害</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类别2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177" w:type="dxa"/>
            <w:tcBorders>
              <w:left w:val="single" w:color="auto" w:sz="4" w:space="0"/>
            </w:tcBorders>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氢氧化钠99.9%</w:t>
            </w:r>
          </w:p>
        </w:tc>
        <w:tc>
          <w:tcPr>
            <w:tcW w:w="107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NaOH</w:t>
            </w:r>
          </w:p>
        </w:tc>
        <w:tc>
          <w:tcPr>
            <w:tcW w:w="109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1310-73-2</w:t>
            </w:r>
          </w:p>
        </w:tc>
        <w:tc>
          <w:tcPr>
            <w:tcW w:w="1164"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40.00</w:t>
            </w:r>
          </w:p>
        </w:tc>
        <w:tc>
          <w:tcPr>
            <w:tcW w:w="148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无色透明晶体</w:t>
            </w:r>
          </w:p>
        </w:tc>
        <w:tc>
          <w:tcPr>
            <w:tcW w:w="1251"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2.13</w:t>
            </w:r>
          </w:p>
        </w:tc>
        <w:tc>
          <w:tcPr>
            <w:tcW w:w="93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318.4</w:t>
            </w:r>
          </w:p>
        </w:tc>
        <w:tc>
          <w:tcPr>
            <w:tcW w:w="109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1390</w:t>
            </w:r>
          </w:p>
        </w:tc>
        <w:tc>
          <w:tcPr>
            <w:tcW w:w="115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易溶于水</w:t>
            </w:r>
          </w:p>
        </w:tc>
        <w:tc>
          <w:tcPr>
            <w:tcW w:w="1212"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176-178</w:t>
            </w:r>
          </w:p>
        </w:tc>
        <w:tc>
          <w:tcPr>
            <w:tcW w:w="10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w:t>
            </w:r>
          </w:p>
        </w:tc>
        <w:tc>
          <w:tcPr>
            <w:tcW w:w="11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lang w:val="en-US" w:eastAsia="zh-CN"/>
              </w:rPr>
              <w:t>丙</w:t>
            </w:r>
          </w:p>
        </w:tc>
        <w:tc>
          <w:tcPr>
            <w:tcW w:w="1689"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40（小鼠腹腔）</w:t>
            </w:r>
          </w:p>
        </w:tc>
        <w:tc>
          <w:tcPr>
            <w:tcW w:w="2438"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500（兔经口）</w:t>
            </w:r>
          </w:p>
        </w:tc>
        <w:tc>
          <w:tcPr>
            <w:tcW w:w="3346"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皮肤腐蚀/刺激</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类别1A</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严重眼损伤/眼刺激</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类别1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177" w:type="dxa"/>
            <w:tcBorders>
              <w:left w:val="single" w:color="auto" w:sz="4" w:space="0"/>
            </w:tcBorders>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硝酸银</w:t>
            </w:r>
          </w:p>
        </w:tc>
        <w:tc>
          <w:tcPr>
            <w:tcW w:w="107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AgNO</w:t>
            </w:r>
            <w:r>
              <w:rPr>
                <w:rFonts w:hint="default" w:ascii="Times New Roman" w:hAnsi="Times New Roman" w:eastAsia="宋体" w:cs="Times New Roman"/>
                <w:i w:val="0"/>
                <w:color w:val="000000"/>
                <w:kern w:val="0"/>
                <w:sz w:val="21"/>
                <w:szCs w:val="21"/>
                <w:u w:val="none"/>
                <w:vertAlign w:val="subscript"/>
                <w:lang w:val="en-US" w:eastAsia="zh-CN" w:bidi="ar"/>
              </w:rPr>
              <w:t>3</w:t>
            </w:r>
          </w:p>
        </w:tc>
        <w:tc>
          <w:tcPr>
            <w:tcW w:w="109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7761-88-8</w:t>
            </w:r>
          </w:p>
        </w:tc>
        <w:tc>
          <w:tcPr>
            <w:tcW w:w="1164"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169.87</w:t>
            </w:r>
          </w:p>
        </w:tc>
        <w:tc>
          <w:tcPr>
            <w:tcW w:w="148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无色透明晶体</w:t>
            </w:r>
          </w:p>
        </w:tc>
        <w:tc>
          <w:tcPr>
            <w:tcW w:w="1251"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4.35</w:t>
            </w:r>
          </w:p>
        </w:tc>
        <w:tc>
          <w:tcPr>
            <w:tcW w:w="93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212</w:t>
            </w:r>
          </w:p>
        </w:tc>
        <w:tc>
          <w:tcPr>
            <w:tcW w:w="109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444</w:t>
            </w:r>
          </w:p>
        </w:tc>
        <w:tc>
          <w:tcPr>
            <w:tcW w:w="115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219 g/100 mL </w:t>
            </w:r>
          </w:p>
        </w:tc>
        <w:tc>
          <w:tcPr>
            <w:tcW w:w="1212"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40</w:t>
            </w:r>
          </w:p>
        </w:tc>
        <w:tc>
          <w:tcPr>
            <w:tcW w:w="10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w:t>
            </w:r>
          </w:p>
        </w:tc>
        <w:tc>
          <w:tcPr>
            <w:tcW w:w="11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乙</w:t>
            </w:r>
          </w:p>
        </w:tc>
        <w:tc>
          <w:tcPr>
            <w:tcW w:w="1689"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50（小鼠经口）</w:t>
            </w:r>
          </w:p>
        </w:tc>
        <w:tc>
          <w:tcPr>
            <w:tcW w:w="2438"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w:t>
            </w:r>
          </w:p>
        </w:tc>
        <w:tc>
          <w:tcPr>
            <w:tcW w:w="3346"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氧化性固体</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类别2</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皮肤腐蚀/刺激</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类别1B</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严重眼损伤/眼刺激,类别1</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危害水生环境-急性危害</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类别1危害水生环境-长期危害</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类别1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177" w:type="dxa"/>
            <w:tcBorders>
              <w:left w:val="single" w:color="auto" w:sz="4" w:space="0"/>
            </w:tcBorders>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双氧水50%</w:t>
            </w:r>
          </w:p>
        </w:tc>
        <w:tc>
          <w:tcPr>
            <w:tcW w:w="107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H</w:t>
            </w:r>
            <w:r>
              <w:rPr>
                <w:rFonts w:hint="default" w:ascii="Times New Roman" w:hAnsi="Times New Roman" w:eastAsia="宋体" w:cs="Times New Roman"/>
                <w:i w:val="0"/>
                <w:color w:val="000000"/>
                <w:kern w:val="0"/>
                <w:sz w:val="21"/>
                <w:szCs w:val="21"/>
                <w:u w:val="none"/>
                <w:vertAlign w:val="subscript"/>
                <w:lang w:val="en-US" w:eastAsia="zh-CN" w:bidi="ar"/>
              </w:rPr>
              <w:t>2</w:t>
            </w:r>
            <w:r>
              <w:rPr>
                <w:rFonts w:hint="default" w:ascii="Times New Roman" w:hAnsi="Times New Roman" w:eastAsia="宋体" w:cs="Times New Roman"/>
                <w:i w:val="0"/>
                <w:color w:val="000000"/>
                <w:kern w:val="0"/>
                <w:sz w:val="21"/>
                <w:szCs w:val="21"/>
                <w:u w:val="none"/>
                <w:lang w:val="en-US" w:eastAsia="zh-CN" w:bidi="ar"/>
              </w:rPr>
              <w:t>O</w:t>
            </w:r>
            <w:r>
              <w:rPr>
                <w:rFonts w:hint="default" w:ascii="Times New Roman" w:hAnsi="Times New Roman" w:eastAsia="宋体" w:cs="Times New Roman"/>
                <w:i w:val="0"/>
                <w:color w:val="000000"/>
                <w:kern w:val="0"/>
                <w:sz w:val="21"/>
                <w:szCs w:val="21"/>
                <w:u w:val="none"/>
                <w:vertAlign w:val="subscript"/>
                <w:lang w:val="en-US" w:eastAsia="zh-CN" w:bidi="ar"/>
              </w:rPr>
              <w:t>2</w:t>
            </w:r>
          </w:p>
        </w:tc>
        <w:tc>
          <w:tcPr>
            <w:tcW w:w="109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7722-84-1</w:t>
            </w:r>
          </w:p>
        </w:tc>
        <w:tc>
          <w:tcPr>
            <w:tcW w:w="1164"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34.01</w:t>
            </w:r>
          </w:p>
        </w:tc>
        <w:tc>
          <w:tcPr>
            <w:tcW w:w="148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蓝色黏稠状液体</w:t>
            </w:r>
          </w:p>
        </w:tc>
        <w:tc>
          <w:tcPr>
            <w:tcW w:w="1251"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1.13</w:t>
            </w:r>
          </w:p>
        </w:tc>
        <w:tc>
          <w:tcPr>
            <w:tcW w:w="93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-0.43</w:t>
            </w:r>
          </w:p>
        </w:tc>
        <w:tc>
          <w:tcPr>
            <w:tcW w:w="109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150.2</w:t>
            </w:r>
          </w:p>
        </w:tc>
        <w:tc>
          <w:tcPr>
            <w:tcW w:w="115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易溶于水</w:t>
            </w:r>
          </w:p>
        </w:tc>
        <w:tc>
          <w:tcPr>
            <w:tcW w:w="1212"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w:t>
            </w:r>
          </w:p>
        </w:tc>
        <w:tc>
          <w:tcPr>
            <w:tcW w:w="10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w:t>
            </w:r>
          </w:p>
        </w:tc>
        <w:tc>
          <w:tcPr>
            <w:tcW w:w="11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w:t>
            </w:r>
          </w:p>
        </w:tc>
        <w:tc>
          <w:tcPr>
            <w:tcW w:w="1689"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2000（小鼠吞食）</w:t>
            </w:r>
          </w:p>
        </w:tc>
        <w:tc>
          <w:tcPr>
            <w:tcW w:w="2438"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2000（大鼠吸入，4h）</w:t>
            </w:r>
          </w:p>
        </w:tc>
        <w:tc>
          <w:tcPr>
            <w:tcW w:w="3346"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20%≤含量&lt;60%氧化性液体</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类别2</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皮肤腐蚀/刺激</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类别1A</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严重眼损伤/眼刺激</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类别1</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特异性靶器官毒性-一次接触</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类别3(呼吸道刺激)</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177" w:type="dxa"/>
            <w:tcBorders>
              <w:left w:val="single" w:color="auto" w:sz="4" w:space="0"/>
            </w:tcBorders>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银*</w:t>
            </w:r>
            <w:r>
              <w:rPr>
                <w:rFonts w:hint="eastAsia" w:ascii="Times New Roman" w:hAnsi="Times New Roman" w:eastAsia="宋体" w:cs="Times New Roman"/>
                <w:i w:val="0"/>
                <w:color w:val="000000"/>
                <w:kern w:val="0"/>
                <w:sz w:val="21"/>
                <w:szCs w:val="21"/>
                <w:u w:val="none"/>
                <w:vertAlign w:val="superscript"/>
                <w:lang w:val="en-US" w:eastAsia="zh-CN" w:bidi="ar"/>
              </w:rPr>
              <w:t>（3）</w:t>
            </w:r>
          </w:p>
        </w:tc>
        <w:tc>
          <w:tcPr>
            <w:tcW w:w="107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Ag</w:t>
            </w:r>
          </w:p>
        </w:tc>
        <w:tc>
          <w:tcPr>
            <w:tcW w:w="109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7440-22-4</w:t>
            </w:r>
          </w:p>
        </w:tc>
        <w:tc>
          <w:tcPr>
            <w:tcW w:w="1164"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107.87</w:t>
            </w:r>
          </w:p>
        </w:tc>
        <w:tc>
          <w:tcPr>
            <w:tcW w:w="148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灰白色金属</w:t>
            </w:r>
          </w:p>
        </w:tc>
        <w:tc>
          <w:tcPr>
            <w:tcW w:w="1251"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10.5</w:t>
            </w:r>
          </w:p>
        </w:tc>
        <w:tc>
          <w:tcPr>
            <w:tcW w:w="93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960.5</w:t>
            </w:r>
          </w:p>
        </w:tc>
        <w:tc>
          <w:tcPr>
            <w:tcW w:w="109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1950</w:t>
            </w:r>
          </w:p>
        </w:tc>
        <w:tc>
          <w:tcPr>
            <w:tcW w:w="115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不溶于水</w:t>
            </w:r>
          </w:p>
        </w:tc>
        <w:tc>
          <w:tcPr>
            <w:tcW w:w="1212"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c>
          <w:tcPr>
            <w:tcW w:w="10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c>
          <w:tcPr>
            <w:tcW w:w="11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c>
          <w:tcPr>
            <w:tcW w:w="1689"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＞5000</w:t>
            </w:r>
            <w:r>
              <w:rPr>
                <w:rFonts w:hint="default" w:ascii="Times New Roman" w:hAnsi="Times New Roman" w:eastAsia="宋体" w:cs="Times New Roman"/>
                <w:i w:val="0"/>
                <w:color w:val="000000"/>
                <w:kern w:val="0"/>
                <w:sz w:val="21"/>
                <w:szCs w:val="21"/>
                <w:u w:val="none"/>
                <w:lang w:val="en-US" w:eastAsia="zh-CN" w:bidi="ar"/>
              </w:rPr>
              <w:t>（小鼠经口）</w:t>
            </w:r>
          </w:p>
        </w:tc>
        <w:tc>
          <w:tcPr>
            <w:tcW w:w="2438"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c>
          <w:tcPr>
            <w:tcW w:w="3346"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177" w:type="dxa"/>
            <w:tcBorders>
              <w:left w:val="single" w:color="auto" w:sz="4" w:space="0"/>
            </w:tcBorders>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一氧化氮</w:t>
            </w:r>
          </w:p>
        </w:tc>
        <w:tc>
          <w:tcPr>
            <w:tcW w:w="107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NO</w:t>
            </w:r>
          </w:p>
        </w:tc>
        <w:tc>
          <w:tcPr>
            <w:tcW w:w="109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10102-43-9</w:t>
            </w:r>
          </w:p>
        </w:tc>
        <w:tc>
          <w:tcPr>
            <w:tcW w:w="1164"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30.01</w:t>
            </w:r>
          </w:p>
        </w:tc>
        <w:tc>
          <w:tcPr>
            <w:tcW w:w="148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无色气体</w:t>
            </w:r>
          </w:p>
        </w:tc>
        <w:tc>
          <w:tcPr>
            <w:tcW w:w="1251"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1.27g/L</w:t>
            </w:r>
          </w:p>
        </w:tc>
        <w:tc>
          <w:tcPr>
            <w:tcW w:w="93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 xml:space="preserve">-163.6 </w:t>
            </w:r>
          </w:p>
        </w:tc>
        <w:tc>
          <w:tcPr>
            <w:tcW w:w="109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-151</w:t>
            </w:r>
          </w:p>
        </w:tc>
        <w:tc>
          <w:tcPr>
            <w:tcW w:w="115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难溶于水</w:t>
            </w:r>
          </w:p>
        </w:tc>
        <w:tc>
          <w:tcPr>
            <w:tcW w:w="1212"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c>
          <w:tcPr>
            <w:tcW w:w="10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c>
          <w:tcPr>
            <w:tcW w:w="11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c>
          <w:tcPr>
            <w:tcW w:w="1689"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c>
          <w:tcPr>
            <w:tcW w:w="2438"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1068（</w:t>
            </w:r>
            <w:r>
              <w:rPr>
                <w:rFonts w:hint="default" w:ascii="Times New Roman" w:hAnsi="Times New Roman" w:eastAsia="宋体" w:cs="Times New Roman"/>
                <w:i w:val="0"/>
                <w:color w:val="000000"/>
                <w:kern w:val="0"/>
                <w:sz w:val="21"/>
                <w:szCs w:val="21"/>
                <w:u w:val="none"/>
                <w:lang w:val="en-US" w:eastAsia="zh-CN" w:bidi="ar"/>
              </w:rPr>
              <w:t>大鼠吸入，4h</w:t>
            </w:r>
            <w:r>
              <w:rPr>
                <w:rFonts w:hint="eastAsia" w:ascii="Times New Roman" w:hAnsi="Times New Roman" w:eastAsia="宋体" w:cs="Times New Roman"/>
                <w:i w:val="0"/>
                <w:color w:val="000000"/>
                <w:kern w:val="0"/>
                <w:sz w:val="21"/>
                <w:szCs w:val="21"/>
                <w:u w:val="none"/>
                <w:lang w:val="en-US" w:eastAsia="zh-CN" w:bidi="ar"/>
              </w:rPr>
              <w:t>）</w:t>
            </w:r>
          </w:p>
        </w:tc>
        <w:tc>
          <w:tcPr>
            <w:tcW w:w="3346"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 xml:space="preserve">氧化性气体，类别 1 </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 xml:space="preserve">加压气体 </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 xml:space="preserve">急性毒性-吸入，类别 3 </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 xml:space="preserve">皮肤腐蚀/刺激，类别 1 </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 xml:space="preserve">严重眼损伤/眼刺激，类别 1 </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 xml:space="preserve">特异性靶器官毒性-一次接触，类别 1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177" w:type="dxa"/>
            <w:tcBorders>
              <w:left w:val="single" w:color="auto" w:sz="4" w:space="0"/>
            </w:tcBorders>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二氧化氮</w:t>
            </w:r>
          </w:p>
        </w:tc>
        <w:tc>
          <w:tcPr>
            <w:tcW w:w="107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NO</w:t>
            </w:r>
            <w:r>
              <w:rPr>
                <w:rFonts w:hint="eastAsia" w:ascii="Times New Roman" w:hAnsi="Times New Roman" w:eastAsia="宋体" w:cs="Times New Roman"/>
                <w:i w:val="0"/>
                <w:color w:val="000000"/>
                <w:kern w:val="0"/>
                <w:sz w:val="21"/>
                <w:szCs w:val="21"/>
                <w:u w:val="none"/>
                <w:vertAlign w:val="subscript"/>
                <w:lang w:val="en-US" w:eastAsia="zh-CN" w:bidi="ar"/>
              </w:rPr>
              <w:t>2</w:t>
            </w:r>
          </w:p>
        </w:tc>
        <w:tc>
          <w:tcPr>
            <w:tcW w:w="109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10102-44-0</w:t>
            </w:r>
          </w:p>
        </w:tc>
        <w:tc>
          <w:tcPr>
            <w:tcW w:w="1164"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46.01</w:t>
            </w:r>
          </w:p>
        </w:tc>
        <w:tc>
          <w:tcPr>
            <w:tcW w:w="148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有毒气体</w:t>
            </w:r>
          </w:p>
        </w:tc>
        <w:tc>
          <w:tcPr>
            <w:tcW w:w="1251"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2.62g/mL</w:t>
            </w:r>
          </w:p>
        </w:tc>
        <w:tc>
          <w:tcPr>
            <w:tcW w:w="93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-11</w:t>
            </w:r>
          </w:p>
        </w:tc>
        <w:tc>
          <w:tcPr>
            <w:tcW w:w="109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21</w:t>
            </w:r>
          </w:p>
        </w:tc>
        <w:tc>
          <w:tcPr>
            <w:tcW w:w="115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可溶于水、二硫化碳、碱</w:t>
            </w:r>
          </w:p>
        </w:tc>
        <w:tc>
          <w:tcPr>
            <w:tcW w:w="1212"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c>
          <w:tcPr>
            <w:tcW w:w="10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c>
          <w:tcPr>
            <w:tcW w:w="11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c>
          <w:tcPr>
            <w:tcW w:w="1689"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c>
          <w:tcPr>
            <w:tcW w:w="2438"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126（</w:t>
            </w:r>
            <w:r>
              <w:rPr>
                <w:rFonts w:hint="default" w:ascii="Times New Roman" w:hAnsi="Times New Roman" w:eastAsia="宋体" w:cs="Times New Roman"/>
                <w:i w:val="0"/>
                <w:color w:val="000000"/>
                <w:kern w:val="0"/>
                <w:sz w:val="21"/>
                <w:szCs w:val="21"/>
                <w:u w:val="none"/>
                <w:lang w:val="en-US" w:eastAsia="zh-CN" w:bidi="ar"/>
              </w:rPr>
              <w:t>大鼠吸入，4h</w:t>
            </w:r>
            <w:r>
              <w:rPr>
                <w:rFonts w:hint="eastAsia" w:ascii="Times New Roman" w:hAnsi="Times New Roman" w:eastAsia="宋体" w:cs="Times New Roman"/>
                <w:i w:val="0"/>
                <w:color w:val="000000"/>
                <w:kern w:val="0"/>
                <w:sz w:val="21"/>
                <w:szCs w:val="21"/>
                <w:u w:val="none"/>
                <w:lang w:val="en-US" w:eastAsia="zh-CN" w:bidi="ar"/>
              </w:rPr>
              <w:t>）</w:t>
            </w:r>
          </w:p>
        </w:tc>
        <w:tc>
          <w:tcPr>
            <w:tcW w:w="3346"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 xml:space="preserve">氧化性气体，类别 1 加压气体 </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 xml:space="preserve">急性毒性-吸入，类别 2* </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 xml:space="preserve">皮肤腐蚀/刺激,类别 1B </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 xml:space="preserve">严重眼损伤/眼刺激，类别 1 </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 xml:space="preserve">特异性靶器官毒性-一次接触,类别 3（呼吸道刺激）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177" w:type="dxa"/>
            <w:tcBorders>
              <w:left w:val="single" w:color="auto" w:sz="4" w:space="0"/>
            </w:tcBorders>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bCs/>
                <w:color w:val="auto"/>
                <w:kern w:val="2"/>
                <w:sz w:val="21"/>
                <w:szCs w:val="21"/>
                <w:lang w:val="en-US" w:eastAsia="zh-CN" w:bidi="ar-SA"/>
              </w:rPr>
              <w:t>次氯酸钠</w:t>
            </w:r>
          </w:p>
        </w:tc>
        <w:tc>
          <w:tcPr>
            <w:tcW w:w="107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bCs/>
                <w:color w:val="auto"/>
                <w:kern w:val="2"/>
                <w:sz w:val="21"/>
                <w:szCs w:val="21"/>
                <w:lang w:val="en-US" w:eastAsia="zh-CN" w:bidi="ar-SA"/>
              </w:rPr>
              <w:t>NaClO</w:t>
            </w:r>
          </w:p>
        </w:tc>
        <w:tc>
          <w:tcPr>
            <w:tcW w:w="109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7681-52-9</w:t>
            </w:r>
          </w:p>
        </w:tc>
        <w:tc>
          <w:tcPr>
            <w:tcW w:w="1164"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74.44</w:t>
            </w:r>
          </w:p>
        </w:tc>
        <w:tc>
          <w:tcPr>
            <w:tcW w:w="1487"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微黄色溶液</w:t>
            </w:r>
          </w:p>
        </w:tc>
        <w:tc>
          <w:tcPr>
            <w:tcW w:w="1251"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1.2</w:t>
            </w:r>
          </w:p>
        </w:tc>
        <w:tc>
          <w:tcPr>
            <w:tcW w:w="93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-6</w:t>
            </w:r>
          </w:p>
        </w:tc>
        <w:tc>
          <w:tcPr>
            <w:tcW w:w="109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102.2</w:t>
            </w:r>
          </w:p>
        </w:tc>
        <w:tc>
          <w:tcPr>
            <w:tcW w:w="1150"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易溶于谁、碱液</w:t>
            </w:r>
          </w:p>
        </w:tc>
        <w:tc>
          <w:tcPr>
            <w:tcW w:w="1212"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w:t>
            </w:r>
          </w:p>
        </w:tc>
        <w:tc>
          <w:tcPr>
            <w:tcW w:w="10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w:t>
            </w:r>
          </w:p>
        </w:tc>
        <w:tc>
          <w:tcPr>
            <w:tcW w:w="1176"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w:t>
            </w:r>
          </w:p>
        </w:tc>
        <w:tc>
          <w:tcPr>
            <w:tcW w:w="1689"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w:t>
            </w:r>
          </w:p>
        </w:tc>
        <w:tc>
          <w:tcPr>
            <w:tcW w:w="2438" w:type="dxa"/>
            <w:noWrap w:val="0"/>
            <w:vAlign w:val="center"/>
          </w:tcPr>
          <w:p>
            <w:pPr>
              <w:keepNext w:val="0"/>
              <w:keepLines w:val="0"/>
              <w:pageBreakBefore w:val="0"/>
              <w:widowControl/>
              <w:suppressLineNumbers w:val="0"/>
              <w:kinsoku/>
              <w:wordWrap/>
              <w:overflowPunct/>
              <w:topLinePunct w:val="0"/>
              <w:bidi w:val="0"/>
              <w:spacing w:line="300" w:lineRule="exact"/>
              <w:ind w:firstLine="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5800（</w:t>
            </w:r>
            <w:r>
              <w:rPr>
                <w:rFonts w:hint="default" w:ascii="Times New Roman" w:hAnsi="Times New Roman" w:eastAsia="宋体" w:cs="Times New Roman"/>
                <w:i w:val="0"/>
                <w:color w:val="auto"/>
                <w:kern w:val="0"/>
                <w:sz w:val="21"/>
                <w:szCs w:val="21"/>
                <w:u w:val="none"/>
                <w:lang w:val="en-US" w:eastAsia="zh-CN" w:bidi="ar"/>
              </w:rPr>
              <w:t>大鼠</w:t>
            </w:r>
            <w:r>
              <w:rPr>
                <w:rFonts w:hint="eastAsia" w:ascii="Times New Roman" w:hAnsi="Times New Roman" w:eastAsia="宋体" w:cs="Times New Roman"/>
                <w:i w:val="0"/>
                <w:color w:val="auto"/>
                <w:kern w:val="0"/>
                <w:sz w:val="21"/>
                <w:szCs w:val="21"/>
                <w:u w:val="none"/>
                <w:lang w:val="en-US" w:eastAsia="zh-CN" w:bidi="ar"/>
              </w:rPr>
              <w:t>经口）</w:t>
            </w:r>
          </w:p>
        </w:tc>
        <w:tc>
          <w:tcPr>
            <w:tcW w:w="3346"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jc w:val="center"/>
              <w:textAlignment w:val="auto"/>
              <w:outlineLvl w:val="9"/>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皮肤腐蚀/刺激，类别1B</w:t>
            </w:r>
          </w:p>
          <w:p>
            <w:pPr>
              <w:keepNext w:val="0"/>
              <w:keepLines w:val="0"/>
              <w:pageBreakBefore w:val="0"/>
              <w:widowControl w:val="0"/>
              <w:kinsoku/>
              <w:wordWrap/>
              <w:overflowPunct/>
              <w:topLinePunct w:val="0"/>
              <w:autoSpaceDE/>
              <w:autoSpaceDN/>
              <w:bidi w:val="0"/>
              <w:adjustRightInd/>
              <w:snapToGrid/>
              <w:spacing w:line="280" w:lineRule="exact"/>
              <w:ind w:firstLine="0"/>
              <w:jc w:val="center"/>
              <w:textAlignment w:val="auto"/>
              <w:outlineLvl w:val="9"/>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严重眼损伤/眼刺激，类别1危害水生环境-急性危害，类别1</w:t>
            </w:r>
          </w:p>
          <w:p>
            <w:pPr>
              <w:keepNext w:val="0"/>
              <w:keepLines w:val="0"/>
              <w:pageBreakBefore w:val="0"/>
              <w:widowControl/>
              <w:suppressLineNumbers w:val="0"/>
              <w:kinsoku/>
              <w:wordWrap/>
              <w:overflowPunct/>
              <w:topLinePunct w:val="0"/>
              <w:autoSpaceDE/>
              <w:autoSpaceDN/>
              <w:bidi w:val="0"/>
              <w:snapToGrid w:val="0"/>
              <w:spacing w:line="300" w:lineRule="exact"/>
              <w:ind w:firstLine="0"/>
              <w:jc w:val="center"/>
              <w:textAlignment w:val="center"/>
              <w:outlineLvl w:val="9"/>
              <w:rPr>
                <w:rFonts w:hint="eastAsia"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bCs/>
                <w:color w:val="auto"/>
                <w:kern w:val="2"/>
                <w:sz w:val="21"/>
                <w:szCs w:val="21"/>
                <w:lang w:val="en-US" w:eastAsia="zh-CN" w:bidi="ar-SA"/>
              </w:rPr>
              <w:t>危害水生环境-长期危害，类别1</w:t>
            </w:r>
          </w:p>
        </w:tc>
      </w:tr>
    </w:tbl>
    <w:p>
      <w:pPr>
        <w:rPr>
          <w:rFonts w:hint="default" w:ascii="Times New Roman" w:hAnsi="Times New Roman" w:eastAsia="宋体" w:cs="Times New Roman"/>
          <w:color w:val="000000"/>
          <w:lang w:val="en-US" w:eastAsia="zh-CN"/>
        </w:rPr>
        <w:sectPr>
          <w:pgSz w:w="23757" w:h="16783" w:orient="landscape"/>
          <w:pgMar w:top="1418" w:right="1304" w:bottom="1418" w:left="1304" w:header="851" w:footer="992" w:gutter="0"/>
          <w:pgBorders>
            <w:top w:val="none" w:sz="0" w:space="0"/>
            <w:left w:val="none" w:sz="0" w:space="0"/>
            <w:bottom w:val="none" w:sz="0" w:space="0"/>
            <w:right w:val="none" w:sz="0" w:space="0"/>
          </w:pgBorders>
          <w:pgNumType w:fmt="decimal"/>
          <w:cols w:space="720" w:num="1"/>
          <w:docGrid w:linePitch="380" w:charSpace="-5735"/>
        </w:sectPr>
      </w:pPr>
      <w:r>
        <w:rPr>
          <w:rFonts w:hint="default" w:ascii="Times New Roman" w:hAnsi="Times New Roman" w:eastAsia="宋体" w:cs="Times New Roman"/>
          <w:snapToGrid w:val="0"/>
          <w:color w:val="000000"/>
          <w:kern w:val="0"/>
          <w:sz w:val="24"/>
          <w:szCs w:val="21"/>
          <w:lang w:val="en-US" w:eastAsia="zh-CN" w:bidi="ar-SA"/>
        </w:rPr>
        <w:t>注：（1）数据来源于化学品MSDS以及GHS资料（2）危险性类别分类来自《危险货物品名录》GB12268-2012</w:t>
      </w:r>
      <w:r>
        <w:rPr>
          <w:rFonts w:hint="eastAsia" w:ascii="Times New Roman" w:hAnsi="Times New Roman" w:eastAsia="宋体" w:cs="Times New Roman"/>
          <w:snapToGrid w:val="0"/>
          <w:color w:val="000000"/>
          <w:kern w:val="0"/>
          <w:sz w:val="24"/>
          <w:szCs w:val="21"/>
          <w:lang w:val="en-US" w:eastAsia="zh-CN" w:bidi="ar-SA"/>
        </w:rPr>
        <w:t>；（3）根据《企业突发环境事件风险分级方法》（HJ941-2018）本项目中的银粉属于第七部分 重金属及其化合物中“银及其化合物（以银计）”。</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根据项目涉及的化学品的理化特性，对照《危险化学品目录（2015年版）》、《易制爆危险化学品名录》（2017年版）、《易制毒化学品管理条例》（国务院[2005]第445号令）</w:t>
      </w:r>
      <w:r>
        <w:rPr>
          <w:rFonts w:hint="eastAsia" w:ascii="Times New Roman" w:hAnsi="Times New Roman" w:eastAsia="宋体" w:cs="Times New Roman"/>
          <w:snapToGrid w:val="0"/>
          <w:color w:val="auto"/>
          <w:kern w:val="0"/>
          <w:sz w:val="24"/>
          <w:szCs w:val="21"/>
          <w:lang w:val="en-US" w:eastAsia="zh-CN" w:bidi="ar-SA"/>
        </w:rPr>
        <w:t>、《企业突发环境事件风险分级方法》（HJ941-2018）</w:t>
      </w:r>
      <w:r>
        <w:rPr>
          <w:rFonts w:hint="default" w:ascii="Times New Roman" w:hAnsi="Times New Roman" w:eastAsia="宋体" w:cs="Times New Roman"/>
          <w:snapToGrid w:val="0"/>
          <w:color w:val="auto"/>
          <w:kern w:val="0"/>
          <w:sz w:val="24"/>
          <w:szCs w:val="21"/>
          <w:lang w:val="en-US" w:eastAsia="zh-CN" w:bidi="ar-SA"/>
        </w:rPr>
        <w:t>等，项目风险物质识别结果见表6.1-2，其中列入</w:t>
      </w:r>
      <w:r>
        <w:rPr>
          <w:rFonts w:hint="default" w:ascii="Times New Roman" w:hAnsi="Times New Roman" w:eastAsia="宋体" w:cs="Times New Roman"/>
          <w:snapToGrid w:val="0"/>
          <w:color w:val="auto"/>
          <w:kern w:val="0"/>
          <w:sz w:val="24"/>
          <w:szCs w:val="24"/>
          <w:lang w:val="zh-CN" w:eastAsia="zh-CN" w:bidi="ar"/>
        </w:rPr>
        <w:t>《建设项目环境风险评价技术导则》（HJ169-2018）附录</w:t>
      </w:r>
      <w:r>
        <w:rPr>
          <w:rFonts w:hint="default" w:ascii="Times New Roman" w:hAnsi="Times New Roman" w:eastAsia="宋体" w:cs="Times New Roman"/>
          <w:snapToGrid w:val="0"/>
          <w:color w:val="auto"/>
          <w:kern w:val="0"/>
          <w:sz w:val="24"/>
          <w:szCs w:val="24"/>
          <w:lang w:val="en-US" w:eastAsia="zh-CN" w:bidi="ar"/>
        </w:rPr>
        <w:t>H</w:t>
      </w:r>
      <w:r>
        <w:rPr>
          <w:rFonts w:hint="default" w:ascii="Times New Roman" w:hAnsi="Times New Roman" w:eastAsia="宋体" w:cs="Times New Roman"/>
          <w:snapToGrid w:val="0"/>
          <w:color w:val="auto"/>
          <w:kern w:val="0"/>
          <w:sz w:val="24"/>
          <w:szCs w:val="24"/>
          <w:lang w:val="zh-CN" w:eastAsia="zh-CN" w:bidi="ar"/>
        </w:rPr>
        <w:t>中</w:t>
      </w:r>
      <w:r>
        <w:rPr>
          <w:rFonts w:hint="default" w:ascii="Times New Roman" w:hAnsi="Times New Roman" w:eastAsia="宋体" w:cs="Times New Roman"/>
          <w:snapToGrid w:val="0"/>
          <w:color w:val="auto"/>
          <w:kern w:val="0"/>
          <w:sz w:val="24"/>
          <w:szCs w:val="24"/>
          <w:lang w:val="en-US" w:eastAsia="zh-CN" w:bidi="ar"/>
        </w:rPr>
        <w:t>重点关注的危险物质大气毒性终点浓度见表6.1-3。</w:t>
      </w:r>
    </w:p>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en-US" w:eastAsia="zh-CN" w:bidi="ar-SA"/>
        </w:rPr>
      </w:pPr>
      <w:r>
        <w:rPr>
          <w:rFonts w:hint="default" w:ascii="Times New Roman" w:hAnsi="Times New Roman" w:eastAsia="黑体" w:cs="Times New Roman"/>
          <w:b w:val="0"/>
          <w:bCs/>
          <w:color w:val="auto"/>
          <w:kern w:val="2"/>
          <w:sz w:val="24"/>
          <w:szCs w:val="24"/>
          <w:lang w:val="en-US" w:eastAsia="zh-CN" w:bidi="ar-SA"/>
        </w:rPr>
        <w:t>表6.1-2  项目风险物质识别一览表</w:t>
      </w:r>
    </w:p>
    <w:tbl>
      <w:tblPr>
        <w:tblStyle w:val="90"/>
        <w:tblW w:w="0" w:type="auto"/>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4835"/>
        <w:gridCol w:w="4349"/>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0" w:hRule="atLeast"/>
          <w:tblHeader/>
        </w:trPr>
        <w:tc>
          <w:tcPr>
            <w:tcW w:w="4835" w:type="dxa"/>
            <w:tcBorders>
              <w:left w:val="single" w:color="auto" w:sz="4" w:space="0"/>
              <w:bottom w:val="single" w:color="auto" w:sz="4" w:space="0"/>
              <w:right w:val="single" w:color="auto" w:sz="4" w:space="0"/>
            </w:tcBorders>
            <w:noWrap w:val="0"/>
            <w:tcMar>
              <w:left w:w="57" w:type="dxa"/>
              <w:right w:w="57" w:type="dxa"/>
            </w:tcMar>
            <w:vAlign w:val="center"/>
          </w:tcPr>
          <w:p>
            <w:pPr>
              <w:keepNext w:val="0"/>
              <w:keepLines w:val="0"/>
              <w:pageBreakBefore w:val="0"/>
              <w:tabs>
                <w:tab w:val="center" w:pos="4153"/>
                <w:tab w:val="right" w:pos="8306"/>
              </w:tabs>
              <w:suppressAutoHyphens/>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类别</w:t>
            </w:r>
          </w:p>
        </w:tc>
        <w:tc>
          <w:tcPr>
            <w:tcW w:w="4349" w:type="dxa"/>
            <w:tcBorders>
              <w:left w:val="single" w:color="auto" w:sz="4" w:space="0"/>
              <w:bottom w:val="single" w:color="auto" w:sz="4" w:space="0"/>
              <w:right w:val="single" w:color="auto" w:sz="4" w:space="0"/>
            </w:tcBorders>
            <w:noWrap w:val="0"/>
            <w:tcMar>
              <w:left w:w="57" w:type="dxa"/>
              <w:right w:w="57" w:type="dxa"/>
            </w:tcMar>
            <w:vAlign w:val="center"/>
          </w:tcPr>
          <w:p>
            <w:pPr>
              <w:keepNext w:val="0"/>
              <w:keepLines w:val="0"/>
              <w:pageBreakBefore w:val="0"/>
              <w:tabs>
                <w:tab w:val="center" w:pos="4153"/>
                <w:tab w:val="right" w:pos="8306"/>
              </w:tabs>
              <w:suppressAutoHyphens/>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化学品</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0" w:hRule="atLeast"/>
          <w:tblHeader/>
        </w:trPr>
        <w:tc>
          <w:tcPr>
            <w:tcW w:w="4835" w:type="dxa"/>
            <w:tcBorders>
              <w:top w:val="single" w:color="auto" w:sz="4" w:space="0"/>
              <w:left w:val="single" w:color="auto" w:sz="4" w:space="0"/>
              <w:bottom w:val="single" w:color="auto" w:sz="4" w:space="0"/>
              <w:right w:val="single" w:color="auto" w:sz="4" w:space="0"/>
            </w:tcBorders>
            <w:noWrap w:val="0"/>
            <w:tcMar>
              <w:left w:w="57" w:type="dxa"/>
              <w:right w:w="57" w:type="dxa"/>
            </w:tcMar>
            <w:vAlign w:val="center"/>
          </w:tcPr>
          <w:p>
            <w:pPr>
              <w:keepNext w:val="0"/>
              <w:keepLines w:val="0"/>
              <w:pageBreakBefore w:val="0"/>
              <w:tabs>
                <w:tab w:val="center" w:pos="4153"/>
                <w:tab w:val="right" w:pos="8306"/>
              </w:tabs>
              <w:suppressAutoHyphens/>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《危险化学品目录（2015年版）》</w:t>
            </w:r>
          </w:p>
        </w:tc>
        <w:tc>
          <w:tcPr>
            <w:tcW w:w="4349" w:type="dxa"/>
            <w:tcBorders>
              <w:top w:val="single" w:color="auto" w:sz="4" w:space="0"/>
              <w:left w:val="single" w:color="auto" w:sz="4" w:space="0"/>
              <w:bottom w:val="single" w:color="auto" w:sz="4" w:space="0"/>
              <w:right w:val="single" w:color="auto" w:sz="4" w:space="0"/>
            </w:tcBorders>
            <w:noWrap w:val="0"/>
            <w:tcMar>
              <w:left w:w="57" w:type="dxa"/>
              <w:right w:w="57" w:type="dxa"/>
            </w:tcMar>
            <w:vAlign w:val="center"/>
          </w:tcPr>
          <w:p>
            <w:pPr>
              <w:keepNext w:val="0"/>
              <w:keepLines w:val="0"/>
              <w:pageBreakBefore w:val="0"/>
              <w:widowControl/>
              <w:suppressLineNumbers w:val="0"/>
              <w:kinsoku/>
              <w:wordWrap/>
              <w:overflowPunct/>
              <w:topLinePunct w:val="0"/>
              <w:autoSpaceDE/>
              <w:autoSpaceDN/>
              <w:bidi w:val="0"/>
              <w:spacing w:line="300" w:lineRule="exact"/>
              <w:ind w:firstLine="0"/>
              <w:jc w:val="center"/>
              <w:textAlignment w:val="center"/>
              <w:outlineLvl w:val="9"/>
              <w:rPr>
                <w:rFonts w:hint="default" w:ascii="Times New Roman" w:hAnsi="Times New Roman" w:eastAsia="宋体" w:cs="Times New Roman"/>
                <w:color w:val="000000"/>
                <w:kern w:val="0"/>
                <w:sz w:val="21"/>
                <w:szCs w:val="21"/>
                <w:lang w:val="en-US"/>
              </w:rPr>
            </w:pPr>
            <w:r>
              <w:rPr>
                <w:rFonts w:hint="default" w:ascii="Times New Roman" w:hAnsi="Times New Roman" w:eastAsia="宋体" w:cs="Times New Roman"/>
                <w:i w:val="0"/>
                <w:color w:val="000000"/>
                <w:kern w:val="0"/>
                <w:sz w:val="21"/>
                <w:szCs w:val="21"/>
                <w:u w:val="none"/>
                <w:lang w:val="en-US" w:eastAsia="zh-CN" w:bidi="ar"/>
              </w:rPr>
              <w:t>硝酸、氨水</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i w:val="0"/>
                <w:color w:val="000000"/>
                <w:kern w:val="0"/>
                <w:sz w:val="21"/>
                <w:szCs w:val="21"/>
                <w:u w:val="none"/>
                <w:lang w:val="en-US" w:eastAsia="zh-CN" w:bidi="ar"/>
              </w:rPr>
              <w:t>乙醇、</w:t>
            </w:r>
            <w:r>
              <w:rPr>
                <w:rFonts w:hint="eastAsia" w:ascii="Times New Roman" w:hAnsi="Times New Roman" w:eastAsia="宋体" w:cs="Times New Roman"/>
                <w:i w:val="0"/>
                <w:color w:val="000000"/>
                <w:kern w:val="0"/>
                <w:sz w:val="21"/>
                <w:szCs w:val="21"/>
                <w:u w:val="none"/>
                <w:lang w:val="en-US" w:eastAsia="zh-CN" w:bidi="ar"/>
              </w:rPr>
              <w:t>次氯酸钠、</w:t>
            </w:r>
            <w:r>
              <w:rPr>
                <w:rFonts w:hint="default" w:ascii="Times New Roman" w:hAnsi="Times New Roman" w:eastAsia="宋体" w:cs="Times New Roman"/>
                <w:i w:val="0"/>
                <w:color w:val="000000"/>
                <w:kern w:val="0"/>
                <w:sz w:val="21"/>
                <w:szCs w:val="21"/>
                <w:u w:val="none"/>
                <w:lang w:val="en-US" w:eastAsia="zh-CN" w:bidi="ar"/>
              </w:rPr>
              <w:t>福尔马林、氢氧化钠、过氧化氢、硝酸银</w:t>
            </w:r>
            <w:r>
              <w:rPr>
                <w:rFonts w:hint="eastAsia" w:ascii="Times New Roman" w:hAnsi="Times New Roman" w:eastAsia="宋体" w:cs="Times New Roman"/>
                <w:i w:val="0"/>
                <w:color w:val="000000"/>
                <w:kern w:val="0"/>
                <w:sz w:val="21"/>
                <w:szCs w:val="21"/>
                <w:u w:val="none"/>
                <w:lang w:val="en-US" w:eastAsia="zh-CN" w:bidi="ar"/>
              </w:rPr>
              <w:t>、一氧化氮、二氧化氮</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0" w:hRule="atLeast"/>
          <w:tblHeader/>
        </w:trPr>
        <w:tc>
          <w:tcPr>
            <w:tcW w:w="4835" w:type="dxa"/>
            <w:tcBorders>
              <w:top w:val="single" w:color="auto" w:sz="4" w:space="0"/>
              <w:left w:val="single" w:color="auto" w:sz="4" w:space="0"/>
              <w:bottom w:val="single" w:color="auto" w:sz="4" w:space="0"/>
              <w:right w:val="single" w:color="auto" w:sz="4" w:space="0"/>
            </w:tcBorders>
            <w:noWrap w:val="0"/>
            <w:tcMar>
              <w:left w:w="57" w:type="dxa"/>
              <w:right w:w="57" w:type="dxa"/>
            </w:tcMar>
            <w:vAlign w:val="center"/>
          </w:tcPr>
          <w:p>
            <w:pPr>
              <w:keepNext w:val="0"/>
              <w:keepLines w:val="0"/>
              <w:pageBreakBefore w:val="0"/>
              <w:tabs>
                <w:tab w:val="center" w:pos="4153"/>
                <w:tab w:val="right" w:pos="8306"/>
              </w:tabs>
              <w:suppressAutoHyphens/>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国际POPs公约首批持久性有机污染物</w:t>
            </w:r>
          </w:p>
        </w:tc>
        <w:tc>
          <w:tcPr>
            <w:tcW w:w="4349" w:type="dxa"/>
            <w:tcBorders>
              <w:top w:val="single" w:color="auto" w:sz="4" w:space="0"/>
              <w:left w:val="single" w:color="auto" w:sz="4" w:space="0"/>
              <w:bottom w:val="single" w:color="auto" w:sz="4" w:space="0"/>
              <w:right w:val="single" w:color="auto" w:sz="4" w:space="0"/>
            </w:tcBorders>
            <w:noWrap w:val="0"/>
            <w:tcMar>
              <w:left w:w="57" w:type="dxa"/>
              <w:right w:w="57" w:type="dxa"/>
            </w:tcMar>
            <w:vAlign w:val="center"/>
          </w:tcPr>
          <w:p>
            <w:pPr>
              <w:keepNext w:val="0"/>
              <w:keepLines w:val="0"/>
              <w:pageBreakBefore w:val="0"/>
              <w:tabs>
                <w:tab w:val="center" w:pos="4153"/>
                <w:tab w:val="right" w:pos="8306"/>
              </w:tabs>
              <w:suppressAutoHyphens/>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无</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0" w:hRule="atLeast"/>
          <w:tblHeader/>
        </w:trPr>
        <w:tc>
          <w:tcPr>
            <w:tcW w:w="4835" w:type="dxa"/>
            <w:tcBorders>
              <w:top w:val="single" w:color="auto" w:sz="4" w:space="0"/>
              <w:left w:val="single" w:color="auto" w:sz="4" w:space="0"/>
              <w:bottom w:val="single" w:color="auto" w:sz="4" w:space="0"/>
              <w:right w:val="single" w:color="auto" w:sz="4" w:space="0"/>
            </w:tcBorders>
            <w:noWrap w:val="0"/>
            <w:tcMar>
              <w:left w:w="57" w:type="dxa"/>
              <w:right w:w="57" w:type="dxa"/>
            </w:tcMar>
            <w:vAlign w:val="center"/>
          </w:tcPr>
          <w:p>
            <w:pPr>
              <w:keepNext w:val="0"/>
              <w:keepLines w:val="0"/>
              <w:pageBreakBefore w:val="0"/>
              <w:tabs>
                <w:tab w:val="center" w:pos="4153"/>
                <w:tab w:val="right" w:pos="8306"/>
              </w:tabs>
              <w:suppressAutoHyphens/>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《易制爆危险化学品名录》（2017年版）</w:t>
            </w:r>
          </w:p>
        </w:tc>
        <w:tc>
          <w:tcPr>
            <w:tcW w:w="4349" w:type="dxa"/>
            <w:tcBorders>
              <w:top w:val="single" w:color="auto" w:sz="4" w:space="0"/>
              <w:left w:val="single" w:color="auto" w:sz="4" w:space="0"/>
              <w:bottom w:val="single" w:color="auto" w:sz="4" w:space="0"/>
              <w:right w:val="single" w:color="auto" w:sz="4" w:space="0"/>
            </w:tcBorders>
            <w:noWrap w:val="0"/>
            <w:tcMar>
              <w:left w:w="57" w:type="dxa"/>
              <w:right w:w="57" w:type="dxa"/>
            </w:tcMar>
            <w:vAlign w:val="center"/>
          </w:tcPr>
          <w:p>
            <w:pPr>
              <w:keepNext w:val="0"/>
              <w:keepLines w:val="0"/>
              <w:pageBreakBefore w:val="0"/>
              <w:tabs>
                <w:tab w:val="center" w:pos="4153"/>
                <w:tab w:val="right" w:pos="8306"/>
              </w:tabs>
              <w:suppressAutoHyphens/>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硝酸、</w:t>
            </w:r>
            <w:r>
              <w:rPr>
                <w:rFonts w:hint="default" w:ascii="Times New Roman" w:hAnsi="Times New Roman" w:eastAsia="宋体" w:cs="Times New Roman"/>
                <w:i w:val="0"/>
                <w:color w:val="000000"/>
                <w:kern w:val="0"/>
                <w:sz w:val="21"/>
                <w:szCs w:val="21"/>
                <w:u w:val="none"/>
                <w:lang w:val="en-US" w:eastAsia="zh-CN" w:bidi="ar"/>
              </w:rPr>
              <w:t>硝酸银、</w:t>
            </w:r>
            <w:r>
              <w:rPr>
                <w:rFonts w:hint="default" w:ascii="Times New Roman" w:hAnsi="Times New Roman" w:eastAsia="宋体" w:cs="Times New Roman"/>
                <w:color w:val="000000"/>
                <w:kern w:val="0"/>
                <w:sz w:val="21"/>
                <w:szCs w:val="21"/>
                <w:lang w:val="en-US" w:eastAsia="zh-CN"/>
              </w:rPr>
              <w:t>过氧化氢</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0" w:hRule="atLeast"/>
          <w:tblHeader/>
        </w:trPr>
        <w:tc>
          <w:tcPr>
            <w:tcW w:w="4835" w:type="dxa"/>
            <w:tcBorders>
              <w:top w:val="single" w:color="auto" w:sz="4" w:space="0"/>
              <w:left w:val="single" w:color="auto" w:sz="4" w:space="0"/>
              <w:bottom w:val="single" w:color="auto" w:sz="4" w:space="0"/>
              <w:right w:val="single" w:color="auto" w:sz="4" w:space="0"/>
            </w:tcBorders>
            <w:noWrap w:val="0"/>
            <w:tcMar>
              <w:left w:w="57" w:type="dxa"/>
              <w:right w:w="57" w:type="dxa"/>
            </w:tcMar>
            <w:vAlign w:val="center"/>
          </w:tcPr>
          <w:p>
            <w:pPr>
              <w:keepNext w:val="0"/>
              <w:keepLines w:val="0"/>
              <w:pageBreakBefore w:val="0"/>
              <w:tabs>
                <w:tab w:val="center" w:pos="4153"/>
                <w:tab w:val="right" w:pos="8306"/>
              </w:tabs>
              <w:suppressAutoHyphens/>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《易制毒化学品管理条例》（国务院[2005]第445号令）</w:t>
            </w:r>
          </w:p>
        </w:tc>
        <w:tc>
          <w:tcPr>
            <w:tcW w:w="4349" w:type="dxa"/>
            <w:tcBorders>
              <w:top w:val="single" w:color="auto" w:sz="4" w:space="0"/>
              <w:left w:val="single" w:color="auto" w:sz="4" w:space="0"/>
              <w:bottom w:val="single" w:color="auto" w:sz="4" w:space="0"/>
              <w:right w:val="single" w:color="auto" w:sz="4" w:space="0"/>
            </w:tcBorders>
            <w:noWrap w:val="0"/>
            <w:tcMar>
              <w:left w:w="57" w:type="dxa"/>
              <w:right w:w="57" w:type="dxa"/>
            </w:tcMar>
            <w:vAlign w:val="center"/>
          </w:tcPr>
          <w:p>
            <w:pPr>
              <w:keepNext w:val="0"/>
              <w:keepLines w:val="0"/>
              <w:pageBreakBefore w:val="0"/>
              <w:tabs>
                <w:tab w:val="center" w:pos="4153"/>
                <w:tab w:val="right" w:pos="8306"/>
              </w:tabs>
              <w:suppressAutoHyphens/>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i w:val="0"/>
                <w:color w:val="000000"/>
                <w:kern w:val="0"/>
                <w:sz w:val="21"/>
                <w:szCs w:val="21"/>
                <w:u w:val="none"/>
                <w:lang w:val="en-US" w:eastAsia="zh-CN" w:bidi="ar"/>
              </w:rPr>
              <w:t>无</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0" w:hRule="atLeast"/>
          <w:tblHeader/>
        </w:trPr>
        <w:tc>
          <w:tcPr>
            <w:tcW w:w="4835" w:type="dxa"/>
            <w:tcBorders>
              <w:top w:val="single" w:color="auto" w:sz="4" w:space="0"/>
              <w:left w:val="single" w:color="auto" w:sz="4" w:space="0"/>
              <w:bottom w:val="single" w:color="auto" w:sz="4" w:space="0"/>
              <w:right w:val="single" w:color="auto" w:sz="4" w:space="0"/>
            </w:tcBorders>
            <w:noWrap w:val="0"/>
            <w:tcMar>
              <w:left w:w="57" w:type="dxa"/>
              <w:right w:w="57" w:type="dxa"/>
            </w:tcMar>
            <w:vAlign w:val="center"/>
          </w:tcPr>
          <w:p>
            <w:pPr>
              <w:keepNext w:val="0"/>
              <w:keepLines w:val="0"/>
              <w:pageBreakBefore w:val="0"/>
              <w:tabs>
                <w:tab w:val="center" w:pos="4153"/>
                <w:tab w:val="right" w:pos="8306"/>
              </w:tabs>
              <w:suppressAutoHyphens/>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《高毒物品目录》（2003版）</w:t>
            </w:r>
          </w:p>
        </w:tc>
        <w:tc>
          <w:tcPr>
            <w:tcW w:w="4349" w:type="dxa"/>
            <w:tcBorders>
              <w:top w:val="single" w:color="auto" w:sz="4" w:space="0"/>
              <w:left w:val="single" w:color="auto" w:sz="4" w:space="0"/>
              <w:bottom w:val="single" w:color="auto" w:sz="4" w:space="0"/>
              <w:right w:val="single" w:color="auto" w:sz="4" w:space="0"/>
            </w:tcBorders>
            <w:noWrap w:val="0"/>
            <w:tcMar>
              <w:left w:w="57" w:type="dxa"/>
              <w:right w:w="57" w:type="dxa"/>
            </w:tcMar>
            <w:vAlign w:val="center"/>
          </w:tcPr>
          <w:p>
            <w:pPr>
              <w:keepNext w:val="0"/>
              <w:keepLines w:val="0"/>
              <w:pageBreakBefore w:val="0"/>
              <w:tabs>
                <w:tab w:val="center" w:pos="4153"/>
                <w:tab w:val="right" w:pos="8306"/>
              </w:tabs>
              <w:suppressAutoHyphens/>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氨、福尔马林</w:t>
            </w:r>
            <w:r>
              <w:rPr>
                <w:rFonts w:hint="eastAsia" w:ascii="Times New Roman" w:hAnsi="Times New Roman" w:eastAsia="宋体" w:cs="Times New Roman"/>
                <w:color w:val="000000"/>
                <w:kern w:val="0"/>
                <w:sz w:val="21"/>
                <w:szCs w:val="21"/>
                <w:lang w:val="en-US" w:eastAsia="zh-CN"/>
              </w:rPr>
              <w:t>、二氧化氮</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0" w:hRule="atLeast"/>
          <w:tblHeader/>
        </w:trPr>
        <w:tc>
          <w:tcPr>
            <w:tcW w:w="4835" w:type="dxa"/>
            <w:tcBorders>
              <w:top w:val="single" w:color="auto" w:sz="4" w:space="0"/>
              <w:left w:val="single" w:color="auto" w:sz="4" w:space="0"/>
              <w:bottom w:val="single" w:color="auto" w:sz="4" w:space="0"/>
              <w:right w:val="single" w:color="auto" w:sz="4" w:space="0"/>
            </w:tcBorders>
            <w:noWrap w:val="0"/>
            <w:tcMar>
              <w:left w:w="57" w:type="dxa"/>
              <w:right w:w="57" w:type="dxa"/>
            </w:tcMar>
            <w:vAlign w:val="center"/>
          </w:tcPr>
          <w:p>
            <w:pPr>
              <w:keepNext w:val="0"/>
              <w:keepLines w:val="0"/>
              <w:pageBreakBefore w:val="0"/>
              <w:tabs>
                <w:tab w:val="center" w:pos="4153"/>
                <w:tab w:val="right" w:pos="8306"/>
              </w:tabs>
              <w:suppressAutoHyphens/>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sz w:val="21"/>
                <w:szCs w:val="21"/>
              </w:rPr>
              <w:t>《国家安全监管总局关于公布首批重点监管的危险化学品名录的通知》（安监总管三[2011]95号）和《国家安全监管总局关于公布第二批重点监管的危险化学品名录的通知》（安监总管三[2013]12号）</w:t>
            </w:r>
            <w:r>
              <w:rPr>
                <w:rFonts w:hint="default" w:ascii="Times New Roman" w:hAnsi="Times New Roman" w:eastAsia="宋体" w:cs="Times New Roman"/>
                <w:color w:val="000000"/>
                <w:sz w:val="21"/>
                <w:szCs w:val="21"/>
                <w:lang w:val="en-US" w:eastAsia="zh-CN"/>
              </w:rPr>
              <w:t>中重点监管化学品</w:t>
            </w:r>
          </w:p>
        </w:tc>
        <w:tc>
          <w:tcPr>
            <w:tcW w:w="4349" w:type="dxa"/>
            <w:tcBorders>
              <w:top w:val="single" w:color="auto" w:sz="4" w:space="0"/>
              <w:left w:val="single" w:color="auto" w:sz="4" w:space="0"/>
              <w:bottom w:val="single" w:color="auto" w:sz="4" w:space="0"/>
              <w:right w:val="single" w:color="auto" w:sz="4" w:space="0"/>
            </w:tcBorders>
            <w:noWrap w:val="0"/>
            <w:tcMar>
              <w:left w:w="57" w:type="dxa"/>
              <w:right w:w="57" w:type="dxa"/>
            </w:tcMar>
            <w:vAlign w:val="center"/>
          </w:tcPr>
          <w:p>
            <w:pPr>
              <w:keepNext w:val="0"/>
              <w:keepLines w:val="0"/>
              <w:pageBreakBefore w:val="0"/>
              <w:tabs>
                <w:tab w:val="center" w:pos="4153"/>
                <w:tab w:val="right" w:pos="8306"/>
              </w:tabs>
              <w:suppressAutoHyphens/>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仿宋_GB2312" w:cs="Times New Roman"/>
                <w:color w:val="000000"/>
                <w:kern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0" w:hRule="atLeast"/>
          <w:tblHeader/>
        </w:trPr>
        <w:tc>
          <w:tcPr>
            <w:tcW w:w="4835" w:type="dxa"/>
            <w:tcBorders>
              <w:top w:val="single" w:color="auto" w:sz="4" w:space="0"/>
              <w:left w:val="single" w:color="auto" w:sz="4" w:space="0"/>
              <w:right w:val="single" w:color="auto" w:sz="4" w:space="0"/>
            </w:tcBorders>
            <w:noWrap w:val="0"/>
            <w:tcMar>
              <w:left w:w="57" w:type="dxa"/>
              <w:right w:w="57" w:type="dxa"/>
            </w:tcMar>
            <w:vAlign w:val="center"/>
          </w:tcPr>
          <w:p>
            <w:pPr>
              <w:keepNext w:val="0"/>
              <w:keepLines w:val="0"/>
              <w:pageBreakBefore w:val="0"/>
              <w:tabs>
                <w:tab w:val="center" w:pos="4153"/>
                <w:tab w:val="right" w:pos="8306"/>
              </w:tabs>
              <w:suppressAutoHyphens/>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color w:val="000000"/>
                <w:sz w:val="21"/>
                <w:szCs w:val="21"/>
              </w:rPr>
            </w:pPr>
            <w:r>
              <w:rPr>
                <w:rFonts w:hint="eastAsia" w:ascii="Times New Roman" w:hAnsi="Times New Roman" w:eastAsia="宋体" w:cs="Times New Roman"/>
                <w:snapToGrid w:val="0"/>
                <w:color w:val="000000"/>
                <w:kern w:val="0"/>
                <w:sz w:val="21"/>
                <w:szCs w:val="21"/>
                <w:lang w:val="en-US" w:eastAsia="zh-CN" w:bidi="ar-SA"/>
              </w:rPr>
              <w:t>《企业突发环境事件风险分级方法》（HJ941-2018）</w:t>
            </w:r>
          </w:p>
        </w:tc>
        <w:tc>
          <w:tcPr>
            <w:tcW w:w="4349" w:type="dxa"/>
            <w:tcBorders>
              <w:top w:val="single" w:color="auto" w:sz="4" w:space="0"/>
              <w:left w:val="single" w:color="auto" w:sz="4" w:space="0"/>
              <w:right w:val="single" w:color="auto" w:sz="4" w:space="0"/>
            </w:tcBorders>
            <w:noWrap w:val="0"/>
            <w:tcMar>
              <w:left w:w="57" w:type="dxa"/>
              <w:right w:w="57" w:type="dxa"/>
            </w:tcMar>
            <w:vAlign w:val="center"/>
          </w:tcPr>
          <w:p>
            <w:pPr>
              <w:keepNext w:val="0"/>
              <w:keepLines w:val="0"/>
              <w:pageBreakBefore w:val="0"/>
              <w:tabs>
                <w:tab w:val="center" w:pos="4153"/>
                <w:tab w:val="right" w:pos="8306"/>
              </w:tabs>
              <w:suppressAutoHyphens/>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硝酸、氨水</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i w:val="0"/>
                <w:color w:val="000000"/>
                <w:kern w:val="0"/>
                <w:sz w:val="21"/>
                <w:szCs w:val="21"/>
                <w:u w:val="none"/>
                <w:lang w:val="en-US" w:eastAsia="zh-CN" w:bidi="ar"/>
              </w:rPr>
              <w:t>乙醇、福尔马林、</w:t>
            </w:r>
            <w:r>
              <w:rPr>
                <w:rFonts w:hint="eastAsia" w:ascii="Times New Roman" w:hAnsi="Times New Roman" w:eastAsia="宋体" w:cs="Times New Roman"/>
                <w:i w:val="0"/>
                <w:color w:val="000000"/>
                <w:kern w:val="0"/>
                <w:sz w:val="21"/>
                <w:szCs w:val="21"/>
                <w:u w:val="none"/>
                <w:lang w:val="en-US" w:eastAsia="zh-CN" w:bidi="ar"/>
              </w:rPr>
              <w:t>银、一氧化氮、二氧化氮、次氯酸钠</w:t>
            </w:r>
          </w:p>
        </w:tc>
      </w:tr>
    </w:tbl>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000000"/>
          <w:kern w:val="2"/>
          <w:sz w:val="24"/>
          <w:szCs w:val="24"/>
          <w:lang w:val="en-US" w:eastAsia="zh-CN" w:bidi="ar-SA"/>
        </w:rPr>
      </w:pPr>
      <w:r>
        <w:rPr>
          <w:rFonts w:hint="default" w:ascii="Times New Roman" w:hAnsi="Times New Roman" w:eastAsia="黑体" w:cs="Times New Roman"/>
          <w:b w:val="0"/>
          <w:bCs/>
          <w:color w:val="000000"/>
          <w:kern w:val="2"/>
          <w:sz w:val="24"/>
          <w:szCs w:val="24"/>
          <w:lang w:val="en-US" w:eastAsia="zh-CN" w:bidi="ar-SA"/>
        </w:rPr>
        <w:t>表6.1-3 项目重点关注危险物质的大气毒性终点浓度</w:t>
      </w:r>
    </w:p>
    <w:tbl>
      <w:tblPr>
        <w:tblStyle w:val="90"/>
        <w:tblW w:w="0" w:type="auto"/>
        <w:jc w:val="center"/>
        <w:tblBorders>
          <w:top w:val="single" w:color="auto"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99"/>
        <w:gridCol w:w="2064"/>
        <w:gridCol w:w="3085"/>
        <w:gridCol w:w="3238"/>
      </w:tblGrid>
      <w:tr>
        <w:tblPrEx>
          <w:tblBorders>
            <w:top w:val="single" w:color="auto"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9" w:type="dxa"/>
            <w:tcBorders>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kern w:val="2"/>
                <w:sz w:val="21"/>
                <w:szCs w:val="22"/>
                <w:lang w:val="en-US" w:eastAsia="zh-CN" w:bidi="ar-SA"/>
              </w:rPr>
              <w:t>序号</w:t>
            </w:r>
          </w:p>
        </w:tc>
        <w:tc>
          <w:tcPr>
            <w:tcW w:w="2064" w:type="dxa"/>
            <w:tcBorders>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kern w:val="2"/>
                <w:sz w:val="21"/>
                <w:szCs w:val="22"/>
                <w:lang w:val="en-US" w:eastAsia="zh-CN" w:bidi="ar-SA"/>
              </w:rPr>
              <w:t>物质</w:t>
            </w:r>
          </w:p>
        </w:tc>
        <w:tc>
          <w:tcPr>
            <w:tcW w:w="3085" w:type="dxa"/>
            <w:tcBorders>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kern w:val="2"/>
                <w:sz w:val="21"/>
                <w:szCs w:val="22"/>
                <w:lang w:val="en-US" w:eastAsia="zh-CN" w:bidi="ar-SA"/>
              </w:rPr>
              <w:t>毒性终点浓度-1/(mg/m</w:t>
            </w:r>
            <w:r>
              <w:rPr>
                <w:rFonts w:hint="default" w:ascii="Times New Roman" w:hAnsi="Times New Roman" w:eastAsia="宋体" w:cs="Times New Roman"/>
                <w:color w:val="000000"/>
                <w:kern w:val="2"/>
                <w:sz w:val="21"/>
                <w:szCs w:val="22"/>
                <w:vertAlign w:val="superscript"/>
                <w:lang w:val="en-US" w:eastAsia="zh-CN" w:bidi="ar-SA"/>
              </w:rPr>
              <w:t>3</w:t>
            </w:r>
            <w:r>
              <w:rPr>
                <w:rFonts w:hint="default" w:ascii="Times New Roman" w:hAnsi="Times New Roman" w:eastAsia="宋体" w:cs="Times New Roman"/>
                <w:color w:val="000000"/>
                <w:kern w:val="2"/>
                <w:sz w:val="21"/>
                <w:szCs w:val="22"/>
                <w:lang w:val="en-US" w:eastAsia="zh-CN" w:bidi="ar-SA"/>
              </w:rPr>
              <w:t>)</w:t>
            </w:r>
          </w:p>
        </w:tc>
        <w:tc>
          <w:tcPr>
            <w:tcW w:w="3238" w:type="dxa"/>
            <w:tcBorders>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kern w:val="2"/>
                <w:sz w:val="21"/>
                <w:szCs w:val="22"/>
                <w:lang w:val="en-US" w:eastAsia="zh-CN" w:bidi="ar-SA"/>
              </w:rPr>
              <w:t>毒性终点浓度-2/(mg/m</w:t>
            </w:r>
            <w:r>
              <w:rPr>
                <w:rFonts w:hint="default" w:ascii="Times New Roman" w:hAnsi="Times New Roman" w:eastAsia="宋体" w:cs="Times New Roman"/>
                <w:color w:val="000000"/>
                <w:kern w:val="2"/>
                <w:sz w:val="21"/>
                <w:szCs w:val="22"/>
                <w:vertAlign w:val="superscript"/>
                <w:lang w:val="en-US" w:eastAsia="zh-CN" w:bidi="ar-SA"/>
              </w:rPr>
              <w:t>3</w:t>
            </w:r>
            <w:r>
              <w:rPr>
                <w:rFonts w:hint="default" w:ascii="Times New Roman" w:hAnsi="Times New Roman" w:eastAsia="宋体" w:cs="Times New Roman"/>
                <w:color w:val="000000"/>
                <w:kern w:val="2"/>
                <w:sz w:val="21"/>
                <w:szCs w:val="22"/>
                <w:lang w:val="en-US" w:eastAsia="zh-CN" w:bidi="ar-SA"/>
              </w:rPr>
              <w:t>)</w:t>
            </w:r>
          </w:p>
        </w:tc>
      </w:tr>
      <w:tr>
        <w:tblPrEx>
          <w:tblBorders>
            <w:top w:val="single" w:color="auto"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9"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kern w:val="2"/>
                <w:sz w:val="21"/>
                <w:szCs w:val="22"/>
                <w:lang w:val="en-US" w:eastAsia="zh-CN" w:bidi="ar-SA"/>
              </w:rPr>
              <w:t>1</w:t>
            </w:r>
          </w:p>
        </w:tc>
        <w:tc>
          <w:tcPr>
            <w:tcW w:w="206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i w:val="0"/>
                <w:color w:val="000000"/>
                <w:kern w:val="0"/>
                <w:sz w:val="21"/>
                <w:szCs w:val="21"/>
                <w:u w:val="none"/>
                <w:lang w:val="en-US" w:eastAsia="zh-CN" w:bidi="ar"/>
              </w:rPr>
              <w:t>工业级硝酸</w:t>
            </w:r>
          </w:p>
        </w:tc>
        <w:tc>
          <w:tcPr>
            <w:tcW w:w="308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kern w:val="2"/>
                <w:sz w:val="21"/>
                <w:szCs w:val="22"/>
                <w:lang w:val="en-US" w:eastAsia="zh-CN" w:bidi="ar-SA"/>
              </w:rPr>
              <w:t>240</w:t>
            </w:r>
          </w:p>
        </w:tc>
        <w:tc>
          <w:tcPr>
            <w:tcW w:w="323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kern w:val="2"/>
                <w:sz w:val="21"/>
                <w:szCs w:val="22"/>
                <w:lang w:val="en-US" w:eastAsia="zh-CN" w:bidi="ar-SA"/>
              </w:rPr>
              <w:t>62</w:t>
            </w:r>
          </w:p>
        </w:tc>
      </w:tr>
      <w:tr>
        <w:tblPrEx>
          <w:tblBorders>
            <w:top w:val="single" w:color="auto"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3" w:hRule="atLeast"/>
          <w:jc w:val="center"/>
        </w:trPr>
        <w:tc>
          <w:tcPr>
            <w:tcW w:w="899"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kern w:val="2"/>
                <w:sz w:val="21"/>
                <w:szCs w:val="22"/>
                <w:lang w:val="en-US" w:eastAsia="zh-CN" w:bidi="ar-SA"/>
              </w:rPr>
              <w:t>2</w:t>
            </w:r>
          </w:p>
        </w:tc>
        <w:tc>
          <w:tcPr>
            <w:tcW w:w="206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i w:val="0"/>
                <w:color w:val="000000"/>
                <w:kern w:val="0"/>
                <w:sz w:val="21"/>
                <w:szCs w:val="21"/>
                <w:u w:val="none"/>
                <w:lang w:val="en-US" w:eastAsia="zh-CN" w:bidi="ar"/>
              </w:rPr>
              <w:t>电子级硝酸</w:t>
            </w:r>
          </w:p>
        </w:tc>
        <w:tc>
          <w:tcPr>
            <w:tcW w:w="308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kern w:val="2"/>
                <w:sz w:val="21"/>
                <w:szCs w:val="22"/>
                <w:lang w:val="en-US" w:eastAsia="zh-CN" w:bidi="ar-SA"/>
              </w:rPr>
              <w:t>240</w:t>
            </w:r>
          </w:p>
        </w:tc>
        <w:tc>
          <w:tcPr>
            <w:tcW w:w="323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kern w:val="2"/>
                <w:sz w:val="21"/>
                <w:szCs w:val="22"/>
                <w:lang w:val="en-US" w:eastAsia="zh-CN" w:bidi="ar-SA"/>
              </w:rPr>
              <w:t>62</w:t>
            </w:r>
          </w:p>
        </w:tc>
      </w:tr>
      <w:tr>
        <w:tblPrEx>
          <w:tblBorders>
            <w:top w:val="single" w:color="auto"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9"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kern w:val="2"/>
                <w:sz w:val="21"/>
                <w:szCs w:val="22"/>
                <w:lang w:val="en-US" w:eastAsia="zh-CN" w:bidi="ar-SA"/>
              </w:rPr>
              <w:t>3</w:t>
            </w:r>
          </w:p>
        </w:tc>
        <w:tc>
          <w:tcPr>
            <w:tcW w:w="206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i w:val="0"/>
                <w:color w:val="000000"/>
                <w:kern w:val="0"/>
                <w:sz w:val="21"/>
                <w:szCs w:val="21"/>
                <w:u w:val="none"/>
                <w:lang w:val="en-US" w:eastAsia="zh-CN" w:bidi="ar"/>
              </w:rPr>
              <w:t>氨水</w:t>
            </w:r>
          </w:p>
        </w:tc>
        <w:tc>
          <w:tcPr>
            <w:tcW w:w="308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kern w:val="2"/>
                <w:sz w:val="21"/>
                <w:szCs w:val="22"/>
                <w:lang w:val="en-US" w:eastAsia="zh-CN" w:bidi="ar-SA"/>
              </w:rPr>
              <w:t>770</w:t>
            </w:r>
          </w:p>
        </w:tc>
        <w:tc>
          <w:tcPr>
            <w:tcW w:w="323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kern w:val="2"/>
                <w:sz w:val="21"/>
                <w:szCs w:val="22"/>
                <w:lang w:val="en-US" w:eastAsia="zh-CN" w:bidi="ar-SA"/>
              </w:rPr>
              <w:t>110</w:t>
            </w:r>
          </w:p>
        </w:tc>
      </w:tr>
      <w:tr>
        <w:tblPrEx>
          <w:tblBorders>
            <w:top w:val="single" w:color="auto"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9"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kern w:val="2"/>
                <w:sz w:val="21"/>
                <w:szCs w:val="22"/>
                <w:lang w:val="en-US" w:eastAsia="zh-CN" w:bidi="ar-SA"/>
              </w:rPr>
              <w:t>4</w:t>
            </w:r>
          </w:p>
        </w:tc>
        <w:tc>
          <w:tcPr>
            <w:tcW w:w="206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i w:val="0"/>
                <w:color w:val="000000"/>
                <w:kern w:val="0"/>
                <w:sz w:val="21"/>
                <w:szCs w:val="21"/>
                <w:u w:val="none"/>
                <w:lang w:val="en-US" w:eastAsia="zh-CN" w:bidi="ar"/>
              </w:rPr>
              <w:t>37%甲醛</w:t>
            </w:r>
          </w:p>
        </w:tc>
        <w:tc>
          <w:tcPr>
            <w:tcW w:w="308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kern w:val="2"/>
                <w:sz w:val="21"/>
                <w:szCs w:val="22"/>
                <w:lang w:val="en-US" w:eastAsia="zh-CN" w:bidi="ar-SA"/>
              </w:rPr>
              <w:t>69</w:t>
            </w:r>
          </w:p>
        </w:tc>
        <w:tc>
          <w:tcPr>
            <w:tcW w:w="323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default" w:ascii="Times New Roman" w:hAnsi="Times New Roman" w:eastAsia="宋体" w:cs="Times New Roman"/>
                <w:color w:val="000000"/>
                <w:kern w:val="2"/>
                <w:sz w:val="21"/>
                <w:szCs w:val="22"/>
                <w:lang w:val="en-US" w:eastAsia="zh-CN" w:bidi="ar-SA"/>
              </w:rPr>
              <w:t>17</w:t>
            </w:r>
          </w:p>
        </w:tc>
      </w:tr>
      <w:tr>
        <w:tblPrEx>
          <w:tblBorders>
            <w:top w:val="single" w:color="auto"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9"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color w:val="000000"/>
                <w:kern w:val="2"/>
                <w:sz w:val="21"/>
                <w:szCs w:val="22"/>
                <w:lang w:val="en-US" w:eastAsia="zh-CN" w:bidi="ar-SA"/>
              </w:rPr>
              <w:t>5</w:t>
            </w:r>
          </w:p>
        </w:tc>
        <w:tc>
          <w:tcPr>
            <w:tcW w:w="206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auto"/>
              <w:outlineLvl w:val="9"/>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一氧化氮</w:t>
            </w:r>
          </w:p>
        </w:tc>
        <w:tc>
          <w:tcPr>
            <w:tcW w:w="308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color w:val="000000"/>
                <w:kern w:val="2"/>
                <w:sz w:val="21"/>
                <w:szCs w:val="22"/>
                <w:lang w:val="en-US" w:eastAsia="zh-CN" w:bidi="ar-SA"/>
              </w:rPr>
              <w:t>25</w:t>
            </w:r>
          </w:p>
        </w:tc>
        <w:tc>
          <w:tcPr>
            <w:tcW w:w="323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color w:val="000000"/>
                <w:kern w:val="2"/>
                <w:sz w:val="21"/>
                <w:szCs w:val="22"/>
                <w:lang w:val="en-US" w:eastAsia="zh-CN" w:bidi="ar-SA"/>
              </w:rPr>
              <w:t>15</w:t>
            </w:r>
          </w:p>
        </w:tc>
      </w:tr>
      <w:tr>
        <w:tblPrEx>
          <w:tblBorders>
            <w:top w:val="single" w:color="auto"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9"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color w:val="000000"/>
                <w:kern w:val="2"/>
                <w:sz w:val="21"/>
                <w:szCs w:val="22"/>
                <w:lang w:val="en-US" w:eastAsia="zh-CN" w:bidi="ar-SA"/>
              </w:rPr>
              <w:t>6</w:t>
            </w:r>
          </w:p>
        </w:tc>
        <w:tc>
          <w:tcPr>
            <w:tcW w:w="206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auto"/>
              <w:outlineLvl w:val="9"/>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二氧化氮</w:t>
            </w:r>
          </w:p>
        </w:tc>
        <w:tc>
          <w:tcPr>
            <w:tcW w:w="308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color w:val="000000"/>
                <w:kern w:val="2"/>
                <w:sz w:val="21"/>
                <w:szCs w:val="22"/>
                <w:lang w:val="en-US" w:eastAsia="zh-CN" w:bidi="ar-SA"/>
              </w:rPr>
              <w:t>38</w:t>
            </w:r>
          </w:p>
        </w:tc>
        <w:tc>
          <w:tcPr>
            <w:tcW w:w="323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color w:val="000000"/>
                <w:kern w:val="2"/>
                <w:sz w:val="21"/>
                <w:szCs w:val="22"/>
                <w:lang w:val="en-US" w:eastAsia="zh-CN" w:bidi="ar-SA"/>
              </w:rPr>
              <w:t>23</w:t>
            </w:r>
          </w:p>
        </w:tc>
      </w:tr>
      <w:tr>
        <w:tblPrEx>
          <w:tblBorders>
            <w:top w:val="single" w:color="auto"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99"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color w:val="000000"/>
                <w:kern w:val="2"/>
                <w:sz w:val="21"/>
                <w:szCs w:val="22"/>
                <w:lang w:val="en-US" w:eastAsia="zh-CN" w:bidi="ar-SA"/>
              </w:rPr>
              <w:t>7</w:t>
            </w:r>
          </w:p>
        </w:tc>
        <w:tc>
          <w:tcPr>
            <w:tcW w:w="206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次氯酸钠</w:t>
            </w:r>
          </w:p>
        </w:tc>
        <w:tc>
          <w:tcPr>
            <w:tcW w:w="308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color w:val="000000"/>
                <w:kern w:val="2"/>
                <w:sz w:val="21"/>
                <w:szCs w:val="22"/>
                <w:lang w:val="en-US" w:eastAsia="zh-CN" w:bidi="ar-SA"/>
              </w:rPr>
              <w:t>1800</w:t>
            </w:r>
          </w:p>
        </w:tc>
        <w:tc>
          <w:tcPr>
            <w:tcW w:w="3238"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tabs>
                <w:tab w:val="left" w:pos="1590"/>
              </w:tabs>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color w:val="000000"/>
                <w:kern w:val="2"/>
                <w:sz w:val="21"/>
                <w:szCs w:val="22"/>
                <w:lang w:val="en-US" w:eastAsia="zh-CN" w:bidi="ar-SA"/>
              </w:rPr>
              <w:t>290</w:t>
            </w:r>
          </w:p>
        </w:tc>
      </w:tr>
    </w:tbl>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val="0"/>
          <w:bCs/>
          <w:color w:val="auto"/>
          <w:kern w:val="0"/>
          <w:sz w:val="30"/>
          <w:szCs w:val="30"/>
          <w:lang w:val="en-US" w:eastAsia="zh-CN" w:bidi="ar-SA"/>
        </w:rPr>
      </w:pPr>
      <w:r>
        <w:rPr>
          <w:rFonts w:hint="default" w:ascii="Times New Roman" w:hAnsi="Times New Roman" w:eastAsia="黑体" w:cs="Times New Roman"/>
          <w:b w:val="0"/>
          <w:bCs/>
          <w:color w:val="auto"/>
          <w:kern w:val="0"/>
          <w:sz w:val="30"/>
          <w:szCs w:val="30"/>
          <w:lang w:val="en-US" w:eastAsia="zh-CN" w:bidi="ar-SA"/>
        </w:rPr>
        <w:t>6.1.3生产过程潜在危险性识别与分析</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（1）生产及储运设施潜在风险识别</w:t>
      </w:r>
    </w:p>
    <w:p>
      <w:pPr>
        <w:widowControl w:val="0"/>
        <w:spacing w:line="360" w:lineRule="auto"/>
        <w:ind w:firstLine="480"/>
        <w:jc w:val="both"/>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1"/>
          <w:lang w:val="en-US" w:eastAsia="zh-CN" w:bidi="ar-SA"/>
        </w:rPr>
        <w:t>项目生产及储运设</w:t>
      </w:r>
      <w:r>
        <w:rPr>
          <w:rFonts w:hint="default" w:ascii="Times New Roman" w:hAnsi="Times New Roman" w:eastAsia="宋体" w:cs="Times New Roman"/>
          <w:snapToGrid w:val="0"/>
          <w:color w:val="auto"/>
          <w:kern w:val="0"/>
          <w:sz w:val="24"/>
          <w:szCs w:val="24"/>
          <w:lang w:val="en-US" w:eastAsia="zh-CN" w:bidi="ar-SA"/>
        </w:rPr>
        <w:t>施涉及的危险化学品有：</w:t>
      </w:r>
      <w:r>
        <w:rPr>
          <w:rFonts w:hint="default" w:ascii="Times New Roman" w:hAnsi="Times New Roman" w:eastAsia="宋体" w:cs="Times New Roman"/>
          <w:i w:val="0"/>
          <w:snapToGrid w:val="0"/>
          <w:color w:val="auto"/>
          <w:kern w:val="0"/>
          <w:sz w:val="24"/>
          <w:szCs w:val="24"/>
          <w:u w:val="none"/>
          <w:lang w:val="en-US" w:eastAsia="zh-CN" w:bidi="ar"/>
        </w:rPr>
        <w:t>硝酸、氨水</w:t>
      </w:r>
      <w:r>
        <w:rPr>
          <w:rFonts w:hint="default" w:ascii="Times New Roman" w:hAnsi="Times New Roman" w:eastAsia="宋体" w:cs="Times New Roman"/>
          <w:snapToGrid w:val="0"/>
          <w:color w:val="auto"/>
          <w:kern w:val="0"/>
          <w:sz w:val="24"/>
          <w:szCs w:val="24"/>
          <w:lang w:val="en-US" w:eastAsia="zh-CN" w:bidi="ar-SA"/>
        </w:rPr>
        <w:t>、</w:t>
      </w:r>
      <w:r>
        <w:rPr>
          <w:rFonts w:hint="default" w:ascii="Times New Roman" w:hAnsi="Times New Roman" w:eastAsia="宋体" w:cs="Times New Roman"/>
          <w:i w:val="0"/>
          <w:snapToGrid w:val="0"/>
          <w:color w:val="auto"/>
          <w:kern w:val="0"/>
          <w:sz w:val="24"/>
          <w:szCs w:val="24"/>
          <w:u w:val="none"/>
          <w:lang w:val="en-US" w:eastAsia="zh-CN" w:bidi="ar"/>
        </w:rPr>
        <w:t>乙醇、</w:t>
      </w:r>
      <w:r>
        <w:rPr>
          <w:rFonts w:hint="eastAsia" w:ascii="Times New Roman" w:hAnsi="Times New Roman" w:eastAsia="宋体" w:cs="Times New Roman"/>
          <w:i w:val="0"/>
          <w:snapToGrid w:val="0"/>
          <w:color w:val="auto"/>
          <w:kern w:val="0"/>
          <w:sz w:val="24"/>
          <w:szCs w:val="24"/>
          <w:u w:val="none"/>
          <w:lang w:val="en-US" w:eastAsia="zh-CN" w:bidi="ar"/>
        </w:rPr>
        <w:t>次氯酸钠</w:t>
      </w:r>
      <w:r>
        <w:rPr>
          <w:rFonts w:hint="default" w:ascii="Times New Roman" w:hAnsi="Times New Roman" w:eastAsia="宋体" w:cs="Times New Roman"/>
          <w:i w:val="0"/>
          <w:snapToGrid w:val="0"/>
          <w:color w:val="auto"/>
          <w:kern w:val="0"/>
          <w:sz w:val="24"/>
          <w:szCs w:val="24"/>
          <w:u w:val="none"/>
          <w:lang w:val="en-US" w:eastAsia="zh-CN" w:bidi="ar"/>
        </w:rPr>
        <w:t>、福尔马林、氢氧化钠、过氧化氢、硝酸银</w:t>
      </w:r>
      <w:r>
        <w:rPr>
          <w:rFonts w:hint="eastAsia" w:ascii="Times New Roman" w:hAnsi="Times New Roman" w:eastAsia="宋体" w:cs="Times New Roman"/>
          <w:i w:val="0"/>
          <w:snapToGrid w:val="0"/>
          <w:color w:val="auto"/>
          <w:kern w:val="0"/>
          <w:sz w:val="24"/>
          <w:szCs w:val="24"/>
          <w:u w:val="none"/>
          <w:lang w:val="en-US" w:eastAsia="zh-CN" w:bidi="ar"/>
        </w:rPr>
        <w:t>、银粉、</w:t>
      </w:r>
      <w:r>
        <w:rPr>
          <w:rFonts w:hint="eastAsia" w:ascii="Times New Roman" w:hAnsi="Times New Roman" w:eastAsia="宋体" w:cs="Times New Roman"/>
          <w:i w:val="0"/>
          <w:color w:val="auto"/>
          <w:kern w:val="0"/>
          <w:sz w:val="24"/>
          <w:szCs w:val="24"/>
          <w:u w:val="none"/>
          <w:lang w:val="en-US" w:eastAsia="zh-CN" w:bidi="ar"/>
        </w:rPr>
        <w:t>一氧化氮、二氧化氮</w:t>
      </w:r>
      <w:r>
        <w:rPr>
          <w:rFonts w:hint="default" w:ascii="Times New Roman" w:hAnsi="Times New Roman" w:eastAsia="宋体" w:cs="Times New Roman"/>
          <w:snapToGrid w:val="0"/>
          <w:color w:val="auto"/>
          <w:kern w:val="0"/>
          <w:sz w:val="24"/>
          <w:szCs w:val="24"/>
          <w:lang w:val="en-US" w:eastAsia="zh-CN" w:bidi="ar-SA"/>
        </w:rPr>
        <w:t>等，具体见表6.1-3。</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zh-CN" w:eastAsia="zh-CN" w:bidi="ar-SA"/>
        </w:rPr>
      </w:pPr>
      <w:r>
        <w:rPr>
          <w:rFonts w:hint="default" w:ascii="Times New Roman" w:hAnsi="Times New Roman" w:eastAsia="宋体" w:cs="Times New Roman"/>
          <w:snapToGrid w:val="0"/>
          <w:color w:val="auto"/>
          <w:kern w:val="0"/>
          <w:sz w:val="24"/>
          <w:szCs w:val="24"/>
          <w:lang w:val="en-US" w:eastAsia="zh-CN" w:bidi="ar"/>
        </w:rPr>
        <w:t>项目</w:t>
      </w:r>
      <w:r>
        <w:rPr>
          <w:rFonts w:hint="default" w:ascii="Times New Roman" w:hAnsi="Times New Roman" w:eastAsia="宋体" w:cs="Times New Roman"/>
          <w:snapToGrid w:val="0"/>
          <w:color w:val="auto"/>
          <w:kern w:val="0"/>
          <w:sz w:val="24"/>
          <w:szCs w:val="24"/>
          <w:lang w:val="zh-CN" w:eastAsia="zh-CN" w:bidi="ar"/>
        </w:rPr>
        <w:t>生产装置</w:t>
      </w:r>
      <w:r>
        <w:rPr>
          <w:rFonts w:hint="default" w:ascii="Times New Roman" w:hAnsi="Times New Roman" w:eastAsia="宋体" w:cs="Times New Roman"/>
          <w:snapToGrid w:val="0"/>
          <w:color w:val="auto"/>
          <w:kern w:val="0"/>
          <w:sz w:val="24"/>
          <w:szCs w:val="24"/>
          <w:lang w:val="en-US" w:eastAsia="zh-CN" w:bidi="ar"/>
        </w:rPr>
        <w:t>及储运设施</w:t>
      </w:r>
      <w:r>
        <w:rPr>
          <w:rFonts w:hint="default" w:ascii="Times New Roman" w:hAnsi="Times New Roman" w:eastAsia="宋体" w:cs="Times New Roman"/>
          <w:snapToGrid w:val="0"/>
          <w:color w:val="auto"/>
          <w:kern w:val="0"/>
          <w:sz w:val="24"/>
          <w:szCs w:val="24"/>
          <w:lang w:val="zh-CN" w:eastAsia="zh-CN" w:bidi="ar"/>
        </w:rPr>
        <w:t>危险单元的环境风险在于阀门、管道破损导致内存物料泄漏或装置操作不当、装置系统失控导致装置物料泄漏。泄漏物料进入外环境污染大气和水环境。若遇明火，可能发生火灾爆炸，产生的伴生/次生污染物对大气环境产生影响，同时产生消防废水</w:t>
      </w:r>
      <w:r>
        <w:rPr>
          <w:rFonts w:hint="default" w:ascii="Times New Roman" w:hAnsi="Times New Roman" w:eastAsia="宋体" w:cs="Times New Roman"/>
          <w:snapToGrid w:val="0"/>
          <w:color w:val="auto"/>
          <w:kern w:val="0"/>
          <w:sz w:val="24"/>
          <w:szCs w:val="24"/>
          <w:lang w:val="en-US" w:eastAsia="zh-CN" w:bidi="ar"/>
        </w:rPr>
        <w:t>污染水环境</w:t>
      </w:r>
      <w:r>
        <w:rPr>
          <w:rFonts w:hint="default" w:ascii="Times New Roman" w:hAnsi="Times New Roman" w:eastAsia="宋体" w:cs="Times New Roman"/>
          <w:snapToGrid w:val="0"/>
          <w:color w:val="auto"/>
          <w:kern w:val="0"/>
          <w:sz w:val="24"/>
          <w:szCs w:val="24"/>
          <w:lang w:val="zh-CN" w:eastAsia="zh-CN" w:bidi="ar"/>
        </w:rPr>
        <w:t>。</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综上，项目生产装置与储运设施存在的风险主要有物料泄漏事故、中毒事故、腐蚀事故等。</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（2）环保工程存在的危险、有害性</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废水处理设施若出现设备故障，会影响出水水质，对本项目污水处理站的污水处理效果造成不良影响，</w:t>
      </w:r>
      <w:r>
        <w:rPr>
          <w:rFonts w:hint="default" w:ascii="Times New Roman" w:hAnsi="Times New Roman" w:eastAsia="宋体" w:cs="Times New Roman"/>
          <w:bCs/>
          <w:snapToGrid w:val="0"/>
          <w:color w:val="auto"/>
          <w:kern w:val="0"/>
          <w:sz w:val="24"/>
          <w:szCs w:val="21"/>
          <w:lang w:val="en-US" w:eastAsia="zh-CN" w:bidi="ar-SA"/>
        </w:rPr>
        <w:t>通过设置车间污水收集池、监控水池及厂区事故应急池，收集事故状态下废水。</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废气吸收装置若出现故障，会造成废气超标排放，对周围环境产生影响。废气加强</w:t>
      </w:r>
      <w:r>
        <w:rPr>
          <w:rFonts w:hint="default" w:ascii="Times New Roman" w:hAnsi="Times New Roman" w:eastAsia="宋体" w:cs="Times New Roman"/>
          <w:snapToGrid w:val="0"/>
          <w:color w:val="auto"/>
          <w:kern w:val="0"/>
          <w:sz w:val="24"/>
          <w:szCs w:val="21"/>
          <w:lang w:val="en-US" w:eastAsia="zh-CN" w:bidi="ar-SA"/>
        </w:rPr>
        <w:t>定期检查处理设施的内部装置是否完好，设置备用的设施配件，如有缺损应及时更换或修理，同时，应配备一台柴油发电机和备用泵，防止停电状态或者在用泵损坏下废气回收装置无法正常运行</w:t>
      </w:r>
      <w:r>
        <w:rPr>
          <w:rFonts w:hint="default" w:ascii="Times New Roman" w:hAnsi="Times New Roman" w:eastAsia="宋体" w:cs="Times New Roman"/>
          <w:bCs/>
          <w:snapToGrid w:val="0"/>
          <w:color w:val="auto"/>
          <w:kern w:val="0"/>
          <w:sz w:val="24"/>
          <w:szCs w:val="21"/>
          <w:lang w:val="en-US" w:eastAsia="zh-CN" w:bidi="ar-SA"/>
        </w:rPr>
        <w:t>，通过以上措施废气很快恢复正常排放状态。</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（3）事故连锁效应和重叠继发事故的风险识别</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项目涉及的物料多具有有毒、易燃的特性，如在生产加工或贮存的过程中发生物料泄漏，遇火源或高热可能引发燃烧、爆炸。一旦生产装置、储罐中的某一设备或管道中物料着火，释放的热能可能造成其他容器着火、爆炸，因此生产装置内周边系统存在一定的事故连锁效应和事故重叠引发继发事故的危险性。</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项目生产、贮存单元彼此独立，布局均严格按照我国相关设计规范进行设计、施工，满足安全距离的要求，并采取一系列相关安全防范措施，配备足够的消防设施，确保一旦某单元发生火灾事故可及时对周边相邻单元进行冷却降温处理，避免连锁事故的发生。</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（4）事故中的伴生、次生危害</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事故中发生的伴生/次生事故，主要决定于物质性质和事故类型。物质性质是事故中物质可能通过氧化、水解、热解、物料间反应过程产生对环境污染的危害性；事故类型不同可能产生反应过程不同，例如燃烧可能产生物料氧化、热解过程，泄漏冲洗可能发生水解过程，物料不相容过程等。本项目的伴生/次生风险主要为火灾次生烟气、废气迁移和事故废水的影响。</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①火灾烟气</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当发生火灾爆炸事故时，除CO</w:t>
      </w:r>
      <w:r>
        <w:rPr>
          <w:rFonts w:hint="default" w:ascii="Times New Roman" w:hAnsi="Times New Roman" w:eastAsia="宋体" w:cs="Times New Roman"/>
          <w:bCs/>
          <w:snapToGrid w:val="0"/>
          <w:color w:val="auto"/>
          <w:kern w:val="0"/>
          <w:sz w:val="24"/>
          <w:szCs w:val="21"/>
          <w:vertAlign w:val="subscript"/>
          <w:lang w:val="en-US" w:eastAsia="zh-CN" w:bidi="ar-SA"/>
        </w:rPr>
        <w:t>2</w:t>
      </w:r>
      <w:r>
        <w:rPr>
          <w:rFonts w:hint="default" w:ascii="Times New Roman" w:hAnsi="Times New Roman" w:eastAsia="宋体" w:cs="Times New Roman"/>
          <w:bCs/>
          <w:snapToGrid w:val="0"/>
          <w:color w:val="auto"/>
          <w:kern w:val="0"/>
          <w:sz w:val="24"/>
          <w:szCs w:val="21"/>
          <w:lang w:val="en-US" w:eastAsia="zh-CN" w:bidi="ar-SA"/>
        </w:rPr>
        <w:t>和H</w:t>
      </w:r>
      <w:r>
        <w:rPr>
          <w:rFonts w:hint="default" w:ascii="Times New Roman" w:hAnsi="Times New Roman" w:eastAsia="宋体" w:cs="Times New Roman"/>
          <w:bCs/>
          <w:snapToGrid w:val="0"/>
          <w:color w:val="auto"/>
          <w:kern w:val="0"/>
          <w:sz w:val="24"/>
          <w:szCs w:val="21"/>
          <w:vertAlign w:val="subscript"/>
          <w:lang w:val="en-US" w:eastAsia="zh-CN" w:bidi="ar-SA"/>
        </w:rPr>
        <w:t>2</w:t>
      </w:r>
      <w:r>
        <w:rPr>
          <w:rFonts w:hint="default" w:ascii="Times New Roman" w:hAnsi="Times New Roman" w:eastAsia="宋体" w:cs="Times New Roman"/>
          <w:bCs/>
          <w:snapToGrid w:val="0"/>
          <w:color w:val="auto"/>
          <w:kern w:val="0"/>
          <w:sz w:val="24"/>
          <w:szCs w:val="21"/>
          <w:lang w:val="en-US" w:eastAsia="zh-CN" w:bidi="ar-SA"/>
        </w:rPr>
        <w:t>O等燃烧产物外，在不完全燃烧的条件下可能产生少量具有毒害作用的CO等，对空气环境及人群健康造成一定影响。</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②废气迁移</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本项目发生泄漏事故后，少量的有机物挥发至空气中，或在空气中迁移、或进入水体、或进入土壤，泄漏事故源附近局部区域会因少量物料沉积或渗透降至土壤或地下水，造成土壤和地下水有机物浓度升高，可能会对周围局部区域的植物生长造成影响。</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③事故废水</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物料泄漏事故处理过程中，可能产生冲洗废水，如发生火灾爆炸事故，会产生大量的消防废水，事故处理过程中产生的洗消废水中会含有一定量的有机物料，如不能及时得到有效收集和处置，排放天然水体，会对地表水环境造成一定的影响。</w:t>
      </w:r>
    </w:p>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val="0"/>
          <w:bCs/>
          <w:color w:val="auto"/>
          <w:kern w:val="0"/>
          <w:sz w:val="30"/>
          <w:szCs w:val="30"/>
          <w:lang w:val="en-US" w:eastAsia="zh-CN" w:bidi="ar-SA"/>
        </w:rPr>
      </w:pPr>
      <w:r>
        <w:rPr>
          <w:rFonts w:hint="default" w:ascii="Times New Roman" w:hAnsi="Times New Roman" w:eastAsia="黑体" w:cs="Times New Roman"/>
          <w:b w:val="0"/>
          <w:bCs/>
          <w:color w:val="auto"/>
          <w:kern w:val="0"/>
          <w:sz w:val="30"/>
          <w:szCs w:val="30"/>
          <w:lang w:val="en-US" w:eastAsia="zh-CN" w:bidi="ar-SA"/>
        </w:rPr>
        <w:t>6.1.4风险识别结果</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根据以上分析，建设项目环境风险识别汇总见6.1-4，</w:t>
      </w:r>
      <w:r>
        <w:rPr>
          <w:rFonts w:hint="default" w:ascii="Times New Roman" w:hAnsi="Times New Roman" w:eastAsia="宋体" w:cs="Times New Roman"/>
          <w:bCs/>
          <w:snapToGrid w:val="0"/>
          <w:color w:val="auto"/>
          <w:kern w:val="0"/>
          <w:sz w:val="24"/>
          <w:szCs w:val="21"/>
          <w:lang w:val="en-US" w:eastAsia="zh-CN" w:bidi="ar-SA"/>
        </w:rPr>
        <w:t>项目危险单元分布见图6.1-2。</w:t>
      </w:r>
    </w:p>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en-US" w:eastAsia="zh-CN" w:bidi="ar-SA"/>
        </w:rPr>
      </w:pPr>
      <w:r>
        <w:rPr>
          <w:rFonts w:hint="default" w:ascii="Times New Roman" w:hAnsi="Times New Roman" w:eastAsia="黑体" w:cs="Times New Roman"/>
          <w:b w:val="0"/>
          <w:bCs/>
          <w:color w:val="auto"/>
          <w:kern w:val="2"/>
          <w:sz w:val="24"/>
          <w:szCs w:val="24"/>
          <w:lang w:val="en-US" w:eastAsia="zh-CN" w:bidi="ar-SA"/>
        </w:rPr>
        <w:t>表 6.1-4 项目环境风险识别表</w:t>
      </w:r>
    </w:p>
    <w:tbl>
      <w:tblPr>
        <w:tblStyle w:val="90"/>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2"/>
        <w:gridCol w:w="2314"/>
        <w:gridCol w:w="2072"/>
        <w:gridCol w:w="1974"/>
        <w:gridCol w:w="813"/>
        <w:gridCol w:w="137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1222"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危险单元</w:t>
            </w:r>
          </w:p>
        </w:tc>
        <w:tc>
          <w:tcPr>
            <w:tcW w:w="231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风险源</w:t>
            </w:r>
          </w:p>
        </w:tc>
        <w:tc>
          <w:tcPr>
            <w:tcW w:w="207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主要危险物质</w:t>
            </w:r>
          </w:p>
        </w:tc>
        <w:tc>
          <w:tcPr>
            <w:tcW w:w="197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环境风险类型</w:t>
            </w:r>
          </w:p>
        </w:tc>
        <w:tc>
          <w:tcPr>
            <w:tcW w:w="81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环境影响途径</w:t>
            </w:r>
          </w:p>
        </w:tc>
        <w:tc>
          <w:tcPr>
            <w:tcW w:w="1373"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可能受影响的环境敏感目标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22" w:type="dxa"/>
            <w:vMerge w:val="restar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罐区</w:t>
            </w:r>
          </w:p>
        </w:tc>
        <w:tc>
          <w:tcPr>
            <w:tcW w:w="2314" w:type="dxa"/>
            <w:noWrap w:val="0"/>
            <w:vAlign w:val="center"/>
          </w:tcPr>
          <w:p>
            <w:pPr>
              <w:keepNext w:val="0"/>
              <w:keepLines w:val="0"/>
              <w:pageBreakBefore w:val="0"/>
              <w:widowControl/>
              <w:suppressLineNumbers w:val="0"/>
              <w:kinsoku/>
              <w:wordWrap/>
              <w:overflowPunct/>
              <w:topLinePunct w:val="0"/>
              <w:autoSpaceDE/>
              <w:autoSpaceDN/>
              <w:bidi w:val="0"/>
              <w:spacing w:line="300" w:lineRule="exact"/>
              <w:ind w:firstLine="0"/>
              <w:jc w:val="center"/>
              <w:textAlignment w:val="center"/>
              <w:outlineLvl w:val="9"/>
              <w:rPr>
                <w:rFonts w:hint="default" w:ascii="Times New Roman" w:hAnsi="Times New Roman" w:eastAsia="宋体" w:cs="Times New Roman"/>
                <w:b w:val="0"/>
                <w:bCs/>
                <w:color w:val="auto"/>
                <w:sz w:val="21"/>
                <w:szCs w:val="21"/>
                <w:lang w:val="en-US"/>
              </w:rPr>
            </w:pPr>
            <w:r>
              <w:rPr>
                <w:rFonts w:hint="default" w:ascii="Times New Roman" w:hAnsi="Times New Roman" w:eastAsia="宋体" w:cs="Times New Roman"/>
                <w:i w:val="0"/>
                <w:color w:val="auto"/>
                <w:kern w:val="0"/>
                <w:sz w:val="21"/>
                <w:szCs w:val="21"/>
                <w:u w:val="none"/>
                <w:lang w:val="en-US" w:eastAsia="zh-CN" w:bidi="ar"/>
              </w:rPr>
              <w:t>工业级硝酸储罐</w:t>
            </w:r>
          </w:p>
        </w:tc>
        <w:tc>
          <w:tcPr>
            <w:tcW w:w="2072" w:type="dxa"/>
            <w:noWrap w:val="0"/>
            <w:vAlign w:val="center"/>
          </w:tcPr>
          <w:p>
            <w:pPr>
              <w:keepNext w:val="0"/>
              <w:keepLines w:val="0"/>
              <w:pageBreakBefore w:val="0"/>
              <w:widowControl/>
              <w:suppressLineNumbers w:val="0"/>
              <w:kinsoku/>
              <w:wordWrap/>
              <w:overflowPunct/>
              <w:topLinePunct w:val="0"/>
              <w:autoSpaceDE/>
              <w:autoSpaceDN/>
              <w:bidi w:val="0"/>
              <w:spacing w:line="300" w:lineRule="exact"/>
              <w:ind w:firstLine="0"/>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98%硝酸</w:t>
            </w:r>
          </w:p>
        </w:tc>
        <w:tc>
          <w:tcPr>
            <w:tcW w:w="1974" w:type="dxa"/>
            <w:vMerge w:val="restar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300" w:lineRule="exact"/>
              <w:ind w:left="0" w:right="0" w:firstLine="0"/>
              <w:jc w:val="center"/>
              <w:outlineLvl w:val="9"/>
              <w:rPr>
                <w:rFonts w:hint="default" w:ascii="Times New Roman" w:hAnsi="Times New Roman" w:eastAsia="宋体" w:cs="Times New Roman"/>
                <w:color w:val="auto"/>
                <w:sz w:val="21"/>
                <w:szCs w:val="21"/>
                <w:lang w:val="zh-CN" w:bidi="ar"/>
              </w:rPr>
            </w:pPr>
            <w:r>
              <w:rPr>
                <w:rFonts w:hint="default" w:ascii="Times New Roman" w:hAnsi="Times New Roman" w:eastAsia="宋体" w:cs="Times New Roman"/>
                <w:color w:val="auto"/>
                <w:sz w:val="21"/>
                <w:szCs w:val="21"/>
                <w:lang w:val="zh-CN" w:bidi="ar"/>
              </w:rPr>
              <w:t>大气：泄漏物料、火灾产生的伴生/次生污染物、</w:t>
            </w:r>
            <w:r>
              <w:rPr>
                <w:rFonts w:hint="default" w:ascii="Times New Roman" w:hAnsi="Times New Roman" w:eastAsia="宋体" w:cs="Times New Roman"/>
                <w:color w:val="auto"/>
                <w:sz w:val="21"/>
                <w:szCs w:val="21"/>
                <w:lang w:bidi="ar"/>
              </w:rPr>
              <w:t>未经处理废气</w:t>
            </w:r>
            <w:r>
              <w:rPr>
                <w:rFonts w:hint="default" w:ascii="Times New Roman" w:hAnsi="Times New Roman" w:eastAsia="宋体" w:cs="Times New Roman"/>
                <w:color w:val="auto"/>
                <w:sz w:val="21"/>
                <w:szCs w:val="21"/>
                <w:lang w:val="zh-CN" w:bidi="ar"/>
              </w:rPr>
              <w:t>进入大气。</w:t>
            </w:r>
          </w:p>
          <w:p>
            <w:pPr>
              <w:keepNext w:val="0"/>
              <w:keepLines w:val="0"/>
              <w:pageBreakBefore w:val="0"/>
              <w:widowControl w:val="0"/>
              <w:kinsoku/>
              <w:wordWrap/>
              <w:overflowPunct/>
              <w:topLinePunct w:val="0"/>
              <w:autoSpaceDE/>
              <w:autoSpaceDN/>
              <w:bidi w:val="0"/>
              <w:adjustRightInd w:val="0"/>
              <w:snapToGrid w:val="0"/>
              <w:spacing w:line="300" w:lineRule="exact"/>
              <w:ind w:left="0" w:firstLine="0"/>
              <w:jc w:val="both"/>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zh-CN" w:eastAsia="zh-CN" w:bidi="ar"/>
              </w:rPr>
              <w:t>水环境：泄漏物料</w:t>
            </w:r>
            <w:r>
              <w:rPr>
                <w:rFonts w:hint="default" w:ascii="Times New Roman" w:hAnsi="Times New Roman" w:eastAsia="宋体" w:cs="Times New Roman"/>
                <w:bCs/>
                <w:color w:val="auto"/>
                <w:kern w:val="2"/>
                <w:sz w:val="21"/>
                <w:szCs w:val="21"/>
                <w:lang w:val="en-US" w:eastAsia="zh-CN" w:bidi="ar"/>
              </w:rPr>
              <w:t>或洗消废水</w:t>
            </w:r>
            <w:r>
              <w:rPr>
                <w:rFonts w:hint="default" w:ascii="Times New Roman" w:hAnsi="Times New Roman" w:eastAsia="宋体" w:cs="Times New Roman"/>
                <w:bCs/>
                <w:color w:val="auto"/>
                <w:kern w:val="2"/>
                <w:sz w:val="21"/>
                <w:szCs w:val="21"/>
                <w:lang w:val="zh-CN" w:eastAsia="zh-CN" w:bidi="ar"/>
              </w:rPr>
              <w:t>渗入土壤、地下水。</w:t>
            </w:r>
          </w:p>
        </w:tc>
        <w:tc>
          <w:tcPr>
            <w:tcW w:w="8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left="0" w:firstLine="0"/>
              <w:jc w:val="both"/>
              <w:outlineLvl w:val="9"/>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大气、地表水、地下水、土壤</w:t>
            </w:r>
          </w:p>
        </w:tc>
        <w:tc>
          <w:tcPr>
            <w:tcW w:w="1373" w:type="dxa"/>
            <w:vMerge w:val="restart"/>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left="0" w:firstLine="0"/>
              <w:jc w:val="both"/>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大气：</w:t>
            </w:r>
            <w:r>
              <w:rPr>
                <w:rFonts w:hint="default" w:ascii="Times New Roman" w:hAnsi="Times New Roman" w:eastAsia="宋体" w:cs="Times New Roman"/>
                <w:bCs/>
                <w:color w:val="auto"/>
                <w:kern w:val="2"/>
                <w:sz w:val="21"/>
                <w:szCs w:val="21"/>
                <w:lang w:val="zh-CN" w:eastAsia="zh-CN" w:bidi="ar"/>
              </w:rPr>
              <w:t>影响范围内村庄居民及周边企业员工</w:t>
            </w:r>
            <w:r>
              <w:rPr>
                <w:rFonts w:hint="default" w:ascii="Times New Roman" w:hAnsi="Times New Roman" w:eastAsia="宋体" w:cs="Times New Roman"/>
                <w:b w:val="0"/>
                <w:bCs/>
                <w:color w:val="auto"/>
                <w:kern w:val="2"/>
                <w:sz w:val="21"/>
                <w:szCs w:val="21"/>
                <w:lang w:val="en-US" w:eastAsia="zh-CN" w:bidi="ar-SA"/>
              </w:rPr>
              <w:t>；</w:t>
            </w:r>
          </w:p>
          <w:p>
            <w:pPr>
              <w:keepNext w:val="0"/>
              <w:keepLines w:val="0"/>
              <w:pageBreakBefore w:val="0"/>
              <w:widowControl w:val="0"/>
              <w:kinsoku/>
              <w:wordWrap/>
              <w:overflowPunct/>
              <w:topLinePunct w:val="0"/>
              <w:autoSpaceDE/>
              <w:autoSpaceDN/>
              <w:bidi w:val="0"/>
              <w:adjustRightInd w:val="0"/>
              <w:snapToGrid w:val="0"/>
              <w:spacing w:line="300" w:lineRule="exact"/>
              <w:ind w:left="0" w:firstLine="0"/>
              <w:jc w:val="both"/>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水域：排洪渠、兴化湾</w:t>
            </w:r>
            <w:r>
              <w:rPr>
                <w:rFonts w:hint="default" w:ascii="Times New Roman" w:hAnsi="Times New Roman" w:eastAsia="宋体" w:cs="Times New Roman"/>
                <w:bCs/>
                <w:color w:val="auto"/>
                <w:kern w:val="2"/>
                <w:sz w:val="21"/>
                <w:szCs w:val="21"/>
                <w:lang w:val="en-US" w:eastAsia="zh-CN" w:bidi="ar"/>
              </w:rPr>
              <w:t>及</w:t>
            </w:r>
            <w:r>
              <w:rPr>
                <w:rFonts w:hint="default" w:ascii="Times New Roman" w:hAnsi="Times New Roman" w:eastAsia="宋体" w:cs="Times New Roman"/>
                <w:bCs/>
                <w:color w:val="auto"/>
                <w:kern w:val="2"/>
                <w:sz w:val="21"/>
                <w:szCs w:val="21"/>
                <w:lang w:val="zh-CN" w:eastAsia="zh-CN" w:bidi="ar"/>
              </w:rPr>
              <w:t>地下水质量。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vMerge w:val="continue"/>
            <w:tcBorders>
              <w:left w:val="single" w:color="auto" w:sz="4" w:space="0"/>
            </w:tcBorders>
            <w:noWrap w:val="0"/>
          </w:tcPr>
          <w:p/>
        </w:tc>
        <w:tc>
          <w:tcPr>
            <w:tcW w:w="2314" w:type="dxa"/>
            <w:noWrap w:val="0"/>
            <w:vAlign w:val="center"/>
          </w:tcPr>
          <w:p>
            <w:pPr>
              <w:keepNext w:val="0"/>
              <w:keepLines w:val="0"/>
              <w:pageBreakBefore w:val="0"/>
              <w:widowControl/>
              <w:suppressLineNumbers w:val="0"/>
              <w:kinsoku/>
              <w:wordWrap/>
              <w:overflowPunct/>
              <w:topLinePunct w:val="0"/>
              <w:autoSpaceDE/>
              <w:autoSpaceDN/>
              <w:bidi w:val="0"/>
              <w:spacing w:line="300" w:lineRule="exact"/>
              <w:ind w:firstLine="0"/>
              <w:jc w:val="center"/>
              <w:textAlignment w:val="center"/>
              <w:outlineLvl w:val="9"/>
              <w:rPr>
                <w:rFonts w:hint="default" w:ascii="Times New Roman" w:hAnsi="Times New Roman" w:eastAsia="宋体" w:cs="Times New Roman"/>
                <w:b w:val="0"/>
                <w:bCs/>
                <w:color w:val="auto"/>
                <w:sz w:val="21"/>
                <w:szCs w:val="21"/>
              </w:rPr>
            </w:pPr>
            <w:r>
              <w:rPr>
                <w:rFonts w:hint="default" w:ascii="Times New Roman" w:hAnsi="Times New Roman" w:eastAsia="宋体" w:cs="Times New Roman"/>
                <w:i w:val="0"/>
                <w:color w:val="auto"/>
                <w:kern w:val="0"/>
                <w:sz w:val="21"/>
                <w:szCs w:val="21"/>
                <w:u w:val="none"/>
                <w:lang w:val="en-US" w:eastAsia="zh-CN" w:bidi="ar"/>
              </w:rPr>
              <w:t>电子级硝酸储罐</w:t>
            </w:r>
          </w:p>
        </w:tc>
        <w:tc>
          <w:tcPr>
            <w:tcW w:w="2072" w:type="dxa"/>
            <w:noWrap w:val="0"/>
            <w:vAlign w:val="center"/>
          </w:tcPr>
          <w:p>
            <w:pPr>
              <w:keepNext w:val="0"/>
              <w:keepLines w:val="0"/>
              <w:pageBreakBefore w:val="0"/>
              <w:widowControl/>
              <w:suppressLineNumbers w:val="0"/>
              <w:kinsoku/>
              <w:wordWrap/>
              <w:overflowPunct/>
              <w:topLinePunct w:val="0"/>
              <w:autoSpaceDE/>
              <w:autoSpaceDN/>
              <w:bidi w:val="0"/>
              <w:spacing w:line="300" w:lineRule="exact"/>
              <w:ind w:firstLine="0"/>
              <w:jc w:val="center"/>
              <w:textAlignment w:val="center"/>
              <w:outlineLvl w:val="9"/>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lang w:val="en-US" w:eastAsia="zh-CN"/>
              </w:rPr>
              <w:t>65%硝酸</w:t>
            </w:r>
          </w:p>
        </w:tc>
        <w:tc>
          <w:tcPr>
            <w:vMerge w:val="continue"/>
            <w:noWrap w:val="0"/>
          </w:tcPr>
          <w:p/>
        </w:tc>
        <w:tc>
          <w:tcPr>
            <w:vMerge w:val="continue"/>
            <w:noWrap w:val="0"/>
          </w:tcPr>
          <w:p/>
        </w:tc>
        <w:tc>
          <w:tcPr>
            <w:vMerge w:val="continue"/>
            <w:tcBorders>
              <w:right w:val="single" w:color="auto" w:sz="4" w:space="0"/>
            </w:tcBorders>
            <w:noWrap w:val="0"/>
          </w:tc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vMerge w:val="continue"/>
            <w:tcBorders>
              <w:left w:val="single" w:color="auto" w:sz="4" w:space="0"/>
            </w:tcBorders>
            <w:noWrap w:val="0"/>
          </w:tcPr>
          <w:p/>
        </w:tc>
        <w:tc>
          <w:tcPr>
            <w:tcW w:w="2314" w:type="dxa"/>
            <w:noWrap w:val="0"/>
            <w:vAlign w:val="center"/>
          </w:tcPr>
          <w:p>
            <w:pPr>
              <w:keepNext w:val="0"/>
              <w:keepLines w:val="0"/>
              <w:pageBreakBefore w:val="0"/>
              <w:widowControl/>
              <w:suppressLineNumbers w:val="0"/>
              <w:kinsoku/>
              <w:wordWrap/>
              <w:overflowPunct/>
              <w:topLinePunct w:val="0"/>
              <w:autoSpaceDE/>
              <w:autoSpaceDN/>
              <w:bidi w:val="0"/>
              <w:spacing w:line="300" w:lineRule="exact"/>
              <w:ind w:firstLine="0"/>
              <w:jc w:val="center"/>
              <w:textAlignment w:val="center"/>
              <w:outlineLvl w:val="9"/>
              <w:rPr>
                <w:rFonts w:hint="default" w:ascii="Times New Roman" w:hAnsi="Times New Roman" w:eastAsia="宋体" w:cs="Times New Roman"/>
                <w:b w:val="0"/>
                <w:bCs/>
                <w:color w:val="auto"/>
                <w:sz w:val="21"/>
                <w:szCs w:val="21"/>
              </w:rPr>
            </w:pPr>
            <w:r>
              <w:rPr>
                <w:rFonts w:hint="default" w:ascii="Times New Roman" w:hAnsi="Times New Roman" w:eastAsia="宋体" w:cs="Times New Roman"/>
                <w:i w:val="0"/>
                <w:color w:val="auto"/>
                <w:kern w:val="0"/>
                <w:sz w:val="21"/>
                <w:szCs w:val="21"/>
                <w:u w:val="none"/>
                <w:lang w:val="en-US" w:eastAsia="zh-CN" w:bidi="ar"/>
              </w:rPr>
              <w:t>氨水罐</w:t>
            </w:r>
          </w:p>
        </w:tc>
        <w:tc>
          <w:tcPr>
            <w:tcW w:w="2072" w:type="dxa"/>
            <w:noWrap w:val="0"/>
            <w:vAlign w:val="center"/>
          </w:tcPr>
          <w:p>
            <w:pPr>
              <w:keepNext w:val="0"/>
              <w:keepLines w:val="0"/>
              <w:pageBreakBefore w:val="0"/>
              <w:widowControl/>
              <w:suppressLineNumbers w:val="0"/>
              <w:kinsoku/>
              <w:wordWrap/>
              <w:overflowPunct/>
              <w:topLinePunct w:val="0"/>
              <w:autoSpaceDE/>
              <w:autoSpaceDN/>
              <w:bidi w:val="0"/>
              <w:spacing w:line="300" w:lineRule="exact"/>
              <w:ind w:firstLine="0"/>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50%氨水</w:t>
            </w:r>
          </w:p>
        </w:tc>
        <w:tc>
          <w:tcPr>
            <w:vMerge w:val="continue"/>
            <w:noWrap w:val="0"/>
          </w:tcPr>
          <w:p/>
        </w:tc>
        <w:tc>
          <w:tcPr>
            <w:vMerge w:val="continue"/>
            <w:noWrap w:val="0"/>
          </w:tcPr>
          <w:p/>
        </w:tc>
        <w:tc>
          <w:tcPr>
            <w:vMerge w:val="continue"/>
            <w:tcBorders>
              <w:right w:val="single" w:color="auto" w:sz="4" w:space="0"/>
            </w:tcBorders>
            <w:noWrap w:val="0"/>
          </w:tc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vMerge w:val="continue"/>
            <w:tcBorders>
              <w:left w:val="single" w:color="auto" w:sz="4" w:space="0"/>
            </w:tcBorders>
            <w:noWrap w:val="0"/>
          </w:tcPr>
          <w:p/>
        </w:tc>
        <w:tc>
          <w:tcPr>
            <w:tcW w:w="2314" w:type="dxa"/>
            <w:noWrap w:val="0"/>
            <w:vAlign w:val="center"/>
          </w:tcPr>
          <w:p>
            <w:pPr>
              <w:keepNext w:val="0"/>
              <w:keepLines w:val="0"/>
              <w:pageBreakBefore w:val="0"/>
              <w:widowControl/>
              <w:suppressLineNumbers w:val="0"/>
              <w:kinsoku/>
              <w:wordWrap/>
              <w:overflowPunct/>
              <w:topLinePunct w:val="0"/>
              <w:autoSpaceDE/>
              <w:autoSpaceDN/>
              <w:bidi w:val="0"/>
              <w:spacing w:line="300" w:lineRule="exact"/>
              <w:ind w:firstLine="0"/>
              <w:jc w:val="center"/>
              <w:textAlignment w:val="center"/>
              <w:outlineLvl w:val="9"/>
              <w:rPr>
                <w:rFonts w:hint="default" w:ascii="Times New Roman" w:hAnsi="Times New Roman" w:eastAsia="宋体" w:cs="Times New Roman"/>
                <w:b w:val="0"/>
                <w:bCs/>
                <w:color w:val="auto"/>
                <w:sz w:val="21"/>
                <w:szCs w:val="21"/>
              </w:rPr>
            </w:pPr>
            <w:r>
              <w:rPr>
                <w:rFonts w:hint="default" w:ascii="Times New Roman" w:hAnsi="Times New Roman" w:eastAsia="宋体" w:cs="Times New Roman"/>
                <w:i w:val="0"/>
                <w:color w:val="auto"/>
                <w:kern w:val="0"/>
                <w:sz w:val="21"/>
                <w:szCs w:val="21"/>
                <w:u w:val="none"/>
                <w:lang w:val="en-US" w:eastAsia="zh-CN" w:bidi="ar"/>
              </w:rPr>
              <w:t>乙醇储罐</w:t>
            </w:r>
          </w:p>
        </w:tc>
        <w:tc>
          <w:tcPr>
            <w:tcW w:w="2072" w:type="dxa"/>
            <w:noWrap w:val="0"/>
            <w:vAlign w:val="center"/>
          </w:tcPr>
          <w:p>
            <w:pPr>
              <w:keepNext w:val="0"/>
              <w:keepLines w:val="0"/>
              <w:pageBreakBefore w:val="0"/>
              <w:widowControl/>
              <w:suppressLineNumbers w:val="0"/>
              <w:kinsoku/>
              <w:wordWrap/>
              <w:overflowPunct/>
              <w:topLinePunct w:val="0"/>
              <w:autoSpaceDE/>
              <w:autoSpaceDN/>
              <w:bidi w:val="0"/>
              <w:spacing w:line="300" w:lineRule="exact"/>
              <w:ind w:firstLine="0"/>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95%乙醇</w:t>
            </w:r>
          </w:p>
        </w:tc>
        <w:tc>
          <w:tcPr>
            <w:vMerge w:val="continue"/>
            <w:noWrap w:val="0"/>
          </w:tcPr>
          <w:p/>
        </w:tc>
        <w:tc>
          <w:tcPr>
            <w:vMerge w:val="continue"/>
            <w:noWrap w:val="0"/>
          </w:tcPr>
          <w:p/>
        </w:tc>
        <w:tc>
          <w:tcPr>
            <w:vMerge w:val="continue"/>
            <w:tcBorders>
              <w:right w:val="single" w:color="auto" w:sz="4" w:space="0"/>
            </w:tcBorders>
            <w:noWrap w:val="0"/>
          </w:tc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vMerge w:val="continue"/>
            <w:tcBorders>
              <w:left w:val="single" w:color="auto" w:sz="4" w:space="0"/>
            </w:tcBorders>
            <w:noWrap w:val="0"/>
          </w:tcPr>
          <w:p/>
        </w:tc>
        <w:tc>
          <w:tcPr>
            <w:tcW w:w="2314" w:type="dxa"/>
            <w:noWrap w:val="0"/>
            <w:vAlign w:val="center"/>
          </w:tcPr>
          <w:p>
            <w:pPr>
              <w:keepNext w:val="0"/>
              <w:keepLines w:val="0"/>
              <w:pageBreakBefore w:val="0"/>
              <w:widowControl/>
              <w:suppressLineNumbers w:val="0"/>
              <w:kinsoku/>
              <w:wordWrap/>
              <w:overflowPunct/>
              <w:topLinePunct w:val="0"/>
              <w:autoSpaceDE/>
              <w:autoSpaceDN/>
              <w:bidi w:val="0"/>
              <w:spacing w:line="300" w:lineRule="exact"/>
              <w:ind w:firstLine="0"/>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双氧水储罐</w:t>
            </w:r>
          </w:p>
        </w:tc>
        <w:tc>
          <w:tcPr>
            <w:tcW w:w="2072" w:type="dxa"/>
            <w:noWrap w:val="0"/>
            <w:vAlign w:val="center"/>
          </w:tcPr>
          <w:p>
            <w:pPr>
              <w:keepNext w:val="0"/>
              <w:keepLines w:val="0"/>
              <w:pageBreakBefore w:val="0"/>
              <w:widowControl/>
              <w:suppressLineNumbers w:val="0"/>
              <w:kinsoku/>
              <w:wordWrap/>
              <w:overflowPunct/>
              <w:topLinePunct w:val="0"/>
              <w:autoSpaceDE/>
              <w:autoSpaceDN/>
              <w:bidi w:val="0"/>
              <w:spacing w:line="300" w:lineRule="exact"/>
              <w:ind w:firstLine="0"/>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50%双氧水</w:t>
            </w:r>
          </w:p>
        </w:tc>
        <w:tc>
          <w:tcPr>
            <w:vMerge w:val="continue"/>
            <w:noWrap w:val="0"/>
          </w:tcPr>
          <w:p/>
        </w:tc>
        <w:tc>
          <w:tcPr>
            <w:vMerge w:val="continue"/>
            <w:noWrap w:val="0"/>
          </w:tcPr>
          <w:p/>
        </w:tc>
        <w:tc>
          <w:tcPr>
            <w:vMerge w:val="continue"/>
            <w:tcBorders>
              <w:right w:val="single" w:color="auto" w:sz="4" w:space="0"/>
            </w:tcBorders>
            <w:noWrap w:val="0"/>
          </w:tc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22" w:type="dxa"/>
            <w:vMerge w:val="restar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综合仓库</w:t>
            </w:r>
          </w:p>
        </w:tc>
        <w:tc>
          <w:tcPr>
            <w:tcW w:w="2314" w:type="dxa"/>
            <w:noWrap w:val="0"/>
            <w:vAlign w:val="center"/>
          </w:tcPr>
          <w:p>
            <w:pPr>
              <w:keepNext w:val="0"/>
              <w:keepLines w:val="0"/>
              <w:pageBreakBefore w:val="0"/>
              <w:widowControl/>
              <w:suppressLineNumbers w:val="0"/>
              <w:kinsoku/>
              <w:wordWrap/>
              <w:overflowPunct/>
              <w:topLinePunct w:val="0"/>
              <w:autoSpaceDE/>
              <w:autoSpaceDN/>
              <w:bidi w:val="0"/>
              <w:spacing w:line="300" w:lineRule="exact"/>
              <w:ind w:firstLine="0"/>
              <w:jc w:val="center"/>
              <w:textAlignment w:val="center"/>
              <w:outlineLvl w:val="9"/>
              <w:rPr>
                <w:rFonts w:hint="default" w:ascii="Times New Roman" w:hAnsi="Times New Roman" w:eastAsia="宋体" w:cs="Times New Roman"/>
                <w:b w:val="0"/>
                <w:bCs/>
                <w:color w:val="auto"/>
                <w:sz w:val="21"/>
                <w:szCs w:val="21"/>
                <w:lang w:val="en-US"/>
              </w:rPr>
            </w:pPr>
            <w:r>
              <w:rPr>
                <w:rFonts w:hint="eastAsia" w:ascii="Times New Roman" w:hAnsi="Times New Roman" w:eastAsia="宋体" w:cs="Times New Roman"/>
                <w:i w:val="0"/>
                <w:color w:val="auto"/>
                <w:kern w:val="0"/>
                <w:sz w:val="21"/>
                <w:szCs w:val="21"/>
                <w:u w:val="none"/>
                <w:lang w:val="en-US" w:eastAsia="zh-CN" w:bidi="ar"/>
              </w:rPr>
              <w:t>次氯酸钠</w:t>
            </w:r>
            <w:r>
              <w:rPr>
                <w:rFonts w:hint="default" w:ascii="Times New Roman" w:hAnsi="Times New Roman" w:eastAsia="宋体" w:cs="Times New Roman"/>
                <w:i w:val="0"/>
                <w:color w:val="auto"/>
                <w:kern w:val="0"/>
                <w:sz w:val="21"/>
                <w:szCs w:val="21"/>
                <w:u w:val="none"/>
                <w:lang w:val="en-US" w:eastAsia="zh-CN" w:bidi="ar"/>
              </w:rPr>
              <w:t>吨桶</w:t>
            </w:r>
          </w:p>
        </w:tc>
        <w:tc>
          <w:tcPr>
            <w:tcW w:w="2072" w:type="dxa"/>
            <w:noWrap w:val="0"/>
            <w:vAlign w:val="center"/>
          </w:tcPr>
          <w:p>
            <w:pPr>
              <w:keepNext w:val="0"/>
              <w:keepLines w:val="0"/>
              <w:pageBreakBefore w:val="0"/>
              <w:widowControl/>
              <w:suppressLineNumbers w:val="0"/>
              <w:kinsoku/>
              <w:wordWrap/>
              <w:overflowPunct/>
              <w:topLinePunct w:val="0"/>
              <w:autoSpaceDE/>
              <w:autoSpaceDN/>
              <w:bidi w:val="0"/>
              <w:spacing w:line="300" w:lineRule="exact"/>
              <w:ind w:firstLine="0"/>
              <w:jc w:val="center"/>
              <w:textAlignment w:val="center"/>
              <w:outlineLvl w:val="9"/>
              <w:rPr>
                <w:rFonts w:hint="default"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10</w:t>
            </w:r>
            <w:r>
              <w:rPr>
                <w:rFonts w:hint="default" w:ascii="Times New Roman" w:hAnsi="Times New Roman" w:eastAsia="宋体" w:cs="Times New Roman"/>
                <w:b w:val="0"/>
                <w:bCs/>
                <w:color w:val="auto"/>
                <w:sz w:val="21"/>
                <w:szCs w:val="21"/>
                <w:lang w:val="en-US" w:eastAsia="zh-CN"/>
              </w:rPr>
              <w:t>%</w:t>
            </w:r>
            <w:r>
              <w:rPr>
                <w:rFonts w:hint="eastAsia" w:ascii="Times New Roman" w:hAnsi="Times New Roman" w:eastAsia="宋体" w:cs="Times New Roman"/>
                <w:i w:val="0"/>
                <w:color w:val="auto"/>
                <w:kern w:val="0"/>
                <w:sz w:val="21"/>
                <w:szCs w:val="21"/>
                <w:u w:val="none"/>
                <w:lang w:val="en-US" w:eastAsia="zh-CN" w:bidi="ar"/>
              </w:rPr>
              <w:t>次氯酸钠</w:t>
            </w:r>
          </w:p>
        </w:tc>
        <w:tc>
          <w:tcPr>
            <w:tcW w:w="197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left="0" w:firstLine="0"/>
              <w:jc w:val="both"/>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zh-CN" w:eastAsia="zh-CN" w:bidi="ar"/>
              </w:rPr>
              <w:t>大气：泄漏物料挥发进入大气。水环境：泄漏物料</w:t>
            </w:r>
            <w:r>
              <w:rPr>
                <w:rFonts w:hint="default" w:ascii="Times New Roman" w:hAnsi="Times New Roman" w:eastAsia="宋体" w:cs="Times New Roman"/>
                <w:bCs/>
                <w:color w:val="auto"/>
                <w:kern w:val="2"/>
                <w:sz w:val="21"/>
                <w:szCs w:val="21"/>
                <w:lang w:val="en-US" w:eastAsia="zh-CN" w:bidi="ar"/>
              </w:rPr>
              <w:t>或洗消废水</w:t>
            </w:r>
            <w:r>
              <w:rPr>
                <w:rFonts w:hint="default" w:ascii="Times New Roman" w:hAnsi="Times New Roman" w:eastAsia="宋体" w:cs="Times New Roman"/>
                <w:bCs/>
                <w:color w:val="auto"/>
                <w:kern w:val="2"/>
                <w:sz w:val="21"/>
                <w:szCs w:val="21"/>
                <w:lang w:val="zh-CN" w:eastAsia="zh-CN" w:bidi="ar"/>
              </w:rPr>
              <w:t>渗入土壤、地下水。</w:t>
            </w:r>
          </w:p>
        </w:tc>
        <w:tc>
          <w:tcPr>
            <w:vMerge w:val="continue"/>
            <w:noWrap w:val="0"/>
          </w:tcPr>
          <w:p/>
        </w:tc>
        <w:tc>
          <w:tcPr>
            <w:vMerge w:val="continue"/>
            <w:tcBorders>
              <w:right w:val="single" w:color="auto" w:sz="4" w:space="0"/>
            </w:tcBorders>
            <w:noWrap w:val="0"/>
          </w:tc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vMerge w:val="continue"/>
            <w:tcBorders>
              <w:left w:val="single" w:color="auto" w:sz="4" w:space="0"/>
            </w:tcBorders>
            <w:noWrap w:val="0"/>
          </w:tcPr>
          <w:p/>
        </w:tc>
        <w:tc>
          <w:tcPr>
            <w:tcW w:w="2314" w:type="dxa"/>
            <w:noWrap w:val="0"/>
            <w:vAlign w:val="center"/>
          </w:tcPr>
          <w:p>
            <w:pPr>
              <w:keepNext w:val="0"/>
              <w:keepLines w:val="0"/>
              <w:pageBreakBefore w:val="0"/>
              <w:widowControl/>
              <w:suppressLineNumbers w:val="0"/>
              <w:kinsoku/>
              <w:wordWrap/>
              <w:overflowPunct/>
              <w:topLinePunct w:val="0"/>
              <w:autoSpaceDE/>
              <w:autoSpaceDN/>
              <w:bidi w:val="0"/>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福尔马林吨桶</w:t>
            </w:r>
          </w:p>
        </w:tc>
        <w:tc>
          <w:tcPr>
            <w:tcW w:w="2072" w:type="dxa"/>
            <w:noWrap w:val="0"/>
            <w:vAlign w:val="center"/>
          </w:tcPr>
          <w:p>
            <w:pPr>
              <w:keepNext w:val="0"/>
              <w:keepLines w:val="0"/>
              <w:pageBreakBefore w:val="0"/>
              <w:widowControl/>
              <w:suppressLineNumbers w:val="0"/>
              <w:kinsoku/>
              <w:wordWrap/>
              <w:overflowPunct/>
              <w:topLinePunct w:val="0"/>
              <w:autoSpaceDE/>
              <w:autoSpaceDN/>
              <w:bidi w:val="0"/>
              <w:spacing w:line="300" w:lineRule="exact"/>
              <w:ind w:firstLine="0"/>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37%</w:t>
            </w:r>
            <w:r>
              <w:rPr>
                <w:rFonts w:hint="default" w:ascii="Times New Roman" w:hAnsi="Times New Roman" w:eastAsia="宋体" w:cs="Times New Roman"/>
                <w:i w:val="0"/>
                <w:color w:val="auto"/>
                <w:kern w:val="0"/>
                <w:sz w:val="21"/>
                <w:szCs w:val="21"/>
                <w:u w:val="none"/>
                <w:lang w:val="en-US" w:eastAsia="zh-CN" w:bidi="ar"/>
              </w:rPr>
              <w:t>福尔马林</w:t>
            </w:r>
          </w:p>
        </w:tc>
        <w:tc>
          <w:tcPr>
            <w:vMerge w:val="continue"/>
            <w:noWrap w:val="0"/>
          </w:tcPr>
          <w:p/>
        </w:tc>
        <w:tc>
          <w:tcPr>
            <w:vMerge w:val="continue"/>
            <w:noWrap w:val="0"/>
          </w:tcPr>
          <w:p/>
        </w:tc>
        <w:tc>
          <w:tcPr>
            <w:vMerge w:val="continue"/>
            <w:tcBorders>
              <w:right w:val="single" w:color="auto" w:sz="4" w:space="0"/>
            </w:tcBorders>
            <w:noWrap w:val="0"/>
          </w:tc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vMerge w:val="continue"/>
            <w:tcBorders>
              <w:left w:val="single" w:color="auto" w:sz="4" w:space="0"/>
            </w:tcBorders>
            <w:noWrap w:val="0"/>
          </w:tcPr>
          <w:p/>
        </w:tc>
        <w:tc>
          <w:tcPr>
            <w:tcW w:w="2314" w:type="dxa"/>
            <w:noWrap w:val="0"/>
            <w:vAlign w:val="center"/>
          </w:tcPr>
          <w:p>
            <w:pPr>
              <w:keepNext w:val="0"/>
              <w:keepLines w:val="0"/>
              <w:pageBreakBefore w:val="0"/>
              <w:widowControl/>
              <w:suppressLineNumbers w:val="0"/>
              <w:kinsoku/>
              <w:wordWrap/>
              <w:overflowPunct/>
              <w:topLinePunct w:val="0"/>
              <w:autoSpaceDE/>
              <w:autoSpaceDN/>
              <w:bidi w:val="0"/>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氢氧化钠吨桶</w:t>
            </w:r>
          </w:p>
        </w:tc>
        <w:tc>
          <w:tcPr>
            <w:tcW w:w="2072" w:type="dxa"/>
            <w:noWrap w:val="0"/>
            <w:vAlign w:val="center"/>
          </w:tcPr>
          <w:p>
            <w:pPr>
              <w:keepNext w:val="0"/>
              <w:keepLines w:val="0"/>
              <w:pageBreakBefore w:val="0"/>
              <w:widowControl/>
              <w:suppressLineNumbers w:val="0"/>
              <w:kinsoku/>
              <w:wordWrap/>
              <w:overflowPunct/>
              <w:topLinePunct w:val="0"/>
              <w:autoSpaceDE/>
              <w:autoSpaceDN/>
              <w:bidi w:val="0"/>
              <w:spacing w:line="300" w:lineRule="exact"/>
              <w:ind w:firstLine="0"/>
              <w:jc w:val="center"/>
              <w:textAlignment w:val="center"/>
              <w:outlineLvl w:val="9"/>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99.9%</w:t>
            </w:r>
            <w:r>
              <w:rPr>
                <w:rFonts w:hint="default" w:ascii="Times New Roman" w:hAnsi="Times New Roman" w:eastAsia="宋体" w:cs="Times New Roman"/>
                <w:i w:val="0"/>
                <w:color w:val="auto"/>
                <w:kern w:val="0"/>
                <w:sz w:val="21"/>
                <w:szCs w:val="21"/>
                <w:u w:val="none"/>
                <w:lang w:val="en-US" w:eastAsia="zh-CN" w:bidi="ar"/>
              </w:rPr>
              <w:t>氢氧化钠</w:t>
            </w:r>
          </w:p>
        </w:tc>
        <w:tc>
          <w:tcPr>
            <w:vMerge w:val="continue"/>
            <w:noWrap w:val="0"/>
          </w:tcPr>
          <w:p/>
        </w:tc>
        <w:tc>
          <w:tcPr>
            <w:vMerge w:val="continue"/>
            <w:noWrap w:val="0"/>
          </w:tcPr>
          <w:p/>
        </w:tc>
        <w:tc>
          <w:tcPr>
            <w:vMerge w:val="continue"/>
            <w:tcBorders>
              <w:right w:val="single" w:color="auto" w:sz="4" w:space="0"/>
            </w:tcBorders>
            <w:noWrap w:val="0"/>
          </w:tc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22" w:type="dxa"/>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 w:val="0"/>
                <w:bCs/>
                <w:i w:val="0"/>
                <w:color w:val="auto"/>
                <w:kern w:val="0"/>
                <w:sz w:val="21"/>
                <w:szCs w:val="21"/>
                <w:u w:val="none"/>
                <w:lang w:val="en-US" w:eastAsia="zh-CN" w:bidi="ar"/>
              </w:rPr>
            </w:pPr>
            <w:r>
              <w:rPr>
                <w:rFonts w:hint="default" w:ascii="Times New Roman" w:hAnsi="Times New Roman" w:eastAsia="宋体" w:cs="Times New Roman"/>
                <w:b w:val="0"/>
                <w:bCs/>
                <w:color w:val="auto"/>
                <w:sz w:val="21"/>
                <w:szCs w:val="21"/>
              </w:rPr>
              <w:t>装置区</w:t>
            </w:r>
          </w:p>
        </w:tc>
        <w:tc>
          <w:tcPr>
            <w:tcW w:w="2314" w:type="dxa"/>
            <w:noWrap w:val="0"/>
            <w:vAlign w:val="center"/>
          </w:tcPr>
          <w:p>
            <w:pPr>
              <w:keepNext w:val="0"/>
              <w:keepLines w:val="0"/>
              <w:pageBreakBefore w:val="0"/>
              <w:widowControl/>
              <w:suppressLineNumbers w:val="0"/>
              <w:kinsoku/>
              <w:wordWrap/>
              <w:overflowPunct/>
              <w:topLinePunct w:val="0"/>
              <w:autoSpaceDE/>
              <w:autoSpaceDN/>
              <w:bidi w:val="0"/>
              <w:spacing w:line="300" w:lineRule="exact"/>
              <w:ind w:firstLine="0"/>
              <w:jc w:val="center"/>
              <w:textAlignment w:val="center"/>
              <w:outlineLvl w:val="9"/>
              <w:rPr>
                <w:rFonts w:hint="default" w:ascii="Times New Roman" w:hAnsi="Times New Roman" w:eastAsia="宋体" w:cs="Times New Roman"/>
                <w:b w:val="0"/>
                <w:bCs/>
                <w:color w:val="auto"/>
                <w:sz w:val="21"/>
                <w:szCs w:val="21"/>
                <w:lang w:val="en-US" w:eastAsia="zh-CN" w:bidi="ar"/>
              </w:rPr>
            </w:pPr>
            <w:r>
              <w:rPr>
                <w:rFonts w:hint="default" w:ascii="Times New Roman" w:hAnsi="Times New Roman" w:eastAsia="宋体" w:cs="Times New Roman"/>
                <w:b w:val="0"/>
                <w:bCs/>
                <w:color w:val="auto"/>
                <w:sz w:val="21"/>
                <w:szCs w:val="21"/>
                <w:lang w:val="en-US" w:eastAsia="zh-CN"/>
              </w:rPr>
              <w:t>二号车间</w:t>
            </w:r>
          </w:p>
        </w:tc>
        <w:tc>
          <w:tcPr>
            <w:tcW w:w="2072" w:type="dxa"/>
            <w:noWrap w:val="0"/>
            <w:vAlign w:val="center"/>
          </w:tcPr>
          <w:p>
            <w:pPr>
              <w:keepNext w:val="0"/>
              <w:keepLines w:val="0"/>
              <w:pageBreakBefore w:val="0"/>
              <w:widowControl/>
              <w:suppressLineNumbers w:val="0"/>
              <w:kinsoku/>
              <w:wordWrap/>
              <w:overflowPunct/>
              <w:topLinePunct w:val="0"/>
              <w:autoSpaceDE/>
              <w:autoSpaceDN/>
              <w:bidi w:val="0"/>
              <w:spacing w:line="300" w:lineRule="exact"/>
              <w:ind w:firstLine="0"/>
              <w:jc w:val="center"/>
              <w:textAlignment w:val="center"/>
              <w:outlineLvl w:val="9"/>
              <w:rPr>
                <w:rFonts w:hint="default" w:ascii="Times New Roman" w:hAnsi="Times New Roman" w:eastAsia="宋体" w:cs="Times New Roman"/>
                <w:b w:val="0"/>
                <w:bCs/>
                <w:i w:val="0"/>
                <w:color w:val="auto"/>
                <w:kern w:val="0"/>
                <w:sz w:val="21"/>
                <w:szCs w:val="21"/>
                <w:u w:val="none"/>
                <w:lang w:val="en-US" w:eastAsia="zh-CN" w:bidi="ar"/>
              </w:rPr>
            </w:pPr>
            <w:r>
              <w:rPr>
                <w:rFonts w:hint="default" w:ascii="Times New Roman" w:hAnsi="Times New Roman" w:eastAsia="宋体" w:cs="Times New Roman"/>
                <w:b w:val="0"/>
                <w:bCs/>
                <w:color w:val="auto"/>
                <w:sz w:val="21"/>
                <w:szCs w:val="21"/>
                <w:u w:val="none"/>
                <w:lang w:val="en-US" w:eastAsia="zh-CN" w:bidi="ar"/>
              </w:rPr>
              <w:t>硝酸、氨水、乙醇、</w:t>
            </w:r>
            <w:r>
              <w:rPr>
                <w:rFonts w:hint="eastAsia" w:ascii="Times New Roman" w:hAnsi="Times New Roman" w:eastAsia="宋体" w:cs="Times New Roman"/>
                <w:b w:val="0"/>
                <w:bCs/>
                <w:color w:val="auto"/>
                <w:sz w:val="21"/>
                <w:szCs w:val="21"/>
                <w:u w:val="none"/>
                <w:lang w:val="en-US" w:eastAsia="zh-CN" w:bidi="ar"/>
              </w:rPr>
              <w:t>次氯酸钠</w:t>
            </w:r>
            <w:r>
              <w:rPr>
                <w:rFonts w:hint="default" w:ascii="Times New Roman" w:hAnsi="Times New Roman" w:eastAsia="宋体" w:cs="Times New Roman"/>
                <w:b w:val="0"/>
                <w:bCs/>
                <w:color w:val="auto"/>
                <w:sz w:val="21"/>
                <w:szCs w:val="21"/>
                <w:u w:val="none"/>
                <w:lang w:val="en-US" w:eastAsia="zh-CN" w:bidi="ar"/>
              </w:rPr>
              <w:t>、福尔马林、氢氧化钠、过氧化氢、硝酸银</w:t>
            </w:r>
            <w:r>
              <w:rPr>
                <w:rFonts w:hint="eastAsia" w:ascii="Times New Roman" w:hAnsi="Times New Roman" w:eastAsia="宋体" w:cs="Times New Roman"/>
                <w:b w:val="0"/>
                <w:bCs/>
                <w:color w:val="auto"/>
                <w:sz w:val="21"/>
                <w:szCs w:val="21"/>
                <w:u w:val="none"/>
                <w:lang w:val="en-US" w:eastAsia="zh-CN" w:bidi="ar"/>
              </w:rPr>
              <w:t>、银粉</w:t>
            </w:r>
          </w:p>
        </w:tc>
        <w:tc>
          <w:tcPr>
            <w:tcW w:w="1974"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300" w:lineRule="exact"/>
              <w:ind w:left="0" w:right="0" w:firstLine="0"/>
              <w:jc w:val="center"/>
              <w:outlineLvl w:val="9"/>
              <w:rPr>
                <w:rFonts w:hint="default" w:ascii="Times New Roman" w:hAnsi="Times New Roman" w:eastAsia="宋体" w:cs="Times New Roman"/>
                <w:color w:val="auto"/>
                <w:sz w:val="21"/>
                <w:szCs w:val="21"/>
                <w:lang w:val="zh-CN" w:bidi="ar"/>
              </w:rPr>
            </w:pPr>
            <w:r>
              <w:rPr>
                <w:rFonts w:hint="default" w:ascii="Times New Roman" w:hAnsi="Times New Roman" w:eastAsia="宋体" w:cs="Times New Roman"/>
                <w:color w:val="auto"/>
                <w:sz w:val="21"/>
                <w:szCs w:val="21"/>
                <w:lang w:val="zh-CN" w:bidi="ar"/>
              </w:rPr>
              <w:t>大气：泄漏物料、火灾产生的伴生/次生污染物。</w:t>
            </w:r>
          </w:p>
          <w:p>
            <w:pPr>
              <w:keepNext w:val="0"/>
              <w:keepLines w:val="0"/>
              <w:pageBreakBefore w:val="0"/>
              <w:widowControl w:val="0"/>
              <w:kinsoku/>
              <w:wordWrap/>
              <w:overflowPunct/>
              <w:topLinePunct w:val="0"/>
              <w:autoSpaceDE/>
              <w:autoSpaceDN/>
              <w:bidi w:val="0"/>
              <w:adjustRightInd w:val="0"/>
              <w:snapToGrid w:val="0"/>
              <w:spacing w:line="300" w:lineRule="exact"/>
              <w:ind w:left="0" w:firstLine="0"/>
              <w:jc w:val="both"/>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zh-CN" w:eastAsia="zh-CN" w:bidi="ar"/>
              </w:rPr>
              <w:t>水环境：泄漏物料</w:t>
            </w:r>
            <w:r>
              <w:rPr>
                <w:rFonts w:hint="default" w:ascii="Times New Roman" w:hAnsi="Times New Roman" w:eastAsia="宋体" w:cs="Times New Roman"/>
                <w:bCs/>
                <w:color w:val="auto"/>
                <w:kern w:val="2"/>
                <w:sz w:val="21"/>
                <w:szCs w:val="21"/>
                <w:lang w:val="en-US" w:eastAsia="zh-CN" w:bidi="ar"/>
              </w:rPr>
              <w:t>或洗消废水</w:t>
            </w:r>
            <w:r>
              <w:rPr>
                <w:rFonts w:hint="default" w:ascii="Times New Roman" w:hAnsi="Times New Roman" w:eastAsia="宋体" w:cs="Times New Roman"/>
                <w:bCs/>
                <w:color w:val="auto"/>
                <w:kern w:val="2"/>
                <w:sz w:val="21"/>
                <w:szCs w:val="21"/>
                <w:lang w:val="zh-CN" w:eastAsia="zh-CN" w:bidi="ar"/>
              </w:rPr>
              <w:t>渗入土壤、地下水。</w:t>
            </w:r>
          </w:p>
        </w:tc>
        <w:tc>
          <w:tcPr>
            <w:vMerge w:val="continue"/>
            <w:noWrap w:val="0"/>
          </w:tcPr>
          <w:p/>
        </w:tc>
        <w:tc>
          <w:tcPr>
            <w:vMerge w:val="continue"/>
            <w:tcBorders>
              <w:right w:val="single" w:color="auto" w:sz="4" w:space="0"/>
            </w:tcBorders>
            <w:noWrap w:val="0"/>
          </w:tc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22" w:type="dxa"/>
            <w:vMerge w:val="restar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环保工程</w:t>
            </w:r>
          </w:p>
        </w:tc>
        <w:tc>
          <w:tcPr>
            <w:tcW w:w="231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kern w:val="2"/>
                <w:sz w:val="21"/>
                <w:szCs w:val="21"/>
                <w:lang w:val="en-US" w:eastAsia="zh-CN" w:bidi="ar-SA"/>
              </w:rPr>
              <w:t>含银废水预处理系统</w:t>
            </w:r>
            <w:r>
              <w:rPr>
                <w:rFonts w:hint="default" w:ascii="Times New Roman" w:hAnsi="Times New Roman" w:eastAsia="宋体" w:cs="Times New Roman"/>
                <w:b w:val="0"/>
                <w:bCs/>
                <w:color w:val="auto"/>
                <w:kern w:val="2"/>
                <w:sz w:val="21"/>
                <w:szCs w:val="21"/>
                <w:lang w:val="en-US" w:eastAsia="zh-CN" w:bidi="ar-SA"/>
              </w:rPr>
              <w:t>化学除银沉淀池</w:t>
            </w:r>
          </w:p>
        </w:tc>
        <w:tc>
          <w:tcPr>
            <w:tcW w:w="207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 w:val="0"/>
                <w:bCs/>
                <w:i w:val="0"/>
                <w:color w:val="auto"/>
                <w:kern w:val="0"/>
                <w:sz w:val="21"/>
                <w:szCs w:val="21"/>
                <w:u w:val="none"/>
                <w:lang w:val="en-US" w:eastAsia="zh-CN" w:bidi="ar"/>
              </w:rPr>
            </w:pPr>
            <w:r>
              <w:rPr>
                <w:rFonts w:hint="default" w:ascii="Times New Roman" w:hAnsi="Times New Roman" w:eastAsia="宋体" w:cs="Times New Roman"/>
                <w:b w:val="0"/>
                <w:bCs/>
                <w:color w:val="auto"/>
                <w:kern w:val="2"/>
                <w:sz w:val="21"/>
                <w:szCs w:val="21"/>
                <w:lang w:val="en-US" w:eastAsia="zh-CN" w:bidi="ar-SA"/>
              </w:rPr>
              <w:t>含银废水</w:t>
            </w:r>
          </w:p>
        </w:tc>
        <w:tc>
          <w:tcPr>
            <w:tcW w:w="197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含银废水超标排放</w:t>
            </w:r>
          </w:p>
        </w:tc>
        <w:tc>
          <w:tcPr>
            <w:vMerge w:val="continue"/>
            <w:noWrap w:val="0"/>
          </w:tcPr>
          <w:p/>
        </w:tc>
        <w:tc>
          <w:tcPr>
            <w:vMerge w:val="continue"/>
            <w:tcBorders>
              <w:right w:val="single" w:color="auto" w:sz="4" w:space="0"/>
            </w:tcBorders>
            <w:noWrap w:val="0"/>
          </w:tc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vMerge w:val="continue"/>
            <w:tcBorders>
              <w:left w:val="single" w:color="auto" w:sz="4" w:space="0"/>
            </w:tcBorders>
            <w:noWrap w:val="0"/>
          </w:tcPr>
          <w:p/>
        </w:tc>
        <w:tc>
          <w:tcPr>
            <w:tcW w:w="231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Cs/>
                <w:color w:val="auto"/>
                <w:kern w:val="2"/>
                <w:sz w:val="18"/>
                <w:szCs w:val="24"/>
                <w:lang w:val="en-US" w:eastAsia="zh-CN" w:bidi="ar-SA"/>
              </w:rPr>
            </w:pPr>
            <w:r>
              <w:rPr>
                <w:rFonts w:hint="default" w:ascii="Times New Roman" w:hAnsi="Times New Roman" w:eastAsia="宋体" w:cs="Times New Roman"/>
                <w:b w:val="0"/>
                <w:bCs/>
                <w:color w:val="auto"/>
                <w:kern w:val="2"/>
                <w:sz w:val="21"/>
                <w:szCs w:val="21"/>
                <w:lang w:val="en-US" w:eastAsia="zh-CN" w:bidi="ar-SA"/>
              </w:rPr>
              <w:t>污水站</w:t>
            </w:r>
          </w:p>
        </w:tc>
        <w:tc>
          <w:tcPr>
            <w:tcW w:w="207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化验室排水、真空泵排水</w:t>
            </w:r>
          </w:p>
        </w:tc>
        <w:tc>
          <w:tcPr>
            <w:tcW w:w="197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废水中COD、氨氮等指标超标排放</w:t>
            </w:r>
          </w:p>
        </w:tc>
        <w:tc>
          <w:tcPr>
            <w:vMerge w:val="continue"/>
            <w:noWrap w:val="0"/>
          </w:tcPr>
          <w:p/>
        </w:tc>
        <w:tc>
          <w:tcPr>
            <w:vMerge w:val="continue"/>
            <w:tcBorders>
              <w:right w:val="single" w:color="auto" w:sz="4" w:space="0"/>
            </w:tcBorders>
            <w:noWrap w:val="0"/>
          </w:tc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vMerge w:val="continue"/>
            <w:tcBorders>
              <w:left w:val="single" w:color="auto" w:sz="4" w:space="0"/>
            </w:tcBorders>
            <w:noWrap w:val="0"/>
          </w:tcPr>
          <w:p/>
        </w:tc>
        <w:tc>
          <w:tcPr>
            <w:tcW w:w="231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废气处理系统</w:t>
            </w:r>
          </w:p>
        </w:tc>
        <w:tc>
          <w:tcPr>
            <w:tcW w:w="207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有机废气</w:t>
            </w:r>
            <w:r>
              <w:rPr>
                <w:rFonts w:hint="eastAsia" w:ascii="Times New Roman" w:hAnsi="Times New Roman" w:eastAsia="宋体" w:cs="Times New Roman"/>
                <w:b w:val="0"/>
                <w:bCs/>
                <w:color w:val="auto"/>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一氧化氮、二氧化氮</w:t>
            </w:r>
          </w:p>
        </w:tc>
        <w:tc>
          <w:tcPr>
            <w:tcW w:w="197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废气超标排放</w:t>
            </w:r>
          </w:p>
        </w:tc>
        <w:tc>
          <w:tcPr>
            <w:vMerge w:val="continue"/>
            <w:noWrap w:val="0"/>
          </w:tcPr>
          <w:p/>
        </w:tc>
        <w:tc>
          <w:tcPr>
            <w:vMerge w:val="continue"/>
            <w:tcBorders>
              <w:right w:val="single" w:color="auto" w:sz="4" w:space="0"/>
            </w:tcBorders>
            <w:noWrap w:val="0"/>
          </w:tc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vMerge w:val="continue"/>
            <w:tcBorders>
              <w:left w:val="single" w:color="auto" w:sz="4" w:space="0"/>
            </w:tcBorders>
            <w:noWrap w:val="0"/>
          </w:tcPr>
          <w:p/>
        </w:tc>
        <w:tc>
          <w:tcPr>
            <w:tcW w:w="231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危废暂存</w:t>
            </w:r>
            <w:r>
              <w:rPr>
                <w:rFonts w:hint="eastAsia" w:ascii="Times New Roman" w:hAnsi="Times New Roman" w:eastAsia="宋体" w:cs="Times New Roman"/>
                <w:b w:val="0"/>
                <w:bCs/>
                <w:color w:val="auto"/>
                <w:kern w:val="2"/>
                <w:sz w:val="21"/>
                <w:szCs w:val="21"/>
                <w:lang w:val="en-US" w:eastAsia="zh-CN" w:bidi="ar-SA"/>
              </w:rPr>
              <w:t>间</w:t>
            </w:r>
          </w:p>
        </w:tc>
        <w:tc>
          <w:tcPr>
            <w:tcW w:w="207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精馏残液</w:t>
            </w:r>
            <w:r>
              <w:rPr>
                <w:rFonts w:hint="eastAsia" w:ascii="Times New Roman" w:hAnsi="Times New Roman" w:eastAsia="宋体" w:cs="Times New Roman"/>
                <w:b w:val="0"/>
                <w:bCs/>
                <w:color w:val="auto"/>
                <w:kern w:val="2"/>
                <w:sz w:val="21"/>
                <w:szCs w:val="21"/>
                <w:lang w:val="en-US" w:eastAsia="zh-CN" w:bidi="ar-SA"/>
              </w:rPr>
              <w:t>、废润滑油、蒸发器残渣等</w:t>
            </w:r>
            <w:r>
              <w:rPr>
                <w:rFonts w:hint="default" w:ascii="Times New Roman" w:hAnsi="Times New Roman" w:eastAsia="宋体" w:cs="Times New Roman"/>
                <w:b w:val="0"/>
                <w:bCs/>
                <w:color w:val="auto"/>
                <w:kern w:val="2"/>
                <w:sz w:val="21"/>
                <w:szCs w:val="21"/>
                <w:lang w:val="en-US" w:eastAsia="zh-CN" w:bidi="ar-SA"/>
              </w:rPr>
              <w:t>危险废物</w:t>
            </w:r>
          </w:p>
        </w:tc>
        <w:tc>
          <w:tcPr>
            <w:tcW w:w="197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00" w:lineRule="exact"/>
              <w:ind w:firstLine="0"/>
              <w:jc w:val="center"/>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泄漏、火灾爆炸及伴生/次生污染物排放</w:t>
            </w:r>
          </w:p>
        </w:tc>
        <w:tc>
          <w:tcPr>
            <w:vMerge w:val="continue"/>
            <w:noWrap w:val="0"/>
          </w:tcPr>
          <w:p/>
        </w:tc>
        <w:tc>
          <w:tcPr>
            <w:vMerge w:val="continue"/>
            <w:tcBorders>
              <w:right w:val="single" w:color="auto" w:sz="4" w:space="0"/>
            </w:tcBorders>
            <w:noWrap w:val="0"/>
          </w:tcPr>
          <w:p/>
        </w:tc>
      </w:tr>
    </w:tbl>
    <w:p>
      <w:pPr>
        <w:rPr>
          <w:rFonts w:hint="default" w:ascii="Times New Roman" w:hAnsi="Times New Roman" w:cs="Times New Roman"/>
          <w:color w:val="auto"/>
        </w:rPr>
        <w:sectPr>
          <w:pgSz w:w="11906" w:h="16838"/>
          <w:pgMar w:top="1304" w:right="1418" w:bottom="1304" w:left="1418" w:header="851" w:footer="992" w:gutter="0"/>
          <w:pgBorders>
            <w:top w:val="none" w:sz="0" w:space="0"/>
            <w:left w:val="none" w:sz="0" w:space="0"/>
            <w:bottom w:val="none" w:sz="0" w:space="0"/>
            <w:right w:val="none" w:sz="0" w:space="0"/>
          </w:pgBorders>
          <w:pgNumType w:fmt="decimal"/>
          <w:cols w:space="720" w:num="1"/>
          <w:docGrid w:linePitch="380" w:charSpace="-5735"/>
        </w:sectPr>
      </w:pPr>
    </w:p>
    <w:p>
      <w:pPr>
        <w:keepNext/>
        <w:keepLines/>
        <w:widowControl w:val="0"/>
        <w:autoSpaceDE/>
        <w:autoSpaceDN/>
        <w:adjustRightInd/>
        <w:spacing w:after="0" w:afterLines="0" w:line="360" w:lineRule="auto"/>
        <w:ind w:left="0" w:firstLine="0"/>
        <w:jc w:val="both"/>
        <w:outlineLvl w:val="1"/>
        <w:rPr>
          <w:rFonts w:hint="default" w:ascii="Times New Roman" w:hAnsi="Times New Roman" w:eastAsia="黑体" w:cs="Times New Roman"/>
          <w:b w:val="0"/>
          <w:bCs w:val="0"/>
          <w:color w:val="auto"/>
          <w:kern w:val="2"/>
          <w:sz w:val="32"/>
          <w:szCs w:val="30"/>
          <w:lang w:val="en-US" w:eastAsia="zh-CN" w:bidi="ar-SA"/>
        </w:rPr>
      </w:pPr>
      <w:bookmarkStart w:id="315" w:name="_Toc26531"/>
      <w:r>
        <w:rPr>
          <w:rFonts w:hint="default" w:ascii="Times New Roman" w:hAnsi="Times New Roman" w:eastAsia="黑体" w:cs="Times New Roman"/>
          <w:b w:val="0"/>
          <w:bCs w:val="0"/>
          <w:color w:val="auto"/>
          <w:kern w:val="2"/>
          <w:sz w:val="32"/>
          <w:szCs w:val="30"/>
          <w:lang w:val="en-US" w:eastAsia="zh-CN" w:bidi="ar-SA"/>
        </w:rPr>
        <w:t>6.2评价工作等级与评价范围</w:t>
      </w:r>
      <w:bookmarkEnd w:id="315"/>
    </w:p>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val="0"/>
          <w:bCs w:val="0"/>
          <w:color w:val="auto"/>
          <w:kern w:val="0"/>
          <w:sz w:val="30"/>
          <w:szCs w:val="30"/>
          <w:lang w:val="en-US" w:eastAsia="zh-CN" w:bidi="ar-SA"/>
        </w:rPr>
      </w:pPr>
      <w:r>
        <w:rPr>
          <w:rFonts w:hint="default" w:ascii="Times New Roman" w:hAnsi="Times New Roman" w:eastAsia="黑体" w:cs="Times New Roman"/>
          <w:b w:val="0"/>
          <w:bCs w:val="0"/>
          <w:color w:val="auto"/>
          <w:kern w:val="0"/>
          <w:sz w:val="30"/>
          <w:szCs w:val="30"/>
          <w:lang w:val="en-US" w:eastAsia="zh-CN" w:bidi="ar-SA"/>
        </w:rPr>
        <w:t>6.2.1危险物质数量与临界量比值（Q）</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计算项目所涉及的每种危险物质在厂界内的最大存在总量与其在《建设项目环境风险评价技术导则》（HJ169-2018）附录B中对应临界量的比值Q。在不同厂区的同一物质，按其在厂界内的最大存在总量计算。对于长输管道项目，按照两个截断阀室之间管段危险物质最大存在总量计算。</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当只涉及一种危险物质时，计算该物质的总量与临界量比值，即为Q：</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当存在多种物质时，则按以下公式计算物质总量与其临界量比值（Q）：</w:t>
      </w:r>
    </w:p>
    <w:p>
      <w:pPr>
        <w:widowControl w:val="0"/>
        <w:spacing w:line="360" w:lineRule="auto"/>
        <w:ind w:firstLine="480"/>
        <w:jc w:val="center"/>
        <w:rPr>
          <w:rFonts w:hint="default" w:ascii="Times New Roman" w:hAnsi="Times New Roman" w:eastAsia="宋体" w:cs="Times New Roman"/>
          <w:snapToGrid w:val="0"/>
          <w:color w:val="auto"/>
          <w:kern w:val="0"/>
          <w:sz w:val="24"/>
          <w:szCs w:val="21"/>
          <w:lang w:val="en-US" w:eastAsia="zh-CN" w:bidi="ar-SA"/>
        </w:rPr>
      </w:pPr>
      <w:r>
        <w:drawing>
          <wp:inline distT="0" distB="0" distL="114300" distR="114300">
            <wp:extent cx="2419350" cy="666750"/>
            <wp:effectExtent l="0" t="0" r="0" b="0"/>
            <wp:docPr id="110" name="图片 95" descr="C:\Users\admin\AppData\Roaming\Tencent\Users\506048567\QQ\WinTemp\RichOle\]2GZXS$K%W3H]_IWC)@NK$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95" descr="C:\Users\admin\AppData\Roaming\Tencent\Users\506048567\QQ\WinTemp\RichOle\]2GZXS$K%W3H]_IWC)@NK$P.png"/>
                    <pic:cNvPicPr>
                      <a:picLocks noChangeAspect="1"/>
                    </pic:cNvPicPr>
                  </pic:nvPicPr>
                  <pic:blipFill>
                    <a:blip r:embed="rId63"/>
                    <a:stretch>
                      <a:fillRect/>
                    </a:stretch>
                  </pic:blipFill>
                  <pic:spPr>
                    <a:xfrm>
                      <a:off x="0" y="0"/>
                      <a:ext cx="2419350" cy="666750"/>
                    </a:xfrm>
                    <a:prstGeom prst="rect">
                      <a:avLst/>
                    </a:prstGeom>
                    <a:noFill/>
                    <a:ln>
                      <a:noFill/>
                    </a:ln>
                  </pic:spPr>
                </pic:pic>
              </a:graphicData>
            </a:graphic>
          </wp:inline>
        </w:drawing>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式中：q</w:t>
      </w:r>
      <w:r>
        <w:rPr>
          <w:rFonts w:hint="default" w:ascii="Times New Roman" w:hAnsi="Times New Roman" w:eastAsia="宋体" w:cs="Times New Roman"/>
          <w:bCs/>
          <w:snapToGrid w:val="0"/>
          <w:color w:val="auto"/>
          <w:kern w:val="0"/>
          <w:sz w:val="24"/>
          <w:szCs w:val="21"/>
          <w:vertAlign w:val="subscript"/>
          <w:lang w:val="en-US" w:eastAsia="zh-CN" w:bidi="ar-SA"/>
        </w:rPr>
        <w:t>1</w:t>
      </w:r>
      <w:r>
        <w:rPr>
          <w:rFonts w:hint="default" w:ascii="Times New Roman" w:hAnsi="Times New Roman" w:eastAsia="宋体" w:cs="Times New Roman"/>
          <w:bCs/>
          <w:snapToGrid w:val="0"/>
          <w:color w:val="auto"/>
          <w:kern w:val="0"/>
          <w:sz w:val="24"/>
          <w:szCs w:val="21"/>
          <w:lang w:val="en-US" w:eastAsia="zh-CN" w:bidi="ar-SA"/>
        </w:rPr>
        <w:t>，q</w:t>
      </w:r>
      <w:r>
        <w:rPr>
          <w:rFonts w:hint="default" w:ascii="Times New Roman" w:hAnsi="Times New Roman" w:eastAsia="宋体" w:cs="Times New Roman"/>
          <w:bCs/>
          <w:snapToGrid w:val="0"/>
          <w:color w:val="auto"/>
          <w:kern w:val="0"/>
          <w:sz w:val="24"/>
          <w:szCs w:val="21"/>
          <w:vertAlign w:val="subscript"/>
          <w:lang w:val="en-US" w:eastAsia="zh-CN" w:bidi="ar-SA"/>
        </w:rPr>
        <w:t>2</w:t>
      </w:r>
      <w:r>
        <w:rPr>
          <w:rFonts w:hint="default" w:ascii="Times New Roman" w:hAnsi="Times New Roman" w:eastAsia="宋体" w:cs="Times New Roman"/>
          <w:bCs/>
          <w:snapToGrid w:val="0"/>
          <w:color w:val="auto"/>
          <w:kern w:val="0"/>
          <w:sz w:val="24"/>
          <w:szCs w:val="21"/>
          <w:lang w:val="en-US" w:eastAsia="zh-CN" w:bidi="ar-SA"/>
        </w:rPr>
        <w:t>，…..，q</w:t>
      </w:r>
      <w:r>
        <w:rPr>
          <w:rFonts w:hint="default" w:ascii="Times New Roman" w:hAnsi="Times New Roman" w:eastAsia="宋体" w:cs="Times New Roman"/>
          <w:bCs/>
          <w:snapToGrid w:val="0"/>
          <w:color w:val="auto"/>
          <w:kern w:val="0"/>
          <w:sz w:val="24"/>
          <w:szCs w:val="21"/>
          <w:vertAlign w:val="subscript"/>
          <w:lang w:val="en-US" w:eastAsia="zh-CN" w:bidi="ar-SA"/>
        </w:rPr>
        <w:t>n</w:t>
      </w:r>
      <w:r>
        <w:rPr>
          <w:rFonts w:hint="default" w:ascii="Times New Roman" w:hAnsi="Times New Roman" w:eastAsia="宋体" w:cs="Times New Roman"/>
          <w:bCs/>
          <w:snapToGrid w:val="0"/>
          <w:color w:val="auto"/>
          <w:kern w:val="0"/>
          <w:sz w:val="24"/>
          <w:szCs w:val="21"/>
          <w:lang w:val="en-US" w:eastAsia="zh-CN" w:bidi="ar-SA"/>
        </w:rPr>
        <w:t>——每种危险物质的最大存在量，t；</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 xml:space="preserve">     Q</w:t>
      </w:r>
      <w:r>
        <w:rPr>
          <w:rFonts w:hint="default" w:ascii="Times New Roman" w:hAnsi="Times New Roman" w:eastAsia="宋体" w:cs="Times New Roman"/>
          <w:bCs/>
          <w:snapToGrid w:val="0"/>
          <w:color w:val="auto"/>
          <w:kern w:val="0"/>
          <w:sz w:val="24"/>
          <w:szCs w:val="21"/>
          <w:vertAlign w:val="subscript"/>
          <w:lang w:val="en-US" w:eastAsia="zh-CN" w:bidi="ar-SA"/>
        </w:rPr>
        <w:t>1</w:t>
      </w:r>
      <w:r>
        <w:rPr>
          <w:rFonts w:hint="default" w:ascii="Times New Roman" w:hAnsi="Times New Roman" w:eastAsia="宋体" w:cs="Times New Roman"/>
          <w:bCs/>
          <w:snapToGrid w:val="0"/>
          <w:color w:val="auto"/>
          <w:kern w:val="0"/>
          <w:sz w:val="24"/>
          <w:szCs w:val="21"/>
          <w:lang w:val="en-US" w:eastAsia="zh-CN" w:bidi="ar-SA"/>
        </w:rPr>
        <w:t>，Q</w:t>
      </w:r>
      <w:r>
        <w:rPr>
          <w:rFonts w:hint="default" w:ascii="Times New Roman" w:hAnsi="Times New Roman" w:eastAsia="宋体" w:cs="Times New Roman"/>
          <w:bCs/>
          <w:snapToGrid w:val="0"/>
          <w:color w:val="auto"/>
          <w:kern w:val="0"/>
          <w:sz w:val="24"/>
          <w:szCs w:val="21"/>
          <w:vertAlign w:val="subscript"/>
          <w:lang w:val="en-US" w:eastAsia="zh-CN" w:bidi="ar-SA"/>
        </w:rPr>
        <w:t>2</w:t>
      </w:r>
      <w:r>
        <w:rPr>
          <w:rFonts w:hint="default" w:ascii="Times New Roman" w:hAnsi="Times New Roman" w:eastAsia="宋体" w:cs="Times New Roman"/>
          <w:bCs/>
          <w:snapToGrid w:val="0"/>
          <w:color w:val="auto"/>
          <w:kern w:val="0"/>
          <w:sz w:val="24"/>
          <w:szCs w:val="21"/>
          <w:lang w:val="en-US" w:eastAsia="zh-CN" w:bidi="ar-SA"/>
        </w:rPr>
        <w:t>，….，Q</w:t>
      </w:r>
      <w:r>
        <w:rPr>
          <w:rFonts w:hint="default" w:ascii="Times New Roman" w:hAnsi="Times New Roman" w:eastAsia="宋体" w:cs="Times New Roman"/>
          <w:bCs/>
          <w:snapToGrid w:val="0"/>
          <w:color w:val="auto"/>
          <w:kern w:val="0"/>
          <w:sz w:val="24"/>
          <w:szCs w:val="21"/>
          <w:vertAlign w:val="subscript"/>
          <w:lang w:val="en-US" w:eastAsia="zh-CN" w:bidi="ar-SA"/>
        </w:rPr>
        <w:t>n</w:t>
      </w:r>
      <w:r>
        <w:rPr>
          <w:rFonts w:hint="default" w:ascii="Times New Roman" w:hAnsi="Times New Roman" w:eastAsia="宋体" w:cs="Times New Roman"/>
          <w:bCs/>
          <w:snapToGrid w:val="0"/>
          <w:color w:val="auto"/>
          <w:kern w:val="0"/>
          <w:sz w:val="24"/>
          <w:szCs w:val="21"/>
          <w:lang w:val="en-US" w:eastAsia="zh-CN" w:bidi="ar-SA"/>
        </w:rPr>
        <w:t>——每种危险物质的临界量，t。</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当Q＜1时，该项目环境风险潜势为</w:t>
      </w:r>
      <w:r>
        <w:rPr>
          <w:rFonts w:hint="default" w:ascii="Times New Roman" w:hAnsi="Times New Roman" w:eastAsia="宋体" w:cs="Times New Roman"/>
          <w:bCs/>
          <w:snapToGrid w:val="0"/>
          <w:color w:val="auto"/>
          <w:kern w:val="0"/>
          <w:sz w:val="24"/>
          <w:szCs w:val="21"/>
          <w:lang w:val="en-US" w:eastAsia="zh-CN" w:bidi="ar-SA"/>
        </w:rPr>
        <w:fldChar w:fldCharType="begin"/>
      </w:r>
      <w:r>
        <w:rPr>
          <w:rFonts w:hint="default" w:ascii="Times New Roman" w:hAnsi="Times New Roman" w:eastAsia="宋体" w:cs="Times New Roman"/>
          <w:bCs/>
          <w:snapToGrid w:val="0"/>
          <w:color w:val="auto"/>
          <w:kern w:val="0"/>
          <w:sz w:val="24"/>
          <w:szCs w:val="21"/>
          <w:lang w:val="en-US" w:eastAsia="zh-CN" w:bidi="ar-SA"/>
        </w:rPr>
        <w:instrText xml:space="preserve"> = 1 \* ROMAN </w:instrText>
      </w:r>
      <w:r>
        <w:rPr>
          <w:rFonts w:hint="default" w:ascii="Times New Roman" w:hAnsi="Times New Roman" w:eastAsia="宋体" w:cs="Times New Roman"/>
          <w:bCs/>
          <w:snapToGrid w:val="0"/>
          <w:color w:val="auto"/>
          <w:kern w:val="0"/>
          <w:sz w:val="24"/>
          <w:szCs w:val="21"/>
          <w:lang w:val="en-US" w:eastAsia="zh-CN" w:bidi="ar-SA"/>
        </w:rPr>
        <w:fldChar w:fldCharType="separate"/>
      </w:r>
      <w:r>
        <w:rPr>
          <w:rFonts w:hint="default" w:ascii="Times New Roman" w:hAnsi="Times New Roman" w:eastAsia="宋体" w:cs="Times New Roman"/>
          <w:bCs/>
          <w:snapToGrid w:val="0"/>
          <w:color w:val="auto"/>
          <w:kern w:val="0"/>
          <w:sz w:val="24"/>
          <w:szCs w:val="21"/>
          <w:lang w:val="en-US" w:eastAsia="zh-CN" w:bidi="ar-SA"/>
        </w:rPr>
        <w:t>I</w:t>
      </w:r>
      <w:r>
        <w:rPr>
          <w:rFonts w:hint="default" w:ascii="Times New Roman" w:hAnsi="Times New Roman" w:eastAsia="宋体" w:cs="Times New Roman"/>
          <w:snapToGrid w:val="0"/>
          <w:color w:val="auto"/>
          <w:kern w:val="0"/>
          <w:sz w:val="24"/>
          <w:szCs w:val="21"/>
          <w:lang w:val="en-US" w:eastAsia="zh-CN" w:bidi="ar-SA"/>
        </w:rPr>
        <w:fldChar w:fldCharType="end"/>
      </w:r>
      <w:r>
        <w:rPr>
          <w:rFonts w:hint="default" w:ascii="Times New Roman" w:hAnsi="Times New Roman" w:eastAsia="宋体" w:cs="Times New Roman"/>
          <w:bCs/>
          <w:snapToGrid w:val="0"/>
          <w:color w:val="auto"/>
          <w:kern w:val="0"/>
          <w:sz w:val="24"/>
          <w:szCs w:val="21"/>
          <w:lang w:val="en-US" w:eastAsia="zh-CN" w:bidi="ar-SA"/>
        </w:rPr>
        <w:t>。</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当Q≥1时，将Q值划分为：（1）1≤Q＜10；（2）10≤Q＜100；（3）Q≥100。</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风险识别范围包括：主要生产装置、贮运系统、公用工程系统、工程环保设施及辅助生产设施等。结合本项目工程分析和总图布置，危险物质数量与临界量比值（Q）辨识结果见表6.2-1。</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p>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en-US" w:eastAsia="zh-CN" w:bidi="ar-SA"/>
        </w:rPr>
      </w:pPr>
      <w:r>
        <w:rPr>
          <w:rFonts w:hint="default" w:ascii="Times New Roman" w:hAnsi="Times New Roman" w:eastAsia="黑体" w:cs="Times New Roman"/>
          <w:b w:val="0"/>
          <w:bCs/>
          <w:color w:val="auto"/>
          <w:kern w:val="2"/>
          <w:sz w:val="24"/>
          <w:szCs w:val="24"/>
          <w:lang w:val="en-US" w:eastAsia="zh-CN" w:bidi="ar-SA"/>
        </w:rPr>
        <w:t>表6.2-1  本项目涉及危险物质存在量及其临界值量表</w:t>
      </w:r>
    </w:p>
    <w:tbl>
      <w:tblPr>
        <w:tblStyle w:val="9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11"/>
        <w:gridCol w:w="1303"/>
        <w:gridCol w:w="1384"/>
        <w:gridCol w:w="914"/>
        <w:gridCol w:w="1209"/>
        <w:gridCol w:w="1459"/>
        <w:gridCol w:w="1108"/>
        <w:gridCol w:w="10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11" w:type="dxa"/>
            <w:tcBorders>
              <w:top w:val="single" w:color="auto" w:sz="4" w:space="0"/>
              <w:lef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
              </w:rPr>
              <w:t>危险单元</w:t>
            </w:r>
          </w:p>
        </w:tc>
        <w:tc>
          <w:tcPr>
            <w:tcW w:w="1303" w:type="dxa"/>
            <w:tcBorders>
              <w:top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kern w:val="0"/>
                <w:sz w:val="21"/>
                <w:szCs w:val="21"/>
                <w:lang w:val="en-US" w:eastAsia="zh-CN" w:bidi="ar"/>
              </w:rPr>
              <w:t>风险源</w:t>
            </w:r>
          </w:p>
        </w:tc>
        <w:tc>
          <w:tcPr>
            <w:tcW w:w="1384" w:type="dxa"/>
            <w:tcBorders>
              <w:top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kern w:val="0"/>
                <w:sz w:val="21"/>
                <w:szCs w:val="21"/>
                <w:lang w:val="en-US" w:eastAsia="zh-CN" w:bidi="ar"/>
              </w:rPr>
              <w:t>危险物质</w:t>
            </w:r>
          </w:p>
        </w:tc>
        <w:tc>
          <w:tcPr>
            <w:tcW w:w="914" w:type="dxa"/>
            <w:tcBorders>
              <w:top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浓度</w:t>
            </w:r>
          </w:p>
        </w:tc>
        <w:tc>
          <w:tcPr>
            <w:tcW w:w="1209" w:type="dxa"/>
            <w:tcBorders>
              <w:top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b/>
                <w:color w:val="auto"/>
                <w:sz w:val="21"/>
                <w:szCs w:val="21"/>
                <w:u w:val="none"/>
                <w:lang w:val="en-US" w:eastAsia="zh-CN" w:bidi="ar"/>
              </w:rPr>
              <w:t>容积/在线量（m³）</w:t>
            </w:r>
          </w:p>
        </w:tc>
        <w:tc>
          <w:tcPr>
            <w:tcW w:w="1459" w:type="dxa"/>
            <w:tcBorders>
              <w:top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最大贮存量或在线量（t）</w:t>
            </w:r>
          </w:p>
        </w:tc>
        <w:tc>
          <w:tcPr>
            <w:tcW w:w="1108" w:type="dxa"/>
            <w:tcBorders>
              <w:top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临界量（t）</w:t>
            </w:r>
          </w:p>
        </w:tc>
        <w:tc>
          <w:tcPr>
            <w:tcW w:w="1008" w:type="dxa"/>
            <w:tcBorders>
              <w:top w:val="single" w:color="auto" w:sz="4" w:space="0"/>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rPr>
              <w:t>qi/Qi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11" w:type="dxa"/>
            <w:vMerge w:val="restart"/>
            <w:tcBorders>
              <w:lef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bidi="ar"/>
              </w:rPr>
            </w:pPr>
            <w:bookmarkStart w:id="316" w:name="OLE_LINK2" w:colFirst="7" w:colLast="7"/>
            <w:r>
              <w:rPr>
                <w:rFonts w:hint="default" w:ascii="Times New Roman" w:hAnsi="Times New Roman" w:eastAsia="宋体" w:cs="Times New Roman"/>
                <w:color w:val="auto"/>
                <w:kern w:val="0"/>
                <w:sz w:val="21"/>
                <w:szCs w:val="21"/>
                <w:lang w:val="en-US" w:eastAsia="zh-CN" w:bidi="ar"/>
              </w:rPr>
              <w:t>罐区</w:t>
            </w:r>
          </w:p>
        </w:tc>
        <w:tc>
          <w:tcPr>
            <w:tcW w:w="1303"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硝酸储罐</w:t>
            </w: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工业级硝酸</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98%</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sz w:val="21"/>
                <w:szCs w:val="21"/>
                <w:u w:val="none"/>
                <w:lang w:val="en-US" w:eastAsia="zh-CN"/>
              </w:rPr>
              <w:t>50</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0"/>
                <w:sz w:val="21"/>
                <w:szCs w:val="21"/>
                <w:lang w:val="en-US" w:bidi="ar"/>
              </w:rPr>
              <w:fldChar w:fldCharType="begin"/>
            </w:r>
            <w:r>
              <w:rPr>
                <w:rFonts w:hint="default" w:ascii="Times New Roman" w:hAnsi="Times New Roman" w:eastAsia="宋体" w:cs="Times New Roman"/>
                <w:color w:val="auto"/>
                <w:kern w:val="0"/>
                <w:sz w:val="21"/>
                <w:szCs w:val="21"/>
                <w:lang w:val="en-US" w:bidi="ar"/>
              </w:rPr>
              <w:instrText xml:space="preserve"> =50*0.85*0.98*1.50 \# "0.000" \* MERGEFORMAT </w:instrText>
            </w:r>
            <w:r>
              <w:rPr>
                <w:rFonts w:hint="default" w:ascii="Times New Roman" w:hAnsi="Times New Roman" w:eastAsia="宋体" w:cs="Times New Roman"/>
                <w:color w:val="auto"/>
                <w:kern w:val="0"/>
                <w:sz w:val="21"/>
                <w:szCs w:val="21"/>
                <w:lang w:val="en-US" w:bidi="ar"/>
              </w:rPr>
              <w:fldChar w:fldCharType="separate"/>
            </w:r>
            <w:r>
              <w:rPr>
                <w:rFonts w:hint="default" w:ascii="Times New Roman" w:hAnsi="Times New Roman" w:eastAsia="宋体" w:cs="Times New Roman"/>
                <w:color w:val="auto"/>
                <w:sz w:val="21"/>
                <w:szCs w:val="21"/>
              </w:rPr>
              <w:t>62.475</w:t>
            </w:r>
            <w:r>
              <w:rPr>
                <w:rFonts w:hint="default" w:ascii="Times New Roman" w:hAnsi="Times New Roman" w:eastAsia="宋体" w:cs="Times New Roman"/>
                <w:color w:val="auto"/>
                <w:kern w:val="0"/>
                <w:sz w:val="21"/>
                <w:szCs w:val="21"/>
                <w:lang w:val="en-US" w:bidi="ar"/>
              </w:rPr>
              <w:fldChar w:fldCharType="end"/>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val="en-US" w:eastAsia="zh-CN" w:bidi="ar"/>
              </w:rPr>
              <w:t>7.5</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eastAsia="zh-CN" w:bidi="ar"/>
              </w:rPr>
            </w:pPr>
            <w:r>
              <w:rPr>
                <w:rFonts w:hint="default" w:ascii="Times New Roman" w:hAnsi="Times New Roman" w:eastAsia="宋体" w:cs="Times New Roman"/>
                <w:color w:val="auto"/>
                <w:kern w:val="0"/>
                <w:sz w:val="21"/>
                <w:szCs w:val="21"/>
                <w:lang w:eastAsia="zh-CN" w:bidi="ar"/>
              </w:rPr>
              <w:fldChar w:fldCharType="begin"/>
            </w:r>
            <w:r>
              <w:rPr>
                <w:rFonts w:hint="default" w:ascii="Times New Roman" w:hAnsi="Times New Roman" w:eastAsia="宋体" w:cs="Times New Roman"/>
                <w:color w:val="auto"/>
                <w:kern w:val="0"/>
                <w:sz w:val="21"/>
                <w:szCs w:val="21"/>
                <w:lang w:eastAsia="zh-CN" w:bidi="ar"/>
              </w:rPr>
              <w:instrText xml:space="preserve"> =62.475/7.5 \* MERGEFORMAT </w:instrText>
            </w:r>
            <w:r>
              <w:rPr>
                <w:rFonts w:hint="default" w:ascii="Times New Roman" w:hAnsi="Times New Roman" w:eastAsia="宋体" w:cs="Times New Roman"/>
                <w:color w:val="auto"/>
                <w:kern w:val="0"/>
                <w:sz w:val="21"/>
                <w:szCs w:val="21"/>
                <w:lang w:eastAsia="zh-CN" w:bidi="ar"/>
              </w:rPr>
              <w:fldChar w:fldCharType="separate"/>
            </w:r>
            <w:r>
              <w:rPr>
                <w:rFonts w:hint="default" w:ascii="Times New Roman" w:hAnsi="Times New Roman" w:eastAsia="宋体" w:cs="Times New Roman"/>
                <w:color w:val="auto"/>
                <w:kern w:val="0"/>
                <w:sz w:val="21"/>
                <w:szCs w:val="21"/>
                <w:lang w:eastAsia="zh-CN" w:bidi="ar"/>
              </w:rPr>
              <w:t>8.33</w:t>
            </w:r>
            <w:r>
              <w:rPr>
                <w:rFonts w:hint="default" w:ascii="Times New Roman" w:hAnsi="Times New Roman" w:eastAsia="宋体" w:cs="Times New Roman"/>
                <w:color w:val="auto"/>
                <w:kern w:val="0"/>
                <w:sz w:val="21"/>
                <w:szCs w:val="21"/>
                <w:lang w:eastAsia="zh-CN" w:bidi="ar"/>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tcBorders>
              <w:left w:val="single" w:color="auto" w:sz="4" w:space="0"/>
            </w:tcBorders>
            <w:noWrap w:val="0"/>
            <w:tcMar>
              <w:top w:w="13" w:type="dxa"/>
              <w:left w:w="13" w:type="dxa"/>
              <w:right w:w="13" w:type="dxa"/>
            </w:tcMar>
          </w:tcPr>
          <w:p/>
        </w:tc>
        <w:tc>
          <w:tcPr>
            <w:tcW w:w="1303"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硝酸储罐</w:t>
            </w: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i w:val="0"/>
                <w:color w:val="auto"/>
                <w:kern w:val="0"/>
                <w:sz w:val="21"/>
                <w:szCs w:val="21"/>
                <w:u w:val="none"/>
                <w:lang w:val="en-US" w:eastAsia="zh-CN" w:bidi="ar"/>
              </w:rPr>
              <w:t>电子级硝酸</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65%</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sz w:val="21"/>
                <w:szCs w:val="21"/>
                <w:u w:val="none"/>
                <w:lang w:val="en-US" w:eastAsia="zh-CN"/>
              </w:rPr>
              <w:t>15</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0"/>
                <w:sz w:val="21"/>
                <w:szCs w:val="21"/>
                <w:lang w:val="en-US" w:bidi="ar"/>
              </w:rPr>
              <w:fldChar w:fldCharType="begin"/>
            </w:r>
            <w:r>
              <w:rPr>
                <w:rFonts w:hint="default" w:ascii="Times New Roman" w:hAnsi="Times New Roman" w:eastAsia="宋体" w:cs="Times New Roman"/>
                <w:color w:val="auto"/>
                <w:kern w:val="0"/>
                <w:sz w:val="21"/>
                <w:szCs w:val="21"/>
                <w:lang w:val="en-US" w:bidi="ar"/>
              </w:rPr>
              <w:instrText xml:space="preserve"> =15*0.85*0.65*1.395 \# "0.000" \* MERGEFORMAT </w:instrText>
            </w:r>
            <w:r>
              <w:rPr>
                <w:rFonts w:hint="default" w:ascii="Times New Roman" w:hAnsi="Times New Roman" w:eastAsia="宋体" w:cs="Times New Roman"/>
                <w:color w:val="auto"/>
                <w:kern w:val="0"/>
                <w:sz w:val="21"/>
                <w:szCs w:val="21"/>
                <w:lang w:val="en-US" w:bidi="ar"/>
              </w:rPr>
              <w:fldChar w:fldCharType="separate"/>
            </w:r>
            <w:r>
              <w:rPr>
                <w:color w:val="auto"/>
                <w:sz w:val="21"/>
                <w:szCs w:val="21"/>
              </w:rPr>
              <w:t>11.561</w:t>
            </w:r>
            <w:r>
              <w:rPr>
                <w:rFonts w:hint="default" w:ascii="Times New Roman" w:hAnsi="Times New Roman" w:eastAsia="宋体" w:cs="Times New Roman"/>
                <w:color w:val="auto"/>
                <w:kern w:val="0"/>
                <w:sz w:val="21"/>
                <w:szCs w:val="21"/>
                <w:lang w:val="en-US" w:bidi="ar"/>
              </w:rPr>
              <w:fldChar w:fldCharType="end"/>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val="en-US" w:eastAsia="zh-CN" w:bidi="ar"/>
              </w:rPr>
              <w:t>7.5</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fldChar w:fldCharType="begin"/>
            </w:r>
            <w:r>
              <w:rPr>
                <w:rFonts w:hint="default" w:ascii="Times New Roman" w:hAnsi="Times New Roman" w:eastAsia="宋体" w:cs="Times New Roman"/>
                <w:color w:val="auto"/>
                <w:kern w:val="0"/>
                <w:sz w:val="21"/>
                <w:szCs w:val="21"/>
                <w:lang w:val="en-US" w:eastAsia="zh-CN" w:bidi="ar"/>
              </w:rPr>
              <w:instrText xml:space="preserve"> =11.561/7.5 \# "0.00" \* MERGEFORMAT </w:instrText>
            </w:r>
            <w:r>
              <w:rPr>
                <w:rFonts w:hint="default" w:ascii="Times New Roman" w:hAnsi="Times New Roman" w:eastAsia="宋体" w:cs="Times New Roman"/>
                <w:color w:val="auto"/>
                <w:kern w:val="0"/>
                <w:sz w:val="21"/>
                <w:szCs w:val="21"/>
                <w:lang w:val="en-US" w:eastAsia="zh-CN" w:bidi="ar"/>
              </w:rPr>
              <w:fldChar w:fldCharType="separate"/>
            </w:r>
            <w:r>
              <w:rPr>
                <w:color w:val="auto"/>
                <w:sz w:val="21"/>
                <w:szCs w:val="21"/>
              </w:rPr>
              <w:t>1.54</w:t>
            </w:r>
            <w:r>
              <w:rPr>
                <w:rFonts w:hint="default" w:ascii="Times New Roman" w:hAnsi="Times New Roman" w:eastAsia="宋体" w:cs="Times New Roman"/>
                <w:color w:val="auto"/>
                <w:kern w:val="0"/>
                <w:sz w:val="21"/>
                <w:szCs w:val="21"/>
                <w:lang w:val="en-US" w:eastAsia="zh-CN" w:bidi="ar"/>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tcBorders>
              <w:left w:val="single" w:color="auto" w:sz="4" w:space="0"/>
            </w:tcBorders>
            <w:noWrap w:val="0"/>
            <w:tcMar>
              <w:top w:w="13" w:type="dxa"/>
              <w:left w:w="13" w:type="dxa"/>
              <w:right w:w="13" w:type="dxa"/>
            </w:tcMar>
          </w:tcPr>
          <w:p/>
        </w:tc>
        <w:tc>
          <w:tcPr>
            <w:tcW w:w="1303"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氨水储罐</w:t>
            </w: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氨水</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50%</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sz w:val="21"/>
                <w:szCs w:val="21"/>
                <w:u w:val="none"/>
                <w:lang w:val="en-US" w:eastAsia="zh-CN"/>
              </w:rPr>
              <w:t>30</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0"/>
                <w:sz w:val="21"/>
                <w:szCs w:val="21"/>
                <w:lang w:val="en-US" w:bidi="ar"/>
              </w:rPr>
              <w:fldChar w:fldCharType="begin"/>
            </w:r>
            <w:r>
              <w:rPr>
                <w:rFonts w:hint="default" w:ascii="Times New Roman" w:hAnsi="Times New Roman" w:eastAsia="宋体" w:cs="Times New Roman"/>
                <w:color w:val="auto"/>
                <w:kern w:val="0"/>
                <w:sz w:val="21"/>
                <w:szCs w:val="21"/>
                <w:lang w:val="en-US" w:bidi="ar"/>
              </w:rPr>
              <w:instrText xml:space="preserve"> =30*0.85*0.5*0.892 \# "0.000" \* MERGEFORMAT </w:instrText>
            </w:r>
            <w:r>
              <w:rPr>
                <w:rFonts w:hint="default" w:ascii="Times New Roman" w:hAnsi="Times New Roman" w:eastAsia="宋体" w:cs="Times New Roman"/>
                <w:color w:val="auto"/>
                <w:kern w:val="0"/>
                <w:sz w:val="21"/>
                <w:szCs w:val="21"/>
                <w:lang w:val="en-US" w:bidi="ar"/>
              </w:rPr>
              <w:fldChar w:fldCharType="separate"/>
            </w:r>
            <w:r>
              <w:rPr>
                <w:rFonts w:hint="default" w:ascii="Times New Roman" w:hAnsi="Times New Roman" w:eastAsia="宋体" w:cs="Times New Roman"/>
                <w:color w:val="auto"/>
                <w:sz w:val="21"/>
                <w:szCs w:val="21"/>
              </w:rPr>
              <w:t>11.373</w:t>
            </w:r>
            <w:r>
              <w:rPr>
                <w:rFonts w:hint="default" w:ascii="Times New Roman" w:hAnsi="Times New Roman" w:eastAsia="宋体" w:cs="Times New Roman"/>
                <w:color w:val="auto"/>
                <w:kern w:val="0"/>
                <w:sz w:val="21"/>
                <w:szCs w:val="21"/>
                <w:lang w:val="en-US" w:bidi="ar"/>
              </w:rPr>
              <w:fldChar w:fldCharType="end"/>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val="en-US" w:eastAsia="zh-CN" w:bidi="ar"/>
              </w:rPr>
              <w:t>10</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fldChar w:fldCharType="begin"/>
            </w:r>
            <w:r>
              <w:rPr>
                <w:rFonts w:hint="default" w:ascii="Times New Roman" w:hAnsi="Times New Roman" w:eastAsia="宋体" w:cs="Times New Roman"/>
                <w:color w:val="auto"/>
                <w:kern w:val="0"/>
                <w:sz w:val="21"/>
                <w:szCs w:val="21"/>
                <w:lang w:val="en-US" w:eastAsia="zh-CN" w:bidi="ar"/>
              </w:rPr>
              <w:instrText xml:space="preserve"> =11.373/10 \# "0.00" \* MERGEFORMAT </w:instrText>
            </w:r>
            <w:r>
              <w:rPr>
                <w:rFonts w:hint="default" w:ascii="Times New Roman" w:hAnsi="Times New Roman" w:eastAsia="宋体" w:cs="Times New Roman"/>
                <w:color w:val="auto"/>
                <w:kern w:val="0"/>
                <w:sz w:val="21"/>
                <w:szCs w:val="21"/>
                <w:lang w:val="en-US" w:eastAsia="zh-CN" w:bidi="ar"/>
              </w:rPr>
              <w:fldChar w:fldCharType="separate"/>
            </w:r>
            <w:r>
              <w:rPr>
                <w:rFonts w:hint="default" w:ascii="Times New Roman" w:hAnsi="Times New Roman" w:eastAsia="宋体" w:cs="Times New Roman"/>
                <w:color w:val="auto"/>
                <w:sz w:val="21"/>
                <w:szCs w:val="21"/>
              </w:rPr>
              <w:t>1.14</w:t>
            </w:r>
            <w:r>
              <w:rPr>
                <w:rFonts w:hint="default" w:ascii="Times New Roman" w:hAnsi="Times New Roman" w:eastAsia="宋体" w:cs="Times New Roman"/>
                <w:color w:val="auto"/>
                <w:kern w:val="0"/>
                <w:sz w:val="21"/>
                <w:szCs w:val="21"/>
                <w:lang w:val="en-US" w:eastAsia="zh-CN" w:bidi="ar"/>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tcBorders>
              <w:left w:val="single" w:color="auto" w:sz="4" w:space="0"/>
            </w:tcBorders>
            <w:noWrap w:val="0"/>
            <w:tcMar>
              <w:top w:w="13" w:type="dxa"/>
              <w:left w:w="13" w:type="dxa"/>
              <w:right w:w="13" w:type="dxa"/>
            </w:tcMar>
          </w:tcPr>
          <w:p/>
        </w:tc>
        <w:tc>
          <w:tcPr>
            <w:tcW w:w="1303"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乙醇储罐</w:t>
            </w: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乙醇</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95%</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sz w:val="21"/>
                <w:szCs w:val="21"/>
                <w:u w:val="none"/>
                <w:lang w:val="en-US" w:eastAsia="zh-CN"/>
              </w:rPr>
              <w:t>20</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0"/>
                <w:sz w:val="21"/>
                <w:szCs w:val="21"/>
                <w:lang w:val="en-US" w:bidi="ar"/>
              </w:rPr>
              <w:fldChar w:fldCharType="begin"/>
            </w:r>
            <w:r>
              <w:rPr>
                <w:rFonts w:hint="default" w:ascii="Times New Roman" w:hAnsi="Times New Roman" w:eastAsia="宋体" w:cs="Times New Roman"/>
                <w:color w:val="auto"/>
                <w:kern w:val="0"/>
                <w:sz w:val="21"/>
                <w:szCs w:val="21"/>
                <w:lang w:val="en-US" w:bidi="ar"/>
              </w:rPr>
              <w:instrText xml:space="preserve"> =20*0.85*0.95*0.789 \# "0.000" \* MERGEFORMAT </w:instrText>
            </w:r>
            <w:r>
              <w:rPr>
                <w:rFonts w:hint="default" w:ascii="Times New Roman" w:hAnsi="Times New Roman" w:eastAsia="宋体" w:cs="Times New Roman"/>
                <w:color w:val="auto"/>
                <w:kern w:val="0"/>
                <w:sz w:val="21"/>
                <w:szCs w:val="21"/>
                <w:lang w:val="en-US" w:bidi="ar"/>
              </w:rPr>
              <w:fldChar w:fldCharType="separate"/>
            </w:r>
            <w:r>
              <w:rPr>
                <w:color w:val="auto"/>
                <w:sz w:val="21"/>
                <w:szCs w:val="21"/>
              </w:rPr>
              <w:t>12.742</w:t>
            </w:r>
            <w:r>
              <w:rPr>
                <w:rFonts w:hint="default" w:ascii="Times New Roman" w:hAnsi="Times New Roman" w:eastAsia="宋体" w:cs="Times New Roman"/>
                <w:color w:val="auto"/>
                <w:kern w:val="0"/>
                <w:sz w:val="21"/>
                <w:szCs w:val="21"/>
                <w:lang w:val="en-US" w:bidi="ar"/>
              </w:rPr>
              <w:fldChar w:fldCharType="end"/>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val="en-US" w:eastAsia="zh-CN" w:bidi="ar"/>
              </w:rPr>
              <w:t>/</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tcBorders>
              <w:left w:val="single" w:color="auto" w:sz="4" w:space="0"/>
            </w:tcBorders>
            <w:noWrap w:val="0"/>
            <w:tcMar>
              <w:top w:w="13" w:type="dxa"/>
              <w:left w:w="13" w:type="dxa"/>
              <w:right w:w="13" w:type="dxa"/>
            </w:tcMar>
          </w:tcPr>
          <w:p/>
        </w:tc>
        <w:tc>
          <w:tcPr>
            <w:tcW w:w="1303"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双氧水储罐</w:t>
            </w: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双氧水</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50%</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eastAsia="宋体" w:cs="Times New Roman"/>
                <w:i w:val="0"/>
                <w:color w:val="auto"/>
                <w:sz w:val="21"/>
                <w:szCs w:val="21"/>
                <w:u w:val="none"/>
                <w:lang w:val="en-US" w:eastAsia="zh-CN"/>
              </w:rPr>
              <w:t>15</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0"/>
                <w:sz w:val="21"/>
                <w:szCs w:val="21"/>
                <w:lang w:val="en-US" w:bidi="ar"/>
              </w:rPr>
              <w:fldChar w:fldCharType="begin"/>
            </w:r>
            <w:r>
              <w:rPr>
                <w:rFonts w:hint="default" w:ascii="Times New Roman" w:hAnsi="Times New Roman" w:eastAsia="宋体" w:cs="Times New Roman"/>
                <w:color w:val="auto"/>
                <w:kern w:val="0"/>
                <w:sz w:val="21"/>
                <w:szCs w:val="21"/>
                <w:lang w:val="en-US" w:bidi="ar"/>
              </w:rPr>
              <w:instrText xml:space="preserve"> =15*0.85*0.5*1.13 \# "0.000" \* MERGEFORMAT </w:instrText>
            </w:r>
            <w:r>
              <w:rPr>
                <w:rFonts w:hint="default" w:ascii="Times New Roman" w:hAnsi="Times New Roman" w:eastAsia="宋体" w:cs="Times New Roman"/>
                <w:color w:val="auto"/>
                <w:kern w:val="0"/>
                <w:sz w:val="21"/>
                <w:szCs w:val="21"/>
                <w:lang w:val="en-US" w:bidi="ar"/>
              </w:rPr>
              <w:fldChar w:fldCharType="separate"/>
            </w:r>
            <w:r>
              <w:rPr>
                <w:color w:val="auto"/>
                <w:sz w:val="21"/>
                <w:szCs w:val="21"/>
              </w:rPr>
              <w:t>7.204</w:t>
            </w:r>
            <w:r>
              <w:rPr>
                <w:rFonts w:hint="default" w:ascii="Times New Roman" w:hAnsi="Times New Roman" w:eastAsia="宋体" w:cs="Times New Roman"/>
                <w:color w:val="auto"/>
                <w:kern w:val="0"/>
                <w:sz w:val="21"/>
                <w:szCs w:val="21"/>
                <w:lang w:val="en-US" w:bidi="ar"/>
              </w:rPr>
              <w:fldChar w:fldCharType="end"/>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11" w:type="dxa"/>
            <w:vMerge w:val="restart"/>
            <w:tcBorders>
              <w:lef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综合仓库</w:t>
            </w:r>
          </w:p>
        </w:tc>
        <w:tc>
          <w:tcPr>
            <w:tcW w:w="1303"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次氯酸钠</w:t>
            </w:r>
            <w:r>
              <w:rPr>
                <w:rFonts w:hint="default" w:ascii="Times New Roman" w:hAnsi="Times New Roman" w:eastAsia="宋体" w:cs="Times New Roman"/>
                <w:color w:val="auto"/>
                <w:kern w:val="0"/>
                <w:sz w:val="21"/>
                <w:szCs w:val="21"/>
                <w:lang w:val="en-US" w:eastAsia="zh-CN" w:bidi="ar"/>
              </w:rPr>
              <w:t>吨桶</w:t>
            </w: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次氯酸钠</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10</w:t>
            </w:r>
            <w:r>
              <w:rPr>
                <w:rFonts w:hint="default" w:ascii="Times New Roman" w:hAnsi="Times New Roman" w:eastAsia="宋体" w:cs="Times New Roman"/>
                <w:i w:val="0"/>
                <w:color w:val="auto"/>
                <w:kern w:val="0"/>
                <w:sz w:val="21"/>
                <w:szCs w:val="21"/>
                <w:u w:val="none"/>
                <w:lang w:val="en-US" w:eastAsia="zh-CN" w:bidi="ar"/>
              </w:rPr>
              <w:t>%</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sz w:val="21"/>
                <w:szCs w:val="21"/>
                <w:u w:val="none"/>
                <w:lang w:val="en-US" w:eastAsia="zh-CN"/>
              </w:rPr>
              <w:t>30</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0"/>
                <w:sz w:val="21"/>
                <w:szCs w:val="21"/>
                <w:lang w:val="en-US" w:bidi="ar"/>
              </w:rPr>
              <w:fldChar w:fldCharType="begin"/>
            </w:r>
            <w:r>
              <w:rPr>
                <w:rFonts w:hint="default" w:ascii="Times New Roman" w:hAnsi="Times New Roman" w:eastAsia="宋体" w:cs="Times New Roman"/>
                <w:color w:val="auto"/>
                <w:kern w:val="0"/>
                <w:sz w:val="21"/>
                <w:szCs w:val="21"/>
                <w:lang w:val="en-US" w:bidi="ar"/>
              </w:rPr>
              <w:instrText xml:space="preserve"> =24*0.1*1.2 \# "0.000" \* MERGEFORMAT </w:instrText>
            </w:r>
            <w:r>
              <w:rPr>
                <w:rFonts w:hint="default" w:ascii="Times New Roman" w:hAnsi="Times New Roman" w:eastAsia="宋体" w:cs="Times New Roman"/>
                <w:color w:val="auto"/>
                <w:kern w:val="0"/>
                <w:sz w:val="21"/>
                <w:szCs w:val="21"/>
                <w:lang w:val="en-US" w:bidi="ar"/>
              </w:rPr>
              <w:fldChar w:fldCharType="separate"/>
            </w:r>
            <w:r>
              <w:rPr>
                <w:color w:val="auto"/>
                <w:sz w:val="21"/>
                <w:szCs w:val="21"/>
              </w:rPr>
              <w:t>2.880</w:t>
            </w:r>
            <w:r>
              <w:rPr>
                <w:rFonts w:hint="default" w:ascii="Times New Roman" w:hAnsi="Times New Roman" w:eastAsia="宋体" w:cs="Times New Roman"/>
                <w:color w:val="auto"/>
                <w:kern w:val="0"/>
                <w:sz w:val="21"/>
                <w:szCs w:val="21"/>
                <w:lang w:val="en-US" w:bidi="ar"/>
              </w:rPr>
              <w:fldChar w:fldCharType="end"/>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val="en-US" w:eastAsia="zh-CN" w:bidi="ar"/>
              </w:rPr>
              <w:t>5</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fldChar w:fldCharType="begin"/>
            </w:r>
            <w:r>
              <w:rPr>
                <w:rFonts w:hint="default" w:ascii="Times New Roman" w:hAnsi="Times New Roman" w:eastAsia="宋体" w:cs="Times New Roman"/>
                <w:color w:val="auto"/>
                <w:kern w:val="0"/>
                <w:sz w:val="21"/>
                <w:szCs w:val="21"/>
                <w:lang w:val="en-US" w:eastAsia="zh-CN" w:bidi="ar"/>
              </w:rPr>
              <w:instrText xml:space="preserve"> =2.880/5 \# "0.00" \* MERGEFORMAT </w:instrText>
            </w:r>
            <w:r>
              <w:rPr>
                <w:rFonts w:hint="default" w:ascii="Times New Roman" w:hAnsi="Times New Roman" w:eastAsia="宋体" w:cs="Times New Roman"/>
                <w:color w:val="auto"/>
                <w:kern w:val="0"/>
                <w:sz w:val="21"/>
                <w:szCs w:val="21"/>
                <w:lang w:val="en-US" w:eastAsia="zh-CN" w:bidi="ar"/>
              </w:rPr>
              <w:fldChar w:fldCharType="separate"/>
            </w:r>
            <w:r>
              <w:rPr>
                <w:color w:val="auto"/>
                <w:sz w:val="21"/>
                <w:szCs w:val="21"/>
              </w:rPr>
              <w:t>0.58</w:t>
            </w:r>
            <w:r>
              <w:rPr>
                <w:rFonts w:hint="default" w:ascii="Times New Roman" w:hAnsi="Times New Roman" w:eastAsia="宋体" w:cs="Times New Roman"/>
                <w:color w:val="auto"/>
                <w:kern w:val="0"/>
                <w:sz w:val="21"/>
                <w:szCs w:val="21"/>
                <w:lang w:val="en-US" w:eastAsia="zh-CN" w:bidi="ar"/>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tcBorders>
              <w:left w:val="single" w:color="auto" w:sz="4" w:space="0"/>
            </w:tcBorders>
            <w:noWrap w:val="0"/>
            <w:tcMar>
              <w:top w:w="13" w:type="dxa"/>
              <w:left w:w="13" w:type="dxa"/>
              <w:right w:w="13" w:type="dxa"/>
            </w:tcMar>
          </w:tcPr>
          <w:p/>
        </w:tc>
        <w:tc>
          <w:tcPr>
            <w:tcW w:w="1303"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福尔马林吨桶</w:t>
            </w: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福尔马林</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37%</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fldChar w:fldCharType="begin"/>
            </w:r>
            <w:r>
              <w:rPr>
                <w:rFonts w:hint="default" w:ascii="Times New Roman" w:hAnsi="Times New Roman" w:eastAsia="宋体" w:cs="Times New Roman"/>
                <w:color w:val="auto"/>
                <w:sz w:val="21"/>
                <w:szCs w:val="21"/>
                <w:lang w:val="en-US"/>
              </w:rPr>
              <w:instrText xml:space="preserve"> =5*0.9*0.37*1.083 \# "0.000" \* MERGEFORMAT </w:instrText>
            </w:r>
            <w:r>
              <w:rPr>
                <w:rFonts w:hint="default" w:ascii="Times New Roman" w:hAnsi="Times New Roman" w:eastAsia="宋体" w:cs="Times New Roman"/>
                <w:color w:val="auto"/>
                <w:sz w:val="21"/>
                <w:szCs w:val="21"/>
                <w:lang w:val="en-US"/>
              </w:rPr>
              <w:fldChar w:fldCharType="separate"/>
            </w:r>
            <w:r>
              <w:rPr>
                <w:rFonts w:hint="default" w:ascii="Times New Roman" w:hAnsi="Times New Roman" w:eastAsia="宋体" w:cs="Times New Roman"/>
                <w:color w:val="auto"/>
                <w:sz w:val="21"/>
                <w:szCs w:val="21"/>
              </w:rPr>
              <w:t>1.803</w:t>
            </w:r>
            <w:r>
              <w:rPr>
                <w:rFonts w:hint="default" w:ascii="Times New Roman" w:hAnsi="Times New Roman" w:eastAsia="宋体" w:cs="Times New Roman"/>
                <w:color w:val="auto"/>
                <w:sz w:val="21"/>
                <w:szCs w:val="21"/>
                <w:lang w:val="en-US"/>
              </w:rPr>
              <w:fldChar w:fldCharType="end"/>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val="en-US" w:eastAsia="zh-CN" w:bidi="ar"/>
              </w:rPr>
              <w:t>0.5</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fldChar w:fldCharType="begin"/>
            </w:r>
            <w:r>
              <w:rPr>
                <w:rFonts w:hint="default" w:ascii="Times New Roman" w:hAnsi="Times New Roman" w:eastAsia="宋体" w:cs="Times New Roman"/>
                <w:color w:val="auto"/>
                <w:kern w:val="0"/>
                <w:sz w:val="21"/>
                <w:szCs w:val="21"/>
                <w:lang w:val="en-US" w:eastAsia="zh-CN" w:bidi="ar"/>
              </w:rPr>
              <w:instrText xml:space="preserve"> =1.803/0.5 \# "0.00" \* MERGEFORMAT </w:instrText>
            </w:r>
            <w:r>
              <w:rPr>
                <w:rFonts w:hint="default" w:ascii="Times New Roman" w:hAnsi="Times New Roman" w:eastAsia="宋体" w:cs="Times New Roman"/>
                <w:color w:val="auto"/>
                <w:kern w:val="0"/>
                <w:sz w:val="21"/>
                <w:szCs w:val="21"/>
                <w:lang w:val="en-US" w:eastAsia="zh-CN" w:bidi="ar"/>
              </w:rPr>
              <w:fldChar w:fldCharType="separate"/>
            </w:r>
            <w:r>
              <w:rPr>
                <w:rFonts w:hint="default" w:ascii="Times New Roman" w:hAnsi="Times New Roman" w:eastAsia="宋体" w:cs="Times New Roman"/>
                <w:color w:val="auto"/>
                <w:sz w:val="21"/>
                <w:szCs w:val="21"/>
              </w:rPr>
              <w:t>3.61</w:t>
            </w:r>
            <w:r>
              <w:rPr>
                <w:rFonts w:hint="default" w:ascii="Times New Roman" w:hAnsi="Times New Roman" w:eastAsia="宋体" w:cs="Times New Roman"/>
                <w:color w:val="auto"/>
                <w:kern w:val="0"/>
                <w:sz w:val="21"/>
                <w:szCs w:val="21"/>
                <w:lang w:val="en-US" w:eastAsia="zh-CN" w:bidi="ar"/>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tcBorders>
              <w:left w:val="single" w:color="auto" w:sz="4" w:space="0"/>
            </w:tcBorders>
            <w:noWrap w:val="0"/>
            <w:tcMar>
              <w:top w:w="13" w:type="dxa"/>
              <w:left w:w="13" w:type="dxa"/>
              <w:right w:w="13" w:type="dxa"/>
            </w:tcMar>
          </w:tcPr>
          <w:p/>
        </w:tc>
        <w:tc>
          <w:tcPr>
            <w:tcW w:w="1303"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氢氧化钠吨桶</w:t>
            </w: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氢氧化钠</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99.9%</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10</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0"/>
                <w:sz w:val="21"/>
                <w:szCs w:val="21"/>
                <w:lang w:val="en-US" w:bidi="ar"/>
              </w:rPr>
              <w:fldChar w:fldCharType="begin"/>
            </w:r>
            <w:r>
              <w:rPr>
                <w:rFonts w:hint="default" w:ascii="Times New Roman" w:hAnsi="Times New Roman" w:eastAsia="宋体" w:cs="Times New Roman"/>
                <w:color w:val="auto"/>
                <w:kern w:val="0"/>
                <w:sz w:val="21"/>
                <w:szCs w:val="21"/>
                <w:lang w:val="en-US" w:bidi="ar"/>
              </w:rPr>
              <w:instrText xml:space="preserve"> =10*0.9*0.999*2.13 \# "0.000" \* MERGEFORMAT </w:instrText>
            </w:r>
            <w:r>
              <w:rPr>
                <w:rFonts w:hint="default" w:ascii="Times New Roman" w:hAnsi="Times New Roman" w:eastAsia="宋体" w:cs="Times New Roman"/>
                <w:color w:val="auto"/>
                <w:kern w:val="0"/>
                <w:sz w:val="21"/>
                <w:szCs w:val="21"/>
                <w:lang w:val="en-US" w:bidi="ar"/>
              </w:rPr>
              <w:fldChar w:fldCharType="separate"/>
            </w:r>
            <w:r>
              <w:rPr>
                <w:rFonts w:hint="default" w:ascii="Times New Roman" w:hAnsi="Times New Roman" w:eastAsia="宋体" w:cs="Times New Roman"/>
                <w:color w:val="auto"/>
                <w:sz w:val="21"/>
                <w:szCs w:val="21"/>
              </w:rPr>
              <w:t>19.151</w:t>
            </w:r>
            <w:r>
              <w:rPr>
                <w:rFonts w:hint="default" w:ascii="Times New Roman" w:hAnsi="Times New Roman" w:eastAsia="宋体" w:cs="Times New Roman"/>
                <w:color w:val="auto"/>
                <w:kern w:val="0"/>
                <w:sz w:val="21"/>
                <w:szCs w:val="21"/>
                <w:lang w:val="en-US" w:bidi="ar"/>
              </w:rPr>
              <w:fldChar w:fldCharType="end"/>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val="en-US" w:eastAsia="zh-CN" w:bidi="ar"/>
              </w:rPr>
              <w:t>/</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11" w:type="dxa"/>
            <w:vMerge w:val="restart"/>
            <w:tcBorders>
              <w:lef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二车间</w:t>
            </w:r>
          </w:p>
        </w:tc>
        <w:tc>
          <w:tcPr>
            <w:tcW w:w="1303"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装置区浓硝酸高位槽</w:t>
            </w: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工业级硝酸</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98%</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0"/>
                <w:sz w:val="21"/>
                <w:szCs w:val="21"/>
                <w:lang w:val="en-US" w:bidi="ar"/>
              </w:rPr>
              <w:fldChar w:fldCharType="begin"/>
            </w:r>
            <w:r>
              <w:rPr>
                <w:rFonts w:hint="default" w:ascii="Times New Roman" w:hAnsi="Times New Roman" w:eastAsia="宋体" w:cs="Times New Roman"/>
                <w:color w:val="auto"/>
                <w:kern w:val="0"/>
                <w:sz w:val="21"/>
                <w:szCs w:val="21"/>
                <w:lang w:val="en-US" w:bidi="ar"/>
              </w:rPr>
              <w:instrText xml:space="preserve"> =5*0.85*0.98*1.50 \# "0.000" \* MERGEFORMAT </w:instrText>
            </w:r>
            <w:r>
              <w:rPr>
                <w:rFonts w:hint="default" w:ascii="Times New Roman" w:hAnsi="Times New Roman" w:eastAsia="宋体" w:cs="Times New Roman"/>
                <w:color w:val="auto"/>
                <w:kern w:val="0"/>
                <w:sz w:val="21"/>
                <w:szCs w:val="21"/>
                <w:lang w:val="en-US" w:bidi="ar"/>
              </w:rPr>
              <w:fldChar w:fldCharType="separate"/>
            </w:r>
            <w:r>
              <w:rPr>
                <w:rFonts w:hint="default" w:ascii="Times New Roman" w:hAnsi="Times New Roman" w:eastAsia="宋体" w:cs="Times New Roman"/>
                <w:color w:val="auto"/>
                <w:sz w:val="21"/>
                <w:szCs w:val="21"/>
              </w:rPr>
              <w:t>6.248</w:t>
            </w:r>
            <w:r>
              <w:rPr>
                <w:rFonts w:hint="default" w:ascii="Times New Roman" w:hAnsi="Times New Roman" w:eastAsia="宋体" w:cs="Times New Roman"/>
                <w:color w:val="auto"/>
                <w:kern w:val="0"/>
                <w:sz w:val="21"/>
                <w:szCs w:val="21"/>
                <w:lang w:val="en-US" w:bidi="ar"/>
              </w:rPr>
              <w:fldChar w:fldCharType="end"/>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7.5</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fldChar w:fldCharType="begin"/>
            </w:r>
            <w:r>
              <w:rPr>
                <w:rFonts w:hint="default" w:ascii="Times New Roman" w:hAnsi="Times New Roman" w:eastAsia="宋体" w:cs="Times New Roman"/>
                <w:color w:val="auto"/>
                <w:kern w:val="0"/>
                <w:sz w:val="21"/>
                <w:szCs w:val="21"/>
                <w:lang w:val="en-US" w:eastAsia="zh-CN" w:bidi="ar"/>
              </w:rPr>
              <w:instrText xml:space="preserve"> =6.248/7.5 \# "0.00" \* MERGEFORMAT </w:instrText>
            </w:r>
            <w:r>
              <w:rPr>
                <w:rFonts w:hint="default" w:ascii="Times New Roman" w:hAnsi="Times New Roman" w:eastAsia="宋体" w:cs="Times New Roman"/>
                <w:color w:val="auto"/>
                <w:kern w:val="0"/>
                <w:sz w:val="21"/>
                <w:szCs w:val="21"/>
                <w:lang w:val="en-US" w:eastAsia="zh-CN" w:bidi="ar"/>
              </w:rPr>
              <w:fldChar w:fldCharType="separate"/>
            </w:r>
            <w:r>
              <w:rPr>
                <w:rFonts w:hint="default" w:ascii="Times New Roman" w:hAnsi="Times New Roman" w:eastAsia="宋体" w:cs="Times New Roman"/>
                <w:color w:val="auto"/>
                <w:sz w:val="21"/>
                <w:szCs w:val="21"/>
              </w:rPr>
              <w:t>0.83</w:t>
            </w:r>
            <w:r>
              <w:rPr>
                <w:rFonts w:hint="default" w:ascii="Times New Roman" w:hAnsi="Times New Roman" w:eastAsia="宋体" w:cs="Times New Roman"/>
                <w:color w:val="auto"/>
                <w:kern w:val="0"/>
                <w:sz w:val="21"/>
                <w:szCs w:val="21"/>
                <w:lang w:val="en-US" w:eastAsia="zh-CN" w:bidi="ar"/>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tcBorders>
              <w:left w:val="single" w:color="auto" w:sz="4" w:space="0"/>
            </w:tcBorders>
            <w:noWrap w:val="0"/>
            <w:tcMar>
              <w:top w:w="13" w:type="dxa"/>
              <w:left w:w="13" w:type="dxa"/>
              <w:right w:w="13" w:type="dxa"/>
            </w:tcMar>
          </w:tcPr>
          <w:p/>
        </w:tc>
        <w:tc>
          <w:tcPr>
            <w:tcW w:w="1303"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装置区成品酸中间</w:t>
            </w:r>
            <w:r>
              <w:rPr>
                <w:rFonts w:hint="default" w:ascii="Times New Roman" w:hAnsi="Times New Roman" w:eastAsia="宋体" w:cs="Times New Roman"/>
                <w:color w:val="auto"/>
                <w:sz w:val="21"/>
                <w:szCs w:val="21"/>
                <w:u w:val="none"/>
                <w:lang w:bidi="ar"/>
              </w:rPr>
              <w:t>罐</w:t>
            </w: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电子级硝酸</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65%</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0"/>
                <w:sz w:val="21"/>
                <w:szCs w:val="21"/>
                <w:lang w:val="en-US" w:bidi="ar"/>
              </w:rPr>
              <w:fldChar w:fldCharType="begin"/>
            </w:r>
            <w:r>
              <w:rPr>
                <w:rFonts w:hint="default" w:ascii="Times New Roman" w:hAnsi="Times New Roman" w:eastAsia="宋体" w:cs="Times New Roman"/>
                <w:color w:val="auto"/>
                <w:kern w:val="0"/>
                <w:sz w:val="21"/>
                <w:szCs w:val="21"/>
                <w:lang w:val="en-US" w:bidi="ar"/>
              </w:rPr>
              <w:instrText xml:space="preserve"> =5*0.85*0.65*1.395 \# "0.000" \* MERGEFORMAT </w:instrText>
            </w:r>
            <w:r>
              <w:rPr>
                <w:rFonts w:hint="default" w:ascii="Times New Roman" w:hAnsi="Times New Roman" w:eastAsia="宋体" w:cs="Times New Roman"/>
                <w:color w:val="auto"/>
                <w:kern w:val="0"/>
                <w:sz w:val="21"/>
                <w:szCs w:val="21"/>
                <w:lang w:val="en-US" w:bidi="ar"/>
              </w:rPr>
              <w:fldChar w:fldCharType="separate"/>
            </w:r>
            <w:r>
              <w:rPr>
                <w:rFonts w:hint="default" w:ascii="Times New Roman" w:hAnsi="Times New Roman" w:eastAsia="宋体" w:cs="Times New Roman"/>
                <w:color w:val="auto"/>
                <w:sz w:val="21"/>
                <w:szCs w:val="21"/>
              </w:rPr>
              <w:t>3.854</w:t>
            </w:r>
            <w:r>
              <w:rPr>
                <w:rFonts w:hint="default" w:ascii="Times New Roman" w:hAnsi="Times New Roman" w:eastAsia="宋体" w:cs="Times New Roman"/>
                <w:color w:val="auto"/>
                <w:kern w:val="0"/>
                <w:sz w:val="21"/>
                <w:szCs w:val="21"/>
                <w:lang w:val="en-US" w:bidi="ar"/>
              </w:rPr>
              <w:fldChar w:fldCharType="end"/>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7.5</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fldChar w:fldCharType="begin"/>
            </w:r>
            <w:r>
              <w:rPr>
                <w:rFonts w:hint="default" w:ascii="Times New Roman" w:hAnsi="Times New Roman" w:eastAsia="宋体" w:cs="Times New Roman"/>
                <w:color w:val="auto"/>
                <w:kern w:val="0"/>
                <w:sz w:val="21"/>
                <w:szCs w:val="21"/>
                <w:lang w:val="en-US" w:eastAsia="zh-CN" w:bidi="ar"/>
              </w:rPr>
              <w:instrText xml:space="preserve"> =3.854/7.5 \# "0.00" \* MERGEFORMAT </w:instrText>
            </w:r>
            <w:r>
              <w:rPr>
                <w:rFonts w:hint="default" w:ascii="Times New Roman" w:hAnsi="Times New Roman" w:eastAsia="宋体" w:cs="Times New Roman"/>
                <w:color w:val="auto"/>
                <w:kern w:val="0"/>
                <w:sz w:val="21"/>
                <w:szCs w:val="21"/>
                <w:lang w:val="en-US" w:eastAsia="zh-CN" w:bidi="ar"/>
              </w:rPr>
              <w:fldChar w:fldCharType="separate"/>
            </w:r>
            <w:r>
              <w:rPr>
                <w:rFonts w:hint="default" w:ascii="Times New Roman" w:hAnsi="Times New Roman" w:eastAsia="宋体" w:cs="Times New Roman"/>
                <w:color w:val="auto"/>
                <w:sz w:val="21"/>
                <w:szCs w:val="21"/>
              </w:rPr>
              <w:t>0.51</w:t>
            </w:r>
            <w:r>
              <w:rPr>
                <w:rFonts w:hint="default" w:ascii="Times New Roman" w:hAnsi="Times New Roman" w:eastAsia="宋体" w:cs="Times New Roman"/>
                <w:color w:val="auto"/>
                <w:kern w:val="0"/>
                <w:sz w:val="21"/>
                <w:szCs w:val="21"/>
                <w:lang w:val="en-US" w:eastAsia="zh-CN" w:bidi="ar"/>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tcBorders>
              <w:left w:val="single" w:color="auto" w:sz="4" w:space="0"/>
            </w:tcBorders>
            <w:noWrap w:val="0"/>
            <w:tcMar>
              <w:top w:w="13" w:type="dxa"/>
              <w:left w:w="13" w:type="dxa"/>
              <w:right w:w="13" w:type="dxa"/>
            </w:tcMar>
          </w:tcPr>
          <w:p/>
        </w:tc>
        <w:tc>
          <w:tcPr>
            <w:tcW w:w="1303"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硝酸高位槽</w:t>
            </w: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电子级硝酸</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65%</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3</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0"/>
                <w:sz w:val="21"/>
                <w:szCs w:val="21"/>
                <w:lang w:val="en-US" w:bidi="ar"/>
              </w:rPr>
              <w:fldChar w:fldCharType="begin"/>
            </w:r>
            <w:r>
              <w:rPr>
                <w:rFonts w:hint="default" w:ascii="Times New Roman" w:hAnsi="Times New Roman" w:eastAsia="宋体" w:cs="Times New Roman"/>
                <w:color w:val="auto"/>
                <w:kern w:val="0"/>
                <w:sz w:val="21"/>
                <w:szCs w:val="21"/>
                <w:lang w:val="en-US" w:bidi="ar"/>
              </w:rPr>
              <w:instrText xml:space="preserve"> =3*0.85*0.98*1.395 \# "0.000" \* MERGEFORMAT </w:instrText>
            </w:r>
            <w:r>
              <w:rPr>
                <w:rFonts w:hint="default" w:ascii="Times New Roman" w:hAnsi="Times New Roman" w:eastAsia="宋体" w:cs="Times New Roman"/>
                <w:color w:val="auto"/>
                <w:kern w:val="0"/>
                <w:sz w:val="21"/>
                <w:szCs w:val="21"/>
                <w:lang w:val="en-US" w:bidi="ar"/>
              </w:rPr>
              <w:fldChar w:fldCharType="separate"/>
            </w:r>
            <w:r>
              <w:rPr>
                <w:rFonts w:hint="default" w:ascii="Times New Roman" w:hAnsi="Times New Roman" w:eastAsia="宋体" w:cs="Times New Roman"/>
                <w:color w:val="auto"/>
                <w:sz w:val="21"/>
                <w:szCs w:val="21"/>
              </w:rPr>
              <w:t>3.486</w:t>
            </w:r>
            <w:r>
              <w:rPr>
                <w:rFonts w:hint="default" w:ascii="Times New Roman" w:hAnsi="Times New Roman" w:eastAsia="宋体" w:cs="Times New Roman"/>
                <w:color w:val="auto"/>
                <w:kern w:val="0"/>
                <w:sz w:val="21"/>
                <w:szCs w:val="21"/>
                <w:lang w:val="en-US" w:bidi="ar"/>
              </w:rPr>
              <w:fldChar w:fldCharType="end"/>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7.5</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fldChar w:fldCharType="begin"/>
            </w:r>
            <w:r>
              <w:rPr>
                <w:rFonts w:hint="default" w:ascii="Times New Roman" w:hAnsi="Times New Roman" w:eastAsia="宋体" w:cs="Times New Roman"/>
                <w:color w:val="auto"/>
                <w:kern w:val="0"/>
                <w:sz w:val="21"/>
                <w:szCs w:val="21"/>
                <w:lang w:val="en-US" w:eastAsia="zh-CN" w:bidi="ar"/>
              </w:rPr>
              <w:instrText xml:space="preserve"> =3.486/7.5 \# "0.00" \* MERGEFORMAT </w:instrText>
            </w:r>
            <w:r>
              <w:rPr>
                <w:rFonts w:hint="default" w:ascii="Times New Roman" w:hAnsi="Times New Roman" w:eastAsia="宋体" w:cs="Times New Roman"/>
                <w:color w:val="auto"/>
                <w:kern w:val="0"/>
                <w:sz w:val="21"/>
                <w:szCs w:val="21"/>
                <w:lang w:val="en-US" w:eastAsia="zh-CN" w:bidi="ar"/>
              </w:rPr>
              <w:fldChar w:fldCharType="separate"/>
            </w:r>
            <w:r>
              <w:rPr>
                <w:rFonts w:hint="default" w:ascii="Times New Roman" w:hAnsi="Times New Roman" w:eastAsia="宋体" w:cs="Times New Roman"/>
                <w:color w:val="auto"/>
                <w:sz w:val="21"/>
                <w:szCs w:val="21"/>
              </w:rPr>
              <w:t>0.46</w:t>
            </w:r>
            <w:r>
              <w:rPr>
                <w:rFonts w:hint="default" w:ascii="Times New Roman" w:hAnsi="Times New Roman" w:eastAsia="宋体" w:cs="Times New Roman"/>
                <w:color w:val="auto"/>
                <w:kern w:val="0"/>
                <w:sz w:val="21"/>
                <w:szCs w:val="21"/>
                <w:lang w:val="en-US" w:eastAsia="zh-CN" w:bidi="ar"/>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tcBorders>
              <w:left w:val="single" w:color="auto" w:sz="4" w:space="0"/>
            </w:tcBorders>
            <w:noWrap w:val="0"/>
            <w:tcMar>
              <w:top w:w="13" w:type="dxa"/>
              <w:left w:w="13" w:type="dxa"/>
              <w:right w:w="13" w:type="dxa"/>
            </w:tcMar>
          </w:tcPr>
          <w:p/>
        </w:tc>
        <w:tc>
          <w:tcPr>
            <w:tcW w:w="1303"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双氧水高位槽</w:t>
            </w: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双氧水</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50%</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3</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0"/>
                <w:sz w:val="21"/>
                <w:szCs w:val="21"/>
                <w:lang w:val="en-US" w:bidi="ar"/>
              </w:rPr>
              <w:fldChar w:fldCharType="begin"/>
            </w:r>
            <w:r>
              <w:rPr>
                <w:rFonts w:hint="default" w:ascii="Times New Roman" w:hAnsi="Times New Roman" w:eastAsia="宋体" w:cs="Times New Roman"/>
                <w:color w:val="auto"/>
                <w:kern w:val="0"/>
                <w:sz w:val="21"/>
                <w:szCs w:val="21"/>
                <w:lang w:val="en-US" w:bidi="ar"/>
              </w:rPr>
              <w:instrText xml:space="preserve"> =3*0.85*0.5*1.13 \# "0.000" \* MERGEFORMAT </w:instrText>
            </w:r>
            <w:r>
              <w:rPr>
                <w:rFonts w:hint="default" w:ascii="Times New Roman" w:hAnsi="Times New Roman" w:eastAsia="宋体" w:cs="Times New Roman"/>
                <w:color w:val="auto"/>
                <w:kern w:val="0"/>
                <w:sz w:val="21"/>
                <w:szCs w:val="21"/>
                <w:lang w:val="en-US" w:bidi="ar"/>
              </w:rPr>
              <w:fldChar w:fldCharType="separate"/>
            </w:r>
            <w:r>
              <w:rPr>
                <w:rFonts w:hint="default" w:ascii="Times New Roman" w:hAnsi="Times New Roman" w:eastAsia="宋体" w:cs="Times New Roman"/>
                <w:color w:val="auto"/>
                <w:sz w:val="21"/>
                <w:szCs w:val="21"/>
              </w:rPr>
              <w:t>1.441</w:t>
            </w:r>
            <w:r>
              <w:rPr>
                <w:rFonts w:hint="default" w:ascii="Times New Roman" w:hAnsi="Times New Roman" w:eastAsia="宋体" w:cs="Times New Roman"/>
                <w:color w:val="auto"/>
                <w:kern w:val="0"/>
                <w:sz w:val="21"/>
                <w:szCs w:val="21"/>
                <w:lang w:val="en-US" w:bidi="ar"/>
              </w:rPr>
              <w:fldChar w:fldCharType="end"/>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tcBorders>
              <w:left w:val="single" w:color="auto" w:sz="4" w:space="0"/>
            </w:tcBorders>
            <w:noWrap w:val="0"/>
            <w:tcMar>
              <w:top w:w="13" w:type="dxa"/>
              <w:left w:w="13" w:type="dxa"/>
              <w:right w:w="13" w:type="dxa"/>
            </w:tcMar>
          </w:tcPr>
          <w:p/>
        </w:tc>
        <w:tc>
          <w:tcPr>
            <w:tcW w:w="1303"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硝酸银储槽</w:t>
            </w: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硝酸银</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99.8%</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2.15</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0"/>
                <w:sz w:val="21"/>
                <w:szCs w:val="21"/>
                <w:lang w:val="en-US" w:bidi="ar"/>
              </w:rPr>
              <w:fldChar w:fldCharType="begin"/>
            </w:r>
            <w:r>
              <w:rPr>
                <w:rFonts w:hint="default" w:ascii="Times New Roman" w:hAnsi="Times New Roman" w:eastAsia="宋体" w:cs="Times New Roman"/>
                <w:color w:val="auto"/>
                <w:kern w:val="0"/>
                <w:sz w:val="21"/>
                <w:szCs w:val="21"/>
                <w:lang w:val="en-US" w:bidi="ar"/>
              </w:rPr>
              <w:instrText xml:space="preserve"> =2.15*0.85*0.998*4.35 \# "0.000" \* MERGEFORMAT </w:instrText>
            </w:r>
            <w:r>
              <w:rPr>
                <w:rFonts w:hint="default" w:ascii="Times New Roman" w:hAnsi="Times New Roman" w:eastAsia="宋体" w:cs="Times New Roman"/>
                <w:color w:val="auto"/>
                <w:kern w:val="0"/>
                <w:sz w:val="21"/>
                <w:szCs w:val="21"/>
                <w:lang w:val="en-US" w:bidi="ar"/>
              </w:rPr>
              <w:fldChar w:fldCharType="separate"/>
            </w:r>
            <w:r>
              <w:rPr>
                <w:rFonts w:hint="default" w:ascii="Times New Roman" w:hAnsi="Times New Roman" w:eastAsia="宋体" w:cs="Times New Roman"/>
                <w:color w:val="auto"/>
                <w:sz w:val="21"/>
                <w:szCs w:val="21"/>
              </w:rPr>
              <w:t>7.934</w:t>
            </w:r>
            <w:r>
              <w:rPr>
                <w:rFonts w:hint="default" w:ascii="Times New Roman" w:hAnsi="Times New Roman" w:eastAsia="宋体" w:cs="Times New Roman"/>
                <w:color w:val="auto"/>
                <w:kern w:val="0"/>
                <w:sz w:val="21"/>
                <w:szCs w:val="21"/>
                <w:lang w:val="en-US" w:bidi="ar"/>
              </w:rPr>
              <w:fldChar w:fldCharType="end"/>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tcBorders>
              <w:left w:val="single" w:color="auto" w:sz="4" w:space="0"/>
            </w:tcBorders>
            <w:noWrap w:val="0"/>
            <w:tcMar>
              <w:top w:w="13" w:type="dxa"/>
              <w:left w:w="13" w:type="dxa"/>
              <w:right w:w="13" w:type="dxa"/>
            </w:tcMar>
          </w:tcPr>
          <w:p/>
        </w:tc>
        <w:tc>
          <w:tcPr>
            <w:tcW w:w="1303"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硝酸银收集罐</w:t>
            </w: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硝酸银</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99.8%</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0"/>
                <w:sz w:val="21"/>
                <w:szCs w:val="21"/>
                <w:lang w:val="en-US" w:bidi="ar"/>
              </w:rPr>
              <w:fldChar w:fldCharType="begin"/>
            </w:r>
            <w:r>
              <w:rPr>
                <w:rFonts w:hint="default" w:ascii="Times New Roman" w:hAnsi="Times New Roman" w:eastAsia="宋体" w:cs="Times New Roman"/>
                <w:color w:val="auto"/>
                <w:kern w:val="0"/>
                <w:sz w:val="21"/>
                <w:szCs w:val="21"/>
                <w:lang w:val="en-US" w:bidi="ar"/>
              </w:rPr>
              <w:instrText xml:space="preserve"> =5*0.85*0.998*4.35 \# "0.000" \* MERGEFORMAT </w:instrText>
            </w:r>
            <w:r>
              <w:rPr>
                <w:rFonts w:hint="default" w:ascii="Times New Roman" w:hAnsi="Times New Roman" w:eastAsia="宋体" w:cs="Times New Roman"/>
                <w:color w:val="auto"/>
                <w:kern w:val="0"/>
                <w:sz w:val="21"/>
                <w:szCs w:val="21"/>
                <w:lang w:val="en-US" w:bidi="ar"/>
              </w:rPr>
              <w:fldChar w:fldCharType="separate"/>
            </w:r>
            <w:r>
              <w:rPr>
                <w:rFonts w:hint="default" w:ascii="Times New Roman" w:hAnsi="Times New Roman" w:eastAsia="宋体" w:cs="Times New Roman"/>
                <w:color w:val="auto"/>
                <w:sz w:val="21"/>
                <w:szCs w:val="21"/>
              </w:rPr>
              <w:t>18.451</w:t>
            </w:r>
            <w:r>
              <w:rPr>
                <w:rFonts w:hint="default" w:ascii="Times New Roman" w:hAnsi="Times New Roman" w:eastAsia="宋体" w:cs="Times New Roman"/>
                <w:color w:val="auto"/>
                <w:kern w:val="0"/>
                <w:sz w:val="21"/>
                <w:szCs w:val="21"/>
                <w:lang w:val="en-US" w:bidi="ar"/>
              </w:rPr>
              <w:fldChar w:fldCharType="end"/>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tcBorders>
              <w:left w:val="single" w:color="auto" w:sz="4" w:space="0"/>
            </w:tcBorders>
            <w:noWrap w:val="0"/>
            <w:tcMar>
              <w:top w:w="13" w:type="dxa"/>
              <w:left w:w="13" w:type="dxa"/>
              <w:right w:w="13" w:type="dxa"/>
            </w:tcMar>
          </w:tcPr>
          <w:p/>
        </w:tc>
        <w:tc>
          <w:tcPr>
            <w:tcW w:w="1303"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氨水储槽</w:t>
            </w: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氨水</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50%</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3.66</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fldChar w:fldCharType="begin"/>
            </w:r>
            <w:r>
              <w:rPr>
                <w:rFonts w:hint="default" w:ascii="Times New Roman" w:hAnsi="Times New Roman" w:eastAsia="宋体" w:cs="Times New Roman"/>
                <w:color w:val="auto"/>
                <w:kern w:val="0"/>
                <w:sz w:val="21"/>
                <w:szCs w:val="21"/>
                <w:lang w:val="en-US" w:eastAsia="zh-CN" w:bidi="ar"/>
              </w:rPr>
              <w:instrText xml:space="preserve"> =3.66*0.85*0.5*0.892 \# "0.000" \* MERGEFORMAT </w:instrText>
            </w:r>
            <w:r>
              <w:rPr>
                <w:rFonts w:hint="default" w:ascii="Times New Roman" w:hAnsi="Times New Roman" w:eastAsia="宋体" w:cs="Times New Roman"/>
                <w:color w:val="auto"/>
                <w:kern w:val="0"/>
                <w:sz w:val="21"/>
                <w:szCs w:val="21"/>
                <w:lang w:val="en-US" w:eastAsia="zh-CN" w:bidi="ar"/>
              </w:rPr>
              <w:fldChar w:fldCharType="separate"/>
            </w:r>
            <w:r>
              <w:rPr>
                <w:rFonts w:hint="default" w:ascii="Times New Roman" w:hAnsi="Times New Roman" w:eastAsia="宋体" w:cs="Times New Roman"/>
                <w:color w:val="auto"/>
                <w:sz w:val="21"/>
                <w:szCs w:val="21"/>
              </w:rPr>
              <w:t>1.388</w:t>
            </w:r>
            <w:r>
              <w:rPr>
                <w:rFonts w:hint="default" w:ascii="Times New Roman" w:hAnsi="Times New Roman" w:eastAsia="宋体" w:cs="Times New Roman"/>
                <w:color w:val="auto"/>
                <w:kern w:val="0"/>
                <w:sz w:val="21"/>
                <w:szCs w:val="21"/>
                <w:lang w:val="en-US" w:eastAsia="zh-CN" w:bidi="ar"/>
              </w:rPr>
              <w:fldChar w:fldCharType="end"/>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10</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fldChar w:fldCharType="begin"/>
            </w:r>
            <w:r>
              <w:rPr>
                <w:rFonts w:hint="default" w:ascii="Times New Roman" w:hAnsi="Times New Roman" w:eastAsia="宋体" w:cs="Times New Roman"/>
                <w:color w:val="auto"/>
                <w:kern w:val="0"/>
                <w:sz w:val="21"/>
                <w:szCs w:val="21"/>
                <w:lang w:val="en-US" w:eastAsia="zh-CN" w:bidi="ar"/>
              </w:rPr>
              <w:instrText xml:space="preserve"> =1.388/10 \# "0.000" \* MERGEFORMAT </w:instrText>
            </w:r>
            <w:r>
              <w:rPr>
                <w:rFonts w:hint="default" w:ascii="Times New Roman" w:hAnsi="Times New Roman" w:eastAsia="宋体" w:cs="Times New Roman"/>
                <w:color w:val="auto"/>
                <w:kern w:val="0"/>
                <w:sz w:val="21"/>
                <w:szCs w:val="21"/>
                <w:lang w:val="en-US" w:eastAsia="zh-CN" w:bidi="ar"/>
              </w:rPr>
              <w:fldChar w:fldCharType="separate"/>
            </w:r>
            <w:r>
              <w:rPr>
                <w:rFonts w:hint="default" w:ascii="Times New Roman" w:hAnsi="Times New Roman" w:eastAsia="宋体" w:cs="Times New Roman"/>
                <w:color w:val="auto"/>
                <w:sz w:val="21"/>
                <w:szCs w:val="21"/>
              </w:rPr>
              <w:t>0.139</w:t>
            </w:r>
            <w:r>
              <w:rPr>
                <w:rFonts w:hint="default" w:ascii="Times New Roman" w:hAnsi="Times New Roman" w:eastAsia="宋体" w:cs="Times New Roman"/>
                <w:color w:val="auto"/>
                <w:kern w:val="0"/>
                <w:sz w:val="21"/>
                <w:szCs w:val="21"/>
                <w:lang w:val="en-US" w:eastAsia="zh-CN" w:bidi="ar"/>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tcBorders>
              <w:left w:val="single" w:color="auto" w:sz="4" w:space="0"/>
            </w:tcBorders>
            <w:noWrap w:val="0"/>
            <w:tcMar>
              <w:top w:w="13" w:type="dxa"/>
              <w:left w:w="13" w:type="dxa"/>
              <w:right w:w="13" w:type="dxa"/>
            </w:tcMar>
          </w:tcPr>
          <w:p/>
        </w:tc>
        <w:tc>
          <w:tcPr>
            <w:tcW w:w="1303"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双氧水储槽</w:t>
            </w: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val="en-US" w:eastAsia="zh-CN" w:bidi="ar"/>
              </w:rPr>
              <w:t>双氧水</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50%</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3.66</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0"/>
                <w:sz w:val="21"/>
                <w:szCs w:val="21"/>
                <w:lang w:val="en-US" w:bidi="ar"/>
              </w:rPr>
              <w:fldChar w:fldCharType="begin"/>
            </w:r>
            <w:r>
              <w:rPr>
                <w:rFonts w:hint="default" w:ascii="Times New Roman" w:hAnsi="Times New Roman" w:eastAsia="宋体" w:cs="Times New Roman"/>
                <w:color w:val="auto"/>
                <w:kern w:val="0"/>
                <w:sz w:val="21"/>
                <w:szCs w:val="21"/>
                <w:lang w:val="en-US" w:bidi="ar"/>
              </w:rPr>
              <w:instrText xml:space="preserve"> =3.66*0.85*0.5*1.13 \# "0.000" \* MERGEFORMAT </w:instrText>
            </w:r>
            <w:r>
              <w:rPr>
                <w:rFonts w:hint="default" w:ascii="Times New Roman" w:hAnsi="Times New Roman" w:eastAsia="宋体" w:cs="Times New Roman"/>
                <w:color w:val="auto"/>
                <w:kern w:val="0"/>
                <w:sz w:val="21"/>
                <w:szCs w:val="21"/>
                <w:lang w:val="en-US" w:bidi="ar"/>
              </w:rPr>
              <w:fldChar w:fldCharType="separate"/>
            </w:r>
            <w:r>
              <w:rPr>
                <w:rFonts w:hint="default" w:ascii="Times New Roman" w:hAnsi="Times New Roman" w:eastAsia="宋体" w:cs="Times New Roman"/>
                <w:color w:val="auto"/>
                <w:sz w:val="21"/>
                <w:szCs w:val="21"/>
              </w:rPr>
              <w:t>1.758</w:t>
            </w:r>
            <w:r>
              <w:rPr>
                <w:rFonts w:hint="default" w:ascii="Times New Roman" w:hAnsi="Times New Roman" w:eastAsia="宋体" w:cs="Times New Roman"/>
                <w:color w:val="auto"/>
                <w:kern w:val="0"/>
                <w:sz w:val="21"/>
                <w:szCs w:val="21"/>
                <w:lang w:val="en-US" w:bidi="ar"/>
              </w:rPr>
              <w:fldChar w:fldCharType="end"/>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tcBorders>
              <w:left w:val="single" w:color="auto" w:sz="4" w:space="0"/>
            </w:tcBorders>
            <w:noWrap w:val="0"/>
            <w:tcMar>
              <w:top w:w="13" w:type="dxa"/>
              <w:left w:w="13" w:type="dxa"/>
              <w:right w:w="13" w:type="dxa"/>
            </w:tcMar>
          </w:tcPr>
          <w:p/>
        </w:tc>
        <w:tc>
          <w:tcPr>
            <w:tcW w:w="1303"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乙醇储槽</w:t>
            </w: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乙醇</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95%</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3.66</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0"/>
                <w:sz w:val="21"/>
                <w:szCs w:val="21"/>
                <w:lang w:val="en-US" w:bidi="ar"/>
              </w:rPr>
              <w:fldChar w:fldCharType="begin"/>
            </w:r>
            <w:r>
              <w:rPr>
                <w:rFonts w:hint="default" w:ascii="Times New Roman" w:hAnsi="Times New Roman" w:eastAsia="宋体" w:cs="Times New Roman"/>
                <w:color w:val="auto"/>
                <w:kern w:val="0"/>
                <w:sz w:val="21"/>
                <w:szCs w:val="21"/>
                <w:lang w:val="en-US" w:bidi="ar"/>
              </w:rPr>
              <w:instrText xml:space="preserve"> =3.66*0.85*0.95*0.789 \# "0.000" \* MERGEFORMAT </w:instrText>
            </w:r>
            <w:r>
              <w:rPr>
                <w:rFonts w:hint="default" w:ascii="Times New Roman" w:hAnsi="Times New Roman" w:eastAsia="宋体" w:cs="Times New Roman"/>
                <w:color w:val="auto"/>
                <w:kern w:val="0"/>
                <w:sz w:val="21"/>
                <w:szCs w:val="21"/>
                <w:lang w:val="en-US" w:bidi="ar"/>
              </w:rPr>
              <w:fldChar w:fldCharType="separate"/>
            </w:r>
            <w:r>
              <w:rPr>
                <w:rFonts w:hint="default" w:ascii="Times New Roman" w:hAnsi="Times New Roman" w:eastAsia="宋体" w:cs="Times New Roman"/>
                <w:color w:val="auto"/>
                <w:sz w:val="21"/>
                <w:szCs w:val="21"/>
              </w:rPr>
              <w:t>2.332</w:t>
            </w:r>
            <w:r>
              <w:rPr>
                <w:rFonts w:hint="default" w:ascii="Times New Roman" w:hAnsi="Times New Roman" w:eastAsia="宋体" w:cs="Times New Roman"/>
                <w:color w:val="auto"/>
                <w:kern w:val="0"/>
                <w:sz w:val="21"/>
                <w:szCs w:val="21"/>
                <w:lang w:val="en-US" w:bidi="ar"/>
              </w:rPr>
              <w:fldChar w:fldCharType="end"/>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tcBorders>
              <w:left w:val="single" w:color="auto" w:sz="4" w:space="0"/>
            </w:tcBorders>
            <w:noWrap w:val="0"/>
            <w:tcMar>
              <w:top w:w="13" w:type="dxa"/>
              <w:left w:w="13" w:type="dxa"/>
              <w:right w:w="13" w:type="dxa"/>
            </w:tcMar>
          </w:tcPr>
          <w:p/>
        </w:tc>
        <w:tc>
          <w:tcPr>
            <w:tcW w:w="1303"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福尔马林储槽</w:t>
            </w: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福尔马林</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37%</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3.66</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0"/>
                <w:sz w:val="21"/>
                <w:szCs w:val="21"/>
                <w:lang w:val="en-US" w:bidi="ar"/>
              </w:rPr>
              <w:fldChar w:fldCharType="begin"/>
            </w:r>
            <w:r>
              <w:rPr>
                <w:rFonts w:hint="default" w:ascii="Times New Roman" w:hAnsi="Times New Roman" w:eastAsia="宋体" w:cs="Times New Roman"/>
                <w:color w:val="auto"/>
                <w:kern w:val="0"/>
                <w:sz w:val="21"/>
                <w:szCs w:val="21"/>
                <w:lang w:val="en-US" w:bidi="ar"/>
              </w:rPr>
              <w:instrText xml:space="preserve"> =3.66*0.85*0.37*1.083 \# "0.000" \* MERGEFORMAT </w:instrText>
            </w:r>
            <w:r>
              <w:rPr>
                <w:rFonts w:hint="default" w:ascii="Times New Roman" w:hAnsi="Times New Roman" w:eastAsia="宋体" w:cs="Times New Roman"/>
                <w:color w:val="auto"/>
                <w:kern w:val="0"/>
                <w:sz w:val="21"/>
                <w:szCs w:val="21"/>
                <w:lang w:val="en-US" w:bidi="ar"/>
              </w:rPr>
              <w:fldChar w:fldCharType="separate"/>
            </w:r>
            <w:r>
              <w:rPr>
                <w:rFonts w:hint="default" w:ascii="Times New Roman" w:hAnsi="Times New Roman" w:eastAsia="宋体" w:cs="Times New Roman"/>
                <w:color w:val="auto"/>
                <w:sz w:val="21"/>
                <w:szCs w:val="21"/>
              </w:rPr>
              <w:t>1.247</w:t>
            </w:r>
            <w:r>
              <w:rPr>
                <w:rFonts w:hint="default" w:ascii="Times New Roman" w:hAnsi="Times New Roman" w:eastAsia="宋体" w:cs="Times New Roman"/>
                <w:color w:val="auto"/>
                <w:kern w:val="0"/>
                <w:sz w:val="21"/>
                <w:szCs w:val="21"/>
                <w:lang w:val="en-US" w:bidi="ar"/>
              </w:rPr>
              <w:fldChar w:fldCharType="end"/>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0.5</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fldChar w:fldCharType="begin"/>
            </w:r>
            <w:r>
              <w:rPr>
                <w:rFonts w:hint="default" w:ascii="Times New Roman" w:hAnsi="Times New Roman" w:eastAsia="宋体" w:cs="Times New Roman"/>
                <w:color w:val="auto"/>
                <w:kern w:val="0"/>
                <w:sz w:val="21"/>
                <w:szCs w:val="21"/>
                <w:lang w:val="en-US" w:eastAsia="zh-CN" w:bidi="ar"/>
              </w:rPr>
              <w:instrText xml:space="preserve"> =1.247/0.5 \# "0.000" \* MERGEFORMAT </w:instrText>
            </w:r>
            <w:r>
              <w:rPr>
                <w:rFonts w:hint="default" w:ascii="Times New Roman" w:hAnsi="Times New Roman" w:eastAsia="宋体" w:cs="Times New Roman"/>
                <w:color w:val="auto"/>
                <w:kern w:val="0"/>
                <w:sz w:val="21"/>
                <w:szCs w:val="21"/>
                <w:lang w:val="en-US" w:eastAsia="zh-CN" w:bidi="ar"/>
              </w:rPr>
              <w:fldChar w:fldCharType="separate"/>
            </w:r>
            <w:r>
              <w:rPr>
                <w:rFonts w:hint="default" w:ascii="Times New Roman" w:hAnsi="Times New Roman" w:eastAsia="宋体" w:cs="Times New Roman"/>
                <w:color w:val="auto"/>
                <w:sz w:val="21"/>
                <w:szCs w:val="21"/>
              </w:rPr>
              <w:t>2.494</w:t>
            </w:r>
            <w:r>
              <w:rPr>
                <w:rFonts w:hint="default" w:ascii="Times New Roman" w:hAnsi="Times New Roman" w:eastAsia="宋体" w:cs="Times New Roman"/>
                <w:color w:val="auto"/>
                <w:kern w:val="0"/>
                <w:sz w:val="21"/>
                <w:szCs w:val="21"/>
                <w:lang w:val="en-US" w:eastAsia="zh-CN" w:bidi="ar"/>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tcBorders>
              <w:left w:val="single" w:color="auto" w:sz="4" w:space="0"/>
            </w:tcBorders>
            <w:noWrap w:val="0"/>
            <w:tcMar>
              <w:top w:w="13" w:type="dxa"/>
              <w:left w:w="13" w:type="dxa"/>
              <w:right w:w="13" w:type="dxa"/>
            </w:tcMar>
          </w:tcPr>
          <w:p/>
        </w:tc>
        <w:tc>
          <w:tcPr>
            <w:tcW w:w="1303"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银</w:t>
            </w: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银粉、银板</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99.99%</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10</w:t>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tcBorders>
              <w:left w:val="single" w:color="auto" w:sz="4" w:space="0"/>
            </w:tcBorders>
            <w:noWrap w:val="0"/>
            <w:tcMar>
              <w:top w:w="13" w:type="dxa"/>
              <w:left w:w="13" w:type="dxa"/>
              <w:right w:w="13" w:type="dxa"/>
            </w:tcMar>
          </w:tcPr>
          <w:p/>
        </w:tc>
        <w:tc>
          <w:tcPr>
            <w:tcW w:w="1303" w:type="dxa"/>
            <w:vMerge w:val="restart"/>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生产线</w:t>
            </w: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i w:val="0"/>
                <w:color w:val="auto"/>
                <w:kern w:val="0"/>
                <w:sz w:val="21"/>
                <w:szCs w:val="21"/>
                <w:u w:val="none"/>
                <w:lang w:val="en-US" w:eastAsia="zh-CN" w:bidi="ar"/>
              </w:rPr>
              <w:t>一氧化氮</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99.99%</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i w:val="0"/>
                <w:color w:val="auto"/>
                <w:kern w:val="0"/>
                <w:sz w:val="21"/>
                <w:szCs w:val="21"/>
                <w:u w:val="none"/>
                <w:lang w:eastAsia="zh-CN" w:bidi="ar"/>
              </w:rPr>
              <w:fldChar w:fldCharType="begin"/>
            </w:r>
            <w:r>
              <w:rPr>
                <w:rFonts w:hint="eastAsia" w:ascii="Times New Roman" w:hAnsi="Times New Roman" w:eastAsia="宋体" w:cs="Times New Roman"/>
                <w:i w:val="0"/>
                <w:color w:val="auto"/>
                <w:kern w:val="0"/>
                <w:sz w:val="21"/>
                <w:szCs w:val="21"/>
                <w:u w:val="none"/>
                <w:lang w:eastAsia="zh-CN" w:bidi="ar"/>
              </w:rPr>
              <w:instrText xml:space="preserve"> =2.5/5400+0.0462/5550 \# "0.0000" \* MERGEFORMAT </w:instrText>
            </w:r>
            <w:r>
              <w:rPr>
                <w:rFonts w:hint="eastAsia" w:ascii="Times New Roman" w:hAnsi="Times New Roman" w:eastAsia="宋体" w:cs="Times New Roman"/>
                <w:i w:val="0"/>
                <w:color w:val="auto"/>
                <w:kern w:val="0"/>
                <w:sz w:val="21"/>
                <w:szCs w:val="21"/>
                <w:u w:val="none"/>
                <w:lang w:eastAsia="zh-CN" w:bidi="ar"/>
              </w:rPr>
              <w:fldChar w:fldCharType="separate"/>
            </w:r>
            <w:r>
              <w:rPr>
                <w:color w:val="auto"/>
                <w:sz w:val="21"/>
                <w:szCs w:val="21"/>
              </w:rPr>
              <w:t>0.0005</w:t>
            </w:r>
            <w:r>
              <w:rPr>
                <w:rFonts w:hint="eastAsia" w:ascii="Times New Roman" w:hAnsi="Times New Roman" w:eastAsia="宋体" w:cs="Times New Roman"/>
                <w:i w:val="0"/>
                <w:color w:val="auto"/>
                <w:kern w:val="0"/>
                <w:sz w:val="21"/>
                <w:szCs w:val="21"/>
                <w:u w:val="none"/>
                <w:lang w:eastAsia="zh-CN" w:bidi="ar"/>
              </w:rPr>
              <w:fldChar w:fldCharType="end"/>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0.5</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eastAsia="zh-CN" w:bidi="ar"/>
              </w:rPr>
              <w:fldChar w:fldCharType="begin"/>
            </w:r>
            <w:r>
              <w:rPr>
                <w:rFonts w:hint="eastAsia" w:ascii="Times New Roman" w:hAnsi="Times New Roman" w:eastAsia="宋体" w:cs="Times New Roman"/>
                <w:color w:val="auto"/>
                <w:kern w:val="0"/>
                <w:sz w:val="21"/>
                <w:szCs w:val="21"/>
                <w:lang w:eastAsia="zh-CN" w:bidi="ar"/>
              </w:rPr>
              <w:instrText xml:space="preserve"> =0.0005/0.5 \* MERGEFORMAT </w:instrText>
            </w:r>
            <w:r>
              <w:rPr>
                <w:rFonts w:hint="eastAsia" w:ascii="Times New Roman" w:hAnsi="Times New Roman" w:eastAsia="宋体" w:cs="Times New Roman"/>
                <w:color w:val="auto"/>
                <w:kern w:val="0"/>
                <w:sz w:val="21"/>
                <w:szCs w:val="21"/>
                <w:lang w:eastAsia="zh-CN" w:bidi="ar"/>
              </w:rPr>
              <w:fldChar w:fldCharType="separate"/>
            </w:r>
            <w:r>
              <w:rPr>
                <w:rFonts w:hint="eastAsia" w:ascii="Times New Roman" w:hAnsi="Times New Roman" w:eastAsia="宋体" w:cs="Times New Roman"/>
                <w:color w:val="auto"/>
                <w:kern w:val="0"/>
                <w:sz w:val="21"/>
                <w:szCs w:val="21"/>
                <w:lang w:eastAsia="zh-CN" w:bidi="ar"/>
              </w:rPr>
              <w:t>0.001</w:t>
            </w:r>
            <w:r>
              <w:rPr>
                <w:rFonts w:hint="eastAsia" w:ascii="Times New Roman" w:hAnsi="Times New Roman" w:eastAsia="宋体" w:cs="Times New Roman"/>
                <w:color w:val="auto"/>
                <w:kern w:val="0"/>
                <w:sz w:val="21"/>
                <w:szCs w:val="21"/>
                <w:lang w:eastAsia="zh-CN" w:bidi="ar"/>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tcBorders>
              <w:left w:val="single" w:color="auto" w:sz="4" w:space="0"/>
            </w:tcBorders>
            <w:noWrap w:val="0"/>
            <w:tcMar>
              <w:top w:w="13" w:type="dxa"/>
              <w:left w:w="13" w:type="dxa"/>
              <w:right w:w="13" w:type="dxa"/>
            </w:tcMar>
          </w:tcPr>
          <w:p/>
        </w:tc>
        <w:tc>
          <w:tcPr>
            <w:vMerge w:val="continue"/>
            <w:noWrap w:val="0"/>
            <w:tcMar>
              <w:top w:w="13" w:type="dxa"/>
              <w:left w:w="13" w:type="dxa"/>
              <w:right w:w="13" w:type="dxa"/>
            </w:tcMar>
          </w:tcPr>
          <w:p/>
        </w:tc>
        <w:tc>
          <w:tcPr>
            <w:tcW w:w="138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i w:val="0"/>
                <w:color w:val="auto"/>
                <w:kern w:val="0"/>
                <w:sz w:val="21"/>
                <w:szCs w:val="21"/>
                <w:u w:val="none"/>
                <w:lang w:val="en-US" w:eastAsia="zh-CN" w:bidi="ar"/>
              </w:rPr>
              <w:t>二氧化氮</w:t>
            </w:r>
          </w:p>
        </w:tc>
        <w:tc>
          <w:tcPr>
            <w:tcW w:w="91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99.99%</w:t>
            </w:r>
          </w:p>
        </w:tc>
        <w:tc>
          <w:tcPr>
            <w:tcW w:w="120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w:t>
            </w:r>
          </w:p>
        </w:tc>
        <w:tc>
          <w:tcPr>
            <w:tcW w:w="1459"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pacing w:line="300" w:lineRule="exact"/>
              <w:ind w:firstLine="0"/>
              <w:jc w:val="center"/>
              <w:textAlignment w:val="center"/>
              <w:outlineLvl w:val="9"/>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fldChar w:fldCharType="begin"/>
            </w:r>
            <w:r>
              <w:rPr>
                <w:rFonts w:hint="eastAsia" w:ascii="Times New Roman" w:hAnsi="Times New Roman" w:eastAsia="宋体" w:cs="Times New Roman"/>
                <w:color w:val="auto"/>
                <w:kern w:val="0"/>
                <w:sz w:val="21"/>
                <w:szCs w:val="21"/>
                <w:lang w:val="en-US" w:eastAsia="zh-CN" w:bidi="ar"/>
              </w:rPr>
              <w:instrText xml:space="preserve"> =11.49/5400+0.0005/5550 \# "0.0000" \* MERGEFORMAT </w:instrText>
            </w:r>
            <w:r>
              <w:rPr>
                <w:rFonts w:hint="eastAsia" w:ascii="Times New Roman" w:hAnsi="Times New Roman" w:eastAsia="宋体" w:cs="Times New Roman"/>
                <w:color w:val="auto"/>
                <w:kern w:val="0"/>
                <w:sz w:val="21"/>
                <w:szCs w:val="21"/>
                <w:lang w:val="en-US" w:eastAsia="zh-CN" w:bidi="ar"/>
              </w:rPr>
              <w:fldChar w:fldCharType="separate"/>
            </w:r>
            <w:r>
              <w:rPr>
                <w:color w:val="auto"/>
                <w:sz w:val="21"/>
                <w:szCs w:val="21"/>
              </w:rPr>
              <w:t>0.0021</w:t>
            </w:r>
            <w:r>
              <w:rPr>
                <w:rFonts w:hint="eastAsia" w:ascii="Times New Roman" w:hAnsi="Times New Roman" w:eastAsia="宋体" w:cs="Times New Roman"/>
                <w:color w:val="auto"/>
                <w:kern w:val="0"/>
                <w:sz w:val="21"/>
                <w:szCs w:val="21"/>
                <w:lang w:val="en-US" w:eastAsia="zh-CN" w:bidi="ar"/>
              </w:rPr>
              <w:fldChar w:fldCharType="end"/>
            </w:r>
          </w:p>
        </w:tc>
        <w:tc>
          <w:tcPr>
            <w:tcW w:w="1108"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w:t>
            </w:r>
          </w:p>
        </w:tc>
        <w:tc>
          <w:tcPr>
            <w:tcW w:w="1008"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fldChar w:fldCharType="begin"/>
            </w:r>
            <w:r>
              <w:rPr>
                <w:rFonts w:hint="eastAsia" w:ascii="Times New Roman" w:hAnsi="Times New Roman" w:eastAsia="宋体" w:cs="Times New Roman"/>
                <w:color w:val="auto"/>
                <w:kern w:val="0"/>
                <w:sz w:val="21"/>
                <w:szCs w:val="21"/>
                <w:lang w:val="en-US" w:eastAsia="zh-CN" w:bidi="ar"/>
              </w:rPr>
              <w:instrText xml:space="preserve"> =11.49/5400+0.0005/5550 \# "0.0000" \* MERGEFORMAT </w:instrText>
            </w:r>
            <w:r>
              <w:rPr>
                <w:rFonts w:hint="eastAsia" w:ascii="Times New Roman" w:hAnsi="Times New Roman" w:eastAsia="宋体" w:cs="Times New Roman"/>
                <w:color w:val="auto"/>
                <w:kern w:val="0"/>
                <w:sz w:val="21"/>
                <w:szCs w:val="21"/>
                <w:lang w:val="en-US" w:eastAsia="zh-CN" w:bidi="ar"/>
              </w:rPr>
              <w:fldChar w:fldCharType="separate"/>
            </w:r>
            <w:r>
              <w:rPr>
                <w:color w:val="auto"/>
                <w:sz w:val="21"/>
                <w:szCs w:val="21"/>
              </w:rPr>
              <w:t>0.0021</w:t>
            </w:r>
            <w:r>
              <w:rPr>
                <w:rFonts w:hint="eastAsia" w:ascii="Times New Roman" w:hAnsi="Times New Roman" w:eastAsia="宋体" w:cs="Times New Roman"/>
                <w:color w:val="auto"/>
                <w:kern w:val="0"/>
                <w:sz w:val="21"/>
                <w:szCs w:val="21"/>
                <w:lang w:val="en-US" w:eastAsia="zh-CN" w:bidi="ar"/>
              </w:rPr>
              <w:fldChar w:fldCharType="end"/>
            </w:r>
          </w:p>
        </w:tc>
      </w:tr>
      <w:bookmarkEnd w:id="316"/>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8088" w:type="dxa"/>
            <w:gridSpan w:val="7"/>
            <w:tcBorders>
              <w:left w:val="single" w:color="auto" w:sz="4" w:space="0"/>
              <w:bottom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u w:val="single"/>
              </w:rPr>
              <w:t>Σqi/Qi</w:t>
            </w:r>
          </w:p>
        </w:tc>
        <w:tc>
          <w:tcPr>
            <w:tcW w:w="1008" w:type="dxa"/>
            <w:tcBorders>
              <w:bottom w:val="single" w:color="auto" w:sz="4" w:space="0"/>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23.2361</w:t>
            </w:r>
          </w:p>
        </w:tc>
      </w:tr>
    </w:tbl>
    <w:p>
      <w:pPr>
        <w:spacing w:line="240" w:lineRule="auto"/>
        <w:ind w:firstLine="0"/>
        <w:rPr>
          <w:rFonts w:hint="default" w:ascii="Times New Roman" w:hAnsi="Times New Roman" w:eastAsia="宋体" w:cs="Times New Roman"/>
          <w:b/>
          <w:bCs/>
          <w:color w:val="000000"/>
          <w:sz w:val="21"/>
          <w:szCs w:val="21"/>
        </w:rPr>
      </w:pPr>
    </w:p>
    <w:p>
      <w:pPr>
        <w:widowControl w:val="0"/>
        <w:spacing w:line="360" w:lineRule="auto"/>
        <w:ind w:firstLine="480"/>
        <w:jc w:val="both"/>
        <w:rPr>
          <w:rFonts w:hint="default" w:ascii="Times New Roman" w:hAnsi="Times New Roman" w:eastAsia="宋体" w:cs="Times New Roman"/>
          <w:snapToGrid w:val="0"/>
          <w:color w:val="0000FF"/>
          <w:kern w:val="0"/>
          <w:sz w:val="24"/>
          <w:szCs w:val="24"/>
          <w:u w:val="none"/>
          <w:lang w:val="en-US" w:eastAsia="zh-CN" w:bidi="ar-SA"/>
        </w:rPr>
      </w:pPr>
      <w:r>
        <w:rPr>
          <w:rFonts w:hint="default" w:ascii="Times New Roman" w:hAnsi="Times New Roman" w:eastAsia="宋体" w:cs="Times New Roman"/>
          <w:snapToGrid w:val="0"/>
          <w:color w:val="000000"/>
          <w:kern w:val="0"/>
          <w:sz w:val="24"/>
          <w:szCs w:val="24"/>
          <w:u w:val="none"/>
          <w:lang w:val="en-US" w:eastAsia="zh-CN" w:bidi="ar-SA"/>
        </w:rPr>
        <w:t>据上表危险物质数量与临界量比值（Q）辨识结果可知，本项目Q=</w:t>
      </w:r>
      <w:r>
        <w:rPr>
          <w:rFonts w:hint="eastAsia" w:ascii="Times New Roman" w:hAnsi="Times New Roman" w:eastAsia="宋体" w:cs="Times New Roman"/>
          <w:color w:val="000000"/>
          <w:kern w:val="0"/>
          <w:sz w:val="24"/>
          <w:szCs w:val="24"/>
          <w:lang w:val="en-US" w:eastAsia="zh-CN" w:bidi="ar"/>
        </w:rPr>
        <w:t>23.2361</w:t>
      </w:r>
      <w:r>
        <w:rPr>
          <w:rFonts w:hint="default" w:ascii="Times New Roman" w:hAnsi="Times New Roman" w:eastAsia="宋体" w:cs="Times New Roman"/>
          <w:snapToGrid w:val="0"/>
          <w:color w:val="000000"/>
          <w:kern w:val="0"/>
          <w:sz w:val="24"/>
          <w:szCs w:val="24"/>
          <w:u w:val="none"/>
          <w:lang w:val="en-US" w:eastAsia="zh-CN" w:bidi="ar-SA"/>
        </w:rPr>
        <w:t>。</w:t>
      </w:r>
    </w:p>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bCs w:val="0"/>
          <w:color w:val="auto"/>
          <w:kern w:val="0"/>
          <w:sz w:val="30"/>
          <w:szCs w:val="30"/>
          <w:lang w:val="en-US" w:eastAsia="zh-CN" w:bidi="ar-SA"/>
        </w:rPr>
      </w:pPr>
      <w:bookmarkStart w:id="317" w:name="_Hlk29652493"/>
      <w:r>
        <w:rPr>
          <w:rFonts w:hint="default" w:ascii="Times New Roman" w:hAnsi="Times New Roman" w:eastAsia="黑体" w:cs="Times New Roman"/>
          <w:b/>
          <w:bCs w:val="0"/>
          <w:color w:val="auto"/>
          <w:kern w:val="0"/>
          <w:sz w:val="30"/>
          <w:szCs w:val="30"/>
          <w:lang w:val="en-US" w:eastAsia="zh-CN" w:bidi="ar-SA"/>
        </w:rPr>
        <w:t>6.2.2行业及生产工艺（M）</w:t>
      </w:r>
    </w:p>
    <w:bookmarkEnd w:id="317"/>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分析项目所属行业及生产工艺特点，按照《建设项目环境风险评价技术导则》（HJ169-2018）表C.1评估生产工艺情况。具有多套工艺单元的项目，对每套生产工艺分别评分并求和。将M划分为（1）M＞20；（2）10＜M≤20；（3）5＜M≤10；（4）M=5，分别以M1、M2、M3、M4表示。</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p>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en-US" w:eastAsia="zh-CN" w:bidi="ar-SA"/>
        </w:rPr>
      </w:pPr>
      <w:r>
        <w:rPr>
          <w:rFonts w:hint="default" w:ascii="Times New Roman" w:hAnsi="Times New Roman" w:eastAsia="黑体" w:cs="Times New Roman"/>
          <w:b w:val="0"/>
          <w:bCs/>
          <w:color w:val="auto"/>
          <w:kern w:val="2"/>
          <w:sz w:val="24"/>
          <w:szCs w:val="24"/>
          <w:lang w:val="en-US" w:eastAsia="zh-CN" w:bidi="ar-SA"/>
        </w:rPr>
        <w:t>表6.2-2 行业及生产工艺（M）判定表</w:t>
      </w:r>
    </w:p>
    <w:tbl>
      <w:tblPr>
        <w:tblStyle w:val="90"/>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6"/>
        <w:gridCol w:w="3923"/>
        <w:gridCol w:w="960"/>
        <w:gridCol w:w="1188"/>
        <w:gridCol w:w="211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096"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行业</w:t>
            </w:r>
          </w:p>
        </w:tc>
        <w:tc>
          <w:tcPr>
            <w:tcW w:w="3923"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评估依据</w:t>
            </w:r>
          </w:p>
        </w:tc>
        <w:tc>
          <w:tcPr>
            <w:tcW w:w="960"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分值</w:t>
            </w:r>
          </w:p>
        </w:tc>
        <w:tc>
          <w:tcPr>
            <w:tcW w:w="1188"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最终分值</w:t>
            </w:r>
          </w:p>
        </w:tc>
        <w:tc>
          <w:tcPr>
            <w:tcW w:w="2119"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判据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096" w:type="dxa"/>
            <w:vMerge w:val="restart"/>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石化、化工、医药、轻工、化纤、有色冶炼等</w:t>
            </w:r>
          </w:p>
        </w:tc>
        <w:tc>
          <w:tcPr>
            <w:tcW w:w="3923"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960"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10/每套</w:t>
            </w:r>
          </w:p>
        </w:tc>
        <w:tc>
          <w:tcPr>
            <w:tcW w:w="1188"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highlight w:val="yellow"/>
                <w:lang w:val="en-US" w:eastAsia="zh-CN" w:bidi="ar-SA"/>
              </w:rPr>
            </w:pPr>
            <w:r>
              <w:rPr>
                <w:rFonts w:hint="default" w:ascii="Times New Roman" w:hAnsi="Times New Roman" w:eastAsia="宋体" w:cs="Times New Roman"/>
                <w:color w:val="auto"/>
                <w:kern w:val="2"/>
                <w:sz w:val="21"/>
                <w:szCs w:val="36"/>
                <w:highlight w:val="none"/>
                <w:lang w:val="en-US" w:eastAsia="zh-CN" w:bidi="ar-SA"/>
              </w:rPr>
              <w:t>/</w:t>
            </w:r>
          </w:p>
        </w:tc>
        <w:tc>
          <w:tcPr>
            <w:tcW w:w="2119"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highlight w:val="yellow"/>
                <w:lang w:val="en-US" w:eastAsia="zh-CN" w:bidi="ar-SA"/>
              </w:rPr>
            </w:pPr>
            <w:r>
              <w:rPr>
                <w:rFonts w:hint="default" w:ascii="Times New Roman" w:hAnsi="Times New Roman" w:eastAsia="宋体" w:cs="Times New Roman"/>
                <w:color w:val="auto"/>
                <w:kern w:val="2"/>
                <w:sz w:val="21"/>
                <w:szCs w:val="36"/>
                <w:lang w:val="en-US" w:eastAsia="zh-CN" w:bidi="ar-S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vMerge w:val="continue"/>
            <w:tcBorders>
              <w:left w:val="single" w:color="auto" w:sz="4" w:space="0"/>
            </w:tcBorders>
            <w:noWrap w:val="0"/>
          </w:tcPr>
          <w:p/>
        </w:tc>
        <w:tc>
          <w:tcPr>
            <w:tcW w:w="3923"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无机酸制酸工艺、焦化工艺</w:t>
            </w:r>
          </w:p>
        </w:tc>
        <w:tc>
          <w:tcPr>
            <w:tcW w:w="960"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5/每套</w:t>
            </w:r>
          </w:p>
        </w:tc>
        <w:tc>
          <w:tcPr>
            <w:tcW w:w="1188"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w:t>
            </w:r>
          </w:p>
        </w:tc>
        <w:tc>
          <w:tcPr>
            <w:tcW w:w="2119"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vMerge w:val="continue"/>
            <w:tcBorders>
              <w:left w:val="single" w:color="auto" w:sz="4" w:space="0"/>
            </w:tcBorders>
            <w:noWrap w:val="0"/>
          </w:tcPr>
          <w:p/>
        </w:tc>
        <w:tc>
          <w:tcPr>
            <w:tcW w:w="3923"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其他高温或高压、涉及易燃易爆等物质的工艺过程a、危险物质储罐罐区</w:t>
            </w:r>
          </w:p>
        </w:tc>
        <w:tc>
          <w:tcPr>
            <w:tcW w:w="960"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5/每套（罐区）</w:t>
            </w:r>
          </w:p>
        </w:tc>
        <w:tc>
          <w:tcPr>
            <w:tcW w:w="1188"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5</w:t>
            </w:r>
          </w:p>
        </w:tc>
        <w:tc>
          <w:tcPr>
            <w:tcW w:w="2119"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本项目设置1个危险物质储罐罐区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096"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管道、港口/码头等</w:t>
            </w:r>
          </w:p>
        </w:tc>
        <w:tc>
          <w:tcPr>
            <w:tcW w:w="3923"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涉及危险物质管道运输项目、港口/码头</w:t>
            </w:r>
          </w:p>
        </w:tc>
        <w:tc>
          <w:tcPr>
            <w:tcW w:w="960"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10</w:t>
            </w:r>
          </w:p>
        </w:tc>
        <w:tc>
          <w:tcPr>
            <w:tcW w:w="1188"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w:t>
            </w:r>
          </w:p>
        </w:tc>
        <w:tc>
          <w:tcPr>
            <w:tcW w:w="2119"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096"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石油天然气</w:t>
            </w:r>
          </w:p>
        </w:tc>
        <w:tc>
          <w:tcPr>
            <w:tcW w:w="3923"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石油、天然气、页岩气开采（含净化）、气库（不含加气站的气库）、油库（不含加气站的油库）、油气管线b（不含城镇燃气管线）</w:t>
            </w:r>
          </w:p>
        </w:tc>
        <w:tc>
          <w:tcPr>
            <w:tcW w:w="960"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10</w:t>
            </w:r>
          </w:p>
        </w:tc>
        <w:tc>
          <w:tcPr>
            <w:tcW w:w="1188"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w:t>
            </w:r>
          </w:p>
        </w:tc>
        <w:tc>
          <w:tcPr>
            <w:tcW w:w="2119"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096"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其他</w:t>
            </w:r>
          </w:p>
        </w:tc>
        <w:tc>
          <w:tcPr>
            <w:tcW w:w="3923"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涉及危险物质使用、贮存的项目</w:t>
            </w:r>
          </w:p>
        </w:tc>
        <w:tc>
          <w:tcPr>
            <w:tcW w:w="960"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5</w:t>
            </w:r>
          </w:p>
        </w:tc>
        <w:tc>
          <w:tcPr>
            <w:tcW w:w="1188"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5</w:t>
            </w:r>
          </w:p>
        </w:tc>
        <w:tc>
          <w:tcPr>
            <w:tcW w:w="2119"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本项目设置有综合仓库，用于危险物质使用、贮存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096"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p>
        </w:tc>
        <w:tc>
          <w:tcPr>
            <w:tcW w:w="3923"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结果</w:t>
            </w:r>
          </w:p>
        </w:tc>
        <w:tc>
          <w:tcPr>
            <w:tcW w:w="960"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p>
        </w:tc>
        <w:tc>
          <w:tcPr>
            <w:tcW w:w="1188"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10</w:t>
            </w:r>
          </w:p>
        </w:tc>
        <w:tc>
          <w:tcPr>
            <w:tcW w:w="2119"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9286" w:type="dxa"/>
            <w:gridSpan w:val="5"/>
            <w:tcBorders>
              <w:left w:val="single" w:color="auto" w:sz="4" w:space="0"/>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both"/>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a高温指工艺温度≥300℃，高压指压力容器的设计压力（P）≥10.0MPa；</w:t>
            </w:r>
          </w:p>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both"/>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b长输管道运输项目应按站场、管线分段进行评价。</w:t>
            </w:r>
          </w:p>
        </w:tc>
      </w:tr>
    </w:tbl>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由上表最终分值计算结果可知，</w:t>
      </w:r>
      <w:bookmarkStart w:id="318" w:name="_Hlk38568785"/>
      <w:r>
        <w:rPr>
          <w:rFonts w:hint="default" w:ascii="Times New Roman" w:hAnsi="Times New Roman" w:eastAsia="宋体" w:cs="Times New Roman"/>
          <w:bCs/>
          <w:snapToGrid w:val="0"/>
          <w:color w:val="auto"/>
          <w:kern w:val="0"/>
          <w:sz w:val="24"/>
          <w:szCs w:val="21"/>
          <w:lang w:val="en-US" w:eastAsia="zh-CN" w:bidi="ar-SA"/>
        </w:rPr>
        <w:t>M</w:t>
      </w:r>
      <w:bookmarkEnd w:id="318"/>
      <w:r>
        <w:rPr>
          <w:rFonts w:hint="default" w:ascii="Times New Roman" w:hAnsi="Times New Roman" w:eastAsia="宋体" w:cs="Times New Roman"/>
          <w:bCs/>
          <w:snapToGrid w:val="0"/>
          <w:color w:val="auto"/>
          <w:kern w:val="0"/>
          <w:sz w:val="24"/>
          <w:szCs w:val="21"/>
          <w:lang w:val="en-US" w:eastAsia="zh-CN" w:bidi="ar-SA"/>
        </w:rPr>
        <w:t>=10，为M3。</w:t>
      </w:r>
    </w:p>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val="0"/>
          <w:bCs/>
          <w:color w:val="auto"/>
          <w:kern w:val="0"/>
          <w:sz w:val="30"/>
          <w:szCs w:val="30"/>
          <w:lang w:val="en-US" w:eastAsia="zh-CN" w:bidi="ar-SA"/>
        </w:rPr>
      </w:pPr>
      <w:r>
        <w:rPr>
          <w:rFonts w:hint="default" w:ascii="Times New Roman" w:hAnsi="Times New Roman" w:eastAsia="黑体" w:cs="Times New Roman"/>
          <w:b w:val="0"/>
          <w:bCs/>
          <w:color w:val="auto"/>
          <w:kern w:val="0"/>
          <w:sz w:val="30"/>
          <w:szCs w:val="30"/>
          <w:lang w:val="en-US" w:eastAsia="zh-CN" w:bidi="ar-SA"/>
        </w:rPr>
        <w:t>6.2.3危险物质及工艺系统危险性（P）分级</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根据危险物质数量与临界量比值（Q）和行业及生产工艺（M），根据《建设项目环境风险评价技术导则》（HJ169-2018）表C.2确定危险物质及工艺系统危险性等级（P），分别以P1、P2、P3、P4表示。</w:t>
      </w:r>
    </w:p>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en-US" w:eastAsia="zh-CN" w:bidi="ar-SA"/>
        </w:rPr>
      </w:pPr>
      <w:r>
        <w:rPr>
          <w:rFonts w:hint="default" w:ascii="Times New Roman" w:hAnsi="Times New Roman" w:eastAsia="黑体" w:cs="Times New Roman"/>
          <w:b w:val="0"/>
          <w:bCs/>
          <w:color w:val="auto"/>
          <w:kern w:val="2"/>
          <w:sz w:val="24"/>
          <w:szCs w:val="24"/>
          <w:lang w:val="en-US" w:eastAsia="zh-CN" w:bidi="ar-SA"/>
        </w:rPr>
        <w:t>表6.2-3 危险物质及工艺系统危险性等级判断（P）</w:t>
      </w:r>
    </w:p>
    <w:tbl>
      <w:tblPr>
        <w:tblStyle w:val="9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8"/>
        <w:gridCol w:w="1857"/>
        <w:gridCol w:w="1857"/>
        <w:gridCol w:w="1857"/>
        <w:gridCol w:w="18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858" w:type="dxa"/>
            <w:vMerge w:val="restart"/>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bookmarkStart w:id="319" w:name="_Hlk942532"/>
            <w:r>
              <w:rPr>
                <w:rFonts w:hint="default" w:ascii="Times New Roman" w:hAnsi="Times New Roman" w:eastAsia="宋体" w:cs="Times New Roman"/>
                <w:color w:val="auto"/>
                <w:kern w:val="2"/>
                <w:sz w:val="21"/>
                <w:szCs w:val="21"/>
                <w:lang w:val="en-US" w:eastAsia="zh-CN" w:bidi="ar-SA"/>
              </w:rPr>
              <w:t>危险物质数量与临界量比值（Q）</w:t>
            </w:r>
          </w:p>
        </w:tc>
        <w:tc>
          <w:tcPr>
            <w:tcW w:w="7428" w:type="dxa"/>
            <w:gridSpan w:val="4"/>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行业及生产工艺（M）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vMerge w:val="continue"/>
            <w:tcBorders>
              <w:left w:val="single" w:color="auto" w:sz="4" w:space="0"/>
            </w:tcBorders>
            <w:noWrap w:val="0"/>
          </w:tcPr>
          <w:p/>
        </w:tc>
        <w:tc>
          <w:tcPr>
            <w:tcW w:w="1857"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M1</w:t>
            </w:r>
          </w:p>
        </w:tc>
        <w:tc>
          <w:tcPr>
            <w:tcW w:w="1857"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M2</w:t>
            </w:r>
          </w:p>
        </w:tc>
        <w:tc>
          <w:tcPr>
            <w:tcW w:w="1857"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M3</w:t>
            </w:r>
          </w:p>
        </w:tc>
        <w:tc>
          <w:tcPr>
            <w:tcW w:w="1857"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M4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858"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Q≥100</w:t>
            </w:r>
          </w:p>
        </w:tc>
        <w:tc>
          <w:tcPr>
            <w:tcW w:w="1857"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color w:val="auto"/>
                <w:kern w:val="2"/>
                <w:sz w:val="21"/>
                <w:szCs w:val="21"/>
                <w:lang w:val="en-US" w:eastAsia="zh-CN" w:bidi="ar-SA"/>
              </w:rPr>
            </w:pPr>
            <w:bookmarkStart w:id="320" w:name="_Hlk38568832"/>
            <w:r>
              <w:rPr>
                <w:rFonts w:hint="default" w:ascii="Times New Roman" w:hAnsi="Times New Roman" w:eastAsia="宋体" w:cs="Times New Roman"/>
                <w:b w:val="0"/>
                <w:bCs/>
                <w:color w:val="auto"/>
                <w:kern w:val="2"/>
                <w:sz w:val="21"/>
                <w:szCs w:val="21"/>
                <w:lang w:val="en-US" w:eastAsia="zh-CN" w:bidi="ar-SA"/>
              </w:rPr>
              <w:t>P1</w:t>
            </w:r>
            <w:bookmarkEnd w:id="320"/>
          </w:p>
        </w:tc>
        <w:tc>
          <w:tcPr>
            <w:tcW w:w="1857"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P1</w:t>
            </w:r>
          </w:p>
        </w:tc>
        <w:tc>
          <w:tcPr>
            <w:tcW w:w="1857"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P2</w:t>
            </w:r>
          </w:p>
        </w:tc>
        <w:tc>
          <w:tcPr>
            <w:tcW w:w="1857"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P3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858"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10≤Q＜100</w:t>
            </w:r>
          </w:p>
        </w:tc>
        <w:tc>
          <w:tcPr>
            <w:tcW w:w="1857"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P1</w:t>
            </w:r>
          </w:p>
        </w:tc>
        <w:tc>
          <w:tcPr>
            <w:tcW w:w="1857"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P2</w:t>
            </w:r>
          </w:p>
        </w:tc>
        <w:tc>
          <w:tcPr>
            <w:tcW w:w="1857"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P3</w:t>
            </w:r>
          </w:p>
        </w:tc>
        <w:tc>
          <w:tcPr>
            <w:tcW w:w="1857"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P4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858"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1≤Q＜10</w:t>
            </w:r>
          </w:p>
        </w:tc>
        <w:tc>
          <w:tcPr>
            <w:tcW w:w="1857"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P2</w:t>
            </w:r>
          </w:p>
        </w:tc>
        <w:tc>
          <w:tcPr>
            <w:tcW w:w="1857"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P3</w:t>
            </w:r>
          </w:p>
        </w:tc>
        <w:tc>
          <w:tcPr>
            <w:tcW w:w="1857"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P4</w:t>
            </w:r>
          </w:p>
        </w:tc>
        <w:tc>
          <w:tcPr>
            <w:tcW w:w="1857"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P4</w:t>
            </w:r>
          </w:p>
        </w:tc>
      </w:tr>
      <w:bookmarkEnd w:id="319"/>
    </w:tbl>
    <w:p>
      <w:pPr>
        <w:widowControl w:val="0"/>
        <w:spacing w:line="360" w:lineRule="auto"/>
        <w:ind w:firstLine="480"/>
        <w:jc w:val="both"/>
        <w:rPr>
          <w:rFonts w:hint="default" w:ascii="Times New Roman" w:hAnsi="Times New Roman" w:eastAsia="宋体" w:cs="Times New Roman"/>
          <w:snapToGrid w:val="0"/>
          <w:color w:val="auto"/>
          <w:kern w:val="0"/>
          <w:sz w:val="24"/>
          <w:szCs w:val="21"/>
          <w:u w:val="none"/>
          <w:lang w:val="en-US" w:eastAsia="zh-CN" w:bidi="ar-SA"/>
        </w:rPr>
      </w:pPr>
      <w:r>
        <w:rPr>
          <w:rFonts w:hint="default" w:ascii="Times New Roman" w:hAnsi="Times New Roman" w:eastAsia="宋体" w:cs="Times New Roman"/>
          <w:snapToGrid w:val="0"/>
          <w:color w:val="auto"/>
          <w:kern w:val="0"/>
          <w:sz w:val="24"/>
          <w:szCs w:val="21"/>
          <w:u w:val="none"/>
          <w:lang w:val="en-US" w:eastAsia="zh-CN" w:bidi="ar-SA"/>
        </w:rPr>
        <w:t>本项目Q值为</w:t>
      </w:r>
      <w:r>
        <w:rPr>
          <w:rFonts w:hint="default" w:ascii="Times New Roman" w:hAnsi="Times New Roman" w:eastAsia="宋体" w:cs="Times New Roman"/>
          <w:snapToGrid w:val="0"/>
          <w:color w:val="auto"/>
          <w:kern w:val="0"/>
          <w:sz w:val="24"/>
          <w:szCs w:val="21"/>
          <w:lang w:val="en-US" w:eastAsia="zh-CN" w:bidi="ar"/>
        </w:rPr>
        <w:t>30.72</w:t>
      </w:r>
      <w:r>
        <w:rPr>
          <w:rFonts w:hint="eastAsia" w:ascii="Times New Roman" w:hAnsi="Times New Roman" w:eastAsia="宋体" w:cs="Times New Roman"/>
          <w:snapToGrid w:val="0"/>
          <w:color w:val="auto"/>
          <w:kern w:val="0"/>
          <w:sz w:val="24"/>
          <w:szCs w:val="21"/>
          <w:lang w:val="en-US" w:eastAsia="zh-CN" w:bidi="ar"/>
        </w:rPr>
        <w:t>61</w:t>
      </w:r>
      <w:r>
        <w:rPr>
          <w:rFonts w:hint="default" w:ascii="Times New Roman" w:hAnsi="Times New Roman" w:eastAsia="宋体" w:cs="Times New Roman"/>
          <w:snapToGrid w:val="0"/>
          <w:color w:val="auto"/>
          <w:kern w:val="0"/>
          <w:sz w:val="24"/>
          <w:szCs w:val="21"/>
          <w:u w:val="none"/>
          <w:lang w:val="en-US" w:eastAsia="zh-CN" w:bidi="ar-SA"/>
        </w:rPr>
        <w:t>，且M=10，为</w:t>
      </w:r>
      <w:r>
        <w:rPr>
          <w:rFonts w:hint="default" w:ascii="Times New Roman" w:hAnsi="Times New Roman" w:eastAsia="宋体" w:cs="Times New Roman"/>
          <w:bCs/>
          <w:snapToGrid w:val="0"/>
          <w:color w:val="auto"/>
          <w:kern w:val="0"/>
          <w:sz w:val="24"/>
          <w:szCs w:val="21"/>
          <w:u w:val="none"/>
          <w:lang w:val="en-US" w:eastAsia="zh-CN" w:bidi="ar-SA"/>
        </w:rPr>
        <w:t>M3</w:t>
      </w:r>
      <w:r>
        <w:rPr>
          <w:rFonts w:hint="default" w:ascii="Times New Roman" w:hAnsi="Times New Roman" w:eastAsia="宋体" w:cs="Times New Roman"/>
          <w:snapToGrid w:val="0"/>
          <w:color w:val="auto"/>
          <w:kern w:val="0"/>
          <w:sz w:val="24"/>
          <w:szCs w:val="21"/>
          <w:u w:val="none"/>
          <w:lang w:val="en-US" w:eastAsia="zh-CN" w:bidi="ar-SA"/>
        </w:rPr>
        <w:t>，由上表判断本项目危险物质及工艺系统危险性等级P为</w:t>
      </w:r>
      <w:r>
        <w:rPr>
          <w:rFonts w:hint="default" w:ascii="Times New Roman" w:hAnsi="Times New Roman" w:eastAsia="宋体" w:cs="Times New Roman"/>
          <w:bCs/>
          <w:snapToGrid w:val="0"/>
          <w:color w:val="auto"/>
          <w:kern w:val="0"/>
          <w:sz w:val="24"/>
          <w:szCs w:val="21"/>
          <w:u w:val="none"/>
          <w:lang w:val="en-US" w:eastAsia="zh-CN" w:bidi="ar-SA"/>
        </w:rPr>
        <w:t>P3</w:t>
      </w:r>
      <w:r>
        <w:rPr>
          <w:rFonts w:hint="default" w:ascii="Times New Roman" w:hAnsi="Times New Roman" w:eastAsia="宋体" w:cs="Times New Roman"/>
          <w:snapToGrid w:val="0"/>
          <w:color w:val="auto"/>
          <w:kern w:val="0"/>
          <w:sz w:val="24"/>
          <w:szCs w:val="21"/>
          <w:u w:val="none"/>
          <w:lang w:val="en-US" w:eastAsia="zh-CN" w:bidi="ar-SA"/>
        </w:rPr>
        <w:t>。</w:t>
      </w:r>
    </w:p>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val="0"/>
          <w:bCs/>
          <w:color w:val="auto"/>
          <w:kern w:val="0"/>
          <w:sz w:val="30"/>
          <w:szCs w:val="30"/>
          <w:lang w:val="en-US" w:eastAsia="zh-CN" w:bidi="ar-SA"/>
        </w:rPr>
      </w:pPr>
      <w:r>
        <w:rPr>
          <w:rFonts w:hint="default" w:ascii="Times New Roman" w:hAnsi="Times New Roman" w:eastAsia="黑体" w:cs="Times New Roman"/>
          <w:b w:val="0"/>
          <w:bCs/>
          <w:color w:val="auto"/>
          <w:kern w:val="0"/>
          <w:sz w:val="30"/>
          <w:szCs w:val="30"/>
          <w:lang w:val="en-US" w:eastAsia="zh-CN" w:bidi="ar-SA"/>
        </w:rPr>
        <w:t>6.2.4环境敏感程度（E）分级</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（1）大气环境</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依据环境敏感目标环境敏感性及人口密度划分环境风险受体的敏感性，共分为三种类型，E1为环境高度敏感区，E2为环境中度敏感区，E3为环境低度敏感区，分级原则及判定结果见下表：</w:t>
      </w:r>
    </w:p>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en-US" w:eastAsia="zh-CN" w:bidi="ar-SA"/>
        </w:rPr>
      </w:pPr>
      <w:r>
        <w:rPr>
          <w:rFonts w:hint="default" w:ascii="Times New Roman" w:hAnsi="Times New Roman" w:eastAsia="黑体" w:cs="Times New Roman"/>
          <w:b w:val="0"/>
          <w:bCs/>
          <w:color w:val="auto"/>
          <w:kern w:val="2"/>
          <w:sz w:val="24"/>
          <w:szCs w:val="24"/>
          <w:lang w:val="en-US" w:eastAsia="zh-CN" w:bidi="ar-SA"/>
        </w:rPr>
        <w:t>表6.2-4 大气环境敏感程度分级</w:t>
      </w:r>
    </w:p>
    <w:tbl>
      <w:tblPr>
        <w:tblStyle w:val="9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4"/>
        <w:gridCol w:w="6706"/>
        <w:gridCol w:w="192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654"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分级</w:t>
            </w:r>
          </w:p>
        </w:tc>
        <w:tc>
          <w:tcPr>
            <w:tcW w:w="6706"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大气环境敏感性</w:t>
            </w:r>
          </w:p>
        </w:tc>
        <w:tc>
          <w:tcPr>
            <w:tcW w:w="1926"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判据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0" w:hRule="atLeast"/>
        </w:trPr>
        <w:tc>
          <w:tcPr>
            <w:tcW w:w="654"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E1</w:t>
            </w:r>
          </w:p>
        </w:tc>
        <w:tc>
          <w:tcPr>
            <w:tcW w:w="6706"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c>
          <w:tcPr>
            <w:tcW w:w="1926"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6" w:hRule="atLeast"/>
        </w:trPr>
        <w:tc>
          <w:tcPr>
            <w:tcW w:w="654"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E2</w:t>
            </w:r>
          </w:p>
        </w:tc>
        <w:tc>
          <w:tcPr>
            <w:tcW w:w="6706"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周边5l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c>
          <w:tcPr>
            <w:tcW w:w="1926"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厂址边界5km范围内大于1万人，小于5万人，厂址边界500m范围内约</w:t>
            </w:r>
            <w:r>
              <w:rPr>
                <w:rFonts w:hint="eastAsia" w:ascii="Times New Roman" w:hAnsi="Times New Roman" w:eastAsia="宋体" w:cs="Times New Roman"/>
                <w:b w:val="0"/>
                <w:bCs/>
                <w:color w:val="auto"/>
                <w:kern w:val="2"/>
                <w:sz w:val="21"/>
                <w:szCs w:val="21"/>
                <w:lang w:val="en-US" w:eastAsia="zh-CN" w:bidi="ar-SA"/>
              </w:rPr>
              <w:t>350</w:t>
            </w:r>
            <w:r>
              <w:rPr>
                <w:rFonts w:hint="default" w:ascii="Times New Roman" w:hAnsi="Times New Roman" w:eastAsia="宋体" w:cs="Times New Roman"/>
                <w:b w:val="0"/>
                <w:bCs/>
                <w:color w:val="auto"/>
                <w:kern w:val="2"/>
                <w:sz w:val="21"/>
                <w:szCs w:val="21"/>
                <w:lang w:val="en-US" w:eastAsia="zh-CN" w:bidi="ar-SA"/>
              </w:rPr>
              <w:t>人（企业职工）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7" w:hRule="atLeast"/>
        </w:trPr>
        <w:tc>
          <w:tcPr>
            <w:tcW w:w="654"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E3</w:t>
            </w:r>
          </w:p>
        </w:tc>
        <w:tc>
          <w:tcPr>
            <w:tcW w:w="6706"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周边5km范围内居住区、医疗卫生、文化教育、科研、行政办公等机构人口总数小于1万人；或周边500m范围内人口总数小于500人；油气、化学品输送管线管段周边200m范围内，每千米管段人口数小于100人</w:t>
            </w:r>
          </w:p>
        </w:tc>
        <w:tc>
          <w:tcPr>
            <w:tcW w:w="1926"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w:t>
            </w:r>
          </w:p>
        </w:tc>
      </w:tr>
    </w:tbl>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根据项目周边环境敏感性及人口密度情况判定本项目大气环境敏感程度为E</w:t>
      </w:r>
      <w:r>
        <w:rPr>
          <w:rFonts w:hint="eastAsia" w:ascii="Times New Roman" w:hAnsi="Times New Roman" w:eastAsia="宋体" w:cs="Times New Roman"/>
          <w:snapToGrid w:val="0"/>
          <w:color w:val="auto"/>
          <w:kern w:val="0"/>
          <w:sz w:val="24"/>
          <w:szCs w:val="21"/>
          <w:lang w:val="en-US" w:eastAsia="zh-CN" w:bidi="ar-SA"/>
        </w:rPr>
        <w:t>2</w:t>
      </w:r>
      <w:r>
        <w:rPr>
          <w:rFonts w:hint="default" w:ascii="Times New Roman" w:hAnsi="Times New Roman" w:eastAsia="宋体" w:cs="Times New Roman"/>
          <w:snapToGrid w:val="0"/>
          <w:color w:val="auto"/>
          <w:kern w:val="0"/>
          <w:sz w:val="24"/>
          <w:szCs w:val="21"/>
          <w:lang w:val="en-US" w:eastAsia="zh-CN" w:bidi="ar-SA"/>
        </w:rPr>
        <w:t>。</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（2）地表水环境</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依据事故情况下危险物质泄漏到水体的排放点受纳地表水体功能敏感性，与下游环境敏感目标情况，共分为三种类型，E1为环境高度敏感区，E2为环境中度感区，E3为环境低度敏感区，分级原则见表6.2-5。其中地表水功能敏感性分区和环境敏感目标分级分别见表6.2-6和表6.2-7。</w:t>
      </w:r>
    </w:p>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en-US" w:eastAsia="zh-CN" w:bidi="ar-SA"/>
        </w:rPr>
      </w:pPr>
      <w:bookmarkStart w:id="321" w:name="_Hlk13473228"/>
      <w:r>
        <w:rPr>
          <w:rFonts w:hint="default" w:ascii="Times New Roman" w:hAnsi="Times New Roman" w:eastAsia="黑体" w:cs="Times New Roman"/>
          <w:b w:val="0"/>
          <w:bCs/>
          <w:color w:val="auto"/>
          <w:kern w:val="2"/>
          <w:sz w:val="24"/>
          <w:szCs w:val="24"/>
          <w:lang w:val="en-US" w:eastAsia="zh-CN" w:bidi="ar-SA"/>
        </w:rPr>
        <w:t>表6.2-5 地表水环境敏感程度分级</w:t>
      </w:r>
    </w:p>
    <w:bookmarkEnd w:id="321"/>
    <w:tbl>
      <w:tblPr>
        <w:tblStyle w:val="9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21"/>
        <w:gridCol w:w="2321"/>
        <w:gridCol w:w="2322"/>
        <w:gridCol w:w="232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21" w:type="dxa"/>
            <w:vMerge w:val="restart"/>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环境敏感目标</w:t>
            </w:r>
          </w:p>
        </w:tc>
        <w:tc>
          <w:tcPr>
            <w:tcW w:w="6965" w:type="dxa"/>
            <w:gridSpan w:val="3"/>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地表水功能敏感性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vMerge w:val="continue"/>
            <w:tcBorders>
              <w:left w:val="single" w:color="auto" w:sz="4" w:space="0"/>
            </w:tcBorders>
            <w:noWrap w:val="0"/>
          </w:tcPr>
          <w:p/>
        </w:tc>
        <w:tc>
          <w:tcPr>
            <w:tcW w:w="2321"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F1</w:t>
            </w:r>
          </w:p>
        </w:tc>
        <w:tc>
          <w:tcPr>
            <w:tcW w:w="2322"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val="0"/>
                <w:bCs w:val="0"/>
                <w:color w:val="auto"/>
                <w:kern w:val="2"/>
                <w:sz w:val="21"/>
                <w:szCs w:val="36"/>
                <w:lang w:val="en-US" w:eastAsia="zh-CN" w:bidi="ar-SA"/>
              </w:rPr>
            </w:pPr>
            <w:r>
              <w:rPr>
                <w:rFonts w:hint="default" w:ascii="Times New Roman" w:hAnsi="Times New Roman" w:eastAsia="宋体" w:cs="Times New Roman"/>
                <w:b w:val="0"/>
                <w:bCs w:val="0"/>
                <w:color w:val="auto"/>
                <w:kern w:val="2"/>
                <w:sz w:val="21"/>
                <w:szCs w:val="36"/>
                <w:lang w:val="en-US" w:eastAsia="zh-CN" w:bidi="ar-SA"/>
              </w:rPr>
              <w:t>F2</w:t>
            </w:r>
          </w:p>
        </w:tc>
        <w:tc>
          <w:tcPr>
            <w:tcW w:w="2322"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Cs/>
                <w:color w:val="auto"/>
                <w:kern w:val="2"/>
                <w:sz w:val="21"/>
                <w:szCs w:val="36"/>
                <w:lang w:val="en-US" w:eastAsia="zh-CN" w:bidi="ar-SA"/>
              </w:rPr>
            </w:pPr>
            <w:r>
              <w:rPr>
                <w:rFonts w:hint="default" w:ascii="Times New Roman" w:hAnsi="Times New Roman" w:eastAsia="宋体" w:cs="Times New Roman"/>
                <w:bCs/>
                <w:color w:val="auto"/>
                <w:kern w:val="2"/>
                <w:sz w:val="21"/>
                <w:szCs w:val="36"/>
                <w:lang w:val="en-US" w:eastAsia="zh-CN" w:bidi="ar-SA"/>
              </w:rPr>
              <w:t>F3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21"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b w:val="0"/>
                <w:bCs w:val="0"/>
                <w:color w:val="auto"/>
                <w:kern w:val="2"/>
                <w:sz w:val="21"/>
                <w:szCs w:val="36"/>
                <w:lang w:val="en-US" w:eastAsia="zh-CN" w:bidi="ar-SA"/>
              </w:rPr>
              <w:t>S1</w:t>
            </w:r>
          </w:p>
        </w:tc>
        <w:tc>
          <w:tcPr>
            <w:tcW w:w="2321"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E1</w:t>
            </w:r>
          </w:p>
        </w:tc>
        <w:tc>
          <w:tcPr>
            <w:tcW w:w="2322"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val="0"/>
                <w:bCs w:val="0"/>
                <w:color w:val="auto"/>
                <w:kern w:val="2"/>
                <w:sz w:val="21"/>
                <w:szCs w:val="36"/>
                <w:lang w:val="en-US" w:eastAsia="zh-CN" w:bidi="ar-SA"/>
              </w:rPr>
            </w:pPr>
            <w:r>
              <w:rPr>
                <w:rFonts w:hint="default" w:ascii="Times New Roman" w:hAnsi="Times New Roman" w:eastAsia="宋体" w:cs="Times New Roman"/>
                <w:b w:val="0"/>
                <w:bCs w:val="0"/>
                <w:color w:val="auto"/>
                <w:kern w:val="2"/>
                <w:sz w:val="21"/>
                <w:szCs w:val="36"/>
                <w:lang w:val="en-US" w:eastAsia="zh-CN" w:bidi="ar-SA"/>
              </w:rPr>
              <w:t>E1</w:t>
            </w:r>
          </w:p>
        </w:tc>
        <w:tc>
          <w:tcPr>
            <w:tcW w:w="2322"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E2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21"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Cs/>
                <w:color w:val="auto"/>
                <w:kern w:val="2"/>
                <w:sz w:val="21"/>
                <w:szCs w:val="36"/>
                <w:lang w:val="en-US" w:eastAsia="zh-CN" w:bidi="ar-SA"/>
              </w:rPr>
            </w:pPr>
            <w:r>
              <w:rPr>
                <w:rFonts w:hint="default" w:ascii="Times New Roman" w:hAnsi="Times New Roman" w:eastAsia="宋体" w:cs="Times New Roman"/>
                <w:b w:val="0"/>
                <w:bCs/>
                <w:color w:val="auto"/>
                <w:kern w:val="2"/>
                <w:sz w:val="21"/>
                <w:szCs w:val="36"/>
                <w:lang w:val="en-US" w:eastAsia="zh-CN" w:bidi="ar-SA"/>
              </w:rPr>
              <w:t>S2</w:t>
            </w:r>
          </w:p>
        </w:tc>
        <w:tc>
          <w:tcPr>
            <w:tcW w:w="2321"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E1</w:t>
            </w:r>
          </w:p>
        </w:tc>
        <w:tc>
          <w:tcPr>
            <w:tcW w:w="2322"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b w:val="0"/>
                <w:bCs w:val="0"/>
                <w:color w:val="auto"/>
                <w:kern w:val="2"/>
                <w:sz w:val="21"/>
                <w:szCs w:val="36"/>
                <w:lang w:val="en-US" w:eastAsia="zh-CN" w:bidi="ar-SA"/>
              </w:rPr>
              <w:t>E2</w:t>
            </w:r>
          </w:p>
        </w:tc>
        <w:tc>
          <w:tcPr>
            <w:tcW w:w="2322"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Cs/>
                <w:color w:val="auto"/>
                <w:kern w:val="2"/>
                <w:sz w:val="21"/>
                <w:szCs w:val="36"/>
                <w:lang w:val="en-US" w:eastAsia="zh-CN" w:bidi="ar-SA"/>
              </w:rPr>
            </w:pPr>
            <w:r>
              <w:rPr>
                <w:rFonts w:hint="default" w:ascii="Times New Roman" w:hAnsi="Times New Roman" w:eastAsia="宋体" w:cs="Times New Roman"/>
                <w:bCs/>
                <w:color w:val="auto"/>
                <w:kern w:val="2"/>
                <w:sz w:val="21"/>
                <w:szCs w:val="36"/>
                <w:lang w:val="en-US" w:eastAsia="zh-CN" w:bidi="ar-SA"/>
              </w:rPr>
              <w:t>E3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21"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val="0"/>
                <w:bCs w:val="0"/>
                <w:color w:val="auto"/>
                <w:kern w:val="2"/>
                <w:sz w:val="21"/>
                <w:szCs w:val="36"/>
                <w:lang w:val="en-US" w:eastAsia="zh-CN" w:bidi="ar-SA"/>
              </w:rPr>
            </w:pPr>
            <w:r>
              <w:rPr>
                <w:rFonts w:hint="default" w:ascii="Times New Roman" w:hAnsi="Times New Roman" w:eastAsia="宋体" w:cs="Times New Roman"/>
                <w:b w:val="0"/>
                <w:bCs w:val="0"/>
                <w:color w:val="auto"/>
                <w:kern w:val="2"/>
                <w:sz w:val="21"/>
                <w:szCs w:val="36"/>
                <w:lang w:val="en-US" w:eastAsia="zh-CN" w:bidi="ar-SA"/>
              </w:rPr>
              <w:t>S3</w:t>
            </w:r>
          </w:p>
        </w:tc>
        <w:tc>
          <w:tcPr>
            <w:tcW w:w="2321"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val="0"/>
                <w:bCs w:val="0"/>
                <w:color w:val="auto"/>
                <w:kern w:val="2"/>
                <w:sz w:val="21"/>
                <w:szCs w:val="36"/>
                <w:lang w:val="en-US" w:eastAsia="zh-CN" w:bidi="ar-SA"/>
              </w:rPr>
            </w:pPr>
            <w:r>
              <w:rPr>
                <w:rFonts w:hint="default" w:ascii="Times New Roman" w:hAnsi="Times New Roman" w:eastAsia="宋体" w:cs="Times New Roman"/>
                <w:b w:val="0"/>
                <w:bCs w:val="0"/>
                <w:color w:val="auto"/>
                <w:kern w:val="2"/>
                <w:sz w:val="21"/>
                <w:szCs w:val="36"/>
                <w:lang w:val="en-US" w:eastAsia="zh-CN" w:bidi="ar-SA"/>
              </w:rPr>
              <w:t>E1</w:t>
            </w:r>
          </w:p>
        </w:tc>
        <w:tc>
          <w:tcPr>
            <w:tcW w:w="2322"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val="0"/>
                <w:bCs w:val="0"/>
                <w:color w:val="auto"/>
                <w:kern w:val="2"/>
                <w:sz w:val="21"/>
                <w:szCs w:val="36"/>
                <w:lang w:val="en-US" w:eastAsia="zh-CN" w:bidi="ar-SA"/>
              </w:rPr>
            </w:pPr>
            <w:r>
              <w:rPr>
                <w:rFonts w:hint="default" w:ascii="Times New Roman" w:hAnsi="Times New Roman" w:eastAsia="宋体" w:cs="Times New Roman"/>
                <w:b w:val="0"/>
                <w:bCs w:val="0"/>
                <w:color w:val="auto"/>
                <w:kern w:val="2"/>
                <w:sz w:val="21"/>
                <w:szCs w:val="36"/>
                <w:lang w:val="en-US" w:eastAsia="zh-CN" w:bidi="ar-SA"/>
              </w:rPr>
              <w:t>E2</w:t>
            </w:r>
          </w:p>
        </w:tc>
        <w:tc>
          <w:tcPr>
            <w:tcW w:w="2322"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E3</w:t>
            </w:r>
          </w:p>
        </w:tc>
      </w:tr>
    </w:tbl>
    <w:p>
      <w:pPr>
        <w:rPr>
          <w:rFonts w:hint="default"/>
          <w:lang w:val="en-US" w:eastAsia="zh-CN"/>
        </w:rPr>
      </w:pPr>
      <w:bookmarkStart w:id="322" w:name="_Hlk13473349"/>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en-US" w:eastAsia="zh-CN" w:bidi="ar-SA"/>
        </w:rPr>
      </w:pPr>
      <w:r>
        <w:rPr>
          <w:rFonts w:hint="default" w:ascii="Times New Roman" w:hAnsi="Times New Roman" w:eastAsia="黑体" w:cs="Times New Roman"/>
          <w:b w:val="0"/>
          <w:bCs/>
          <w:color w:val="auto"/>
          <w:kern w:val="2"/>
          <w:sz w:val="24"/>
          <w:szCs w:val="24"/>
          <w:lang w:val="en-US" w:eastAsia="zh-CN" w:bidi="ar-SA"/>
        </w:rPr>
        <w:t>表6.2-6 地表水功能敏感性分区</w:t>
      </w:r>
    </w:p>
    <w:bookmarkEnd w:id="322"/>
    <w:tbl>
      <w:tblPr>
        <w:tblStyle w:val="9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21"/>
        <w:gridCol w:w="696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21"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敏感性</w:t>
            </w:r>
          </w:p>
        </w:tc>
        <w:tc>
          <w:tcPr>
            <w:tcW w:w="6965"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地表水环境敏感特征</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21"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敏感F1</w:t>
            </w:r>
          </w:p>
        </w:tc>
        <w:tc>
          <w:tcPr>
            <w:tcW w:w="6965"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排放点进入地表水水域环境功能为Ⅱ类及以上，或海水水质分类第一类；</w:t>
            </w:r>
          </w:p>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或以发生事故时，危险物质泄漏到水体的排放点算起，排放进入受纳河流最大流速时，24h流经范围内涉跨国界的；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21"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val="0"/>
                <w:bCs w:val="0"/>
                <w:color w:val="auto"/>
                <w:kern w:val="2"/>
                <w:sz w:val="21"/>
                <w:szCs w:val="36"/>
                <w:lang w:val="en-US" w:eastAsia="zh-CN" w:bidi="ar-SA"/>
              </w:rPr>
            </w:pPr>
            <w:r>
              <w:rPr>
                <w:rFonts w:hint="default" w:ascii="Times New Roman" w:hAnsi="Times New Roman" w:eastAsia="宋体" w:cs="Times New Roman"/>
                <w:b w:val="0"/>
                <w:bCs w:val="0"/>
                <w:color w:val="auto"/>
                <w:kern w:val="2"/>
                <w:sz w:val="21"/>
                <w:szCs w:val="36"/>
                <w:lang w:val="en-US" w:eastAsia="zh-CN" w:bidi="ar-SA"/>
              </w:rPr>
              <w:t>较敏感F2</w:t>
            </w:r>
          </w:p>
        </w:tc>
        <w:tc>
          <w:tcPr>
            <w:tcW w:w="6965"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val="0"/>
                <w:bCs w:val="0"/>
                <w:color w:val="auto"/>
                <w:kern w:val="2"/>
                <w:sz w:val="21"/>
                <w:szCs w:val="36"/>
                <w:lang w:val="en-US" w:eastAsia="zh-CN" w:bidi="ar-SA"/>
              </w:rPr>
            </w:pPr>
            <w:r>
              <w:rPr>
                <w:rFonts w:hint="default" w:ascii="Times New Roman" w:hAnsi="Times New Roman" w:eastAsia="宋体" w:cs="Times New Roman"/>
                <w:b w:val="0"/>
                <w:bCs w:val="0"/>
                <w:color w:val="auto"/>
                <w:kern w:val="2"/>
                <w:sz w:val="21"/>
                <w:szCs w:val="36"/>
                <w:lang w:val="en-US" w:eastAsia="zh-CN" w:bidi="ar-SA"/>
              </w:rPr>
              <w:t>排放点进入地表水水域环境功能为</w:t>
            </w:r>
            <w:r>
              <w:rPr>
                <w:rFonts w:hint="default" w:ascii="Times New Roman" w:hAnsi="Times New Roman" w:eastAsia="宋体" w:cs="Times New Roman"/>
                <w:b w:val="0"/>
                <w:bCs w:val="0"/>
                <w:color w:val="auto"/>
                <w:kern w:val="2"/>
                <w:sz w:val="21"/>
                <w:szCs w:val="36"/>
                <w:lang w:val="en-US" w:eastAsia="zh-CN" w:bidi="ar-SA"/>
              </w:rPr>
              <w:fldChar w:fldCharType="begin"/>
            </w:r>
            <w:r>
              <w:rPr>
                <w:rFonts w:hint="default" w:ascii="Times New Roman" w:hAnsi="Times New Roman" w:eastAsia="宋体" w:cs="Times New Roman"/>
                <w:b w:val="0"/>
                <w:bCs w:val="0"/>
                <w:color w:val="auto"/>
                <w:kern w:val="2"/>
                <w:sz w:val="21"/>
                <w:szCs w:val="36"/>
                <w:lang w:val="en-US" w:eastAsia="zh-CN" w:bidi="ar-SA"/>
              </w:rPr>
              <w:instrText xml:space="preserve"> = 3 \* ROMAN </w:instrText>
            </w:r>
            <w:r>
              <w:rPr>
                <w:rFonts w:hint="default" w:ascii="Times New Roman" w:hAnsi="Times New Roman" w:eastAsia="宋体" w:cs="Times New Roman"/>
                <w:b w:val="0"/>
                <w:bCs w:val="0"/>
                <w:color w:val="auto"/>
                <w:kern w:val="2"/>
                <w:sz w:val="21"/>
                <w:szCs w:val="36"/>
                <w:lang w:val="en-US" w:eastAsia="zh-CN" w:bidi="ar-SA"/>
              </w:rPr>
              <w:fldChar w:fldCharType="separate"/>
            </w:r>
            <w:r>
              <w:rPr>
                <w:rFonts w:hint="default" w:ascii="Times New Roman" w:hAnsi="Times New Roman" w:eastAsia="宋体" w:cs="Times New Roman"/>
                <w:b w:val="0"/>
                <w:bCs w:val="0"/>
                <w:color w:val="auto"/>
                <w:kern w:val="2"/>
                <w:sz w:val="21"/>
                <w:szCs w:val="36"/>
                <w:lang w:val="en-US" w:eastAsia="zh-CN" w:bidi="ar-SA"/>
              </w:rPr>
              <w:t>III</w:t>
            </w:r>
            <w:r>
              <w:rPr>
                <w:rFonts w:hint="default" w:ascii="Times New Roman" w:hAnsi="Times New Roman" w:eastAsia="宋体" w:cs="Times New Roman"/>
                <w:b w:val="0"/>
                <w:bCs w:val="0"/>
                <w:color w:val="auto"/>
                <w:kern w:val="2"/>
                <w:sz w:val="21"/>
                <w:szCs w:val="36"/>
                <w:lang w:val="en-US" w:eastAsia="zh-CN" w:bidi="ar-SA"/>
              </w:rPr>
              <w:fldChar w:fldCharType="end"/>
            </w:r>
            <w:r>
              <w:rPr>
                <w:rFonts w:hint="default" w:ascii="Times New Roman" w:hAnsi="Times New Roman" w:eastAsia="宋体" w:cs="Times New Roman"/>
                <w:b w:val="0"/>
                <w:bCs w:val="0"/>
                <w:color w:val="auto"/>
                <w:kern w:val="2"/>
                <w:sz w:val="21"/>
                <w:szCs w:val="36"/>
                <w:lang w:val="en-US" w:eastAsia="zh-CN" w:bidi="ar-SA"/>
              </w:rPr>
              <w:t>类，或海水水质分类第二类</w:t>
            </w:r>
          </w:p>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val="0"/>
                <w:bCs w:val="0"/>
                <w:color w:val="auto"/>
                <w:kern w:val="2"/>
                <w:sz w:val="21"/>
                <w:szCs w:val="36"/>
                <w:lang w:val="en-US" w:eastAsia="zh-CN" w:bidi="ar-SA"/>
              </w:rPr>
            </w:pPr>
            <w:r>
              <w:rPr>
                <w:rFonts w:hint="default" w:ascii="Times New Roman" w:hAnsi="Times New Roman" w:eastAsia="宋体" w:cs="Times New Roman"/>
                <w:b w:val="0"/>
                <w:bCs w:val="0"/>
                <w:color w:val="auto"/>
                <w:kern w:val="2"/>
                <w:sz w:val="21"/>
                <w:szCs w:val="36"/>
                <w:lang w:val="en-US" w:eastAsia="zh-CN" w:bidi="ar-SA"/>
              </w:rPr>
              <w:t>或以发生事故时，危险物质泄漏到水体的排放点算起，排放进入受纳河流最大流速时，24h流经范围内涉跨省界的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21"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Cs/>
                <w:color w:val="auto"/>
                <w:kern w:val="2"/>
                <w:sz w:val="21"/>
                <w:szCs w:val="36"/>
                <w:lang w:val="en-US" w:eastAsia="zh-CN" w:bidi="ar-SA"/>
              </w:rPr>
            </w:pPr>
            <w:r>
              <w:rPr>
                <w:rFonts w:hint="default" w:ascii="Times New Roman" w:hAnsi="Times New Roman" w:eastAsia="宋体" w:cs="Times New Roman"/>
                <w:bCs/>
                <w:color w:val="auto"/>
                <w:kern w:val="2"/>
                <w:sz w:val="21"/>
                <w:szCs w:val="36"/>
                <w:lang w:val="en-US" w:eastAsia="zh-CN" w:bidi="ar-SA"/>
              </w:rPr>
              <w:t>低敏感F3</w:t>
            </w:r>
          </w:p>
        </w:tc>
        <w:tc>
          <w:tcPr>
            <w:tcW w:w="6965"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Cs/>
                <w:color w:val="auto"/>
                <w:kern w:val="2"/>
                <w:sz w:val="21"/>
                <w:szCs w:val="36"/>
                <w:lang w:val="en-US" w:eastAsia="zh-CN" w:bidi="ar-SA"/>
              </w:rPr>
            </w:pPr>
            <w:r>
              <w:rPr>
                <w:rFonts w:hint="default" w:ascii="Times New Roman" w:hAnsi="Times New Roman" w:eastAsia="宋体" w:cs="Times New Roman"/>
                <w:bCs/>
                <w:color w:val="auto"/>
                <w:kern w:val="2"/>
                <w:sz w:val="21"/>
                <w:szCs w:val="36"/>
                <w:lang w:val="en-US" w:eastAsia="zh-CN" w:bidi="ar-SA"/>
              </w:rPr>
              <w:t>上述地区之外的其他地区</w:t>
            </w:r>
          </w:p>
        </w:tc>
      </w:tr>
    </w:tbl>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en-US" w:eastAsia="zh-CN" w:bidi="ar-SA"/>
        </w:rPr>
      </w:pPr>
      <w:r>
        <w:rPr>
          <w:rFonts w:hint="default" w:ascii="Times New Roman" w:hAnsi="Times New Roman" w:eastAsia="黑体" w:cs="Times New Roman"/>
          <w:b w:val="0"/>
          <w:bCs/>
          <w:color w:val="auto"/>
          <w:kern w:val="2"/>
          <w:sz w:val="24"/>
          <w:szCs w:val="24"/>
          <w:lang w:val="en-US" w:eastAsia="zh-CN" w:bidi="ar-SA"/>
        </w:rPr>
        <w:t>表6.2-7 环境敏感目标分级</w:t>
      </w:r>
    </w:p>
    <w:tbl>
      <w:tblPr>
        <w:tblStyle w:val="9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790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84"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分级</w:t>
            </w:r>
          </w:p>
        </w:tc>
        <w:tc>
          <w:tcPr>
            <w:tcW w:w="7902"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环境敏感目标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84"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bCs/>
                <w:color w:val="auto"/>
                <w:kern w:val="2"/>
                <w:sz w:val="21"/>
                <w:szCs w:val="36"/>
                <w:lang w:val="en-US" w:eastAsia="zh-CN" w:bidi="ar-SA"/>
              </w:rPr>
            </w:pPr>
            <w:r>
              <w:rPr>
                <w:rFonts w:hint="default" w:ascii="Times New Roman" w:hAnsi="Times New Roman" w:eastAsia="宋体" w:cs="Times New Roman"/>
                <w:b/>
                <w:bCs/>
                <w:color w:val="auto"/>
                <w:kern w:val="2"/>
                <w:sz w:val="21"/>
                <w:szCs w:val="36"/>
                <w:lang w:val="en-US" w:eastAsia="zh-CN" w:bidi="ar-SA"/>
              </w:rPr>
              <w:t>S1</w:t>
            </w:r>
          </w:p>
        </w:tc>
        <w:tc>
          <w:tcPr>
            <w:tcW w:w="7902"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bCs/>
                <w:color w:val="auto"/>
                <w:kern w:val="2"/>
                <w:sz w:val="21"/>
                <w:szCs w:val="36"/>
                <w:lang w:val="en-US" w:eastAsia="zh-CN" w:bidi="ar-SA"/>
              </w:rPr>
            </w:pPr>
            <w:r>
              <w:rPr>
                <w:rFonts w:hint="default" w:ascii="Times New Roman" w:hAnsi="Times New Roman" w:eastAsia="宋体" w:cs="Times New Roman"/>
                <w:b/>
                <w:bCs/>
                <w:color w:val="auto"/>
                <w:kern w:val="2"/>
                <w:sz w:val="21"/>
                <w:szCs w:val="36"/>
                <w:lang w:val="en-US" w:eastAsia="zh-CN" w:bidi="ar-SA"/>
              </w:rPr>
              <w:t>发生事故时，危险物质泄漏到内陆水体的排放点下游（顺水流向）10km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84"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val="0"/>
                <w:bCs/>
                <w:color w:val="auto"/>
                <w:kern w:val="2"/>
                <w:sz w:val="21"/>
                <w:szCs w:val="36"/>
                <w:lang w:val="en-US" w:eastAsia="zh-CN" w:bidi="ar-SA"/>
              </w:rPr>
            </w:pPr>
            <w:r>
              <w:rPr>
                <w:rFonts w:hint="default" w:ascii="Times New Roman" w:hAnsi="Times New Roman" w:eastAsia="宋体" w:cs="Times New Roman"/>
                <w:b w:val="0"/>
                <w:bCs/>
                <w:color w:val="auto"/>
                <w:kern w:val="2"/>
                <w:sz w:val="21"/>
                <w:szCs w:val="36"/>
                <w:lang w:val="en-US" w:eastAsia="zh-CN" w:bidi="ar-SA"/>
              </w:rPr>
              <w:t>S2</w:t>
            </w:r>
          </w:p>
        </w:tc>
        <w:tc>
          <w:tcPr>
            <w:tcW w:w="7902"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val="0"/>
                <w:bCs/>
                <w:color w:val="auto"/>
                <w:kern w:val="2"/>
                <w:sz w:val="21"/>
                <w:szCs w:val="36"/>
                <w:lang w:val="en-US" w:eastAsia="zh-CN" w:bidi="ar-SA"/>
              </w:rPr>
            </w:pPr>
            <w:r>
              <w:rPr>
                <w:rFonts w:hint="default" w:ascii="Times New Roman" w:hAnsi="Times New Roman" w:eastAsia="宋体" w:cs="Times New Roman"/>
                <w:b w:val="0"/>
                <w:bCs/>
                <w:color w:val="auto"/>
                <w:kern w:val="2"/>
                <w:sz w:val="21"/>
                <w:szCs w:val="36"/>
                <w:lang w:val="en-US" w:eastAsia="zh-CN" w:bidi="ar-SA"/>
              </w:rPr>
              <w:t>发生事故时，危险物质泄漏到内陆水体的排放点下游（顺水流向）10km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84"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bCs/>
                <w:color w:val="auto"/>
                <w:kern w:val="2"/>
                <w:sz w:val="21"/>
                <w:szCs w:val="36"/>
                <w:lang w:val="en-US" w:eastAsia="zh-CN" w:bidi="ar-SA"/>
              </w:rPr>
            </w:pPr>
            <w:r>
              <w:rPr>
                <w:rFonts w:hint="default" w:ascii="Times New Roman" w:hAnsi="Times New Roman" w:eastAsia="宋体" w:cs="Times New Roman"/>
                <w:b w:val="0"/>
                <w:bCs w:val="0"/>
                <w:color w:val="auto"/>
                <w:kern w:val="2"/>
                <w:sz w:val="21"/>
                <w:szCs w:val="36"/>
                <w:lang w:val="en-US" w:eastAsia="zh-CN" w:bidi="ar-SA"/>
              </w:rPr>
              <w:t>S3</w:t>
            </w:r>
          </w:p>
        </w:tc>
        <w:tc>
          <w:tcPr>
            <w:tcW w:w="7902"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bCs/>
                <w:color w:val="auto"/>
                <w:kern w:val="2"/>
                <w:sz w:val="21"/>
                <w:szCs w:val="36"/>
                <w:lang w:val="en-US" w:eastAsia="zh-CN" w:bidi="ar-SA"/>
              </w:rPr>
            </w:pPr>
            <w:r>
              <w:rPr>
                <w:rFonts w:hint="default" w:ascii="Times New Roman" w:hAnsi="Times New Roman" w:eastAsia="宋体" w:cs="Times New Roman"/>
                <w:b w:val="0"/>
                <w:bCs w:val="0"/>
                <w:color w:val="auto"/>
                <w:kern w:val="2"/>
                <w:sz w:val="21"/>
                <w:szCs w:val="36"/>
                <w:lang w:val="en-US" w:eastAsia="zh-CN" w:bidi="ar-SA"/>
              </w:rPr>
              <w:t>排放点下游（顺水流向）10km范围、近岸海域一个潮周期水质点可能达到的最大水平距离的两倍范围内无上述类型1和类型2包括的敏感保护目标</w:t>
            </w:r>
          </w:p>
        </w:tc>
      </w:tr>
    </w:tbl>
    <w:p>
      <w:pPr>
        <w:spacing w:line="360" w:lineRule="auto"/>
        <w:ind w:firstLine="480"/>
        <w:rPr>
          <w:rFonts w:hint="default" w:ascii="Times New Roman" w:hAnsi="Times New Roman" w:eastAsia="宋体" w:cs="Times New Roman"/>
          <w:color w:val="auto"/>
          <w:sz w:val="24"/>
          <w:szCs w:val="24"/>
          <w:lang w:val="zh-CN" w:bidi="ar"/>
        </w:rPr>
      </w:pPr>
      <w:r>
        <w:rPr>
          <w:rFonts w:hint="default" w:ascii="Times New Roman" w:hAnsi="Times New Roman" w:eastAsia="宋体" w:cs="Times New Roman"/>
          <w:color w:val="auto"/>
          <w:sz w:val="24"/>
          <w:szCs w:val="24"/>
          <w:lang w:val="zh-CN" w:bidi="ar"/>
        </w:rPr>
        <w:t>依据表6.2-</w:t>
      </w:r>
      <w:r>
        <w:rPr>
          <w:rFonts w:hint="default" w:ascii="Times New Roman" w:hAnsi="Times New Roman" w:eastAsia="宋体" w:cs="Times New Roman"/>
          <w:color w:val="auto"/>
          <w:sz w:val="24"/>
          <w:szCs w:val="24"/>
          <w:lang w:val="en-US" w:eastAsia="zh-CN" w:bidi="ar"/>
        </w:rPr>
        <w:t>6、表6.2-7</w:t>
      </w:r>
      <w:r>
        <w:rPr>
          <w:rFonts w:hint="default" w:ascii="Times New Roman" w:hAnsi="Times New Roman" w:eastAsia="宋体" w:cs="Times New Roman"/>
          <w:color w:val="auto"/>
          <w:sz w:val="24"/>
          <w:szCs w:val="24"/>
          <w:lang w:val="zh-CN" w:bidi="ar"/>
        </w:rPr>
        <w:t>判定本项目环境敏感目标分级为S1、</w:t>
      </w:r>
      <w:r>
        <w:rPr>
          <w:rFonts w:hint="default" w:ascii="Times New Roman" w:hAnsi="Times New Roman" w:eastAsia="宋体" w:cs="Times New Roman"/>
          <w:color w:val="auto"/>
          <w:sz w:val="24"/>
          <w:szCs w:val="24"/>
          <w:lang w:val="en-US" w:eastAsia="zh-CN" w:bidi="ar"/>
        </w:rPr>
        <w:t>F</w:t>
      </w:r>
      <w:r>
        <w:rPr>
          <w:rFonts w:hint="eastAsia" w:ascii="Times New Roman" w:hAnsi="Times New Roman" w:eastAsia="宋体" w:cs="Times New Roman"/>
          <w:color w:val="auto"/>
          <w:sz w:val="24"/>
          <w:szCs w:val="24"/>
          <w:lang w:val="en-US" w:eastAsia="zh-CN" w:bidi="ar"/>
        </w:rPr>
        <w:t>2</w:t>
      </w:r>
      <w:r>
        <w:rPr>
          <w:rFonts w:hint="default" w:ascii="Times New Roman" w:hAnsi="Times New Roman" w:eastAsia="宋体" w:cs="Times New Roman"/>
          <w:color w:val="auto"/>
          <w:sz w:val="24"/>
          <w:szCs w:val="24"/>
          <w:lang w:val="zh-CN" w:bidi="ar"/>
        </w:rPr>
        <w:t>，</w:t>
      </w:r>
      <w:r>
        <w:rPr>
          <w:rFonts w:hint="default" w:ascii="Times New Roman" w:hAnsi="Times New Roman" w:eastAsia="宋体" w:cs="Times New Roman"/>
          <w:snapToGrid w:val="0"/>
          <w:color w:val="auto"/>
          <w:kern w:val="0"/>
          <w:sz w:val="24"/>
          <w:szCs w:val="24"/>
          <w:highlight w:val="none"/>
          <w:lang w:val="zh-CN" w:eastAsia="zh-CN" w:bidi="ar"/>
        </w:rPr>
        <w:t>地表水环境敏感程度为E</w:t>
      </w:r>
      <w:r>
        <w:rPr>
          <w:rFonts w:hint="eastAsia" w:ascii="Times New Roman" w:hAnsi="Times New Roman" w:eastAsia="宋体" w:cs="Times New Roman"/>
          <w:snapToGrid w:val="0"/>
          <w:color w:val="auto"/>
          <w:kern w:val="0"/>
          <w:sz w:val="24"/>
          <w:szCs w:val="24"/>
          <w:highlight w:val="none"/>
          <w:lang w:val="en-US" w:eastAsia="zh-CN" w:bidi="ar"/>
        </w:rPr>
        <w:t>1</w:t>
      </w:r>
      <w:r>
        <w:rPr>
          <w:rFonts w:hint="default" w:ascii="Times New Roman" w:hAnsi="Times New Roman" w:eastAsia="宋体" w:cs="Times New Roman"/>
          <w:snapToGrid w:val="0"/>
          <w:color w:val="auto"/>
          <w:kern w:val="0"/>
          <w:sz w:val="24"/>
          <w:szCs w:val="24"/>
          <w:highlight w:val="none"/>
          <w:lang w:val="zh-CN" w:eastAsia="zh-CN" w:bidi="ar"/>
        </w:rPr>
        <w:t>，</w:t>
      </w:r>
      <w:r>
        <w:rPr>
          <w:rFonts w:hint="default" w:ascii="Times New Roman" w:hAnsi="Times New Roman" w:eastAsia="宋体" w:cs="Times New Roman"/>
          <w:snapToGrid w:val="0"/>
          <w:color w:val="auto"/>
          <w:kern w:val="0"/>
          <w:sz w:val="24"/>
          <w:szCs w:val="21"/>
          <w:lang w:val="en-US" w:eastAsia="zh-CN" w:bidi="ar-SA"/>
        </w:rPr>
        <w:t>正常情况项目</w:t>
      </w:r>
      <w:r>
        <w:rPr>
          <w:rFonts w:hint="eastAsia" w:ascii="Times New Roman" w:hAnsi="Times New Roman" w:eastAsia="宋体" w:cs="Times New Roman"/>
          <w:snapToGrid w:val="0"/>
          <w:color w:val="auto"/>
          <w:kern w:val="0"/>
          <w:sz w:val="24"/>
          <w:szCs w:val="21"/>
          <w:lang w:val="en-US" w:eastAsia="zh-CN" w:bidi="ar-SA"/>
        </w:rPr>
        <w:t>外排</w:t>
      </w:r>
      <w:r>
        <w:rPr>
          <w:rFonts w:hint="default" w:ascii="Times New Roman" w:hAnsi="Times New Roman" w:eastAsia="宋体" w:cs="Times New Roman"/>
          <w:snapToGrid w:val="0"/>
          <w:color w:val="auto"/>
          <w:kern w:val="0"/>
          <w:sz w:val="24"/>
          <w:szCs w:val="21"/>
          <w:lang w:val="en-US" w:eastAsia="zh-CN" w:bidi="ar-SA"/>
        </w:rPr>
        <w:t>废水排入江阴工业园区污水处理厂处理达标后排入兴化湾，非正常情况下项目事故废水、废液经完善的三级防控措施（装置、储罐围堰→事故应急池→园区公共事故应急池）收集，不存在废液泄漏至海边，因此，地表水评价不作等级划分，简单分析</w:t>
      </w:r>
      <w:r>
        <w:rPr>
          <w:rFonts w:hint="default" w:ascii="Times New Roman" w:hAnsi="Times New Roman" w:eastAsia="宋体" w:cs="Times New Roman"/>
          <w:color w:val="auto"/>
          <w:sz w:val="24"/>
          <w:szCs w:val="24"/>
          <w:lang w:val="zh-CN" w:bidi="ar"/>
        </w:rPr>
        <w:t xml:space="preserve">。 </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（3）地下水环境</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依据地下水功能敏感性与包气带防污性能，共分为三种类型，E1为环境高度敏感区，E2为环境中度敏感区，E3为环境低度敏感区，分级原则见表6.2-8。其中地下水功能敏感性分区和包气带防污性能分级分别见表6.2-9和表6.2-10。当同一建设项目涉及两个G分区或D分级及以上时，取相对高值。</w:t>
      </w:r>
    </w:p>
    <w:p>
      <w:pPr>
        <w:rPr>
          <w:rFonts w:hint="default" w:ascii="Times New Roman" w:hAnsi="Times New Roman" w:eastAsia="宋体" w:cs="Times New Roman"/>
          <w:snapToGrid w:val="0"/>
          <w:color w:val="auto"/>
          <w:kern w:val="0"/>
          <w:sz w:val="24"/>
          <w:szCs w:val="21"/>
          <w:lang w:val="en-US" w:eastAsia="zh-CN" w:bidi="ar-SA"/>
        </w:rPr>
      </w:pPr>
    </w:p>
    <w:p>
      <w:pPr>
        <w:rPr>
          <w:rFonts w:hint="default" w:ascii="Times New Roman" w:hAnsi="Times New Roman" w:eastAsia="宋体" w:cs="Times New Roman"/>
          <w:snapToGrid w:val="0"/>
          <w:color w:val="auto"/>
          <w:kern w:val="0"/>
          <w:sz w:val="24"/>
          <w:szCs w:val="21"/>
          <w:lang w:val="en-US" w:eastAsia="zh-CN" w:bidi="ar-SA"/>
        </w:rPr>
      </w:pPr>
    </w:p>
    <w:p>
      <w:pPr>
        <w:rPr>
          <w:rFonts w:hint="default" w:ascii="Times New Roman" w:hAnsi="Times New Roman" w:eastAsia="宋体" w:cs="Times New Roman"/>
          <w:snapToGrid w:val="0"/>
          <w:color w:val="auto"/>
          <w:kern w:val="0"/>
          <w:sz w:val="24"/>
          <w:szCs w:val="21"/>
          <w:lang w:val="en-US" w:eastAsia="zh-CN" w:bidi="ar-SA"/>
        </w:rPr>
      </w:pPr>
    </w:p>
    <w:p>
      <w:pPr>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en-US" w:eastAsia="zh-CN" w:bidi="ar-SA"/>
        </w:rPr>
      </w:pPr>
      <w:r>
        <w:rPr>
          <w:rFonts w:hint="default" w:ascii="Times New Roman" w:hAnsi="Times New Roman" w:eastAsia="黑体" w:cs="Times New Roman"/>
          <w:b w:val="0"/>
          <w:bCs/>
          <w:color w:val="auto"/>
          <w:kern w:val="2"/>
          <w:sz w:val="24"/>
          <w:szCs w:val="24"/>
          <w:lang w:val="en-US" w:eastAsia="zh-CN" w:bidi="ar-SA"/>
        </w:rPr>
        <w:t>表6.2-8  地下水环境敏感程度分级</w:t>
      </w:r>
    </w:p>
    <w:tbl>
      <w:tblPr>
        <w:tblStyle w:val="9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21"/>
        <w:gridCol w:w="2321"/>
        <w:gridCol w:w="2322"/>
        <w:gridCol w:w="232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21" w:type="dxa"/>
            <w:vMerge w:val="restart"/>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环境敏感目标</w:t>
            </w:r>
          </w:p>
        </w:tc>
        <w:tc>
          <w:tcPr>
            <w:tcW w:w="6965" w:type="dxa"/>
            <w:gridSpan w:val="3"/>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地表水功能敏感性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vMerge w:val="continue"/>
            <w:tcBorders>
              <w:left w:val="single" w:color="auto" w:sz="4" w:space="0"/>
            </w:tcBorders>
            <w:noWrap w:val="0"/>
          </w:tcPr>
          <w:p/>
        </w:tc>
        <w:tc>
          <w:tcPr>
            <w:tcW w:w="2321"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G1</w:t>
            </w:r>
          </w:p>
        </w:tc>
        <w:tc>
          <w:tcPr>
            <w:tcW w:w="2322"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G2</w:t>
            </w:r>
          </w:p>
        </w:tc>
        <w:tc>
          <w:tcPr>
            <w:tcW w:w="2322"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color w:val="auto"/>
                <w:kern w:val="2"/>
                <w:sz w:val="21"/>
                <w:szCs w:val="36"/>
                <w:lang w:val="en-US" w:eastAsia="zh-CN" w:bidi="ar-SA"/>
              </w:rPr>
            </w:pPr>
            <w:r>
              <w:rPr>
                <w:rFonts w:hint="default" w:ascii="Times New Roman" w:hAnsi="Times New Roman" w:eastAsia="宋体" w:cs="Times New Roman"/>
                <w:b/>
                <w:color w:val="auto"/>
                <w:kern w:val="2"/>
                <w:sz w:val="21"/>
                <w:szCs w:val="36"/>
                <w:lang w:val="en-US" w:eastAsia="zh-CN" w:bidi="ar-SA"/>
              </w:rPr>
              <w:t>G3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21"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D1</w:t>
            </w:r>
          </w:p>
        </w:tc>
        <w:tc>
          <w:tcPr>
            <w:tcW w:w="2321"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E1</w:t>
            </w:r>
          </w:p>
        </w:tc>
        <w:tc>
          <w:tcPr>
            <w:tcW w:w="2322"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E1</w:t>
            </w:r>
          </w:p>
        </w:tc>
        <w:tc>
          <w:tcPr>
            <w:tcW w:w="2322"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E2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21"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color w:val="auto"/>
                <w:kern w:val="2"/>
                <w:sz w:val="21"/>
                <w:szCs w:val="36"/>
                <w:lang w:val="en-US" w:eastAsia="zh-CN" w:bidi="ar-SA"/>
              </w:rPr>
            </w:pPr>
            <w:r>
              <w:rPr>
                <w:rFonts w:hint="default" w:ascii="Times New Roman" w:hAnsi="Times New Roman" w:eastAsia="宋体" w:cs="Times New Roman"/>
                <w:b/>
                <w:bCs w:val="0"/>
                <w:color w:val="auto"/>
                <w:kern w:val="2"/>
                <w:sz w:val="21"/>
                <w:szCs w:val="36"/>
                <w:lang w:val="en-US" w:eastAsia="zh-CN" w:bidi="ar-SA"/>
              </w:rPr>
              <w:t>D2</w:t>
            </w:r>
          </w:p>
        </w:tc>
        <w:tc>
          <w:tcPr>
            <w:tcW w:w="2321"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E1</w:t>
            </w:r>
          </w:p>
        </w:tc>
        <w:tc>
          <w:tcPr>
            <w:tcW w:w="2322"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E2</w:t>
            </w:r>
          </w:p>
        </w:tc>
        <w:tc>
          <w:tcPr>
            <w:tcW w:w="2322"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color w:val="auto"/>
                <w:kern w:val="2"/>
                <w:sz w:val="21"/>
                <w:szCs w:val="36"/>
                <w:lang w:val="en-US" w:eastAsia="zh-CN" w:bidi="ar-SA"/>
              </w:rPr>
            </w:pPr>
            <w:r>
              <w:rPr>
                <w:rFonts w:hint="default" w:ascii="Times New Roman" w:hAnsi="Times New Roman" w:eastAsia="宋体" w:cs="Times New Roman"/>
                <w:b/>
                <w:color w:val="auto"/>
                <w:kern w:val="2"/>
                <w:sz w:val="21"/>
                <w:szCs w:val="36"/>
                <w:lang w:val="en-US" w:eastAsia="zh-CN" w:bidi="ar-SA"/>
              </w:rPr>
              <w:t>E3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21"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D3</w:t>
            </w:r>
          </w:p>
        </w:tc>
        <w:tc>
          <w:tcPr>
            <w:tcW w:w="2321"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E1</w:t>
            </w:r>
          </w:p>
        </w:tc>
        <w:tc>
          <w:tcPr>
            <w:tcW w:w="2322"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E2</w:t>
            </w:r>
          </w:p>
        </w:tc>
        <w:tc>
          <w:tcPr>
            <w:tcW w:w="2322"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E3</w:t>
            </w:r>
          </w:p>
        </w:tc>
      </w:tr>
    </w:tbl>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en-US" w:eastAsia="zh-CN" w:bidi="ar-SA"/>
        </w:rPr>
      </w:pPr>
      <w:bookmarkStart w:id="323" w:name="_Hlk941795"/>
      <w:r>
        <w:rPr>
          <w:rFonts w:hint="default" w:ascii="Times New Roman" w:hAnsi="Times New Roman" w:eastAsia="黑体" w:cs="Times New Roman"/>
          <w:b w:val="0"/>
          <w:bCs/>
          <w:color w:val="auto"/>
          <w:kern w:val="2"/>
          <w:sz w:val="24"/>
          <w:szCs w:val="24"/>
          <w:lang w:val="en-US" w:eastAsia="zh-CN" w:bidi="ar-SA"/>
        </w:rPr>
        <w:t>表6.2-9  地下水功能敏感性分区</w:t>
      </w:r>
    </w:p>
    <w:tbl>
      <w:tblPr>
        <w:tblStyle w:val="9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9"/>
        <w:gridCol w:w="747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809"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敏感性</w:t>
            </w:r>
          </w:p>
        </w:tc>
        <w:tc>
          <w:tcPr>
            <w:tcW w:w="7477"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地表水环境敏感特征</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809"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敏感G1</w:t>
            </w:r>
          </w:p>
        </w:tc>
        <w:tc>
          <w:tcPr>
            <w:tcW w:w="7477"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809"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较敏感G2</w:t>
            </w:r>
          </w:p>
        </w:tc>
        <w:tc>
          <w:tcPr>
            <w:tcW w:w="7477"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w:t>
            </w:r>
            <w:r>
              <w:rPr>
                <w:rFonts w:hint="default" w:ascii="Times New Roman" w:hAnsi="Times New Roman" w:eastAsia="宋体" w:cs="Times New Roman"/>
                <w:color w:val="auto"/>
                <w:kern w:val="2"/>
                <w:sz w:val="21"/>
                <w:szCs w:val="36"/>
                <w:vertAlign w:val="superscript"/>
                <w:lang w:val="en-US" w:eastAsia="zh-CN" w:bidi="ar-SA"/>
              </w:rPr>
              <w: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809"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color w:val="auto"/>
                <w:kern w:val="2"/>
                <w:sz w:val="21"/>
                <w:szCs w:val="36"/>
                <w:lang w:val="en-US" w:eastAsia="zh-CN" w:bidi="ar-SA"/>
              </w:rPr>
            </w:pPr>
            <w:r>
              <w:rPr>
                <w:rFonts w:hint="default" w:ascii="Times New Roman" w:hAnsi="Times New Roman" w:eastAsia="宋体" w:cs="Times New Roman"/>
                <w:b/>
                <w:color w:val="auto"/>
                <w:kern w:val="2"/>
                <w:sz w:val="21"/>
                <w:szCs w:val="36"/>
                <w:lang w:val="en-US" w:eastAsia="zh-CN" w:bidi="ar-SA"/>
              </w:rPr>
              <w:t>不敏感G3</w:t>
            </w:r>
          </w:p>
        </w:tc>
        <w:tc>
          <w:tcPr>
            <w:tcW w:w="7477"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color w:val="auto"/>
                <w:kern w:val="2"/>
                <w:sz w:val="21"/>
                <w:szCs w:val="36"/>
                <w:lang w:val="en-US" w:eastAsia="zh-CN" w:bidi="ar-SA"/>
              </w:rPr>
            </w:pPr>
            <w:r>
              <w:rPr>
                <w:rFonts w:hint="default" w:ascii="Times New Roman" w:hAnsi="Times New Roman" w:eastAsia="宋体" w:cs="Times New Roman"/>
                <w:b/>
                <w:color w:val="auto"/>
                <w:kern w:val="2"/>
                <w:sz w:val="21"/>
                <w:szCs w:val="36"/>
                <w:lang w:val="en-US" w:eastAsia="zh-CN" w:bidi="ar-SA"/>
              </w:rPr>
              <w:t>上述地区之外的其他地区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9286" w:type="dxa"/>
            <w:gridSpan w:val="2"/>
            <w:tcBorders>
              <w:left w:val="single" w:color="auto" w:sz="4" w:space="0"/>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a“环境敏感区”是指《建设项目环境影响评价分类管理名录》中所界定的涉及地下水的环境敏感区</w:t>
            </w:r>
          </w:p>
        </w:tc>
      </w:tr>
      <w:bookmarkEnd w:id="323"/>
    </w:tbl>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en-US" w:eastAsia="zh-CN" w:bidi="ar-SA"/>
        </w:rPr>
      </w:pPr>
      <w:r>
        <w:rPr>
          <w:rFonts w:hint="default" w:ascii="Times New Roman" w:hAnsi="Times New Roman" w:eastAsia="黑体" w:cs="Times New Roman"/>
          <w:b w:val="0"/>
          <w:bCs/>
          <w:color w:val="auto"/>
          <w:kern w:val="2"/>
          <w:sz w:val="24"/>
          <w:szCs w:val="24"/>
          <w:lang w:val="en-US" w:eastAsia="zh-CN" w:bidi="ar-SA"/>
        </w:rPr>
        <w:t>表6.2-10  包气带防污性能分级</w:t>
      </w:r>
    </w:p>
    <w:tbl>
      <w:tblPr>
        <w:tblStyle w:val="9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21"/>
        <w:gridCol w:w="696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21"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分级</w:t>
            </w:r>
          </w:p>
        </w:tc>
        <w:tc>
          <w:tcPr>
            <w:tcW w:w="6965"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包气带岩土的渗透性能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21"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D3</w:t>
            </w:r>
          </w:p>
        </w:tc>
        <w:tc>
          <w:tcPr>
            <w:tcW w:w="6965"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Mb≥1.0m，K≤1.0×10</w:t>
            </w:r>
            <w:r>
              <w:rPr>
                <w:rFonts w:hint="default" w:ascii="Times New Roman" w:hAnsi="Times New Roman" w:eastAsia="宋体" w:cs="Times New Roman"/>
                <w:color w:val="auto"/>
                <w:kern w:val="2"/>
                <w:sz w:val="21"/>
                <w:szCs w:val="36"/>
                <w:vertAlign w:val="superscript"/>
                <w:lang w:val="en-US" w:eastAsia="zh-CN" w:bidi="ar-SA"/>
              </w:rPr>
              <w:t>-6</w:t>
            </w:r>
            <w:r>
              <w:rPr>
                <w:rFonts w:hint="default" w:ascii="Times New Roman" w:hAnsi="Times New Roman" w:eastAsia="宋体" w:cs="Times New Roman"/>
                <w:color w:val="auto"/>
                <w:kern w:val="2"/>
                <w:sz w:val="21"/>
                <w:szCs w:val="36"/>
                <w:lang w:val="en-US" w:eastAsia="zh-CN" w:bidi="ar-SA"/>
              </w:rPr>
              <w:t>cm/s，且分布连续、稳定</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21"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color w:val="auto"/>
                <w:kern w:val="2"/>
                <w:sz w:val="21"/>
                <w:szCs w:val="36"/>
                <w:lang w:val="en-US" w:eastAsia="zh-CN" w:bidi="ar-SA"/>
              </w:rPr>
            </w:pPr>
            <w:r>
              <w:rPr>
                <w:rFonts w:hint="default" w:ascii="Times New Roman" w:hAnsi="Times New Roman" w:eastAsia="宋体" w:cs="Times New Roman"/>
                <w:b/>
                <w:bCs w:val="0"/>
                <w:color w:val="auto"/>
                <w:kern w:val="2"/>
                <w:sz w:val="21"/>
                <w:szCs w:val="36"/>
                <w:lang w:val="en-US" w:eastAsia="zh-CN" w:bidi="ar-SA"/>
              </w:rPr>
              <w:t>D2</w:t>
            </w:r>
          </w:p>
        </w:tc>
        <w:tc>
          <w:tcPr>
            <w:tcW w:w="6965"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0.5m≤Mb＜1.0m，K≤1.0×10</w:t>
            </w:r>
            <w:r>
              <w:rPr>
                <w:rFonts w:hint="default" w:ascii="Times New Roman" w:hAnsi="Times New Roman" w:eastAsia="宋体" w:cs="Times New Roman"/>
                <w:color w:val="auto"/>
                <w:kern w:val="2"/>
                <w:sz w:val="21"/>
                <w:szCs w:val="36"/>
                <w:vertAlign w:val="superscript"/>
                <w:lang w:val="en-US" w:eastAsia="zh-CN" w:bidi="ar-SA"/>
              </w:rPr>
              <w:t>-6</w:t>
            </w:r>
            <w:r>
              <w:rPr>
                <w:rFonts w:hint="default" w:ascii="Times New Roman" w:hAnsi="Times New Roman" w:eastAsia="宋体" w:cs="Times New Roman"/>
                <w:color w:val="auto"/>
                <w:kern w:val="2"/>
                <w:sz w:val="21"/>
                <w:szCs w:val="36"/>
                <w:lang w:val="en-US" w:eastAsia="zh-CN" w:bidi="ar-SA"/>
              </w:rPr>
              <w:t>cm/s，且分布连续、稳定</w:t>
            </w:r>
          </w:p>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color w:val="auto"/>
                <w:kern w:val="2"/>
                <w:sz w:val="21"/>
                <w:szCs w:val="36"/>
                <w:lang w:val="en-US" w:eastAsia="zh-CN" w:bidi="ar-SA"/>
              </w:rPr>
            </w:pPr>
            <w:r>
              <w:rPr>
                <w:rFonts w:hint="default" w:ascii="Times New Roman" w:hAnsi="Times New Roman" w:eastAsia="宋体" w:cs="Times New Roman"/>
                <w:b/>
                <w:color w:val="auto"/>
                <w:kern w:val="2"/>
                <w:sz w:val="21"/>
                <w:szCs w:val="36"/>
                <w:lang w:val="en-US" w:eastAsia="zh-CN" w:bidi="ar-SA"/>
              </w:rPr>
              <w:t>Mb≥1.0m，1.0×10</w:t>
            </w:r>
            <w:r>
              <w:rPr>
                <w:rFonts w:hint="default" w:ascii="Times New Roman" w:hAnsi="Times New Roman" w:eastAsia="宋体" w:cs="Times New Roman"/>
                <w:b/>
                <w:color w:val="auto"/>
                <w:kern w:val="2"/>
                <w:sz w:val="21"/>
                <w:szCs w:val="36"/>
                <w:vertAlign w:val="superscript"/>
                <w:lang w:val="en-US" w:eastAsia="zh-CN" w:bidi="ar-SA"/>
              </w:rPr>
              <w:t>-6</w:t>
            </w:r>
            <w:r>
              <w:rPr>
                <w:rFonts w:hint="default" w:ascii="Times New Roman" w:hAnsi="Times New Roman" w:eastAsia="宋体" w:cs="Times New Roman"/>
                <w:b/>
                <w:color w:val="auto"/>
                <w:kern w:val="2"/>
                <w:sz w:val="21"/>
                <w:szCs w:val="36"/>
                <w:lang w:val="en-US" w:eastAsia="zh-CN" w:bidi="ar-SA"/>
              </w:rPr>
              <w:t>cm/s＜K≤1.0×10</w:t>
            </w:r>
            <w:r>
              <w:rPr>
                <w:rFonts w:hint="default" w:ascii="Times New Roman" w:hAnsi="Times New Roman" w:eastAsia="宋体" w:cs="Times New Roman"/>
                <w:b/>
                <w:color w:val="auto"/>
                <w:kern w:val="2"/>
                <w:sz w:val="21"/>
                <w:szCs w:val="36"/>
                <w:vertAlign w:val="superscript"/>
                <w:lang w:val="en-US" w:eastAsia="zh-CN" w:bidi="ar-SA"/>
              </w:rPr>
              <w:t>-4</w:t>
            </w:r>
            <w:r>
              <w:rPr>
                <w:rFonts w:hint="default" w:ascii="Times New Roman" w:hAnsi="Times New Roman" w:eastAsia="宋体" w:cs="Times New Roman"/>
                <w:b/>
                <w:color w:val="auto"/>
                <w:kern w:val="2"/>
                <w:sz w:val="21"/>
                <w:szCs w:val="36"/>
                <w:lang w:val="en-US" w:eastAsia="zh-CN" w:bidi="ar-SA"/>
              </w:rPr>
              <w:t>cm/s，且分布连续、稳定</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21"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D1</w:t>
            </w:r>
          </w:p>
        </w:tc>
        <w:tc>
          <w:tcPr>
            <w:tcW w:w="6965"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岩（土）层不满足上述“D2”和“D3”条件</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9286" w:type="dxa"/>
            <w:gridSpan w:val="2"/>
            <w:tcBorders>
              <w:left w:val="single" w:color="auto" w:sz="4" w:space="0"/>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both"/>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Mb：岩土层单层厚度。K：渗透系数。</w:t>
            </w:r>
          </w:p>
        </w:tc>
      </w:tr>
    </w:tbl>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依据表6.2-9判定本项目所在区域地下水敏感性为低敏感G3，依据表6.2-10判定本项目包气带防污性能为D2，最终判定本项目地下水环境敏感程度为E3。</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综上，根据大气、地表水和地下水环境敏感程度的判定结果，本项目所在区为环境中度敏感区E2。</w:t>
      </w:r>
    </w:p>
    <w:p>
      <w:pPr>
        <w:spacing w:line="360" w:lineRule="auto"/>
        <w:ind w:firstLine="480"/>
        <w:jc w:val="left"/>
        <w:rPr>
          <w:rFonts w:hint="default" w:ascii="Times New Roman" w:hAnsi="Times New Roman" w:eastAsia="宋体" w:cs="Times New Roman"/>
          <w:color w:val="auto"/>
          <w:sz w:val="24"/>
          <w:szCs w:val="24"/>
          <w:lang w:eastAsia="zh-CN" w:bidi="ar"/>
        </w:rPr>
      </w:pPr>
      <w:r>
        <w:rPr>
          <w:rFonts w:hint="default" w:ascii="Times New Roman" w:hAnsi="Times New Roman" w:eastAsia="宋体" w:cs="Times New Roman"/>
          <w:color w:val="auto"/>
          <w:sz w:val="24"/>
          <w:szCs w:val="24"/>
          <w:lang w:val="en-US" w:eastAsia="zh-CN" w:bidi="ar"/>
        </w:rPr>
        <w:t>综上，</w:t>
      </w:r>
      <w:r>
        <w:rPr>
          <w:rFonts w:hint="default" w:ascii="Times New Roman" w:hAnsi="Times New Roman" w:eastAsia="宋体" w:cs="Times New Roman"/>
          <w:color w:val="auto"/>
          <w:sz w:val="24"/>
          <w:szCs w:val="24"/>
          <w:lang w:val="zh-CN" w:bidi="ar"/>
        </w:rPr>
        <w:t>本项目环境敏感特征见表</w:t>
      </w:r>
      <w:r>
        <w:rPr>
          <w:rFonts w:hint="default" w:ascii="Times New Roman" w:hAnsi="Times New Roman" w:eastAsia="宋体" w:cs="Times New Roman"/>
          <w:color w:val="auto"/>
          <w:sz w:val="24"/>
          <w:szCs w:val="24"/>
          <w:lang w:val="en-US" w:eastAsia="zh-CN" w:bidi="ar"/>
        </w:rPr>
        <w:t>6</w:t>
      </w:r>
      <w:r>
        <w:rPr>
          <w:rFonts w:hint="default" w:ascii="Times New Roman" w:hAnsi="Times New Roman" w:eastAsia="宋体" w:cs="Times New Roman"/>
          <w:color w:val="auto"/>
          <w:sz w:val="24"/>
          <w:szCs w:val="24"/>
          <w:lang w:bidi="ar"/>
        </w:rPr>
        <w:t>.2-11</w:t>
      </w:r>
      <w:r>
        <w:rPr>
          <w:rFonts w:hint="default" w:ascii="Times New Roman" w:hAnsi="Times New Roman" w:eastAsia="宋体" w:cs="Times New Roman"/>
          <w:color w:val="auto"/>
          <w:sz w:val="24"/>
          <w:szCs w:val="24"/>
          <w:lang w:eastAsia="zh-CN" w:bidi="ar"/>
        </w:rPr>
        <w:t>。</w:t>
      </w:r>
    </w:p>
    <w:p>
      <w:pPr>
        <w:widowControl w:val="0"/>
        <w:spacing w:afterLines="0" w:line="360" w:lineRule="auto"/>
        <w:ind w:firstLine="0"/>
        <w:jc w:val="center"/>
        <w:outlineLvl w:val="4"/>
        <w:rPr>
          <w:rFonts w:hint="default" w:ascii="Times New Roman" w:hAnsi="Times New Roman" w:eastAsia="黑体" w:cs="Times New Roman"/>
          <w:b/>
          <w:color w:val="auto"/>
          <w:kern w:val="2"/>
          <w:sz w:val="24"/>
          <w:szCs w:val="24"/>
          <w:lang w:val="zh-CN"/>
        </w:rPr>
        <w:sectPr>
          <w:pgSz w:w="11906" w:h="16838"/>
          <w:pgMar w:top="1304" w:right="1418" w:bottom="1304" w:left="1418" w:header="851" w:footer="992" w:gutter="0"/>
          <w:pgBorders>
            <w:top w:val="none" w:sz="0" w:space="0"/>
            <w:left w:val="none" w:sz="0" w:space="0"/>
            <w:bottom w:val="none" w:sz="0" w:space="0"/>
            <w:right w:val="none" w:sz="0" w:space="0"/>
          </w:pgBorders>
          <w:pgNumType w:fmt="decimal"/>
          <w:cols w:space="720" w:num="1"/>
          <w:docGrid w:linePitch="380" w:charSpace="-5735"/>
        </w:sectPr>
      </w:pPr>
    </w:p>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zh-CN" w:eastAsia="zh-CN" w:bidi="ar-SA"/>
        </w:rPr>
      </w:pPr>
      <w:r>
        <w:rPr>
          <w:rFonts w:hint="default" w:ascii="Times New Roman" w:hAnsi="Times New Roman" w:eastAsia="黑体" w:cs="Times New Roman"/>
          <w:b w:val="0"/>
          <w:bCs/>
          <w:color w:val="auto"/>
          <w:kern w:val="2"/>
          <w:sz w:val="24"/>
          <w:szCs w:val="24"/>
          <w:lang w:val="zh-CN" w:eastAsia="zh-CN" w:bidi="ar-SA"/>
        </w:rPr>
        <w:t>表</w:t>
      </w:r>
      <w:r>
        <w:rPr>
          <w:rFonts w:hint="default" w:ascii="Times New Roman" w:hAnsi="Times New Roman" w:eastAsia="黑体" w:cs="Times New Roman"/>
          <w:b w:val="0"/>
          <w:bCs/>
          <w:color w:val="auto"/>
          <w:kern w:val="2"/>
          <w:sz w:val="24"/>
          <w:szCs w:val="24"/>
          <w:lang w:val="en-US" w:eastAsia="zh-CN" w:bidi="ar-SA"/>
        </w:rPr>
        <w:t>6.2-11</w:t>
      </w:r>
      <w:r>
        <w:rPr>
          <w:rFonts w:hint="default" w:ascii="Times New Roman" w:hAnsi="Times New Roman" w:eastAsia="黑体" w:cs="Times New Roman"/>
          <w:b w:val="0"/>
          <w:bCs/>
          <w:color w:val="auto"/>
          <w:kern w:val="2"/>
          <w:sz w:val="24"/>
          <w:szCs w:val="24"/>
          <w:lang w:val="zh-CN" w:eastAsia="zh-CN" w:bidi="ar-SA"/>
        </w:rPr>
        <w:t>建设项目环境敏感特征表</w:t>
      </w:r>
    </w:p>
    <w:tbl>
      <w:tblPr>
        <w:tblStyle w:val="90"/>
        <w:tblpPr w:leftFromText="181" w:rightFromText="181" w:vertAnchor="text" w:horzAnchor="page" w:tblpX="1566" w:tblpY="1"/>
        <w:tblOverlap w:val="never"/>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4"/>
        <w:gridCol w:w="890"/>
        <w:gridCol w:w="1823"/>
        <w:gridCol w:w="1234"/>
        <w:gridCol w:w="53"/>
        <w:gridCol w:w="439"/>
        <w:gridCol w:w="666"/>
        <w:gridCol w:w="128"/>
        <w:gridCol w:w="124"/>
        <w:gridCol w:w="671"/>
        <w:gridCol w:w="201"/>
        <w:gridCol w:w="528"/>
        <w:gridCol w:w="181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714" w:type="dxa"/>
            <w:tcBorders>
              <w:lef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类别</w:t>
            </w:r>
          </w:p>
        </w:tc>
        <w:tc>
          <w:tcPr>
            <w:tcW w:w="8572" w:type="dxa"/>
            <w:gridSpan w:val="12"/>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环境敏感特征</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714" w:type="dxa"/>
            <w:vMerge w:val="restart"/>
            <w:tcBorders>
              <w:lef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环境空气</w:t>
            </w:r>
          </w:p>
        </w:tc>
        <w:tc>
          <w:tcPr>
            <w:tcW w:w="8572" w:type="dxa"/>
            <w:gridSpan w:val="12"/>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厂址周边 5km 范围内</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vMerge w:val="continue"/>
            <w:tcBorders>
              <w:left w:val="single" w:color="auto" w:sz="4" w:space="0"/>
            </w:tcBorders>
            <w:noWrap w:val="0"/>
          </w:tcPr>
          <w:p/>
        </w:tc>
        <w:tc>
          <w:tcPr>
            <w:tcW w:w="8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序号</w:t>
            </w:r>
          </w:p>
        </w:tc>
        <w:tc>
          <w:tcPr>
            <w:tcW w:w="18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敏感目标名称</w:t>
            </w:r>
          </w:p>
        </w:tc>
        <w:tc>
          <w:tcPr>
            <w:tcW w:w="123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相对方位</w:t>
            </w:r>
          </w:p>
        </w:tc>
        <w:tc>
          <w:tcPr>
            <w:tcW w:w="1158" w:type="dxa"/>
            <w:gridSpan w:val="3"/>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距离/m</w:t>
            </w:r>
          </w:p>
        </w:tc>
        <w:tc>
          <w:tcPr>
            <w:tcW w:w="1124" w:type="dxa"/>
            <w:gridSpan w:val="4"/>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属性</w:t>
            </w:r>
          </w:p>
        </w:tc>
        <w:tc>
          <w:tcPr>
            <w:tcW w:w="2343" w:type="dxa"/>
            <w:gridSpan w:val="2"/>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人口数/人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vMerge w:val="continue"/>
            <w:tcBorders>
              <w:left w:val="single" w:color="auto" w:sz="4" w:space="0"/>
            </w:tcBorders>
            <w:noWrap w:val="0"/>
          </w:tcPr>
          <w:p/>
        </w:tc>
        <w:tc>
          <w:tcPr>
            <w:tcW w:w="6229" w:type="dxa"/>
            <w:gridSpan w:val="10"/>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1"/>
                <w:lang w:val="en-US" w:eastAsia="zh-CN" w:bidi="ar-SA"/>
              </w:rPr>
              <w:t>厂址周边 500 m 范围内人口数小计</w:t>
            </w:r>
          </w:p>
        </w:tc>
        <w:tc>
          <w:tcPr>
            <w:tcW w:w="2343" w:type="dxa"/>
            <w:gridSpan w:val="2"/>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350</w:t>
            </w:r>
            <w:r>
              <w:rPr>
                <w:rFonts w:hint="default" w:ascii="Times New Roman" w:hAnsi="Times New Roman" w:eastAsia="宋体" w:cs="Times New Roman"/>
                <w:color w:val="auto"/>
                <w:kern w:val="2"/>
                <w:sz w:val="21"/>
                <w:szCs w:val="21"/>
                <w:lang w:val="en-US" w:eastAsia="zh-CN" w:bidi="ar-SA"/>
              </w:rPr>
              <w:t>人（企业员工）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vMerge w:val="continue"/>
            <w:tcBorders>
              <w:left w:val="single" w:color="auto" w:sz="4" w:space="0"/>
            </w:tcBorders>
            <w:noWrap w:val="0"/>
          </w:tcPr>
          <w:p/>
        </w:tc>
        <w:tc>
          <w:tcPr>
            <w:tcW w:w="6229" w:type="dxa"/>
            <w:gridSpan w:val="10"/>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厂址周边 5 km 范围内人口数小计</w:t>
            </w:r>
          </w:p>
        </w:tc>
        <w:tc>
          <w:tcPr>
            <w:tcW w:w="2343" w:type="dxa"/>
            <w:gridSpan w:val="2"/>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大于1万人小于5万人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vMerge w:val="continue"/>
            <w:tcBorders>
              <w:left w:val="single" w:color="auto" w:sz="4" w:space="0"/>
            </w:tcBorders>
            <w:noWrap w:val="0"/>
          </w:tcPr>
          <w:p/>
        </w:tc>
        <w:tc>
          <w:tcPr>
            <w:tcW w:w="6229" w:type="dxa"/>
            <w:gridSpan w:val="10"/>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大气环境敏感程度E 值</w:t>
            </w:r>
          </w:p>
        </w:tc>
        <w:tc>
          <w:tcPr>
            <w:tcW w:w="2343" w:type="dxa"/>
            <w:gridSpan w:val="2"/>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E</w:t>
            </w:r>
            <w:r>
              <w:rPr>
                <w:rFonts w:hint="eastAsia" w:ascii="Times New Roman" w:hAnsi="Times New Roman" w:eastAsia="宋体" w:cs="Times New Roman"/>
                <w:color w:val="auto"/>
                <w:kern w:val="2"/>
                <w:sz w:val="21"/>
                <w:szCs w:val="21"/>
                <w:lang w:val="en-US" w:eastAsia="zh-CN" w:bidi="ar-SA"/>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714" w:type="dxa"/>
            <w:vMerge w:val="restart"/>
            <w:tcBorders>
              <w:lef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地表水</w:t>
            </w:r>
          </w:p>
        </w:tc>
        <w:tc>
          <w:tcPr>
            <w:tcW w:w="8572" w:type="dxa"/>
            <w:gridSpan w:val="12"/>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受纳水体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vMerge w:val="continue"/>
            <w:tcBorders>
              <w:left w:val="single" w:color="auto" w:sz="4" w:space="0"/>
            </w:tcBorders>
            <w:noWrap w:val="0"/>
          </w:tcPr>
          <w:p/>
        </w:tc>
        <w:tc>
          <w:tcPr>
            <w:tcW w:w="8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序号</w:t>
            </w:r>
          </w:p>
        </w:tc>
        <w:tc>
          <w:tcPr>
            <w:tcW w:w="18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受纳水体名称</w:t>
            </w:r>
          </w:p>
        </w:tc>
        <w:tc>
          <w:tcPr>
            <w:tcW w:w="2644" w:type="dxa"/>
            <w:gridSpan w:val="6"/>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排放点水域环境功能</w:t>
            </w:r>
          </w:p>
        </w:tc>
        <w:tc>
          <w:tcPr>
            <w:tcW w:w="3215" w:type="dxa"/>
            <w:gridSpan w:val="4"/>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24 h 内流经范围/km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vMerge w:val="continue"/>
            <w:tcBorders>
              <w:left w:val="single" w:color="auto" w:sz="4" w:space="0"/>
            </w:tcBorders>
            <w:noWrap w:val="0"/>
          </w:tcPr>
          <w:p/>
        </w:tc>
        <w:tc>
          <w:tcPr>
            <w:tcW w:w="8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w:t>
            </w:r>
          </w:p>
        </w:tc>
        <w:tc>
          <w:tcPr>
            <w:tcW w:w="18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兴化湾</w:t>
            </w:r>
          </w:p>
        </w:tc>
        <w:tc>
          <w:tcPr>
            <w:tcW w:w="2644" w:type="dxa"/>
            <w:gridSpan w:val="6"/>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二类功能区</w:t>
            </w:r>
          </w:p>
        </w:tc>
        <w:tc>
          <w:tcPr>
            <w:tcW w:w="3215" w:type="dxa"/>
            <w:gridSpan w:val="4"/>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0000FF"/>
                <w:kern w:val="2"/>
                <w:sz w:val="21"/>
                <w:szCs w:val="21"/>
                <w:lang w:val="en-US" w:eastAsia="zh-CN" w:bidi="ar-SA"/>
              </w:rPr>
            </w:pPr>
            <w:r>
              <w:rPr>
                <w:rFonts w:hint="eastAsia" w:ascii="Times New Roman" w:hAnsi="Times New Roman" w:eastAsia="宋体" w:cs="Times New Roman"/>
                <w:color w:val="0000FF"/>
                <w:kern w:val="2"/>
                <w:sz w:val="21"/>
                <w:szCs w:val="21"/>
                <w:lang w:val="en-US" w:eastAsia="zh-CN" w:bidi="ar-S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vMerge w:val="continue"/>
            <w:tcBorders>
              <w:left w:val="single" w:color="auto" w:sz="4" w:space="0"/>
            </w:tcBorders>
            <w:noWrap w:val="0"/>
          </w:tcPr>
          <w:p/>
        </w:tc>
        <w:tc>
          <w:tcPr>
            <w:tcW w:w="8572" w:type="dxa"/>
            <w:gridSpan w:val="12"/>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内陆水体排放点下游10 km（近岸海域一个潮周期最大水平距离两倍）范围内敏感目标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vMerge w:val="continue"/>
            <w:tcBorders>
              <w:left w:val="single" w:color="auto" w:sz="4" w:space="0"/>
            </w:tcBorders>
            <w:noWrap w:val="0"/>
          </w:tcPr>
          <w:p/>
        </w:tc>
        <w:tc>
          <w:tcPr>
            <w:tcW w:w="8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序号</w:t>
            </w:r>
          </w:p>
        </w:tc>
        <w:tc>
          <w:tcPr>
            <w:tcW w:w="18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敏感目标名称</w:t>
            </w:r>
          </w:p>
        </w:tc>
        <w:tc>
          <w:tcPr>
            <w:tcW w:w="1726" w:type="dxa"/>
            <w:gridSpan w:val="3"/>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环境敏感特征</w:t>
            </w:r>
          </w:p>
        </w:tc>
        <w:tc>
          <w:tcPr>
            <w:tcW w:w="1589" w:type="dxa"/>
            <w:gridSpan w:val="4"/>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水质目标</w:t>
            </w:r>
          </w:p>
        </w:tc>
        <w:tc>
          <w:tcPr>
            <w:tcW w:w="2544" w:type="dxa"/>
            <w:gridSpan w:val="3"/>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与排放点距离/m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vMerge w:val="continue"/>
            <w:tcBorders>
              <w:left w:val="single" w:color="auto" w:sz="4" w:space="0"/>
            </w:tcBorders>
            <w:noWrap w:val="0"/>
          </w:tcPr>
          <w:p/>
        </w:tc>
        <w:tc>
          <w:tcPr>
            <w:tcW w:w="8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w:t>
            </w:r>
          </w:p>
        </w:tc>
        <w:tc>
          <w:tcPr>
            <w:tcW w:w="18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eastAsia" w:ascii="Times New Roman" w:hAnsi="Times New Roman" w:eastAsia="宋体" w:cs="Times New Roman"/>
                <w:color w:val="auto"/>
                <w:kern w:val="2"/>
                <w:sz w:val="21"/>
                <w:szCs w:val="21"/>
                <w:lang w:val="en-US" w:eastAsia="zh-CN" w:bidi="ar-SA"/>
              </w:rPr>
            </w:pPr>
          </w:p>
        </w:tc>
        <w:tc>
          <w:tcPr>
            <w:tcW w:w="1726" w:type="dxa"/>
            <w:gridSpan w:val="3"/>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p>
        </w:tc>
        <w:tc>
          <w:tcPr>
            <w:tcW w:w="1589" w:type="dxa"/>
            <w:gridSpan w:val="4"/>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p>
        </w:tc>
        <w:tc>
          <w:tcPr>
            <w:tcW w:w="2544" w:type="dxa"/>
            <w:gridSpan w:val="3"/>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vMerge w:val="continue"/>
            <w:tcBorders>
              <w:left w:val="single" w:color="auto" w:sz="4" w:space="0"/>
            </w:tcBorders>
            <w:noWrap w:val="0"/>
          </w:tcPr>
          <w:p/>
        </w:tc>
        <w:tc>
          <w:tcPr>
            <w:tcW w:w="6757" w:type="dxa"/>
            <w:gridSpan w:val="11"/>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地表水环境敏感程度E 值</w:t>
            </w:r>
          </w:p>
        </w:tc>
        <w:tc>
          <w:tcPr>
            <w:tcW w:w="1815"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E</w:t>
            </w:r>
            <w:r>
              <w:rPr>
                <w:rFonts w:hint="eastAsia" w:ascii="Times New Roman" w:hAnsi="Times New Roman" w:eastAsia="宋体" w:cs="Times New Roman"/>
                <w:color w:val="auto"/>
                <w:kern w:val="2"/>
                <w:sz w:val="21"/>
                <w:szCs w:val="21"/>
                <w:lang w:val="en-US" w:eastAsia="zh-CN" w:bidi="ar-SA"/>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714" w:type="dxa"/>
            <w:vMerge w:val="restart"/>
            <w:tcBorders>
              <w:lef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地下水</w:t>
            </w:r>
          </w:p>
        </w:tc>
        <w:tc>
          <w:tcPr>
            <w:tcW w:w="8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序号</w:t>
            </w:r>
          </w:p>
        </w:tc>
        <w:tc>
          <w:tcPr>
            <w:tcW w:w="18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环境敏感区名称</w:t>
            </w:r>
          </w:p>
        </w:tc>
        <w:tc>
          <w:tcPr>
            <w:tcW w:w="1287"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环境敏感特征</w:t>
            </w:r>
          </w:p>
        </w:tc>
        <w:tc>
          <w:tcPr>
            <w:tcW w:w="1233" w:type="dxa"/>
            <w:gridSpan w:val="3"/>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水质目标</w:t>
            </w:r>
          </w:p>
        </w:tc>
        <w:tc>
          <w:tcPr>
            <w:tcW w:w="1524" w:type="dxa"/>
            <w:gridSpan w:val="4"/>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包气带防污性能</w:t>
            </w:r>
          </w:p>
        </w:tc>
        <w:tc>
          <w:tcPr>
            <w:tcW w:w="1815"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与下游厂界距离/m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vMerge w:val="continue"/>
            <w:tcBorders>
              <w:left w:val="single" w:color="auto" w:sz="4" w:space="0"/>
            </w:tcBorders>
            <w:noWrap w:val="0"/>
          </w:tcPr>
          <w:p/>
        </w:tc>
        <w:tc>
          <w:tcPr>
            <w:tcW w:w="8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w:t>
            </w:r>
          </w:p>
        </w:tc>
        <w:tc>
          <w:tcPr>
            <w:tcW w:w="18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水文地质单元</w:t>
            </w:r>
          </w:p>
        </w:tc>
        <w:tc>
          <w:tcPr>
            <w:tcW w:w="1287"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G3</w:t>
            </w:r>
          </w:p>
        </w:tc>
        <w:tc>
          <w:tcPr>
            <w:tcW w:w="1233" w:type="dxa"/>
            <w:gridSpan w:val="3"/>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Ⅲ类</w:t>
            </w:r>
          </w:p>
        </w:tc>
        <w:tc>
          <w:tcPr>
            <w:tcW w:w="1524" w:type="dxa"/>
            <w:gridSpan w:val="4"/>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D2</w:t>
            </w:r>
          </w:p>
        </w:tc>
        <w:tc>
          <w:tcPr>
            <w:tcW w:w="1815"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vMerge w:val="continue"/>
            <w:tcBorders>
              <w:left w:val="single" w:color="auto" w:sz="4" w:space="0"/>
            </w:tcBorders>
            <w:noWrap w:val="0"/>
          </w:tcPr>
          <w:p/>
        </w:tc>
        <w:tc>
          <w:tcPr>
            <w:tcW w:w="6757" w:type="dxa"/>
            <w:gridSpan w:val="11"/>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地下水环境敏感程度E 值</w:t>
            </w:r>
          </w:p>
        </w:tc>
        <w:tc>
          <w:tcPr>
            <w:tcW w:w="1815"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E3</w:t>
            </w:r>
          </w:p>
        </w:tc>
      </w:tr>
    </w:tbl>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val="0"/>
          <w:bCs/>
          <w:color w:val="auto"/>
          <w:kern w:val="0"/>
          <w:sz w:val="30"/>
          <w:szCs w:val="30"/>
          <w:lang w:val="en-US" w:eastAsia="zh-CN" w:bidi="ar-SA"/>
        </w:rPr>
      </w:pPr>
      <w:bookmarkStart w:id="324" w:name="_Hlk29653074"/>
      <w:r>
        <w:rPr>
          <w:rFonts w:hint="default" w:ascii="Times New Roman" w:hAnsi="Times New Roman" w:eastAsia="黑体" w:cs="Times New Roman"/>
          <w:b w:val="0"/>
          <w:bCs/>
          <w:color w:val="auto"/>
          <w:kern w:val="0"/>
          <w:sz w:val="30"/>
          <w:szCs w:val="30"/>
          <w:lang w:val="en-US" w:eastAsia="zh-CN" w:bidi="ar-SA"/>
        </w:rPr>
        <w:t>6.2.5环境风险潜势</w:t>
      </w:r>
    </w:p>
    <w:bookmarkEnd w:id="324"/>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建设项目环境风险潜势划分为</w:t>
      </w:r>
      <w:r>
        <w:rPr>
          <w:rFonts w:hint="default" w:ascii="Times New Roman" w:hAnsi="Times New Roman" w:eastAsia="宋体" w:cs="Times New Roman"/>
          <w:bCs/>
          <w:snapToGrid w:val="0"/>
          <w:color w:val="auto"/>
          <w:kern w:val="0"/>
          <w:sz w:val="24"/>
          <w:szCs w:val="21"/>
          <w:lang w:val="en-US" w:eastAsia="zh-CN" w:bidi="ar-SA"/>
        </w:rPr>
        <w:fldChar w:fldCharType="begin"/>
      </w:r>
      <w:r>
        <w:rPr>
          <w:rFonts w:hint="default" w:ascii="Times New Roman" w:hAnsi="Times New Roman" w:eastAsia="宋体" w:cs="Times New Roman"/>
          <w:bCs/>
          <w:snapToGrid w:val="0"/>
          <w:color w:val="auto"/>
          <w:kern w:val="0"/>
          <w:sz w:val="24"/>
          <w:szCs w:val="21"/>
          <w:lang w:val="en-US" w:eastAsia="zh-CN" w:bidi="ar-SA"/>
        </w:rPr>
        <w:instrText xml:space="preserve"> = 1 \* ROMAN </w:instrText>
      </w:r>
      <w:r>
        <w:rPr>
          <w:rFonts w:hint="default" w:ascii="Times New Roman" w:hAnsi="Times New Roman" w:eastAsia="宋体" w:cs="Times New Roman"/>
          <w:bCs/>
          <w:snapToGrid w:val="0"/>
          <w:color w:val="auto"/>
          <w:kern w:val="0"/>
          <w:sz w:val="24"/>
          <w:szCs w:val="21"/>
          <w:lang w:val="en-US" w:eastAsia="zh-CN" w:bidi="ar-SA"/>
        </w:rPr>
        <w:fldChar w:fldCharType="separate"/>
      </w:r>
      <w:r>
        <w:rPr>
          <w:rFonts w:hint="default" w:ascii="Times New Roman" w:hAnsi="Times New Roman" w:eastAsia="宋体" w:cs="Times New Roman"/>
          <w:bCs/>
          <w:snapToGrid w:val="0"/>
          <w:color w:val="auto"/>
          <w:kern w:val="0"/>
          <w:sz w:val="24"/>
          <w:szCs w:val="21"/>
          <w:lang w:val="en-US" w:eastAsia="zh-CN" w:bidi="ar-SA"/>
        </w:rPr>
        <w:t>I</w:t>
      </w:r>
      <w:r>
        <w:rPr>
          <w:rFonts w:hint="default" w:ascii="Times New Roman" w:hAnsi="Times New Roman" w:eastAsia="宋体" w:cs="Times New Roman"/>
          <w:snapToGrid w:val="0"/>
          <w:color w:val="auto"/>
          <w:kern w:val="0"/>
          <w:sz w:val="24"/>
          <w:szCs w:val="21"/>
          <w:lang w:val="en-US" w:eastAsia="zh-CN" w:bidi="ar-SA"/>
        </w:rPr>
        <w:fldChar w:fldCharType="end"/>
      </w:r>
      <w:r>
        <w:rPr>
          <w:rFonts w:hint="default" w:ascii="Times New Roman" w:hAnsi="Times New Roman" w:eastAsia="宋体" w:cs="Times New Roman"/>
          <w:bCs/>
          <w:snapToGrid w:val="0"/>
          <w:color w:val="auto"/>
          <w:kern w:val="0"/>
          <w:sz w:val="24"/>
          <w:szCs w:val="21"/>
          <w:lang w:val="en-US" w:eastAsia="zh-CN" w:bidi="ar-SA"/>
        </w:rPr>
        <w:t>、</w:t>
      </w:r>
      <w:r>
        <w:rPr>
          <w:rFonts w:hint="default" w:ascii="Times New Roman" w:hAnsi="Times New Roman" w:eastAsia="宋体" w:cs="Times New Roman"/>
          <w:bCs/>
          <w:snapToGrid w:val="0"/>
          <w:color w:val="auto"/>
          <w:kern w:val="0"/>
          <w:sz w:val="24"/>
          <w:szCs w:val="21"/>
          <w:lang w:val="en-US" w:eastAsia="zh-CN" w:bidi="ar-SA"/>
        </w:rPr>
        <w:fldChar w:fldCharType="begin"/>
      </w:r>
      <w:r>
        <w:rPr>
          <w:rFonts w:hint="default" w:ascii="Times New Roman" w:hAnsi="Times New Roman" w:eastAsia="宋体" w:cs="Times New Roman"/>
          <w:bCs/>
          <w:snapToGrid w:val="0"/>
          <w:color w:val="auto"/>
          <w:kern w:val="0"/>
          <w:sz w:val="24"/>
          <w:szCs w:val="21"/>
          <w:lang w:val="en-US" w:eastAsia="zh-CN" w:bidi="ar-SA"/>
        </w:rPr>
        <w:instrText xml:space="preserve"> = 2 \* ROMAN </w:instrText>
      </w:r>
      <w:r>
        <w:rPr>
          <w:rFonts w:hint="default" w:ascii="Times New Roman" w:hAnsi="Times New Roman" w:eastAsia="宋体" w:cs="Times New Roman"/>
          <w:bCs/>
          <w:snapToGrid w:val="0"/>
          <w:color w:val="auto"/>
          <w:kern w:val="0"/>
          <w:sz w:val="24"/>
          <w:szCs w:val="21"/>
          <w:lang w:val="en-US" w:eastAsia="zh-CN" w:bidi="ar-SA"/>
        </w:rPr>
        <w:fldChar w:fldCharType="separate"/>
      </w:r>
      <w:r>
        <w:rPr>
          <w:rFonts w:hint="default" w:ascii="Times New Roman" w:hAnsi="Times New Roman" w:eastAsia="宋体" w:cs="Times New Roman"/>
          <w:bCs/>
          <w:snapToGrid w:val="0"/>
          <w:color w:val="auto"/>
          <w:kern w:val="0"/>
          <w:sz w:val="24"/>
          <w:szCs w:val="21"/>
          <w:lang w:val="en-US" w:eastAsia="zh-CN" w:bidi="ar-SA"/>
        </w:rPr>
        <w:t>II</w:t>
      </w:r>
      <w:r>
        <w:rPr>
          <w:rFonts w:hint="default" w:ascii="Times New Roman" w:hAnsi="Times New Roman" w:eastAsia="宋体" w:cs="Times New Roman"/>
          <w:snapToGrid w:val="0"/>
          <w:color w:val="auto"/>
          <w:kern w:val="0"/>
          <w:sz w:val="24"/>
          <w:szCs w:val="21"/>
          <w:lang w:val="en-US" w:eastAsia="zh-CN" w:bidi="ar-SA"/>
        </w:rPr>
        <w:fldChar w:fldCharType="end"/>
      </w:r>
      <w:r>
        <w:rPr>
          <w:rFonts w:hint="default" w:ascii="Times New Roman" w:hAnsi="Times New Roman" w:eastAsia="宋体" w:cs="Times New Roman"/>
          <w:bCs/>
          <w:snapToGrid w:val="0"/>
          <w:color w:val="auto"/>
          <w:kern w:val="0"/>
          <w:sz w:val="24"/>
          <w:szCs w:val="21"/>
          <w:lang w:val="en-US" w:eastAsia="zh-CN" w:bidi="ar-SA"/>
        </w:rPr>
        <w:t>、</w:t>
      </w:r>
      <w:r>
        <w:rPr>
          <w:rFonts w:hint="default" w:ascii="Times New Roman" w:hAnsi="Times New Roman" w:eastAsia="宋体" w:cs="Times New Roman"/>
          <w:bCs/>
          <w:snapToGrid w:val="0"/>
          <w:color w:val="auto"/>
          <w:kern w:val="0"/>
          <w:sz w:val="24"/>
          <w:szCs w:val="21"/>
          <w:lang w:val="en-US" w:eastAsia="zh-CN" w:bidi="ar-SA"/>
        </w:rPr>
        <w:fldChar w:fldCharType="begin"/>
      </w:r>
      <w:r>
        <w:rPr>
          <w:rFonts w:hint="default" w:ascii="Times New Roman" w:hAnsi="Times New Roman" w:eastAsia="宋体" w:cs="Times New Roman"/>
          <w:bCs/>
          <w:snapToGrid w:val="0"/>
          <w:color w:val="auto"/>
          <w:kern w:val="0"/>
          <w:sz w:val="24"/>
          <w:szCs w:val="21"/>
          <w:lang w:val="en-US" w:eastAsia="zh-CN" w:bidi="ar-SA"/>
        </w:rPr>
        <w:instrText xml:space="preserve"> = 3 \* ROMAN </w:instrText>
      </w:r>
      <w:r>
        <w:rPr>
          <w:rFonts w:hint="default" w:ascii="Times New Roman" w:hAnsi="Times New Roman" w:eastAsia="宋体" w:cs="Times New Roman"/>
          <w:bCs/>
          <w:snapToGrid w:val="0"/>
          <w:color w:val="auto"/>
          <w:kern w:val="0"/>
          <w:sz w:val="24"/>
          <w:szCs w:val="21"/>
          <w:lang w:val="en-US" w:eastAsia="zh-CN" w:bidi="ar-SA"/>
        </w:rPr>
        <w:fldChar w:fldCharType="separate"/>
      </w:r>
      <w:r>
        <w:rPr>
          <w:rFonts w:hint="default" w:ascii="Times New Roman" w:hAnsi="Times New Roman" w:eastAsia="宋体" w:cs="Times New Roman"/>
          <w:bCs/>
          <w:snapToGrid w:val="0"/>
          <w:color w:val="auto"/>
          <w:kern w:val="0"/>
          <w:sz w:val="24"/>
          <w:szCs w:val="21"/>
          <w:lang w:val="en-US" w:eastAsia="zh-CN" w:bidi="ar-SA"/>
        </w:rPr>
        <w:t>III</w:t>
      </w:r>
      <w:r>
        <w:rPr>
          <w:rFonts w:hint="default" w:ascii="Times New Roman" w:hAnsi="Times New Roman" w:eastAsia="宋体" w:cs="Times New Roman"/>
          <w:snapToGrid w:val="0"/>
          <w:color w:val="auto"/>
          <w:kern w:val="0"/>
          <w:sz w:val="24"/>
          <w:szCs w:val="21"/>
          <w:lang w:val="en-US" w:eastAsia="zh-CN" w:bidi="ar-SA"/>
        </w:rPr>
        <w:fldChar w:fldCharType="end"/>
      </w:r>
      <w:r>
        <w:rPr>
          <w:rFonts w:hint="default" w:ascii="Times New Roman" w:hAnsi="Times New Roman" w:eastAsia="宋体" w:cs="Times New Roman"/>
          <w:bCs/>
          <w:snapToGrid w:val="0"/>
          <w:color w:val="auto"/>
          <w:kern w:val="0"/>
          <w:sz w:val="24"/>
          <w:szCs w:val="21"/>
          <w:lang w:val="en-US" w:eastAsia="zh-CN" w:bidi="ar-SA"/>
        </w:rPr>
        <w:t>、</w:t>
      </w:r>
      <w:r>
        <w:rPr>
          <w:rFonts w:hint="default" w:ascii="Times New Roman" w:hAnsi="Times New Roman" w:eastAsia="宋体" w:cs="Times New Roman"/>
          <w:bCs/>
          <w:snapToGrid w:val="0"/>
          <w:color w:val="auto"/>
          <w:kern w:val="0"/>
          <w:sz w:val="24"/>
          <w:szCs w:val="21"/>
          <w:lang w:val="en-US" w:eastAsia="zh-CN" w:bidi="ar-SA"/>
        </w:rPr>
        <w:fldChar w:fldCharType="begin"/>
      </w:r>
      <w:r>
        <w:rPr>
          <w:rFonts w:hint="default" w:ascii="Times New Roman" w:hAnsi="Times New Roman" w:eastAsia="宋体" w:cs="Times New Roman"/>
          <w:bCs/>
          <w:snapToGrid w:val="0"/>
          <w:color w:val="auto"/>
          <w:kern w:val="0"/>
          <w:sz w:val="24"/>
          <w:szCs w:val="21"/>
          <w:lang w:val="en-US" w:eastAsia="zh-CN" w:bidi="ar-SA"/>
        </w:rPr>
        <w:instrText xml:space="preserve"> = 4 \* ROMAN </w:instrText>
      </w:r>
      <w:r>
        <w:rPr>
          <w:rFonts w:hint="default" w:ascii="Times New Roman" w:hAnsi="Times New Roman" w:eastAsia="宋体" w:cs="Times New Roman"/>
          <w:bCs/>
          <w:snapToGrid w:val="0"/>
          <w:color w:val="auto"/>
          <w:kern w:val="0"/>
          <w:sz w:val="24"/>
          <w:szCs w:val="21"/>
          <w:lang w:val="en-US" w:eastAsia="zh-CN" w:bidi="ar-SA"/>
        </w:rPr>
        <w:fldChar w:fldCharType="separate"/>
      </w:r>
      <w:r>
        <w:rPr>
          <w:rFonts w:hint="default" w:ascii="Times New Roman" w:hAnsi="Times New Roman" w:eastAsia="宋体" w:cs="Times New Roman"/>
          <w:bCs/>
          <w:snapToGrid w:val="0"/>
          <w:color w:val="auto"/>
          <w:kern w:val="0"/>
          <w:sz w:val="24"/>
          <w:szCs w:val="21"/>
          <w:lang w:val="en-US" w:eastAsia="zh-CN" w:bidi="ar-SA"/>
        </w:rPr>
        <w:t>IV</w:t>
      </w:r>
      <w:r>
        <w:rPr>
          <w:rFonts w:hint="default" w:ascii="Times New Roman" w:hAnsi="Times New Roman" w:eastAsia="宋体" w:cs="Times New Roman"/>
          <w:snapToGrid w:val="0"/>
          <w:color w:val="auto"/>
          <w:kern w:val="0"/>
          <w:sz w:val="24"/>
          <w:szCs w:val="21"/>
          <w:lang w:val="en-US" w:eastAsia="zh-CN" w:bidi="ar-SA"/>
        </w:rPr>
        <w:fldChar w:fldCharType="end"/>
      </w:r>
      <w:r>
        <w:rPr>
          <w:rFonts w:hint="default" w:ascii="Times New Roman" w:hAnsi="Times New Roman" w:eastAsia="宋体" w:cs="Times New Roman"/>
          <w:bCs/>
          <w:snapToGrid w:val="0"/>
          <w:color w:val="auto"/>
          <w:kern w:val="0"/>
          <w:sz w:val="24"/>
          <w:szCs w:val="21"/>
          <w:lang w:val="en-US" w:eastAsia="zh-CN" w:bidi="ar-SA"/>
        </w:rPr>
        <w:t>/</w:t>
      </w:r>
      <w:r>
        <w:rPr>
          <w:rFonts w:hint="default" w:ascii="Times New Roman" w:hAnsi="Times New Roman" w:eastAsia="宋体" w:cs="Times New Roman"/>
          <w:bCs/>
          <w:snapToGrid w:val="0"/>
          <w:color w:val="auto"/>
          <w:kern w:val="0"/>
          <w:sz w:val="24"/>
          <w:szCs w:val="21"/>
          <w:lang w:val="en-US" w:eastAsia="zh-CN" w:bidi="ar-SA"/>
        </w:rPr>
        <w:fldChar w:fldCharType="begin"/>
      </w:r>
      <w:r>
        <w:rPr>
          <w:rFonts w:hint="default" w:ascii="Times New Roman" w:hAnsi="Times New Roman" w:eastAsia="宋体" w:cs="Times New Roman"/>
          <w:bCs/>
          <w:snapToGrid w:val="0"/>
          <w:color w:val="auto"/>
          <w:kern w:val="0"/>
          <w:sz w:val="24"/>
          <w:szCs w:val="21"/>
          <w:lang w:val="en-US" w:eastAsia="zh-CN" w:bidi="ar-SA"/>
        </w:rPr>
        <w:instrText xml:space="preserve"> = 4 \* ROMAN </w:instrText>
      </w:r>
      <w:r>
        <w:rPr>
          <w:rFonts w:hint="default" w:ascii="Times New Roman" w:hAnsi="Times New Roman" w:eastAsia="宋体" w:cs="Times New Roman"/>
          <w:bCs/>
          <w:snapToGrid w:val="0"/>
          <w:color w:val="auto"/>
          <w:kern w:val="0"/>
          <w:sz w:val="24"/>
          <w:szCs w:val="21"/>
          <w:lang w:val="en-US" w:eastAsia="zh-CN" w:bidi="ar-SA"/>
        </w:rPr>
        <w:fldChar w:fldCharType="separate"/>
      </w:r>
      <w:r>
        <w:rPr>
          <w:rFonts w:hint="default" w:ascii="Times New Roman" w:hAnsi="Times New Roman" w:eastAsia="宋体" w:cs="Times New Roman"/>
          <w:bCs/>
          <w:snapToGrid w:val="0"/>
          <w:color w:val="auto"/>
          <w:kern w:val="0"/>
          <w:sz w:val="24"/>
          <w:szCs w:val="21"/>
          <w:lang w:val="en-US" w:eastAsia="zh-CN" w:bidi="ar-SA"/>
        </w:rPr>
        <w:t>IV</w:t>
      </w:r>
      <w:r>
        <w:rPr>
          <w:rFonts w:hint="default" w:ascii="Times New Roman" w:hAnsi="Times New Roman" w:eastAsia="宋体" w:cs="Times New Roman"/>
          <w:snapToGrid w:val="0"/>
          <w:color w:val="auto"/>
          <w:kern w:val="0"/>
          <w:sz w:val="24"/>
          <w:szCs w:val="21"/>
          <w:lang w:val="en-US" w:eastAsia="zh-CN" w:bidi="ar-SA"/>
        </w:rPr>
        <w:fldChar w:fldCharType="end"/>
      </w:r>
      <w:r>
        <w:rPr>
          <w:rFonts w:hint="default" w:ascii="Times New Roman" w:hAnsi="Times New Roman" w:eastAsia="宋体" w:cs="Times New Roman"/>
          <w:bCs/>
          <w:snapToGrid w:val="0"/>
          <w:color w:val="auto"/>
          <w:kern w:val="0"/>
          <w:sz w:val="24"/>
          <w:szCs w:val="21"/>
          <w:vertAlign w:val="superscript"/>
          <w:lang w:val="en-US" w:eastAsia="zh-CN" w:bidi="ar-SA"/>
        </w:rPr>
        <w:t>+</w:t>
      </w:r>
      <w:r>
        <w:rPr>
          <w:rFonts w:hint="default" w:ascii="Times New Roman" w:hAnsi="Times New Roman" w:eastAsia="宋体" w:cs="Times New Roman"/>
          <w:bCs/>
          <w:snapToGrid w:val="0"/>
          <w:color w:val="auto"/>
          <w:kern w:val="0"/>
          <w:sz w:val="24"/>
          <w:szCs w:val="21"/>
          <w:lang w:val="en-US" w:eastAsia="zh-CN" w:bidi="ar-SA"/>
        </w:rPr>
        <w:t>级，</w:t>
      </w:r>
      <w:r>
        <w:rPr>
          <w:rFonts w:hint="default" w:ascii="Times New Roman" w:hAnsi="Times New Roman" w:eastAsia="宋体" w:cs="Times New Roman"/>
          <w:snapToGrid w:val="0"/>
          <w:color w:val="auto"/>
          <w:kern w:val="0"/>
          <w:sz w:val="24"/>
          <w:szCs w:val="21"/>
          <w:lang w:val="en-US" w:eastAsia="zh-CN" w:bidi="ar-SA"/>
        </w:rPr>
        <w:t>根据建设项目涉及的物质和工艺系统的危险性及其所在地的环境敏感程度，结合事故情形下环境影响途径，对建设项目潜在环境危害程度进行概化分析，按照表6.2-12确定环境风险潜势。</w:t>
      </w:r>
    </w:p>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zh-CN" w:eastAsia="zh-CN" w:bidi="ar-SA"/>
        </w:rPr>
      </w:pPr>
      <w:r>
        <w:rPr>
          <w:rFonts w:hint="default" w:ascii="Times New Roman" w:hAnsi="Times New Roman" w:eastAsia="黑体" w:cs="Times New Roman"/>
          <w:b w:val="0"/>
          <w:bCs/>
          <w:color w:val="auto"/>
          <w:kern w:val="2"/>
          <w:sz w:val="24"/>
          <w:szCs w:val="24"/>
          <w:lang w:val="zh-CN" w:eastAsia="zh-CN" w:bidi="ar-SA"/>
        </w:rPr>
        <w:t>表</w:t>
      </w:r>
      <w:r>
        <w:rPr>
          <w:rFonts w:hint="default" w:ascii="Times New Roman" w:hAnsi="Times New Roman" w:eastAsia="黑体" w:cs="Times New Roman"/>
          <w:b w:val="0"/>
          <w:bCs/>
          <w:color w:val="auto"/>
          <w:kern w:val="2"/>
          <w:sz w:val="24"/>
          <w:szCs w:val="24"/>
          <w:lang w:val="en-US" w:eastAsia="zh-CN" w:bidi="ar-SA"/>
        </w:rPr>
        <w:t>6</w:t>
      </w:r>
      <w:r>
        <w:rPr>
          <w:rFonts w:hint="default" w:ascii="Times New Roman" w:hAnsi="Times New Roman" w:eastAsia="黑体" w:cs="Times New Roman"/>
          <w:b w:val="0"/>
          <w:bCs/>
          <w:color w:val="auto"/>
          <w:kern w:val="2"/>
          <w:sz w:val="24"/>
          <w:szCs w:val="24"/>
          <w:lang w:val="zh-CN" w:eastAsia="zh-CN" w:bidi="ar-SA"/>
        </w:rPr>
        <w:t>.2</w:t>
      </w:r>
      <w:r>
        <w:rPr>
          <w:rFonts w:hint="default" w:ascii="Times New Roman" w:hAnsi="Times New Roman" w:eastAsia="黑体" w:cs="Times New Roman"/>
          <w:b w:val="0"/>
          <w:bCs/>
          <w:color w:val="auto"/>
          <w:kern w:val="2"/>
          <w:sz w:val="24"/>
          <w:szCs w:val="24"/>
          <w:lang w:val="en-US" w:eastAsia="zh-CN" w:bidi="ar-SA"/>
        </w:rPr>
        <w:t>-</w:t>
      </w:r>
      <w:r>
        <w:rPr>
          <w:rFonts w:hint="default" w:ascii="Times New Roman" w:hAnsi="Times New Roman" w:eastAsia="黑体" w:cs="Times New Roman"/>
          <w:b w:val="0"/>
          <w:bCs/>
          <w:color w:val="auto"/>
          <w:kern w:val="2"/>
          <w:sz w:val="24"/>
          <w:szCs w:val="24"/>
          <w:lang w:val="zh-CN" w:eastAsia="zh-CN" w:bidi="ar-SA"/>
        </w:rPr>
        <w:t>1</w:t>
      </w:r>
      <w:r>
        <w:rPr>
          <w:rFonts w:hint="default" w:ascii="Times New Roman" w:hAnsi="Times New Roman" w:eastAsia="黑体" w:cs="Times New Roman"/>
          <w:b w:val="0"/>
          <w:bCs/>
          <w:color w:val="auto"/>
          <w:kern w:val="2"/>
          <w:sz w:val="24"/>
          <w:szCs w:val="24"/>
          <w:lang w:val="en-US" w:eastAsia="zh-CN" w:bidi="ar-SA"/>
        </w:rPr>
        <w:t>2</w:t>
      </w:r>
      <w:r>
        <w:rPr>
          <w:rFonts w:hint="default" w:ascii="Times New Roman" w:hAnsi="Times New Roman" w:eastAsia="黑体" w:cs="Times New Roman"/>
          <w:b w:val="0"/>
          <w:bCs/>
          <w:color w:val="auto"/>
          <w:kern w:val="2"/>
          <w:sz w:val="24"/>
          <w:szCs w:val="24"/>
          <w:lang w:val="zh-CN" w:eastAsia="zh-CN" w:bidi="ar-SA"/>
        </w:rPr>
        <w:t xml:space="preserve">  建设项目环境风险潜势划分</w:t>
      </w:r>
    </w:p>
    <w:tbl>
      <w:tblPr>
        <w:tblStyle w:val="9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68"/>
        <w:gridCol w:w="1729"/>
        <w:gridCol w:w="1729"/>
        <w:gridCol w:w="1729"/>
        <w:gridCol w:w="173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68" w:type="dxa"/>
            <w:vMerge w:val="restart"/>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环境敏感程度（E）</w:t>
            </w:r>
          </w:p>
        </w:tc>
        <w:tc>
          <w:tcPr>
            <w:tcW w:w="6918" w:type="dxa"/>
            <w:gridSpan w:val="4"/>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危险物质及工艺系统危险性（P）</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vMerge w:val="continue"/>
            <w:tcBorders>
              <w:left w:val="single" w:color="auto" w:sz="4" w:space="0"/>
            </w:tcBorders>
            <w:noWrap w:val="0"/>
          </w:tcPr>
          <w:p/>
        </w:tc>
        <w:tc>
          <w:tcPr>
            <w:tcW w:w="1729"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color w:val="auto"/>
                <w:kern w:val="2"/>
                <w:sz w:val="21"/>
                <w:szCs w:val="36"/>
                <w:lang w:val="en-US" w:eastAsia="zh-CN" w:bidi="ar-SA"/>
              </w:rPr>
            </w:pPr>
            <w:r>
              <w:rPr>
                <w:rFonts w:hint="default" w:ascii="Times New Roman" w:hAnsi="Times New Roman" w:eastAsia="宋体" w:cs="Times New Roman"/>
                <w:b w:val="0"/>
                <w:bCs/>
                <w:color w:val="auto"/>
                <w:kern w:val="2"/>
                <w:sz w:val="21"/>
                <w:szCs w:val="36"/>
                <w:lang w:val="en-US" w:eastAsia="zh-CN" w:bidi="ar-SA"/>
              </w:rPr>
              <w:t>极高危害（P1）</w:t>
            </w:r>
          </w:p>
        </w:tc>
        <w:tc>
          <w:tcPr>
            <w:tcW w:w="1729"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高度危害（P2）</w:t>
            </w:r>
          </w:p>
        </w:tc>
        <w:tc>
          <w:tcPr>
            <w:tcW w:w="1729"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b/>
                <w:bCs/>
                <w:color w:val="auto"/>
                <w:kern w:val="2"/>
                <w:sz w:val="21"/>
                <w:szCs w:val="36"/>
                <w:lang w:val="en-US" w:eastAsia="zh-CN" w:bidi="ar-SA"/>
              </w:rPr>
              <w:t>中度危害（P3）</w:t>
            </w:r>
          </w:p>
        </w:tc>
        <w:tc>
          <w:tcPr>
            <w:tcW w:w="1731"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轻度危害（P4）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68"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b w:val="0"/>
                <w:bCs w:val="0"/>
                <w:color w:val="auto"/>
                <w:kern w:val="2"/>
                <w:sz w:val="21"/>
                <w:szCs w:val="36"/>
                <w:lang w:val="en-US" w:eastAsia="zh-CN" w:bidi="ar-SA"/>
              </w:rPr>
              <w:t>环境高度敏感区（E1）</w:t>
            </w:r>
          </w:p>
        </w:tc>
        <w:tc>
          <w:tcPr>
            <w:tcW w:w="1729"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fldChar w:fldCharType="begin"/>
            </w:r>
            <w:r>
              <w:rPr>
                <w:rFonts w:hint="default" w:ascii="Times New Roman" w:hAnsi="Times New Roman" w:eastAsia="宋体" w:cs="Times New Roman"/>
                <w:color w:val="auto"/>
                <w:kern w:val="2"/>
                <w:sz w:val="21"/>
                <w:szCs w:val="36"/>
                <w:lang w:val="en-US" w:eastAsia="zh-CN" w:bidi="ar-SA"/>
              </w:rPr>
              <w:instrText xml:space="preserve"> = 4 \* ROMAN </w:instrText>
            </w:r>
            <w:r>
              <w:rPr>
                <w:rFonts w:hint="default" w:ascii="Times New Roman" w:hAnsi="Times New Roman" w:eastAsia="宋体" w:cs="Times New Roman"/>
                <w:color w:val="auto"/>
                <w:kern w:val="2"/>
                <w:sz w:val="21"/>
                <w:szCs w:val="36"/>
                <w:lang w:val="en-US" w:eastAsia="zh-CN" w:bidi="ar-SA"/>
              </w:rPr>
              <w:fldChar w:fldCharType="separate"/>
            </w:r>
            <w:r>
              <w:rPr>
                <w:rFonts w:hint="default" w:ascii="Times New Roman" w:hAnsi="Times New Roman" w:eastAsia="宋体" w:cs="Times New Roman"/>
                <w:color w:val="auto"/>
                <w:kern w:val="2"/>
                <w:sz w:val="21"/>
                <w:szCs w:val="36"/>
                <w:lang w:val="en-US" w:eastAsia="zh-CN" w:bidi="ar-SA"/>
              </w:rPr>
              <w:t>IV</w:t>
            </w:r>
            <w:r>
              <w:rPr>
                <w:rFonts w:hint="default" w:ascii="Times New Roman" w:hAnsi="Times New Roman" w:eastAsia="宋体" w:cs="Times New Roman"/>
                <w:color w:val="auto"/>
                <w:kern w:val="2"/>
                <w:sz w:val="21"/>
                <w:szCs w:val="36"/>
                <w:lang w:val="en-US" w:eastAsia="zh-CN" w:bidi="ar-SA"/>
              </w:rPr>
              <w:fldChar w:fldCharType="end"/>
            </w:r>
            <w:r>
              <w:rPr>
                <w:rFonts w:hint="default" w:ascii="Times New Roman" w:hAnsi="Times New Roman" w:eastAsia="宋体" w:cs="Times New Roman"/>
                <w:color w:val="auto"/>
                <w:kern w:val="2"/>
                <w:sz w:val="21"/>
                <w:szCs w:val="36"/>
                <w:vertAlign w:val="superscript"/>
                <w:lang w:val="en-US" w:eastAsia="zh-CN" w:bidi="ar-SA"/>
              </w:rPr>
              <w:t>+</w:t>
            </w:r>
          </w:p>
        </w:tc>
        <w:tc>
          <w:tcPr>
            <w:tcW w:w="1729"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fldChar w:fldCharType="begin"/>
            </w:r>
            <w:r>
              <w:rPr>
                <w:rFonts w:hint="default" w:ascii="Times New Roman" w:hAnsi="Times New Roman" w:eastAsia="宋体" w:cs="Times New Roman"/>
                <w:color w:val="auto"/>
                <w:kern w:val="2"/>
                <w:sz w:val="21"/>
                <w:szCs w:val="36"/>
                <w:lang w:val="en-US" w:eastAsia="zh-CN" w:bidi="ar-SA"/>
              </w:rPr>
              <w:instrText xml:space="preserve"> = 4 \* ROMAN </w:instrText>
            </w:r>
            <w:r>
              <w:rPr>
                <w:rFonts w:hint="default" w:ascii="Times New Roman" w:hAnsi="Times New Roman" w:eastAsia="宋体" w:cs="Times New Roman"/>
                <w:color w:val="auto"/>
                <w:kern w:val="2"/>
                <w:sz w:val="21"/>
                <w:szCs w:val="36"/>
                <w:lang w:val="en-US" w:eastAsia="zh-CN" w:bidi="ar-SA"/>
              </w:rPr>
              <w:fldChar w:fldCharType="separate"/>
            </w:r>
            <w:r>
              <w:rPr>
                <w:rFonts w:hint="default" w:ascii="Times New Roman" w:hAnsi="Times New Roman" w:eastAsia="宋体" w:cs="Times New Roman"/>
                <w:color w:val="auto"/>
                <w:kern w:val="2"/>
                <w:sz w:val="21"/>
                <w:szCs w:val="36"/>
                <w:lang w:val="en-US" w:eastAsia="zh-CN" w:bidi="ar-SA"/>
              </w:rPr>
              <w:t>IV</w:t>
            </w:r>
            <w:r>
              <w:rPr>
                <w:rFonts w:hint="default" w:ascii="Times New Roman" w:hAnsi="Times New Roman" w:eastAsia="宋体" w:cs="Times New Roman"/>
                <w:color w:val="auto"/>
                <w:kern w:val="2"/>
                <w:sz w:val="21"/>
                <w:szCs w:val="36"/>
                <w:lang w:val="en-US" w:eastAsia="zh-CN" w:bidi="ar-SA"/>
              </w:rPr>
              <w:fldChar w:fldCharType="end"/>
            </w:r>
          </w:p>
        </w:tc>
        <w:tc>
          <w:tcPr>
            <w:tcW w:w="1729"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fldChar w:fldCharType="begin"/>
            </w:r>
            <w:r>
              <w:rPr>
                <w:rFonts w:hint="default" w:ascii="Times New Roman" w:hAnsi="Times New Roman" w:eastAsia="宋体" w:cs="Times New Roman"/>
                <w:color w:val="auto"/>
                <w:kern w:val="2"/>
                <w:sz w:val="21"/>
                <w:szCs w:val="36"/>
                <w:lang w:val="en-US" w:eastAsia="zh-CN" w:bidi="ar-SA"/>
              </w:rPr>
              <w:instrText xml:space="preserve"> = 3 \* ROMAN </w:instrText>
            </w:r>
            <w:r>
              <w:rPr>
                <w:rFonts w:hint="default" w:ascii="Times New Roman" w:hAnsi="Times New Roman" w:eastAsia="宋体" w:cs="Times New Roman"/>
                <w:color w:val="auto"/>
                <w:kern w:val="2"/>
                <w:sz w:val="21"/>
                <w:szCs w:val="36"/>
                <w:lang w:val="en-US" w:eastAsia="zh-CN" w:bidi="ar-SA"/>
              </w:rPr>
              <w:fldChar w:fldCharType="separate"/>
            </w:r>
            <w:r>
              <w:rPr>
                <w:rFonts w:hint="default" w:ascii="Times New Roman" w:hAnsi="Times New Roman" w:eastAsia="宋体" w:cs="Times New Roman"/>
                <w:color w:val="auto"/>
                <w:kern w:val="2"/>
                <w:sz w:val="21"/>
                <w:szCs w:val="36"/>
                <w:lang w:val="en-US" w:eastAsia="zh-CN" w:bidi="ar-SA"/>
              </w:rPr>
              <w:t>III</w:t>
            </w:r>
            <w:r>
              <w:rPr>
                <w:rFonts w:hint="default" w:ascii="Times New Roman" w:hAnsi="Times New Roman" w:eastAsia="宋体" w:cs="Times New Roman"/>
                <w:color w:val="auto"/>
                <w:kern w:val="2"/>
                <w:sz w:val="21"/>
                <w:szCs w:val="36"/>
                <w:lang w:val="en-US" w:eastAsia="zh-CN" w:bidi="ar-SA"/>
              </w:rPr>
              <w:fldChar w:fldCharType="end"/>
            </w:r>
          </w:p>
        </w:tc>
        <w:tc>
          <w:tcPr>
            <w:tcW w:w="1731"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fldChar w:fldCharType="begin"/>
            </w:r>
            <w:r>
              <w:rPr>
                <w:rFonts w:hint="default" w:ascii="Times New Roman" w:hAnsi="Times New Roman" w:eastAsia="宋体" w:cs="Times New Roman"/>
                <w:color w:val="auto"/>
                <w:kern w:val="2"/>
                <w:sz w:val="21"/>
                <w:szCs w:val="36"/>
                <w:lang w:val="en-US" w:eastAsia="zh-CN" w:bidi="ar-SA"/>
              </w:rPr>
              <w:instrText xml:space="preserve"> = 3 \* ROMAN </w:instrText>
            </w:r>
            <w:r>
              <w:rPr>
                <w:rFonts w:hint="default" w:ascii="Times New Roman" w:hAnsi="Times New Roman" w:eastAsia="宋体" w:cs="Times New Roman"/>
                <w:color w:val="auto"/>
                <w:kern w:val="2"/>
                <w:sz w:val="21"/>
                <w:szCs w:val="36"/>
                <w:lang w:val="en-US" w:eastAsia="zh-CN" w:bidi="ar-SA"/>
              </w:rPr>
              <w:fldChar w:fldCharType="separate"/>
            </w:r>
            <w:r>
              <w:rPr>
                <w:rFonts w:hint="default" w:ascii="Times New Roman" w:hAnsi="Times New Roman" w:eastAsia="宋体" w:cs="Times New Roman"/>
                <w:color w:val="auto"/>
                <w:kern w:val="2"/>
                <w:sz w:val="21"/>
                <w:szCs w:val="36"/>
                <w:lang w:val="en-US" w:eastAsia="zh-CN" w:bidi="ar-SA"/>
              </w:rPr>
              <w:t>III</w:t>
            </w:r>
            <w:r>
              <w:rPr>
                <w:rFonts w:hint="default" w:ascii="Times New Roman" w:hAnsi="Times New Roman" w:eastAsia="宋体" w:cs="Times New Roman"/>
                <w:color w:val="auto"/>
                <w:kern w:val="2"/>
                <w:sz w:val="21"/>
                <w:szCs w:val="36"/>
                <w:lang w:val="en-US" w:eastAsia="zh-CN" w:bidi="ar-SA"/>
              </w:rPr>
              <w:fldChar w:fldCharType="end"/>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68"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color w:val="auto"/>
                <w:kern w:val="2"/>
                <w:sz w:val="21"/>
                <w:szCs w:val="36"/>
                <w:lang w:val="en-US" w:eastAsia="zh-CN" w:bidi="ar-SA"/>
              </w:rPr>
            </w:pPr>
            <w:r>
              <w:rPr>
                <w:rFonts w:hint="default" w:ascii="Times New Roman" w:hAnsi="Times New Roman" w:eastAsia="宋体" w:cs="Times New Roman"/>
                <w:b/>
                <w:bCs w:val="0"/>
                <w:color w:val="auto"/>
                <w:kern w:val="2"/>
                <w:sz w:val="21"/>
                <w:szCs w:val="36"/>
                <w:lang w:val="en-US" w:eastAsia="zh-CN" w:bidi="ar-SA"/>
              </w:rPr>
              <w:t>环境中度敏感区（E2）</w:t>
            </w:r>
          </w:p>
        </w:tc>
        <w:tc>
          <w:tcPr>
            <w:tcW w:w="1729"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b/>
                <w:color w:val="auto"/>
                <w:kern w:val="2"/>
                <w:sz w:val="21"/>
                <w:szCs w:val="36"/>
                <w:lang w:val="en-US" w:eastAsia="zh-CN" w:bidi="ar-SA"/>
              </w:rPr>
            </w:pPr>
            <w:r>
              <w:rPr>
                <w:rFonts w:hint="default" w:ascii="Times New Roman" w:hAnsi="Times New Roman" w:eastAsia="宋体" w:cs="Times New Roman"/>
                <w:b/>
                <w:color w:val="auto"/>
                <w:kern w:val="2"/>
                <w:sz w:val="21"/>
                <w:szCs w:val="36"/>
                <w:lang w:val="en-US" w:eastAsia="zh-CN" w:bidi="ar-SA"/>
              </w:rPr>
              <w:fldChar w:fldCharType="begin"/>
            </w:r>
            <w:r>
              <w:rPr>
                <w:rFonts w:hint="default" w:ascii="Times New Roman" w:hAnsi="Times New Roman" w:eastAsia="宋体" w:cs="Times New Roman"/>
                <w:b/>
                <w:color w:val="auto"/>
                <w:kern w:val="2"/>
                <w:sz w:val="21"/>
                <w:szCs w:val="36"/>
                <w:lang w:val="en-US" w:eastAsia="zh-CN" w:bidi="ar-SA"/>
              </w:rPr>
              <w:instrText xml:space="preserve"> = 4 \* ROMAN </w:instrText>
            </w:r>
            <w:r>
              <w:rPr>
                <w:rFonts w:hint="default" w:ascii="Times New Roman" w:hAnsi="Times New Roman" w:eastAsia="宋体" w:cs="Times New Roman"/>
                <w:b/>
                <w:color w:val="auto"/>
                <w:kern w:val="2"/>
                <w:sz w:val="21"/>
                <w:szCs w:val="36"/>
                <w:lang w:val="en-US" w:eastAsia="zh-CN" w:bidi="ar-SA"/>
              </w:rPr>
              <w:fldChar w:fldCharType="separate"/>
            </w:r>
            <w:r>
              <w:rPr>
                <w:rFonts w:hint="default" w:ascii="Times New Roman" w:hAnsi="Times New Roman" w:eastAsia="宋体" w:cs="Times New Roman"/>
                <w:b/>
                <w:color w:val="auto"/>
                <w:kern w:val="2"/>
                <w:sz w:val="21"/>
                <w:szCs w:val="36"/>
                <w:lang w:val="en-US" w:eastAsia="zh-CN" w:bidi="ar-SA"/>
              </w:rPr>
              <w:t>IV</w:t>
            </w:r>
            <w:r>
              <w:rPr>
                <w:rFonts w:hint="default" w:ascii="Times New Roman" w:hAnsi="Times New Roman" w:eastAsia="宋体" w:cs="Times New Roman"/>
                <w:b/>
                <w:color w:val="auto"/>
                <w:kern w:val="2"/>
                <w:sz w:val="21"/>
                <w:szCs w:val="36"/>
                <w:lang w:val="en-US" w:eastAsia="zh-CN" w:bidi="ar-SA"/>
              </w:rPr>
              <w:fldChar w:fldCharType="end"/>
            </w:r>
          </w:p>
        </w:tc>
        <w:tc>
          <w:tcPr>
            <w:tcW w:w="1729"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fldChar w:fldCharType="begin"/>
            </w:r>
            <w:r>
              <w:rPr>
                <w:rFonts w:hint="default" w:ascii="Times New Roman" w:hAnsi="Times New Roman" w:eastAsia="宋体" w:cs="Times New Roman"/>
                <w:color w:val="auto"/>
                <w:kern w:val="2"/>
                <w:sz w:val="21"/>
                <w:szCs w:val="36"/>
                <w:lang w:val="en-US" w:eastAsia="zh-CN" w:bidi="ar-SA"/>
              </w:rPr>
              <w:instrText xml:space="preserve"> = 3 \* ROMAN </w:instrText>
            </w:r>
            <w:r>
              <w:rPr>
                <w:rFonts w:hint="default" w:ascii="Times New Roman" w:hAnsi="Times New Roman" w:eastAsia="宋体" w:cs="Times New Roman"/>
                <w:color w:val="auto"/>
                <w:kern w:val="2"/>
                <w:sz w:val="21"/>
                <w:szCs w:val="36"/>
                <w:lang w:val="en-US" w:eastAsia="zh-CN" w:bidi="ar-SA"/>
              </w:rPr>
              <w:fldChar w:fldCharType="separate"/>
            </w:r>
            <w:r>
              <w:rPr>
                <w:rFonts w:hint="default" w:ascii="Times New Roman" w:hAnsi="Times New Roman" w:eastAsia="宋体" w:cs="Times New Roman"/>
                <w:color w:val="auto"/>
                <w:kern w:val="2"/>
                <w:sz w:val="21"/>
                <w:szCs w:val="36"/>
                <w:lang w:val="en-US" w:eastAsia="zh-CN" w:bidi="ar-SA"/>
              </w:rPr>
              <w:t>III</w:t>
            </w:r>
            <w:r>
              <w:rPr>
                <w:rFonts w:hint="default" w:ascii="Times New Roman" w:hAnsi="Times New Roman" w:eastAsia="宋体" w:cs="Times New Roman"/>
                <w:color w:val="auto"/>
                <w:kern w:val="2"/>
                <w:sz w:val="21"/>
                <w:szCs w:val="36"/>
                <w:lang w:val="en-US" w:eastAsia="zh-CN" w:bidi="ar-SA"/>
              </w:rPr>
              <w:fldChar w:fldCharType="end"/>
            </w:r>
          </w:p>
        </w:tc>
        <w:tc>
          <w:tcPr>
            <w:tcW w:w="1729"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fldChar w:fldCharType="begin"/>
            </w:r>
            <w:r>
              <w:rPr>
                <w:rFonts w:hint="default" w:ascii="Times New Roman" w:hAnsi="Times New Roman" w:eastAsia="宋体" w:cs="Times New Roman"/>
                <w:color w:val="auto"/>
                <w:kern w:val="2"/>
                <w:sz w:val="21"/>
                <w:szCs w:val="36"/>
                <w:lang w:val="en-US" w:eastAsia="zh-CN" w:bidi="ar-SA"/>
              </w:rPr>
              <w:instrText xml:space="preserve"> = 3 \* ROMAN </w:instrText>
            </w:r>
            <w:r>
              <w:rPr>
                <w:rFonts w:hint="default" w:ascii="Times New Roman" w:hAnsi="Times New Roman" w:eastAsia="宋体" w:cs="Times New Roman"/>
                <w:color w:val="auto"/>
                <w:kern w:val="2"/>
                <w:sz w:val="21"/>
                <w:szCs w:val="36"/>
                <w:lang w:val="en-US" w:eastAsia="zh-CN" w:bidi="ar-SA"/>
              </w:rPr>
              <w:fldChar w:fldCharType="separate"/>
            </w:r>
            <w:r>
              <w:rPr>
                <w:rFonts w:hint="default" w:ascii="Times New Roman" w:hAnsi="Times New Roman" w:eastAsia="宋体" w:cs="Times New Roman"/>
                <w:color w:val="auto"/>
                <w:kern w:val="2"/>
                <w:sz w:val="21"/>
                <w:szCs w:val="36"/>
                <w:lang w:val="en-US" w:eastAsia="zh-CN" w:bidi="ar-SA"/>
              </w:rPr>
              <w:t>III</w:t>
            </w:r>
            <w:r>
              <w:rPr>
                <w:rFonts w:hint="default" w:ascii="Times New Roman" w:hAnsi="Times New Roman" w:eastAsia="宋体" w:cs="Times New Roman"/>
                <w:color w:val="auto"/>
                <w:kern w:val="2"/>
                <w:sz w:val="21"/>
                <w:szCs w:val="36"/>
                <w:lang w:val="en-US" w:eastAsia="zh-CN" w:bidi="ar-SA"/>
              </w:rPr>
              <w:fldChar w:fldCharType="end"/>
            </w:r>
          </w:p>
        </w:tc>
        <w:tc>
          <w:tcPr>
            <w:tcW w:w="1731"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fldChar w:fldCharType="begin"/>
            </w:r>
            <w:r>
              <w:rPr>
                <w:rFonts w:hint="default" w:ascii="Times New Roman" w:hAnsi="Times New Roman" w:eastAsia="宋体" w:cs="Times New Roman"/>
                <w:color w:val="auto"/>
                <w:kern w:val="2"/>
                <w:sz w:val="21"/>
                <w:szCs w:val="36"/>
                <w:lang w:val="en-US" w:eastAsia="zh-CN" w:bidi="ar-SA"/>
              </w:rPr>
              <w:instrText xml:space="preserve"> = 2 \* ROMAN </w:instrText>
            </w:r>
            <w:r>
              <w:rPr>
                <w:rFonts w:hint="default" w:ascii="Times New Roman" w:hAnsi="Times New Roman" w:eastAsia="宋体" w:cs="Times New Roman"/>
                <w:color w:val="auto"/>
                <w:kern w:val="2"/>
                <w:sz w:val="21"/>
                <w:szCs w:val="36"/>
                <w:lang w:val="en-US" w:eastAsia="zh-CN" w:bidi="ar-SA"/>
              </w:rPr>
              <w:fldChar w:fldCharType="separate"/>
            </w:r>
            <w:r>
              <w:rPr>
                <w:rFonts w:hint="default" w:ascii="Times New Roman" w:hAnsi="Times New Roman" w:eastAsia="宋体" w:cs="Times New Roman"/>
                <w:color w:val="auto"/>
                <w:kern w:val="2"/>
                <w:sz w:val="21"/>
                <w:szCs w:val="36"/>
                <w:lang w:val="en-US" w:eastAsia="zh-CN" w:bidi="ar-SA"/>
              </w:rPr>
              <w:t>II</w:t>
            </w:r>
            <w:r>
              <w:rPr>
                <w:rFonts w:hint="default" w:ascii="Times New Roman" w:hAnsi="Times New Roman" w:eastAsia="宋体" w:cs="Times New Roman"/>
                <w:color w:val="auto"/>
                <w:kern w:val="2"/>
                <w:sz w:val="21"/>
                <w:szCs w:val="36"/>
                <w:lang w:val="en-US" w:eastAsia="zh-CN" w:bidi="ar-SA"/>
              </w:rPr>
              <w:fldChar w:fldCharType="end"/>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68"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环境低度敏感区（E3）</w:t>
            </w:r>
          </w:p>
        </w:tc>
        <w:tc>
          <w:tcPr>
            <w:tcW w:w="1729"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fldChar w:fldCharType="begin"/>
            </w:r>
            <w:r>
              <w:rPr>
                <w:rFonts w:hint="default" w:ascii="Times New Roman" w:hAnsi="Times New Roman" w:eastAsia="宋体" w:cs="Times New Roman"/>
                <w:color w:val="auto"/>
                <w:kern w:val="2"/>
                <w:sz w:val="21"/>
                <w:szCs w:val="36"/>
                <w:lang w:val="en-US" w:eastAsia="zh-CN" w:bidi="ar-SA"/>
              </w:rPr>
              <w:instrText xml:space="preserve"> = 3 \* ROMAN </w:instrText>
            </w:r>
            <w:r>
              <w:rPr>
                <w:rFonts w:hint="default" w:ascii="Times New Roman" w:hAnsi="Times New Roman" w:eastAsia="宋体" w:cs="Times New Roman"/>
                <w:color w:val="auto"/>
                <w:kern w:val="2"/>
                <w:sz w:val="21"/>
                <w:szCs w:val="36"/>
                <w:lang w:val="en-US" w:eastAsia="zh-CN" w:bidi="ar-SA"/>
              </w:rPr>
              <w:fldChar w:fldCharType="separate"/>
            </w:r>
            <w:r>
              <w:rPr>
                <w:rFonts w:hint="default" w:ascii="Times New Roman" w:hAnsi="Times New Roman" w:eastAsia="宋体" w:cs="Times New Roman"/>
                <w:color w:val="auto"/>
                <w:kern w:val="2"/>
                <w:sz w:val="21"/>
                <w:szCs w:val="36"/>
                <w:lang w:val="en-US" w:eastAsia="zh-CN" w:bidi="ar-SA"/>
              </w:rPr>
              <w:t>III</w:t>
            </w:r>
            <w:r>
              <w:rPr>
                <w:rFonts w:hint="default" w:ascii="Times New Roman" w:hAnsi="Times New Roman" w:eastAsia="宋体" w:cs="Times New Roman"/>
                <w:color w:val="auto"/>
                <w:kern w:val="2"/>
                <w:sz w:val="21"/>
                <w:szCs w:val="36"/>
                <w:lang w:val="en-US" w:eastAsia="zh-CN" w:bidi="ar-SA"/>
              </w:rPr>
              <w:fldChar w:fldCharType="end"/>
            </w:r>
          </w:p>
        </w:tc>
        <w:tc>
          <w:tcPr>
            <w:tcW w:w="1729"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fldChar w:fldCharType="begin"/>
            </w:r>
            <w:r>
              <w:rPr>
                <w:rFonts w:hint="default" w:ascii="Times New Roman" w:hAnsi="Times New Roman" w:eastAsia="宋体" w:cs="Times New Roman"/>
                <w:color w:val="auto"/>
                <w:kern w:val="2"/>
                <w:sz w:val="21"/>
                <w:szCs w:val="36"/>
                <w:lang w:val="en-US" w:eastAsia="zh-CN" w:bidi="ar-SA"/>
              </w:rPr>
              <w:instrText xml:space="preserve"> = 3 \* ROMAN </w:instrText>
            </w:r>
            <w:r>
              <w:rPr>
                <w:rFonts w:hint="default" w:ascii="Times New Roman" w:hAnsi="Times New Roman" w:eastAsia="宋体" w:cs="Times New Roman"/>
                <w:color w:val="auto"/>
                <w:kern w:val="2"/>
                <w:sz w:val="21"/>
                <w:szCs w:val="36"/>
                <w:lang w:val="en-US" w:eastAsia="zh-CN" w:bidi="ar-SA"/>
              </w:rPr>
              <w:fldChar w:fldCharType="separate"/>
            </w:r>
            <w:r>
              <w:rPr>
                <w:rFonts w:hint="default" w:ascii="Times New Roman" w:hAnsi="Times New Roman" w:eastAsia="宋体" w:cs="Times New Roman"/>
                <w:color w:val="auto"/>
                <w:kern w:val="2"/>
                <w:sz w:val="21"/>
                <w:szCs w:val="36"/>
                <w:lang w:val="en-US" w:eastAsia="zh-CN" w:bidi="ar-SA"/>
              </w:rPr>
              <w:t>III</w:t>
            </w:r>
            <w:r>
              <w:rPr>
                <w:rFonts w:hint="default" w:ascii="Times New Roman" w:hAnsi="Times New Roman" w:eastAsia="宋体" w:cs="Times New Roman"/>
                <w:color w:val="auto"/>
                <w:kern w:val="2"/>
                <w:sz w:val="21"/>
                <w:szCs w:val="36"/>
                <w:lang w:val="en-US" w:eastAsia="zh-CN" w:bidi="ar-SA"/>
              </w:rPr>
              <w:fldChar w:fldCharType="end"/>
            </w:r>
          </w:p>
        </w:tc>
        <w:tc>
          <w:tcPr>
            <w:tcW w:w="1729"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fldChar w:fldCharType="begin"/>
            </w:r>
            <w:r>
              <w:rPr>
                <w:rFonts w:hint="default" w:ascii="Times New Roman" w:hAnsi="Times New Roman" w:eastAsia="宋体" w:cs="Times New Roman"/>
                <w:color w:val="auto"/>
                <w:kern w:val="2"/>
                <w:sz w:val="21"/>
                <w:szCs w:val="36"/>
                <w:lang w:val="en-US" w:eastAsia="zh-CN" w:bidi="ar-SA"/>
              </w:rPr>
              <w:instrText xml:space="preserve"> = 2 \* ROMAN </w:instrText>
            </w:r>
            <w:r>
              <w:rPr>
                <w:rFonts w:hint="default" w:ascii="Times New Roman" w:hAnsi="Times New Roman" w:eastAsia="宋体" w:cs="Times New Roman"/>
                <w:color w:val="auto"/>
                <w:kern w:val="2"/>
                <w:sz w:val="21"/>
                <w:szCs w:val="36"/>
                <w:lang w:val="en-US" w:eastAsia="zh-CN" w:bidi="ar-SA"/>
              </w:rPr>
              <w:fldChar w:fldCharType="separate"/>
            </w:r>
            <w:r>
              <w:rPr>
                <w:rFonts w:hint="default" w:ascii="Times New Roman" w:hAnsi="Times New Roman" w:eastAsia="宋体" w:cs="Times New Roman"/>
                <w:color w:val="auto"/>
                <w:kern w:val="2"/>
                <w:sz w:val="21"/>
                <w:szCs w:val="36"/>
                <w:lang w:val="en-US" w:eastAsia="zh-CN" w:bidi="ar-SA"/>
              </w:rPr>
              <w:t>II</w:t>
            </w:r>
            <w:r>
              <w:rPr>
                <w:rFonts w:hint="default" w:ascii="Times New Roman" w:hAnsi="Times New Roman" w:eastAsia="宋体" w:cs="Times New Roman"/>
                <w:color w:val="auto"/>
                <w:kern w:val="2"/>
                <w:sz w:val="21"/>
                <w:szCs w:val="36"/>
                <w:lang w:val="en-US" w:eastAsia="zh-CN" w:bidi="ar-SA"/>
              </w:rPr>
              <w:fldChar w:fldCharType="end"/>
            </w:r>
          </w:p>
        </w:tc>
        <w:tc>
          <w:tcPr>
            <w:tcW w:w="1731"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fldChar w:fldCharType="begin"/>
            </w:r>
            <w:r>
              <w:rPr>
                <w:rFonts w:hint="default" w:ascii="Times New Roman" w:hAnsi="Times New Roman" w:eastAsia="宋体" w:cs="Times New Roman"/>
                <w:color w:val="auto"/>
                <w:kern w:val="2"/>
                <w:sz w:val="21"/>
                <w:szCs w:val="36"/>
                <w:lang w:val="en-US" w:eastAsia="zh-CN" w:bidi="ar-SA"/>
              </w:rPr>
              <w:instrText xml:space="preserve"> = 1 \* ROMAN </w:instrText>
            </w:r>
            <w:r>
              <w:rPr>
                <w:rFonts w:hint="default" w:ascii="Times New Roman" w:hAnsi="Times New Roman" w:eastAsia="宋体" w:cs="Times New Roman"/>
                <w:color w:val="auto"/>
                <w:kern w:val="2"/>
                <w:sz w:val="21"/>
                <w:szCs w:val="36"/>
                <w:lang w:val="en-US" w:eastAsia="zh-CN" w:bidi="ar-SA"/>
              </w:rPr>
              <w:fldChar w:fldCharType="separate"/>
            </w:r>
            <w:r>
              <w:rPr>
                <w:rFonts w:hint="default" w:ascii="Times New Roman" w:hAnsi="Times New Roman" w:eastAsia="宋体" w:cs="Times New Roman"/>
                <w:color w:val="auto"/>
                <w:kern w:val="2"/>
                <w:sz w:val="21"/>
                <w:szCs w:val="36"/>
                <w:lang w:val="en-US" w:eastAsia="zh-CN" w:bidi="ar-SA"/>
              </w:rPr>
              <w:t>I</w:t>
            </w:r>
            <w:r>
              <w:rPr>
                <w:rFonts w:hint="default" w:ascii="Times New Roman" w:hAnsi="Times New Roman" w:eastAsia="宋体" w:cs="Times New Roman"/>
                <w:color w:val="auto"/>
                <w:kern w:val="2"/>
                <w:sz w:val="21"/>
                <w:szCs w:val="36"/>
                <w:lang w:val="en-US" w:eastAsia="zh-CN" w:bidi="ar-SA"/>
              </w:rPr>
              <w:fldChar w:fldCharType="end"/>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9286" w:type="dxa"/>
            <w:gridSpan w:val="5"/>
            <w:tcBorders>
              <w:left w:val="single" w:color="auto" w:sz="4" w:space="0"/>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left"/>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注：</w:t>
            </w:r>
            <w:r>
              <w:rPr>
                <w:rFonts w:hint="default" w:ascii="Times New Roman" w:hAnsi="Times New Roman" w:eastAsia="宋体" w:cs="Times New Roman"/>
                <w:color w:val="auto"/>
                <w:kern w:val="2"/>
                <w:sz w:val="21"/>
                <w:szCs w:val="36"/>
                <w:lang w:val="en-US" w:eastAsia="zh-CN" w:bidi="ar-SA"/>
              </w:rPr>
              <w:fldChar w:fldCharType="begin"/>
            </w:r>
            <w:r>
              <w:rPr>
                <w:rFonts w:hint="default" w:ascii="Times New Roman" w:hAnsi="Times New Roman" w:eastAsia="宋体" w:cs="Times New Roman"/>
                <w:color w:val="auto"/>
                <w:kern w:val="2"/>
                <w:sz w:val="21"/>
                <w:szCs w:val="36"/>
                <w:lang w:val="en-US" w:eastAsia="zh-CN" w:bidi="ar-SA"/>
              </w:rPr>
              <w:instrText xml:space="preserve"> = 4 \* ROMAN </w:instrText>
            </w:r>
            <w:r>
              <w:rPr>
                <w:rFonts w:hint="default" w:ascii="Times New Roman" w:hAnsi="Times New Roman" w:eastAsia="宋体" w:cs="Times New Roman"/>
                <w:color w:val="auto"/>
                <w:kern w:val="2"/>
                <w:sz w:val="21"/>
                <w:szCs w:val="36"/>
                <w:lang w:val="en-US" w:eastAsia="zh-CN" w:bidi="ar-SA"/>
              </w:rPr>
              <w:fldChar w:fldCharType="separate"/>
            </w:r>
            <w:r>
              <w:rPr>
                <w:rFonts w:hint="default" w:ascii="Times New Roman" w:hAnsi="Times New Roman" w:eastAsia="宋体" w:cs="Times New Roman"/>
                <w:color w:val="auto"/>
                <w:kern w:val="2"/>
                <w:sz w:val="21"/>
                <w:szCs w:val="36"/>
                <w:lang w:val="en-US" w:eastAsia="zh-CN" w:bidi="ar-SA"/>
              </w:rPr>
              <w:t>IV</w:t>
            </w:r>
            <w:r>
              <w:rPr>
                <w:rFonts w:hint="default" w:ascii="Times New Roman" w:hAnsi="Times New Roman" w:eastAsia="宋体" w:cs="Times New Roman"/>
                <w:color w:val="auto"/>
                <w:kern w:val="2"/>
                <w:sz w:val="21"/>
                <w:szCs w:val="36"/>
                <w:lang w:val="en-US" w:eastAsia="zh-CN" w:bidi="ar-SA"/>
              </w:rPr>
              <w:fldChar w:fldCharType="end"/>
            </w:r>
            <w:r>
              <w:rPr>
                <w:rFonts w:hint="default" w:ascii="Times New Roman" w:hAnsi="Times New Roman" w:eastAsia="宋体" w:cs="Times New Roman"/>
                <w:color w:val="auto"/>
                <w:kern w:val="2"/>
                <w:sz w:val="21"/>
                <w:szCs w:val="36"/>
                <w:vertAlign w:val="superscript"/>
                <w:lang w:val="en-US" w:eastAsia="zh-CN" w:bidi="ar-SA"/>
              </w:rPr>
              <w:t>+</w:t>
            </w:r>
            <w:r>
              <w:rPr>
                <w:rFonts w:hint="default" w:ascii="Times New Roman" w:hAnsi="Times New Roman" w:eastAsia="宋体" w:cs="Times New Roman"/>
                <w:color w:val="auto"/>
                <w:kern w:val="2"/>
                <w:sz w:val="21"/>
                <w:szCs w:val="36"/>
                <w:lang w:val="en-US" w:eastAsia="zh-CN" w:bidi="ar-SA"/>
              </w:rPr>
              <w:t>为极高环境风险。</w:t>
            </w:r>
          </w:p>
        </w:tc>
      </w:tr>
    </w:tbl>
    <w:p>
      <w:pPr>
        <w:widowControl w:val="0"/>
        <w:spacing w:line="360" w:lineRule="auto"/>
        <w:ind w:firstLine="480"/>
        <w:jc w:val="both"/>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zh-CN" w:eastAsia="zh-CN" w:bidi="ar"/>
        </w:rPr>
        <w:t>本项目危险物质及工艺系统危险性为P</w:t>
      </w:r>
      <w:r>
        <w:rPr>
          <w:rFonts w:hint="default" w:ascii="Times New Roman" w:hAnsi="Times New Roman" w:eastAsia="宋体" w:cs="Times New Roman"/>
          <w:snapToGrid w:val="0"/>
          <w:color w:val="auto"/>
          <w:kern w:val="0"/>
          <w:sz w:val="24"/>
          <w:szCs w:val="24"/>
          <w:lang w:val="en-US" w:eastAsia="zh-CN" w:bidi="ar"/>
        </w:rPr>
        <w:t>3</w:t>
      </w:r>
      <w:r>
        <w:rPr>
          <w:rFonts w:hint="default" w:ascii="Times New Roman" w:hAnsi="Times New Roman" w:eastAsia="宋体" w:cs="Times New Roman"/>
          <w:snapToGrid w:val="0"/>
          <w:color w:val="auto"/>
          <w:kern w:val="0"/>
          <w:sz w:val="24"/>
          <w:szCs w:val="24"/>
          <w:lang w:val="zh-CN" w:eastAsia="zh-CN" w:bidi="ar"/>
        </w:rPr>
        <w:t>，项目大气环境敏感程度为E</w:t>
      </w:r>
      <w:r>
        <w:rPr>
          <w:rFonts w:hint="eastAsia" w:ascii="Times New Roman" w:hAnsi="Times New Roman" w:eastAsia="宋体" w:cs="Times New Roman"/>
          <w:snapToGrid w:val="0"/>
          <w:color w:val="auto"/>
          <w:kern w:val="0"/>
          <w:sz w:val="24"/>
          <w:szCs w:val="24"/>
          <w:lang w:val="en-US" w:eastAsia="zh-CN" w:bidi="ar"/>
        </w:rPr>
        <w:t>2</w:t>
      </w:r>
      <w:r>
        <w:rPr>
          <w:rFonts w:hint="default" w:ascii="Times New Roman" w:hAnsi="Times New Roman" w:eastAsia="宋体" w:cs="Times New Roman"/>
          <w:snapToGrid w:val="0"/>
          <w:color w:val="auto"/>
          <w:kern w:val="0"/>
          <w:sz w:val="24"/>
          <w:szCs w:val="24"/>
          <w:lang w:val="zh-CN" w:eastAsia="zh-CN" w:bidi="ar"/>
        </w:rPr>
        <w:t>，判断</w:t>
      </w:r>
      <w:r>
        <w:rPr>
          <w:rFonts w:hint="default" w:ascii="Times New Roman" w:hAnsi="Times New Roman" w:eastAsia="宋体" w:cs="Times New Roman"/>
          <w:snapToGrid w:val="0"/>
          <w:color w:val="auto"/>
          <w:kern w:val="0"/>
          <w:sz w:val="24"/>
          <w:szCs w:val="24"/>
          <w:lang w:val="en-US" w:eastAsia="zh-CN" w:bidi="ar"/>
        </w:rPr>
        <w:t>大气环境</w:t>
      </w:r>
      <w:r>
        <w:rPr>
          <w:rFonts w:hint="default" w:ascii="Times New Roman" w:hAnsi="Times New Roman" w:eastAsia="宋体" w:cs="Times New Roman"/>
          <w:snapToGrid w:val="0"/>
          <w:color w:val="auto"/>
          <w:kern w:val="0"/>
          <w:sz w:val="24"/>
          <w:szCs w:val="24"/>
          <w:lang w:val="zh-CN" w:eastAsia="zh-CN" w:bidi="ar"/>
        </w:rPr>
        <w:t>风险潜势为</w:t>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 3 \* ROMAN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III</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lang w:val="zh-CN" w:eastAsia="zh-CN" w:bidi="ar"/>
        </w:rPr>
        <w:t>级；地</w:t>
      </w:r>
      <w:r>
        <w:rPr>
          <w:rFonts w:hint="default" w:ascii="Times New Roman" w:hAnsi="Times New Roman" w:eastAsia="宋体" w:cs="Times New Roman"/>
          <w:snapToGrid w:val="0"/>
          <w:color w:val="auto"/>
          <w:kern w:val="0"/>
          <w:sz w:val="24"/>
          <w:szCs w:val="24"/>
          <w:lang w:val="en-US" w:eastAsia="zh-CN" w:bidi="ar"/>
        </w:rPr>
        <w:t>下</w:t>
      </w:r>
      <w:r>
        <w:rPr>
          <w:rFonts w:hint="default" w:ascii="Times New Roman" w:hAnsi="Times New Roman" w:eastAsia="宋体" w:cs="Times New Roman"/>
          <w:snapToGrid w:val="0"/>
          <w:color w:val="auto"/>
          <w:kern w:val="0"/>
          <w:sz w:val="24"/>
          <w:szCs w:val="24"/>
          <w:lang w:val="zh-CN" w:eastAsia="zh-CN" w:bidi="ar"/>
        </w:rPr>
        <w:t>水环境敏感程度为E</w:t>
      </w:r>
      <w:r>
        <w:rPr>
          <w:rFonts w:hint="default" w:ascii="Times New Roman" w:hAnsi="Times New Roman" w:eastAsia="宋体" w:cs="Times New Roman"/>
          <w:snapToGrid w:val="0"/>
          <w:color w:val="auto"/>
          <w:kern w:val="0"/>
          <w:sz w:val="24"/>
          <w:szCs w:val="24"/>
          <w:lang w:val="en-US" w:eastAsia="zh-CN" w:bidi="ar"/>
        </w:rPr>
        <w:t>3</w:t>
      </w:r>
      <w:r>
        <w:rPr>
          <w:rFonts w:hint="default" w:ascii="Times New Roman" w:hAnsi="Times New Roman" w:eastAsia="宋体" w:cs="Times New Roman"/>
          <w:snapToGrid w:val="0"/>
          <w:color w:val="auto"/>
          <w:kern w:val="0"/>
          <w:sz w:val="24"/>
          <w:szCs w:val="24"/>
          <w:lang w:val="zh-CN" w:eastAsia="zh-CN" w:bidi="ar"/>
        </w:rPr>
        <w:t>，判断风险潜势为</w:t>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 2 \* ROMAN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II</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lang w:val="zh-CN" w:eastAsia="zh-CN" w:bidi="ar"/>
        </w:rPr>
        <w:t>级。本项目环境风险潜势综合等级取各要素等级的相对高值，即本项目环境风险潜势综合等级为</w:t>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 3 \* ROMAN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III</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lang w:val="zh-CN" w:eastAsia="zh-CN" w:bidi="ar"/>
        </w:rPr>
        <w:t>级。</w:t>
      </w:r>
    </w:p>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val="0"/>
          <w:bCs/>
          <w:color w:val="auto"/>
          <w:kern w:val="0"/>
          <w:sz w:val="30"/>
          <w:szCs w:val="30"/>
          <w:lang w:val="en-US" w:eastAsia="zh-CN" w:bidi="ar-SA"/>
        </w:rPr>
      </w:pPr>
      <w:r>
        <w:rPr>
          <w:rFonts w:hint="default" w:ascii="Times New Roman" w:hAnsi="Times New Roman" w:eastAsia="黑体" w:cs="Times New Roman"/>
          <w:b w:val="0"/>
          <w:bCs/>
          <w:color w:val="auto"/>
          <w:kern w:val="0"/>
          <w:sz w:val="30"/>
          <w:szCs w:val="30"/>
          <w:lang w:val="en-US" w:eastAsia="zh-CN" w:bidi="ar-SA"/>
        </w:rPr>
        <w:t>6.2.6环境风险评价工作等级</w:t>
      </w:r>
    </w:p>
    <w:p>
      <w:pPr>
        <w:keepNext w:val="0"/>
        <w:keepLines w:val="0"/>
        <w:pageBreakBefore w:val="0"/>
        <w:widowControl w:val="0"/>
        <w:kinsoku/>
        <w:wordWrap/>
        <w:overflowPunct/>
        <w:topLinePunct w:val="0"/>
        <w:autoSpaceDE/>
        <w:autoSpaceDN/>
        <w:bidi w:val="0"/>
        <w:adjustRightInd/>
        <w:snapToGrid/>
        <w:spacing w:line="360" w:lineRule="auto"/>
        <w:ind w:firstLine="480"/>
        <w:jc w:val="both"/>
        <w:textAlignment w:val="auto"/>
        <w:outlineLvl w:val="9"/>
        <w:rPr>
          <w:rFonts w:hint="default" w:ascii="Times New Roman" w:hAnsi="Times New Roman" w:eastAsia="宋体" w:cs="Times New Roman"/>
          <w:b w:val="0"/>
          <w:bCs w:val="0"/>
          <w:snapToGrid w:val="0"/>
          <w:color w:val="auto"/>
          <w:kern w:val="0"/>
          <w:sz w:val="24"/>
          <w:szCs w:val="24"/>
          <w:lang w:val="en-US" w:eastAsia="zh-CN" w:bidi="ar"/>
        </w:rPr>
      </w:pPr>
      <w:r>
        <w:rPr>
          <w:rFonts w:hint="default" w:ascii="Times New Roman" w:hAnsi="Times New Roman" w:eastAsia="宋体" w:cs="Times New Roman"/>
          <w:b w:val="0"/>
          <w:bCs w:val="0"/>
          <w:snapToGrid w:val="0"/>
          <w:color w:val="auto"/>
          <w:kern w:val="0"/>
          <w:sz w:val="24"/>
          <w:szCs w:val="24"/>
          <w:lang w:val="zh-CN" w:eastAsia="zh-CN" w:bidi="ar"/>
        </w:rPr>
        <w:t>环境风险评价工作等级划分为一级、二级、三级。根据建设项目涉及的物质及工艺系统危险性和所在地的环境敏感性确定环境风险潜势，按照表</w:t>
      </w:r>
      <w:r>
        <w:rPr>
          <w:rFonts w:hint="default" w:ascii="Times New Roman" w:hAnsi="Times New Roman" w:eastAsia="宋体" w:cs="Times New Roman"/>
          <w:b w:val="0"/>
          <w:bCs w:val="0"/>
          <w:snapToGrid w:val="0"/>
          <w:color w:val="auto"/>
          <w:kern w:val="0"/>
          <w:sz w:val="24"/>
          <w:szCs w:val="24"/>
          <w:lang w:val="en-US" w:eastAsia="zh-CN" w:bidi="ar"/>
        </w:rPr>
        <w:t>6.2-13</w:t>
      </w:r>
      <w:r>
        <w:rPr>
          <w:rFonts w:hint="default" w:ascii="Times New Roman" w:hAnsi="Times New Roman" w:eastAsia="宋体" w:cs="Times New Roman"/>
          <w:b w:val="0"/>
          <w:bCs w:val="0"/>
          <w:snapToGrid w:val="0"/>
          <w:color w:val="auto"/>
          <w:kern w:val="0"/>
          <w:sz w:val="24"/>
          <w:szCs w:val="24"/>
          <w:lang w:val="zh-CN" w:eastAsia="zh-CN" w:bidi="ar"/>
        </w:rPr>
        <w:t>确定评价工作等级，</w:t>
      </w:r>
      <w:r>
        <w:rPr>
          <w:rFonts w:hint="default" w:ascii="Times New Roman" w:hAnsi="Times New Roman" w:eastAsia="宋体" w:cs="Times New Roman"/>
          <w:b w:val="0"/>
          <w:bCs w:val="0"/>
          <w:snapToGrid w:val="0"/>
          <w:color w:val="auto"/>
          <w:kern w:val="0"/>
          <w:sz w:val="24"/>
          <w:szCs w:val="24"/>
          <w:lang w:val="en-US" w:eastAsia="zh-CN" w:bidi="ar"/>
        </w:rPr>
        <w:t>见表6.2-14。</w:t>
      </w:r>
    </w:p>
    <w:p>
      <w:pPr>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zh-CN" w:eastAsia="zh-CN" w:bidi="ar-SA"/>
        </w:rPr>
      </w:pPr>
      <w:r>
        <w:rPr>
          <w:rFonts w:hint="default" w:ascii="Times New Roman" w:hAnsi="Times New Roman" w:eastAsia="黑体" w:cs="Times New Roman"/>
          <w:b w:val="0"/>
          <w:bCs/>
          <w:color w:val="auto"/>
          <w:kern w:val="2"/>
          <w:sz w:val="24"/>
          <w:szCs w:val="24"/>
          <w:lang w:val="zh-CN" w:eastAsia="zh-CN" w:bidi="ar-SA"/>
        </w:rPr>
        <w:t>表</w:t>
      </w:r>
      <w:r>
        <w:rPr>
          <w:rFonts w:hint="default" w:ascii="Times New Roman" w:hAnsi="Times New Roman" w:eastAsia="黑体" w:cs="Times New Roman"/>
          <w:b w:val="0"/>
          <w:bCs/>
          <w:color w:val="auto"/>
          <w:kern w:val="2"/>
          <w:sz w:val="24"/>
          <w:szCs w:val="24"/>
          <w:lang w:val="en-US" w:eastAsia="zh-CN" w:bidi="ar-SA"/>
        </w:rPr>
        <w:t>6</w:t>
      </w:r>
      <w:r>
        <w:rPr>
          <w:rFonts w:hint="default" w:ascii="Times New Roman" w:hAnsi="Times New Roman" w:eastAsia="黑体" w:cs="Times New Roman"/>
          <w:b w:val="0"/>
          <w:bCs/>
          <w:color w:val="auto"/>
          <w:kern w:val="2"/>
          <w:sz w:val="24"/>
          <w:szCs w:val="24"/>
          <w:lang w:val="zh-CN" w:eastAsia="zh-CN" w:bidi="ar-SA"/>
        </w:rPr>
        <w:t>.2</w:t>
      </w:r>
      <w:r>
        <w:rPr>
          <w:rFonts w:hint="default" w:ascii="Times New Roman" w:hAnsi="Times New Roman" w:eastAsia="黑体" w:cs="Times New Roman"/>
          <w:b w:val="0"/>
          <w:bCs/>
          <w:color w:val="auto"/>
          <w:kern w:val="2"/>
          <w:sz w:val="24"/>
          <w:szCs w:val="24"/>
          <w:lang w:val="en-US" w:eastAsia="zh-CN" w:bidi="ar-SA"/>
        </w:rPr>
        <w:t>-</w:t>
      </w:r>
      <w:r>
        <w:rPr>
          <w:rFonts w:hint="default" w:ascii="Times New Roman" w:hAnsi="Times New Roman" w:eastAsia="黑体" w:cs="Times New Roman"/>
          <w:b w:val="0"/>
          <w:bCs/>
          <w:color w:val="auto"/>
          <w:kern w:val="2"/>
          <w:sz w:val="24"/>
          <w:szCs w:val="24"/>
          <w:lang w:val="zh-CN" w:eastAsia="zh-CN" w:bidi="ar-SA"/>
        </w:rPr>
        <w:t>1</w:t>
      </w:r>
      <w:r>
        <w:rPr>
          <w:rFonts w:hint="default" w:ascii="Times New Roman" w:hAnsi="Times New Roman" w:eastAsia="黑体" w:cs="Times New Roman"/>
          <w:b w:val="0"/>
          <w:bCs/>
          <w:color w:val="auto"/>
          <w:kern w:val="2"/>
          <w:sz w:val="24"/>
          <w:szCs w:val="24"/>
          <w:lang w:val="en-US" w:eastAsia="zh-CN" w:bidi="ar-SA"/>
        </w:rPr>
        <w:t>3</w:t>
      </w:r>
      <w:r>
        <w:rPr>
          <w:rFonts w:hint="default" w:ascii="Times New Roman" w:hAnsi="Times New Roman" w:eastAsia="黑体" w:cs="Times New Roman"/>
          <w:b w:val="0"/>
          <w:bCs/>
          <w:color w:val="auto"/>
          <w:kern w:val="2"/>
          <w:sz w:val="24"/>
          <w:szCs w:val="24"/>
          <w:lang w:val="zh-CN" w:eastAsia="zh-CN" w:bidi="ar-SA"/>
        </w:rPr>
        <w:t xml:space="preserve">  评价工作等级划分</w:t>
      </w:r>
    </w:p>
    <w:tbl>
      <w:tblPr>
        <w:tblStyle w:val="90"/>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5"/>
        <w:gridCol w:w="1857"/>
        <w:gridCol w:w="1858"/>
        <w:gridCol w:w="1858"/>
        <w:gridCol w:w="185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5" w:type="dxa"/>
            <w:tcBorders>
              <w:left w:val="single" w:color="auto" w:sz="4" w:space="0"/>
            </w:tcBorders>
            <w:noWrap w:val="0"/>
            <w:vAlign w:val="top"/>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环境风险潜势</w:t>
            </w:r>
          </w:p>
        </w:tc>
        <w:tc>
          <w:tcPr>
            <w:tcW w:w="1857" w:type="dxa"/>
            <w:noWrap w:val="0"/>
            <w:vAlign w:val="top"/>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fldChar w:fldCharType="begin"/>
            </w:r>
            <w:r>
              <w:rPr>
                <w:rFonts w:hint="default" w:ascii="Times New Roman" w:hAnsi="Times New Roman" w:eastAsia="宋体" w:cs="Times New Roman"/>
                <w:color w:val="auto"/>
                <w:kern w:val="2"/>
                <w:sz w:val="21"/>
                <w:szCs w:val="36"/>
                <w:lang w:val="en-US" w:eastAsia="zh-CN" w:bidi="ar-SA"/>
              </w:rPr>
              <w:instrText xml:space="preserve"> = 4 \* ROMAN </w:instrText>
            </w:r>
            <w:r>
              <w:rPr>
                <w:rFonts w:hint="default" w:ascii="Times New Roman" w:hAnsi="Times New Roman" w:eastAsia="宋体" w:cs="Times New Roman"/>
                <w:color w:val="auto"/>
                <w:kern w:val="2"/>
                <w:sz w:val="21"/>
                <w:szCs w:val="36"/>
                <w:lang w:val="en-US" w:eastAsia="zh-CN" w:bidi="ar-SA"/>
              </w:rPr>
              <w:fldChar w:fldCharType="separate"/>
            </w:r>
            <w:r>
              <w:rPr>
                <w:rFonts w:hint="default" w:ascii="Times New Roman" w:hAnsi="Times New Roman" w:eastAsia="宋体" w:cs="Times New Roman"/>
                <w:color w:val="auto"/>
                <w:kern w:val="2"/>
                <w:sz w:val="21"/>
                <w:szCs w:val="36"/>
                <w:lang w:val="en-US" w:eastAsia="zh-CN" w:bidi="ar-SA"/>
              </w:rPr>
              <w:t>IV</w:t>
            </w:r>
            <w:r>
              <w:rPr>
                <w:rFonts w:hint="default" w:ascii="Times New Roman" w:hAnsi="Times New Roman" w:eastAsia="宋体" w:cs="Times New Roman"/>
                <w:color w:val="auto"/>
                <w:kern w:val="2"/>
                <w:sz w:val="21"/>
                <w:szCs w:val="36"/>
                <w:lang w:val="en-US" w:eastAsia="zh-CN" w:bidi="ar-SA"/>
              </w:rPr>
              <w:fldChar w:fldCharType="end"/>
            </w:r>
            <w:r>
              <w:rPr>
                <w:rFonts w:hint="default" w:ascii="Times New Roman" w:hAnsi="Times New Roman" w:eastAsia="宋体" w:cs="Times New Roman"/>
                <w:color w:val="auto"/>
                <w:kern w:val="2"/>
                <w:sz w:val="21"/>
                <w:szCs w:val="36"/>
                <w:lang w:val="en-US" w:eastAsia="zh-CN" w:bidi="ar-SA"/>
              </w:rPr>
              <w:t>、</w:t>
            </w:r>
            <w:r>
              <w:rPr>
                <w:rFonts w:hint="default" w:ascii="Times New Roman" w:hAnsi="Times New Roman" w:eastAsia="宋体" w:cs="Times New Roman"/>
                <w:color w:val="auto"/>
                <w:kern w:val="2"/>
                <w:sz w:val="21"/>
                <w:szCs w:val="36"/>
                <w:lang w:val="en-US" w:eastAsia="zh-CN" w:bidi="ar-SA"/>
              </w:rPr>
              <w:fldChar w:fldCharType="begin"/>
            </w:r>
            <w:r>
              <w:rPr>
                <w:rFonts w:hint="default" w:ascii="Times New Roman" w:hAnsi="Times New Roman" w:eastAsia="宋体" w:cs="Times New Roman"/>
                <w:color w:val="auto"/>
                <w:kern w:val="2"/>
                <w:sz w:val="21"/>
                <w:szCs w:val="36"/>
                <w:lang w:val="en-US" w:eastAsia="zh-CN" w:bidi="ar-SA"/>
              </w:rPr>
              <w:instrText xml:space="preserve"> = 4 \* ROMAN </w:instrText>
            </w:r>
            <w:r>
              <w:rPr>
                <w:rFonts w:hint="default" w:ascii="Times New Roman" w:hAnsi="Times New Roman" w:eastAsia="宋体" w:cs="Times New Roman"/>
                <w:color w:val="auto"/>
                <w:kern w:val="2"/>
                <w:sz w:val="21"/>
                <w:szCs w:val="36"/>
                <w:lang w:val="en-US" w:eastAsia="zh-CN" w:bidi="ar-SA"/>
              </w:rPr>
              <w:fldChar w:fldCharType="separate"/>
            </w:r>
            <w:r>
              <w:rPr>
                <w:rFonts w:hint="default" w:ascii="Times New Roman" w:hAnsi="Times New Roman" w:eastAsia="宋体" w:cs="Times New Roman"/>
                <w:color w:val="auto"/>
                <w:kern w:val="2"/>
                <w:sz w:val="21"/>
                <w:szCs w:val="36"/>
                <w:lang w:val="en-US" w:eastAsia="zh-CN" w:bidi="ar-SA"/>
              </w:rPr>
              <w:t>IV</w:t>
            </w:r>
            <w:r>
              <w:rPr>
                <w:rFonts w:hint="default" w:ascii="Times New Roman" w:hAnsi="Times New Roman" w:eastAsia="宋体" w:cs="Times New Roman"/>
                <w:color w:val="auto"/>
                <w:kern w:val="2"/>
                <w:sz w:val="21"/>
                <w:szCs w:val="36"/>
                <w:lang w:val="en-US" w:eastAsia="zh-CN" w:bidi="ar-SA"/>
              </w:rPr>
              <w:fldChar w:fldCharType="end"/>
            </w:r>
            <w:r>
              <w:rPr>
                <w:rFonts w:hint="default" w:ascii="Times New Roman" w:hAnsi="Times New Roman" w:eastAsia="宋体" w:cs="Times New Roman"/>
                <w:color w:val="auto"/>
                <w:kern w:val="2"/>
                <w:sz w:val="21"/>
                <w:szCs w:val="36"/>
                <w:vertAlign w:val="superscript"/>
                <w:lang w:val="en-US" w:eastAsia="zh-CN" w:bidi="ar-SA"/>
              </w:rPr>
              <w:t>+</w:t>
            </w:r>
          </w:p>
        </w:tc>
        <w:tc>
          <w:tcPr>
            <w:tcW w:w="1858" w:type="dxa"/>
            <w:noWrap w:val="0"/>
            <w:vAlign w:val="top"/>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fldChar w:fldCharType="begin"/>
            </w:r>
            <w:r>
              <w:rPr>
                <w:rFonts w:hint="default" w:ascii="Times New Roman" w:hAnsi="Times New Roman" w:eastAsia="宋体" w:cs="Times New Roman"/>
                <w:color w:val="auto"/>
                <w:kern w:val="2"/>
                <w:sz w:val="21"/>
                <w:szCs w:val="36"/>
                <w:lang w:val="en-US" w:eastAsia="zh-CN" w:bidi="ar-SA"/>
              </w:rPr>
              <w:instrText xml:space="preserve"> = 3 \* ROMAN </w:instrText>
            </w:r>
            <w:r>
              <w:rPr>
                <w:rFonts w:hint="default" w:ascii="Times New Roman" w:hAnsi="Times New Roman" w:eastAsia="宋体" w:cs="Times New Roman"/>
                <w:color w:val="auto"/>
                <w:kern w:val="2"/>
                <w:sz w:val="21"/>
                <w:szCs w:val="36"/>
                <w:lang w:val="en-US" w:eastAsia="zh-CN" w:bidi="ar-SA"/>
              </w:rPr>
              <w:fldChar w:fldCharType="separate"/>
            </w:r>
            <w:r>
              <w:rPr>
                <w:rFonts w:hint="default" w:ascii="Times New Roman" w:hAnsi="Times New Roman" w:eastAsia="宋体" w:cs="Times New Roman"/>
                <w:color w:val="auto"/>
                <w:kern w:val="2"/>
                <w:sz w:val="21"/>
                <w:szCs w:val="36"/>
                <w:lang w:val="en-US" w:eastAsia="zh-CN" w:bidi="ar-SA"/>
              </w:rPr>
              <w:t>III</w:t>
            </w:r>
            <w:r>
              <w:rPr>
                <w:rFonts w:hint="default" w:ascii="Times New Roman" w:hAnsi="Times New Roman" w:eastAsia="宋体" w:cs="Times New Roman"/>
                <w:color w:val="auto"/>
                <w:kern w:val="2"/>
                <w:sz w:val="21"/>
                <w:szCs w:val="36"/>
                <w:lang w:val="en-US" w:eastAsia="zh-CN" w:bidi="ar-SA"/>
              </w:rPr>
              <w:fldChar w:fldCharType="end"/>
            </w:r>
          </w:p>
        </w:tc>
        <w:tc>
          <w:tcPr>
            <w:tcW w:w="1858" w:type="dxa"/>
            <w:noWrap w:val="0"/>
            <w:vAlign w:val="top"/>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fldChar w:fldCharType="begin"/>
            </w:r>
            <w:r>
              <w:rPr>
                <w:rFonts w:hint="default" w:ascii="Times New Roman" w:hAnsi="Times New Roman" w:eastAsia="宋体" w:cs="Times New Roman"/>
                <w:color w:val="auto"/>
                <w:kern w:val="2"/>
                <w:sz w:val="21"/>
                <w:szCs w:val="36"/>
                <w:lang w:val="en-US" w:eastAsia="zh-CN" w:bidi="ar-SA"/>
              </w:rPr>
              <w:instrText xml:space="preserve"> = 2 \* ROMAN </w:instrText>
            </w:r>
            <w:r>
              <w:rPr>
                <w:rFonts w:hint="default" w:ascii="Times New Roman" w:hAnsi="Times New Roman" w:eastAsia="宋体" w:cs="Times New Roman"/>
                <w:color w:val="auto"/>
                <w:kern w:val="2"/>
                <w:sz w:val="21"/>
                <w:szCs w:val="36"/>
                <w:lang w:val="en-US" w:eastAsia="zh-CN" w:bidi="ar-SA"/>
              </w:rPr>
              <w:fldChar w:fldCharType="separate"/>
            </w:r>
            <w:r>
              <w:rPr>
                <w:rFonts w:hint="default" w:ascii="Times New Roman" w:hAnsi="Times New Roman" w:eastAsia="宋体" w:cs="Times New Roman"/>
                <w:color w:val="auto"/>
                <w:kern w:val="2"/>
                <w:sz w:val="21"/>
                <w:szCs w:val="36"/>
                <w:lang w:val="en-US" w:eastAsia="zh-CN" w:bidi="ar-SA"/>
              </w:rPr>
              <w:t>II</w:t>
            </w:r>
            <w:r>
              <w:rPr>
                <w:rFonts w:hint="default" w:ascii="Times New Roman" w:hAnsi="Times New Roman" w:eastAsia="宋体" w:cs="Times New Roman"/>
                <w:color w:val="auto"/>
                <w:kern w:val="2"/>
                <w:sz w:val="21"/>
                <w:szCs w:val="36"/>
                <w:lang w:val="en-US" w:eastAsia="zh-CN" w:bidi="ar-SA"/>
              </w:rPr>
              <w:fldChar w:fldCharType="end"/>
            </w:r>
          </w:p>
        </w:tc>
        <w:tc>
          <w:tcPr>
            <w:tcW w:w="1858" w:type="dxa"/>
            <w:tcBorders>
              <w:right w:val="single" w:color="auto" w:sz="4" w:space="0"/>
            </w:tcBorders>
            <w:noWrap w:val="0"/>
            <w:vAlign w:val="top"/>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fldChar w:fldCharType="begin"/>
            </w:r>
            <w:r>
              <w:rPr>
                <w:rFonts w:hint="default" w:ascii="Times New Roman" w:hAnsi="Times New Roman" w:eastAsia="宋体" w:cs="Times New Roman"/>
                <w:color w:val="auto"/>
                <w:kern w:val="2"/>
                <w:sz w:val="21"/>
                <w:szCs w:val="36"/>
                <w:lang w:val="en-US" w:eastAsia="zh-CN" w:bidi="ar-SA"/>
              </w:rPr>
              <w:instrText xml:space="preserve"> = 1 \* ROMAN </w:instrText>
            </w:r>
            <w:r>
              <w:rPr>
                <w:rFonts w:hint="default" w:ascii="Times New Roman" w:hAnsi="Times New Roman" w:eastAsia="宋体" w:cs="Times New Roman"/>
                <w:color w:val="auto"/>
                <w:kern w:val="2"/>
                <w:sz w:val="21"/>
                <w:szCs w:val="36"/>
                <w:lang w:val="en-US" w:eastAsia="zh-CN" w:bidi="ar-SA"/>
              </w:rPr>
              <w:fldChar w:fldCharType="separate"/>
            </w:r>
            <w:r>
              <w:rPr>
                <w:rFonts w:hint="default" w:ascii="Times New Roman" w:hAnsi="Times New Roman" w:eastAsia="宋体" w:cs="Times New Roman"/>
                <w:color w:val="auto"/>
                <w:kern w:val="2"/>
                <w:sz w:val="21"/>
                <w:szCs w:val="36"/>
                <w:lang w:val="en-US" w:eastAsia="zh-CN" w:bidi="ar-SA"/>
              </w:rPr>
              <w:t>I</w:t>
            </w:r>
            <w:r>
              <w:rPr>
                <w:rFonts w:hint="default" w:ascii="Times New Roman" w:hAnsi="Times New Roman" w:eastAsia="宋体" w:cs="Times New Roman"/>
                <w:color w:val="auto"/>
                <w:kern w:val="2"/>
                <w:sz w:val="21"/>
                <w:szCs w:val="36"/>
                <w:lang w:val="en-US" w:eastAsia="zh-CN" w:bidi="ar-SA"/>
              </w:rPr>
              <w:fldChar w:fldCharType="end"/>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5" w:type="dxa"/>
            <w:tcBorders>
              <w:left w:val="single" w:color="auto" w:sz="4" w:space="0"/>
            </w:tcBorders>
            <w:noWrap w:val="0"/>
            <w:vAlign w:val="top"/>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评价工作等级</w:t>
            </w:r>
          </w:p>
        </w:tc>
        <w:tc>
          <w:tcPr>
            <w:tcW w:w="1857" w:type="dxa"/>
            <w:noWrap w:val="0"/>
            <w:vAlign w:val="top"/>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一</w:t>
            </w:r>
          </w:p>
        </w:tc>
        <w:tc>
          <w:tcPr>
            <w:tcW w:w="1858" w:type="dxa"/>
            <w:noWrap w:val="0"/>
            <w:vAlign w:val="top"/>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二</w:t>
            </w:r>
          </w:p>
        </w:tc>
        <w:tc>
          <w:tcPr>
            <w:tcW w:w="1858" w:type="dxa"/>
            <w:noWrap w:val="0"/>
            <w:vAlign w:val="top"/>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三</w:t>
            </w:r>
          </w:p>
        </w:tc>
        <w:tc>
          <w:tcPr>
            <w:tcW w:w="1858" w:type="dxa"/>
            <w:tcBorders>
              <w:right w:val="single" w:color="auto" w:sz="4" w:space="0"/>
            </w:tcBorders>
            <w:noWrap w:val="0"/>
            <w:vAlign w:val="top"/>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简单分析a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86" w:type="dxa"/>
            <w:gridSpan w:val="5"/>
            <w:tcBorders>
              <w:left w:val="single" w:color="auto" w:sz="4" w:space="0"/>
              <w:right w:val="single" w:color="auto" w:sz="4" w:space="0"/>
            </w:tcBorders>
            <w:noWrap w:val="0"/>
            <w:vAlign w:val="top"/>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a是相对于详细评价工作内容而言，在描述危险物质、环境影响途径、环境危害后果、风险防范措施等方面给出定性的说明。见《建设项目环境风险评价技术导则》（HJ169-2018）附录A</w:t>
            </w:r>
          </w:p>
        </w:tc>
      </w:tr>
    </w:tbl>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zh-CN" w:eastAsia="zh-CN" w:bidi="ar-SA"/>
        </w:rPr>
      </w:pPr>
      <w:r>
        <w:rPr>
          <w:rFonts w:hint="default" w:ascii="Times New Roman" w:hAnsi="Times New Roman" w:eastAsia="黑体" w:cs="Times New Roman"/>
          <w:b w:val="0"/>
          <w:bCs/>
          <w:color w:val="auto"/>
          <w:kern w:val="2"/>
          <w:sz w:val="24"/>
          <w:szCs w:val="24"/>
          <w:lang w:val="zh-CN" w:eastAsia="zh-CN" w:bidi="ar-SA"/>
        </w:rPr>
        <w:t>表</w:t>
      </w:r>
      <w:r>
        <w:rPr>
          <w:rFonts w:hint="default" w:ascii="Times New Roman" w:hAnsi="Times New Roman" w:eastAsia="黑体" w:cs="Times New Roman"/>
          <w:b w:val="0"/>
          <w:bCs/>
          <w:color w:val="auto"/>
          <w:kern w:val="2"/>
          <w:sz w:val="24"/>
          <w:szCs w:val="24"/>
          <w:lang w:val="en-US" w:eastAsia="zh-CN" w:bidi="ar-SA"/>
        </w:rPr>
        <w:t xml:space="preserve">6.2-14   </w:t>
      </w:r>
      <w:r>
        <w:rPr>
          <w:rFonts w:hint="default" w:ascii="Times New Roman" w:hAnsi="Times New Roman" w:eastAsia="黑体" w:cs="Times New Roman"/>
          <w:b w:val="0"/>
          <w:bCs/>
          <w:color w:val="auto"/>
          <w:kern w:val="2"/>
          <w:sz w:val="24"/>
          <w:szCs w:val="24"/>
          <w:lang w:val="zh-CN" w:eastAsia="zh-CN" w:bidi="ar-SA"/>
        </w:rPr>
        <w:t>环境风险评价级别</w:t>
      </w:r>
    </w:p>
    <w:tbl>
      <w:tblPr>
        <w:tblStyle w:val="90"/>
        <w:tblW w:w="0" w:type="auto"/>
        <w:jc w:val="center"/>
        <w:tblBorders>
          <w:top w:val="single" w:color="auto" w:sz="4" w:space="0"/>
          <w:left w:val="none" w:color="auto" w:sz="0" w:space="0"/>
          <w:bottom w:val="single" w:color="auto" w:sz="4" w:space="0"/>
          <w:right w:val="none" w:color="auto" w:sz="0" w:space="0"/>
          <w:insideH w:val="single" w:color="auto" w:sz="6" w:space="0"/>
          <w:insideV w:val="single" w:color="auto" w:sz="4" w:space="0"/>
        </w:tblBorders>
        <w:tblLayout w:type="fixed"/>
        <w:tblCellMar>
          <w:top w:w="0" w:type="dxa"/>
          <w:left w:w="28" w:type="dxa"/>
          <w:bottom w:w="0" w:type="dxa"/>
          <w:right w:w="28" w:type="dxa"/>
        </w:tblCellMar>
      </w:tblPr>
      <w:tblGrid>
        <w:gridCol w:w="1266"/>
        <w:gridCol w:w="619"/>
        <w:gridCol w:w="1238"/>
        <w:gridCol w:w="1700"/>
        <w:gridCol w:w="2138"/>
        <w:gridCol w:w="1201"/>
        <w:gridCol w:w="964"/>
      </w:tblGrid>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0" w:hRule="atLeast"/>
          <w:jc w:val="center"/>
        </w:trPr>
        <w:tc>
          <w:tcPr>
            <w:tcW w:w="1266" w:type="dxa"/>
            <w:tcBorders>
              <w:left w:val="single" w:color="auto" w:sz="4" w:space="0"/>
              <w:bottom w:val="single" w:color="auto" w:sz="4" w:space="0"/>
            </w:tcBorders>
            <w:noWrap w:val="0"/>
            <w:vAlign w:val="center"/>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rPr>
              <w:t>等级判断</w:t>
            </w:r>
          </w:p>
        </w:tc>
        <w:tc>
          <w:tcPr>
            <w:tcW w:w="619" w:type="dxa"/>
            <w:tcBorders>
              <w:bottom w:val="single" w:color="auto" w:sz="4" w:space="0"/>
            </w:tcBorders>
            <w:noWrap w:val="0"/>
            <w:vAlign w:val="center"/>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rPr>
              <w:t>敏感性</w:t>
            </w:r>
          </w:p>
        </w:tc>
        <w:tc>
          <w:tcPr>
            <w:tcW w:w="1238" w:type="dxa"/>
            <w:tcBorders>
              <w:bottom w:val="single" w:color="auto" w:sz="4" w:space="0"/>
            </w:tcBorders>
            <w:noWrap w:val="0"/>
            <w:vAlign w:val="center"/>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rPr>
              <w:t>行业及生产工艺（M）</w:t>
            </w:r>
          </w:p>
        </w:tc>
        <w:tc>
          <w:tcPr>
            <w:tcW w:w="1700" w:type="dxa"/>
            <w:tcBorders>
              <w:bottom w:val="single" w:color="auto" w:sz="4" w:space="0"/>
            </w:tcBorders>
            <w:noWrap w:val="0"/>
            <w:vAlign w:val="center"/>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rPr>
              <w:t>危险物质数量与临界量比值（Q）</w:t>
            </w:r>
          </w:p>
        </w:tc>
        <w:tc>
          <w:tcPr>
            <w:tcW w:w="2138" w:type="dxa"/>
            <w:tcBorders>
              <w:bottom w:val="single" w:color="auto" w:sz="4" w:space="0"/>
            </w:tcBorders>
            <w:noWrap w:val="0"/>
            <w:vAlign w:val="center"/>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rPr>
              <w:t>危险物质及工艺系统危险性等级判断（P）</w:t>
            </w:r>
          </w:p>
        </w:tc>
        <w:tc>
          <w:tcPr>
            <w:tcW w:w="1201" w:type="dxa"/>
            <w:tcBorders>
              <w:bottom w:val="single" w:color="auto" w:sz="4" w:space="0"/>
            </w:tcBorders>
            <w:noWrap w:val="0"/>
            <w:vAlign w:val="center"/>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rPr>
              <w:t>环境风险潜势划分</w:t>
            </w:r>
          </w:p>
        </w:tc>
        <w:tc>
          <w:tcPr>
            <w:tcW w:w="964" w:type="dxa"/>
            <w:tcBorders>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rPr>
              <w:t>评价工作等级</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0" w:hRule="atLeast"/>
          <w:jc w:val="center"/>
        </w:trPr>
        <w:tc>
          <w:tcPr>
            <w:tcW w:w="1266" w:type="dxa"/>
            <w:tcBorders>
              <w:top w:val="single" w:color="auto" w:sz="4" w:space="0"/>
              <w:left w:val="single" w:color="auto" w:sz="4" w:space="0"/>
              <w:bottom w:val="single" w:color="auto" w:sz="4" w:space="0"/>
            </w:tcBorders>
            <w:noWrap w:val="0"/>
            <w:vAlign w:val="center"/>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rPr>
              <w:t>大气环境</w:t>
            </w:r>
          </w:p>
        </w:tc>
        <w:tc>
          <w:tcPr>
            <w:tcW w:w="619" w:type="dxa"/>
            <w:tcBorders>
              <w:top w:val="single" w:color="auto" w:sz="4" w:space="0"/>
              <w:bottom w:val="single" w:color="auto" w:sz="4" w:space="0"/>
            </w:tcBorders>
            <w:noWrap w:val="0"/>
            <w:vAlign w:val="center"/>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rPr>
              <w:t>E</w:t>
            </w:r>
            <w:r>
              <w:rPr>
                <w:rFonts w:hint="default" w:ascii="Times New Roman" w:hAnsi="Times New Roman" w:eastAsia="宋体" w:cs="Times New Roman"/>
                <w:color w:val="auto"/>
                <w:sz w:val="21"/>
                <w:lang w:val="en-US" w:eastAsia="zh-CN"/>
              </w:rPr>
              <w:t>1</w:t>
            </w:r>
          </w:p>
        </w:tc>
        <w:tc>
          <w:tcPr>
            <w:tcW w:w="1238" w:type="dxa"/>
            <w:vMerge w:val="restart"/>
            <w:tcBorders>
              <w:top w:val="single" w:color="auto" w:sz="4" w:space="0"/>
              <w:bottom w:val="single" w:color="auto" w:sz="4" w:space="0"/>
            </w:tcBorders>
            <w:noWrap w:val="0"/>
            <w:vAlign w:val="center"/>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rPr>
              <w:t>M</w:t>
            </w:r>
            <w:r>
              <w:rPr>
                <w:rFonts w:hint="default" w:ascii="Times New Roman" w:hAnsi="Times New Roman" w:eastAsia="宋体" w:cs="Times New Roman"/>
                <w:color w:val="auto"/>
                <w:sz w:val="21"/>
                <w:lang w:val="en-US" w:eastAsia="zh-CN"/>
              </w:rPr>
              <w:t>3</w:t>
            </w:r>
          </w:p>
        </w:tc>
        <w:tc>
          <w:tcPr>
            <w:tcW w:w="1700" w:type="dxa"/>
            <w:vMerge w:val="restart"/>
            <w:tcBorders>
              <w:top w:val="single" w:color="auto" w:sz="4" w:space="0"/>
              <w:bottom w:val="single" w:color="auto" w:sz="4" w:space="0"/>
            </w:tcBorders>
            <w:noWrap w:val="0"/>
            <w:vAlign w:val="center"/>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rPr>
              <w:t>10≤Q＜100</w:t>
            </w:r>
          </w:p>
        </w:tc>
        <w:tc>
          <w:tcPr>
            <w:tcW w:w="2138" w:type="dxa"/>
            <w:vMerge w:val="restart"/>
            <w:tcBorders>
              <w:top w:val="single" w:color="auto" w:sz="4" w:space="0"/>
              <w:bottom w:val="single" w:color="auto" w:sz="4" w:space="0"/>
            </w:tcBorders>
            <w:noWrap w:val="0"/>
            <w:vAlign w:val="center"/>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rPr>
              <w:t>P</w:t>
            </w:r>
            <w:r>
              <w:rPr>
                <w:rFonts w:hint="default" w:ascii="Times New Roman" w:hAnsi="Times New Roman" w:eastAsia="宋体" w:cs="Times New Roman"/>
                <w:color w:val="auto"/>
                <w:sz w:val="21"/>
                <w:lang w:val="en-US" w:eastAsia="zh-CN"/>
              </w:rPr>
              <w:t>3</w:t>
            </w:r>
          </w:p>
        </w:tc>
        <w:tc>
          <w:tcPr>
            <w:tcW w:w="1201" w:type="dxa"/>
            <w:tcBorders>
              <w:top w:val="single" w:color="auto" w:sz="4" w:space="0"/>
              <w:bottom w:val="single" w:color="auto" w:sz="4" w:space="0"/>
            </w:tcBorders>
            <w:noWrap w:val="0"/>
            <w:vAlign w:val="center"/>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rPr>
              <w:t>III</w:t>
            </w:r>
          </w:p>
        </w:tc>
        <w:tc>
          <w:tcPr>
            <w:tcW w:w="964" w:type="dxa"/>
            <w:tcBorders>
              <w:top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lang w:val="en-US" w:eastAsia="zh-CN"/>
              </w:rPr>
              <w:t>二</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0" w:hRule="atLeast"/>
          <w:jc w:val="center"/>
        </w:trPr>
        <w:tc>
          <w:tcPr>
            <w:tcW w:w="1266" w:type="dxa"/>
            <w:tcBorders>
              <w:top w:val="single" w:color="auto" w:sz="4" w:space="0"/>
              <w:left w:val="single" w:color="auto" w:sz="4" w:space="0"/>
              <w:bottom w:val="single" w:color="auto" w:sz="4" w:space="0"/>
            </w:tcBorders>
            <w:noWrap w:val="0"/>
            <w:vAlign w:val="center"/>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rPr>
              <w:t>地表水环境</w:t>
            </w:r>
          </w:p>
        </w:tc>
        <w:tc>
          <w:tcPr>
            <w:tcW w:w="619" w:type="dxa"/>
            <w:tcBorders>
              <w:top w:val="single" w:color="auto" w:sz="4" w:space="0"/>
              <w:bottom w:val="single" w:color="auto" w:sz="4" w:space="0"/>
            </w:tcBorders>
            <w:noWrap w:val="0"/>
            <w:vAlign w:val="center"/>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rPr>
              <w:t>E</w:t>
            </w:r>
            <w:r>
              <w:rPr>
                <w:rFonts w:hint="eastAsia" w:ascii="Times New Roman" w:hAnsi="Times New Roman" w:eastAsia="宋体" w:cs="Times New Roman"/>
                <w:color w:val="auto"/>
                <w:sz w:val="21"/>
                <w:lang w:val="en-US" w:eastAsia="zh-CN"/>
              </w:rPr>
              <w:t>1</w:t>
            </w:r>
          </w:p>
        </w:tc>
        <w:tc>
          <w:tcPr>
            <w:vMerge w:val="continue"/>
            <w:tcBorders>
              <w:top w:val="single" w:color="auto" w:sz="4" w:space="0"/>
              <w:bottom w:val="single" w:color="auto" w:sz="4" w:space="0"/>
            </w:tcBorders>
            <w:noWrap w:val="0"/>
          </w:tcPr>
          <w:p/>
        </w:tc>
        <w:tc>
          <w:tcPr>
            <w:vMerge w:val="continue"/>
            <w:tcBorders>
              <w:top w:val="single" w:color="auto" w:sz="4" w:space="0"/>
              <w:bottom w:val="single" w:color="auto" w:sz="4" w:space="0"/>
            </w:tcBorders>
            <w:noWrap w:val="0"/>
          </w:tcPr>
          <w:p/>
        </w:tc>
        <w:tc>
          <w:tcPr>
            <w:vMerge w:val="continue"/>
            <w:tcBorders>
              <w:top w:val="single" w:color="auto" w:sz="4" w:space="0"/>
              <w:bottom w:val="single" w:color="auto" w:sz="4" w:space="0"/>
            </w:tcBorders>
            <w:noWrap w:val="0"/>
          </w:tcPr>
          <w:p/>
        </w:tc>
        <w:tc>
          <w:tcPr>
            <w:tcW w:w="1201" w:type="dxa"/>
            <w:tcBorders>
              <w:top w:val="single" w:color="auto" w:sz="4" w:space="0"/>
              <w:bottom w:val="single" w:color="auto" w:sz="4" w:space="0"/>
            </w:tcBorders>
            <w:noWrap w:val="0"/>
            <w:vAlign w:val="top"/>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w:t>
            </w:r>
          </w:p>
        </w:tc>
        <w:tc>
          <w:tcPr>
            <w:tcW w:w="964" w:type="dxa"/>
            <w:tcBorders>
              <w:top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0" w:hRule="atLeast"/>
          <w:jc w:val="center"/>
        </w:trPr>
        <w:tc>
          <w:tcPr>
            <w:tcW w:w="1266" w:type="dxa"/>
            <w:tcBorders>
              <w:top w:val="single" w:color="auto" w:sz="4" w:space="0"/>
              <w:left w:val="single" w:color="auto" w:sz="4" w:space="0"/>
            </w:tcBorders>
            <w:noWrap w:val="0"/>
            <w:vAlign w:val="center"/>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rPr>
              <w:t>地下水环境</w:t>
            </w:r>
          </w:p>
        </w:tc>
        <w:tc>
          <w:tcPr>
            <w:tcW w:w="619" w:type="dxa"/>
            <w:tcBorders>
              <w:top w:val="single" w:color="auto" w:sz="4" w:space="0"/>
            </w:tcBorders>
            <w:noWrap w:val="0"/>
            <w:vAlign w:val="center"/>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rPr>
              <w:t>E3</w:t>
            </w:r>
          </w:p>
        </w:tc>
        <w:tc>
          <w:tcPr>
            <w:vMerge w:val="continue"/>
            <w:tcBorders>
              <w:top w:val="single" w:color="auto" w:sz="4" w:space="0"/>
              <w:bottom w:val="single" w:color="auto" w:sz="4" w:space="0"/>
            </w:tcBorders>
            <w:noWrap w:val="0"/>
          </w:tcPr>
          <w:p/>
        </w:tc>
        <w:tc>
          <w:tcPr>
            <w:vMerge w:val="continue"/>
            <w:tcBorders>
              <w:top w:val="single" w:color="auto" w:sz="4" w:space="0"/>
              <w:bottom w:val="single" w:color="auto" w:sz="4" w:space="0"/>
            </w:tcBorders>
            <w:noWrap w:val="0"/>
          </w:tcPr>
          <w:p/>
        </w:tc>
        <w:tc>
          <w:tcPr>
            <w:vMerge w:val="continue"/>
            <w:tcBorders>
              <w:top w:val="single" w:color="auto" w:sz="4" w:space="0"/>
              <w:bottom w:val="single" w:color="auto" w:sz="4" w:space="0"/>
            </w:tcBorders>
            <w:noWrap w:val="0"/>
          </w:tcPr>
          <w:p/>
        </w:tc>
        <w:tc>
          <w:tcPr>
            <w:tcW w:w="1201" w:type="dxa"/>
            <w:tcBorders>
              <w:top w:val="single" w:color="auto" w:sz="4" w:space="0"/>
            </w:tcBorders>
            <w:noWrap w:val="0"/>
            <w:vAlign w:val="top"/>
          </w:tcPr>
          <w:p>
            <w:pPr>
              <w:keepNext w:val="0"/>
              <w:keepLines w:val="0"/>
              <w:pageBreakBefore w:val="0"/>
              <w:widowControl w:val="0"/>
              <w:suppressAutoHyphens/>
              <w:kinsoku/>
              <w:wordWrap/>
              <w:overflowPunct/>
              <w:topLinePunct w:val="0"/>
              <w:autoSpaceDE/>
              <w:autoSpaceDN/>
              <w:bidi w:val="0"/>
              <w:adjustRightInd/>
              <w:snapToGrid w:val="0"/>
              <w:spacing w:line="300" w:lineRule="exact"/>
              <w:ind w:left="0" w:firstLine="0"/>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fldChar w:fldCharType="begin"/>
            </w:r>
            <w:r>
              <w:rPr>
                <w:rFonts w:hint="default" w:ascii="Times New Roman" w:hAnsi="Times New Roman" w:eastAsia="宋体" w:cs="Times New Roman"/>
                <w:color w:val="auto"/>
                <w:kern w:val="2"/>
                <w:sz w:val="21"/>
                <w:szCs w:val="36"/>
                <w:lang w:val="en-US" w:eastAsia="zh-CN" w:bidi="ar-SA"/>
              </w:rPr>
              <w:instrText xml:space="preserve"> = 2 \* ROMAN </w:instrText>
            </w:r>
            <w:r>
              <w:rPr>
                <w:rFonts w:hint="default" w:ascii="Times New Roman" w:hAnsi="Times New Roman" w:eastAsia="宋体" w:cs="Times New Roman"/>
                <w:color w:val="auto"/>
                <w:kern w:val="2"/>
                <w:sz w:val="21"/>
                <w:szCs w:val="36"/>
                <w:lang w:val="en-US" w:eastAsia="zh-CN" w:bidi="ar-SA"/>
              </w:rPr>
              <w:fldChar w:fldCharType="separate"/>
            </w:r>
            <w:r>
              <w:rPr>
                <w:rFonts w:hint="default" w:ascii="Times New Roman" w:hAnsi="Times New Roman" w:eastAsia="宋体" w:cs="Times New Roman"/>
                <w:color w:val="auto"/>
                <w:kern w:val="2"/>
                <w:sz w:val="21"/>
                <w:szCs w:val="36"/>
                <w:lang w:val="en-US" w:eastAsia="zh-CN" w:bidi="ar-SA"/>
              </w:rPr>
              <w:t>II</w:t>
            </w:r>
            <w:r>
              <w:rPr>
                <w:rFonts w:hint="default" w:ascii="Times New Roman" w:hAnsi="Times New Roman" w:eastAsia="宋体" w:cs="Times New Roman"/>
                <w:color w:val="auto"/>
                <w:kern w:val="2"/>
                <w:sz w:val="21"/>
                <w:szCs w:val="36"/>
                <w:lang w:val="en-US" w:eastAsia="zh-CN" w:bidi="ar-SA"/>
              </w:rPr>
              <w:fldChar w:fldCharType="end"/>
            </w:r>
          </w:p>
        </w:tc>
        <w:tc>
          <w:tcPr>
            <w:tcW w:w="964" w:type="dxa"/>
            <w:tcBorders>
              <w:top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pacing w:line="300" w:lineRule="exact"/>
              <w:ind w:firstLine="0"/>
              <w:jc w:val="center"/>
              <w:textAlignment w:val="auto"/>
              <w:outlineLvl w:val="9"/>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三</w:t>
            </w:r>
          </w:p>
        </w:tc>
      </w:tr>
    </w:tbl>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4"/>
          <w:lang w:val="zh-CN" w:eastAsia="zh-CN" w:bidi="ar"/>
        </w:rPr>
        <w:t>本项目环境风险</w:t>
      </w:r>
      <w:r>
        <w:rPr>
          <w:rFonts w:hint="default" w:ascii="Times New Roman" w:hAnsi="Times New Roman" w:eastAsia="宋体" w:cs="Times New Roman"/>
          <w:snapToGrid w:val="0"/>
          <w:color w:val="auto"/>
          <w:kern w:val="0"/>
          <w:sz w:val="24"/>
          <w:szCs w:val="24"/>
          <w:lang w:val="en-US" w:eastAsia="zh-CN" w:bidi="ar"/>
        </w:rPr>
        <w:t>评价</w:t>
      </w:r>
      <w:r>
        <w:rPr>
          <w:rFonts w:hint="default" w:ascii="Times New Roman" w:hAnsi="Times New Roman" w:eastAsia="宋体" w:cs="Times New Roman"/>
          <w:snapToGrid w:val="0"/>
          <w:color w:val="auto"/>
          <w:kern w:val="0"/>
          <w:sz w:val="24"/>
          <w:szCs w:val="24"/>
          <w:lang w:val="zh-CN" w:eastAsia="zh-CN" w:bidi="ar"/>
        </w:rPr>
        <w:t>等级取各要素等级的相对高值，即本项目环境风险</w:t>
      </w:r>
      <w:r>
        <w:rPr>
          <w:rFonts w:hint="default" w:ascii="Times New Roman" w:hAnsi="Times New Roman" w:eastAsia="宋体" w:cs="Times New Roman"/>
          <w:snapToGrid w:val="0"/>
          <w:color w:val="auto"/>
          <w:kern w:val="0"/>
          <w:sz w:val="24"/>
          <w:szCs w:val="24"/>
          <w:lang w:val="en-US" w:eastAsia="zh-CN" w:bidi="ar"/>
        </w:rPr>
        <w:t>评价</w:t>
      </w:r>
      <w:r>
        <w:rPr>
          <w:rFonts w:hint="default" w:ascii="Times New Roman" w:hAnsi="Times New Roman" w:eastAsia="宋体" w:cs="Times New Roman"/>
          <w:snapToGrid w:val="0"/>
          <w:color w:val="auto"/>
          <w:kern w:val="0"/>
          <w:sz w:val="24"/>
          <w:szCs w:val="24"/>
          <w:lang w:val="zh-CN" w:eastAsia="zh-CN" w:bidi="ar"/>
        </w:rPr>
        <w:t>等级</w:t>
      </w:r>
      <w:r>
        <w:rPr>
          <w:rFonts w:hint="default" w:ascii="Times New Roman" w:hAnsi="Times New Roman" w:eastAsia="宋体" w:cs="Times New Roman"/>
          <w:bCs/>
          <w:snapToGrid w:val="0"/>
          <w:color w:val="auto"/>
          <w:kern w:val="0"/>
          <w:sz w:val="24"/>
          <w:szCs w:val="21"/>
          <w:lang w:val="en-US" w:eastAsia="zh-CN" w:bidi="ar-SA"/>
        </w:rPr>
        <w:t>为二级。</w:t>
      </w:r>
    </w:p>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val="0"/>
          <w:bCs/>
          <w:color w:val="auto"/>
          <w:kern w:val="0"/>
          <w:sz w:val="30"/>
          <w:szCs w:val="30"/>
          <w:lang w:val="en-US" w:eastAsia="zh-CN" w:bidi="ar-SA"/>
        </w:rPr>
      </w:pPr>
      <w:bookmarkStart w:id="325" w:name="_Hlk29886496"/>
      <w:r>
        <w:rPr>
          <w:rFonts w:hint="default" w:ascii="Times New Roman" w:hAnsi="Times New Roman" w:eastAsia="黑体" w:cs="Times New Roman"/>
          <w:b w:val="0"/>
          <w:bCs/>
          <w:color w:val="auto"/>
          <w:kern w:val="0"/>
          <w:sz w:val="30"/>
          <w:szCs w:val="30"/>
          <w:lang w:val="en-US" w:eastAsia="zh-CN" w:bidi="ar-SA"/>
        </w:rPr>
        <w:t>6.2.7环境风险评价范围及敏感目标</w:t>
      </w:r>
    </w:p>
    <w:bookmarkEnd w:id="325"/>
    <w:p>
      <w:pPr>
        <w:widowControl w:val="0"/>
        <w:spacing w:line="360" w:lineRule="auto"/>
        <w:ind w:firstLine="480"/>
        <w:jc w:val="both"/>
        <w:rPr>
          <w:rFonts w:hint="eastAsia" w:ascii="宋体" w:hAnsi="宋体" w:eastAsia="宋体" w:cs="宋体"/>
          <w:snapToGrid w:val="0"/>
          <w:color w:val="000000"/>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本项目大气环境风险评价范围为</w:t>
      </w:r>
      <w:r>
        <w:rPr>
          <w:rFonts w:hint="eastAsia" w:ascii="Times New Roman" w:hAnsi="Times New Roman" w:eastAsia="宋体" w:cs="Times New Roman"/>
          <w:snapToGrid w:val="0"/>
          <w:color w:val="auto"/>
          <w:kern w:val="0"/>
          <w:sz w:val="24"/>
          <w:szCs w:val="21"/>
          <w:lang w:val="en-US" w:eastAsia="zh-CN" w:bidi="ar-SA"/>
        </w:rPr>
        <w:t>5</w:t>
      </w:r>
      <w:r>
        <w:rPr>
          <w:rFonts w:hint="default" w:ascii="Times New Roman" w:hAnsi="Times New Roman" w:eastAsia="宋体" w:cs="Times New Roman"/>
          <w:snapToGrid w:val="0"/>
          <w:color w:val="auto"/>
          <w:kern w:val="0"/>
          <w:sz w:val="24"/>
          <w:szCs w:val="21"/>
          <w:lang w:val="en-US" w:eastAsia="zh-CN" w:bidi="ar-SA"/>
        </w:rPr>
        <w:t>km，该范围内</w:t>
      </w:r>
      <w:r>
        <w:rPr>
          <w:rFonts w:hint="eastAsia" w:ascii="Times New Roman" w:hAnsi="Times New Roman" w:eastAsia="宋体" w:cs="Times New Roman"/>
          <w:snapToGrid w:val="0"/>
          <w:color w:val="auto"/>
          <w:kern w:val="0"/>
          <w:sz w:val="24"/>
          <w:szCs w:val="21"/>
          <w:lang w:val="en-US" w:eastAsia="zh-CN" w:bidi="ar-SA"/>
        </w:rPr>
        <w:t>涉及</w:t>
      </w:r>
      <w:r>
        <w:rPr>
          <w:rFonts w:hint="default" w:ascii="Times New Roman" w:hAnsi="Times New Roman" w:eastAsia="宋体" w:cs="Times New Roman"/>
          <w:snapToGrid w:val="0"/>
          <w:color w:val="auto"/>
          <w:kern w:val="0"/>
          <w:sz w:val="24"/>
          <w:szCs w:val="21"/>
          <w:lang w:val="en-US" w:eastAsia="zh-CN" w:bidi="ar-SA"/>
        </w:rPr>
        <w:t>潘厝村</w:t>
      </w:r>
      <w:r>
        <w:rPr>
          <w:rFonts w:hint="eastAsia" w:ascii="Times New Roman" w:hAnsi="Times New Roman" w:eastAsia="宋体" w:cs="Times New Roman"/>
          <w:snapToGrid w:val="0"/>
          <w:color w:val="auto"/>
          <w:kern w:val="0"/>
          <w:sz w:val="24"/>
          <w:szCs w:val="21"/>
          <w:lang w:val="en-US" w:eastAsia="zh-CN" w:bidi="ar-SA"/>
        </w:rPr>
        <w:t>、</w:t>
      </w:r>
      <w:r>
        <w:rPr>
          <w:rFonts w:hint="default" w:ascii="Times New Roman" w:hAnsi="Times New Roman" w:eastAsia="宋体" w:cs="Times New Roman"/>
          <w:snapToGrid w:val="0"/>
          <w:color w:val="auto"/>
          <w:kern w:val="0"/>
          <w:sz w:val="24"/>
          <w:szCs w:val="21"/>
          <w:lang w:val="en-US" w:eastAsia="zh-CN" w:bidi="ar-SA"/>
        </w:rPr>
        <w:t>下堡村</w:t>
      </w:r>
      <w:r>
        <w:rPr>
          <w:rFonts w:hint="eastAsia" w:ascii="Times New Roman" w:hAnsi="Times New Roman" w:eastAsia="宋体" w:cs="Times New Roman"/>
          <w:snapToGrid w:val="0"/>
          <w:color w:val="auto"/>
          <w:kern w:val="0"/>
          <w:sz w:val="24"/>
          <w:szCs w:val="21"/>
          <w:lang w:val="en-US" w:eastAsia="zh-CN" w:bidi="ar-SA"/>
        </w:rPr>
        <w:t>、</w:t>
      </w:r>
      <w:r>
        <w:rPr>
          <w:rFonts w:hint="default" w:ascii="Times New Roman" w:hAnsi="Times New Roman" w:eastAsia="宋体" w:cs="Times New Roman"/>
          <w:snapToGrid w:val="0"/>
          <w:color w:val="auto"/>
          <w:kern w:val="0"/>
          <w:sz w:val="24"/>
          <w:szCs w:val="21"/>
          <w:lang w:val="en-US" w:eastAsia="zh-CN" w:bidi="ar-SA"/>
        </w:rPr>
        <w:t>田头村</w:t>
      </w:r>
      <w:r>
        <w:rPr>
          <w:rFonts w:hint="eastAsia" w:ascii="Times New Roman" w:hAnsi="Times New Roman" w:eastAsia="宋体" w:cs="Times New Roman"/>
          <w:snapToGrid w:val="0"/>
          <w:color w:val="auto"/>
          <w:kern w:val="0"/>
          <w:sz w:val="24"/>
          <w:szCs w:val="21"/>
          <w:lang w:val="en-US" w:eastAsia="zh-CN" w:bidi="ar-SA"/>
        </w:rPr>
        <w:t>、</w:t>
      </w:r>
      <w:r>
        <w:rPr>
          <w:rFonts w:hint="default" w:ascii="Times New Roman" w:hAnsi="Times New Roman" w:eastAsia="宋体" w:cs="Times New Roman"/>
          <w:snapToGrid w:val="0"/>
          <w:color w:val="auto"/>
          <w:kern w:val="0"/>
          <w:sz w:val="24"/>
          <w:szCs w:val="21"/>
          <w:lang w:val="en-US" w:eastAsia="zh-CN" w:bidi="ar-SA"/>
        </w:rPr>
        <w:t>双屿村</w:t>
      </w:r>
      <w:r>
        <w:rPr>
          <w:rFonts w:hint="eastAsia" w:ascii="Times New Roman" w:hAnsi="Times New Roman" w:eastAsia="宋体" w:cs="Times New Roman"/>
          <w:snapToGrid w:val="0"/>
          <w:color w:val="auto"/>
          <w:kern w:val="0"/>
          <w:sz w:val="24"/>
          <w:szCs w:val="21"/>
          <w:lang w:val="en-US" w:eastAsia="zh-CN" w:bidi="ar-SA"/>
        </w:rPr>
        <w:t>、</w:t>
      </w:r>
      <w:r>
        <w:rPr>
          <w:rFonts w:hint="default" w:ascii="Times New Roman" w:hAnsi="Times New Roman" w:eastAsia="宋体" w:cs="Times New Roman"/>
          <w:snapToGrid w:val="0"/>
          <w:color w:val="auto"/>
          <w:kern w:val="0"/>
          <w:sz w:val="24"/>
          <w:szCs w:val="21"/>
          <w:lang w:val="en-US" w:eastAsia="zh-CN" w:bidi="ar-SA"/>
        </w:rPr>
        <w:t>浔头村</w:t>
      </w:r>
      <w:r>
        <w:rPr>
          <w:rFonts w:hint="eastAsia" w:ascii="Times New Roman" w:hAnsi="Times New Roman" w:eastAsia="宋体" w:cs="Times New Roman"/>
          <w:snapToGrid w:val="0"/>
          <w:color w:val="auto"/>
          <w:kern w:val="0"/>
          <w:sz w:val="24"/>
          <w:szCs w:val="21"/>
          <w:lang w:val="en-US" w:eastAsia="zh-CN" w:bidi="ar-SA"/>
        </w:rPr>
        <w:t>等</w:t>
      </w:r>
      <w:r>
        <w:rPr>
          <w:rFonts w:hint="default" w:ascii="Times New Roman" w:hAnsi="Times New Roman" w:eastAsia="宋体" w:cs="Times New Roman"/>
          <w:snapToGrid w:val="0"/>
          <w:color w:val="auto"/>
          <w:kern w:val="0"/>
          <w:sz w:val="24"/>
          <w:szCs w:val="21"/>
          <w:lang w:val="en-US" w:eastAsia="zh-CN" w:bidi="ar-SA"/>
        </w:rPr>
        <w:t>。</w:t>
      </w:r>
      <w:r>
        <w:rPr>
          <w:rFonts w:hint="eastAsia" w:ascii="Times New Roman" w:hAnsi="Times New Roman" w:eastAsia="宋体" w:cs="Times New Roman"/>
          <w:snapToGrid w:val="0"/>
          <w:color w:val="auto"/>
          <w:kern w:val="0"/>
          <w:sz w:val="24"/>
          <w:szCs w:val="21"/>
          <w:lang w:val="zh-CN" w:eastAsia="zh-CN" w:bidi="ar-SA"/>
        </w:rPr>
        <w:t>地表水环境风险评价范围为</w:t>
      </w:r>
      <w:r>
        <w:rPr>
          <w:rFonts w:hint="eastAsia" w:ascii="宋体" w:hAnsi="宋体" w:eastAsia="宋体" w:cs="宋体"/>
          <w:color w:val="000000"/>
          <w:sz w:val="24"/>
          <w:szCs w:val="24"/>
          <w:lang w:val="zh-CN" w:bidi="ar"/>
        </w:rPr>
        <w:t>项目附近的兴化湾海域；地下水环境风险评价范围为本地区地下水水文地质单元</w:t>
      </w:r>
      <w:r>
        <w:rPr>
          <w:rFonts w:hint="eastAsia" w:ascii="宋体" w:hAnsi="宋体" w:eastAsia="宋体" w:cs="宋体"/>
          <w:snapToGrid w:val="0"/>
          <w:color w:val="000000"/>
          <w:kern w:val="0"/>
          <w:sz w:val="24"/>
          <w:szCs w:val="24"/>
        </w:rPr>
        <w:t>。</w:t>
      </w:r>
    </w:p>
    <w:p>
      <w:pPr>
        <w:keepNext/>
        <w:keepLines/>
        <w:widowControl w:val="0"/>
        <w:autoSpaceDE/>
        <w:autoSpaceDN/>
        <w:adjustRightInd/>
        <w:spacing w:after="0" w:afterLines="0" w:line="360" w:lineRule="auto"/>
        <w:ind w:left="0" w:firstLine="0"/>
        <w:jc w:val="both"/>
        <w:outlineLvl w:val="1"/>
        <w:rPr>
          <w:rFonts w:hint="default" w:ascii="Times New Roman" w:hAnsi="Times New Roman" w:eastAsia="黑体" w:cs="Times New Roman"/>
          <w:b w:val="0"/>
          <w:bCs w:val="0"/>
          <w:color w:val="auto"/>
          <w:kern w:val="2"/>
          <w:sz w:val="32"/>
          <w:szCs w:val="30"/>
          <w:lang w:val="en-US" w:eastAsia="zh-CN" w:bidi="ar-SA"/>
        </w:rPr>
      </w:pPr>
      <w:bookmarkStart w:id="326" w:name="_Toc10425"/>
      <w:r>
        <w:rPr>
          <w:rFonts w:hint="default" w:ascii="Times New Roman" w:hAnsi="Times New Roman" w:eastAsia="黑体" w:cs="Times New Roman"/>
          <w:b w:val="0"/>
          <w:bCs w:val="0"/>
          <w:color w:val="auto"/>
          <w:kern w:val="2"/>
          <w:sz w:val="32"/>
          <w:szCs w:val="30"/>
          <w:lang w:val="en-US" w:eastAsia="zh-CN" w:bidi="ar-SA"/>
        </w:rPr>
        <w:t>6.3</w:t>
      </w:r>
      <w:bookmarkStart w:id="327" w:name="_Toc48721723"/>
      <w:r>
        <w:rPr>
          <w:rFonts w:hint="default" w:ascii="Times New Roman" w:hAnsi="Times New Roman" w:eastAsia="黑体" w:cs="Times New Roman"/>
          <w:b w:val="0"/>
          <w:bCs w:val="0"/>
          <w:color w:val="auto"/>
          <w:kern w:val="2"/>
          <w:sz w:val="32"/>
          <w:szCs w:val="30"/>
          <w:lang w:val="en-US" w:eastAsia="zh-CN" w:bidi="ar-SA"/>
        </w:rPr>
        <w:t>风险事故情形分析</w:t>
      </w:r>
      <w:bookmarkEnd w:id="326"/>
      <w:bookmarkEnd w:id="327"/>
    </w:p>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val="0"/>
          <w:bCs w:val="0"/>
          <w:color w:val="auto"/>
          <w:kern w:val="0"/>
          <w:sz w:val="30"/>
          <w:szCs w:val="30"/>
          <w:lang w:val="en-US" w:eastAsia="zh-CN" w:bidi="ar-SA"/>
        </w:rPr>
      </w:pPr>
      <w:r>
        <w:rPr>
          <w:rFonts w:hint="default" w:ascii="Times New Roman" w:hAnsi="Times New Roman" w:eastAsia="黑体" w:cs="Times New Roman"/>
          <w:b w:val="0"/>
          <w:bCs w:val="0"/>
          <w:color w:val="auto"/>
          <w:kern w:val="0"/>
          <w:sz w:val="30"/>
          <w:szCs w:val="30"/>
          <w:lang w:val="en-US" w:eastAsia="zh-CN" w:bidi="ar-SA"/>
        </w:rPr>
        <w:t>6.3.1风险事故情形设定</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（1）事故统计分析</w:t>
      </w:r>
    </w:p>
    <w:p>
      <w:pPr>
        <w:widowControl/>
        <w:tabs>
          <w:tab w:val="left" w:pos="0"/>
        </w:tabs>
        <w:autoSpaceDE w:val="0"/>
        <w:autoSpaceDN w:val="0"/>
        <w:adjustRightInd w:val="0"/>
        <w:snapToGrid w:val="0"/>
        <w:spacing w:before="60" w:after="0" w:line="336" w:lineRule="auto"/>
        <w:ind w:left="0" w:firstLine="480"/>
        <w:jc w:val="both"/>
        <w:textAlignment w:val="baseline"/>
        <w:rPr>
          <w:rFonts w:hint="default" w:ascii="Times New Roman" w:hAnsi="Times New Roman" w:eastAsia="宋体" w:cs="Times New Roman"/>
          <w:color w:val="auto"/>
          <w:kern w:val="2"/>
          <w:sz w:val="24"/>
          <w:szCs w:val="24"/>
          <w:lang w:val="en-US" w:eastAsia="zh-CN" w:bidi="ar"/>
        </w:rPr>
      </w:pPr>
      <w:r>
        <w:rPr>
          <w:rFonts w:hint="default" w:ascii="Times New Roman" w:hAnsi="Times New Roman" w:eastAsia="宋体" w:cs="Times New Roman"/>
          <w:color w:val="auto"/>
          <w:kern w:val="2"/>
          <w:sz w:val="24"/>
          <w:szCs w:val="24"/>
          <w:lang w:val="zh-CN" w:eastAsia="zh-CN" w:bidi="ar"/>
        </w:rPr>
        <w:t>根据</w:t>
      </w:r>
      <w:r>
        <w:rPr>
          <w:rFonts w:hint="default" w:ascii="Times New Roman" w:hAnsi="Times New Roman" w:eastAsia="宋体" w:cs="Times New Roman"/>
          <w:color w:val="auto"/>
          <w:kern w:val="2"/>
          <w:sz w:val="24"/>
          <w:szCs w:val="24"/>
          <w:lang w:val="en-US" w:eastAsia="zh-CN" w:bidi="ar"/>
        </w:rPr>
        <w:t>95</w:t>
      </w:r>
      <w:r>
        <w:rPr>
          <w:rFonts w:hint="default" w:ascii="Times New Roman" w:hAnsi="Times New Roman" w:eastAsia="宋体" w:cs="Times New Roman"/>
          <w:color w:val="auto"/>
          <w:kern w:val="2"/>
          <w:sz w:val="24"/>
          <w:szCs w:val="24"/>
          <w:lang w:val="zh-CN" w:eastAsia="zh-CN" w:bidi="ar"/>
        </w:rPr>
        <w:t>个国家、约</w:t>
      </w:r>
      <w:r>
        <w:rPr>
          <w:rFonts w:hint="default" w:ascii="Times New Roman" w:hAnsi="Times New Roman" w:eastAsia="宋体" w:cs="Times New Roman"/>
          <w:color w:val="auto"/>
          <w:kern w:val="2"/>
          <w:sz w:val="24"/>
          <w:szCs w:val="24"/>
          <w:lang w:val="en-US" w:eastAsia="zh-CN" w:bidi="ar"/>
        </w:rPr>
        <w:t>25</w:t>
      </w:r>
      <w:r>
        <w:rPr>
          <w:rFonts w:hint="default" w:ascii="Times New Roman" w:hAnsi="Times New Roman" w:eastAsia="宋体" w:cs="Times New Roman"/>
          <w:color w:val="auto"/>
          <w:kern w:val="2"/>
          <w:sz w:val="24"/>
          <w:szCs w:val="24"/>
          <w:lang w:val="zh-CN" w:eastAsia="zh-CN" w:bidi="ar"/>
        </w:rPr>
        <w:t>年登记的化学品事故中，发生过突发性化学事件的化学品物质形态、事故来源及事故的原因见表</w:t>
      </w:r>
      <w:r>
        <w:rPr>
          <w:rFonts w:hint="default" w:ascii="Times New Roman" w:hAnsi="Times New Roman" w:eastAsia="宋体" w:cs="Times New Roman"/>
          <w:color w:val="auto"/>
          <w:kern w:val="2"/>
          <w:sz w:val="24"/>
          <w:szCs w:val="24"/>
          <w:lang w:val="en-US" w:eastAsia="zh-CN" w:bidi="ar"/>
        </w:rPr>
        <w:t>6.3-1</w:t>
      </w:r>
      <w:r>
        <w:rPr>
          <w:rFonts w:hint="default" w:ascii="Times New Roman" w:hAnsi="Times New Roman" w:eastAsia="宋体" w:cs="Times New Roman"/>
          <w:color w:val="auto"/>
          <w:kern w:val="2"/>
          <w:sz w:val="24"/>
          <w:szCs w:val="24"/>
          <w:lang w:val="zh-CN" w:eastAsia="zh-CN" w:bidi="ar"/>
        </w:rPr>
        <w:t>。</w:t>
      </w:r>
    </w:p>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zh-CN" w:eastAsia="zh-CN" w:bidi="ar-SA"/>
        </w:rPr>
      </w:pPr>
      <w:r>
        <w:rPr>
          <w:rFonts w:hint="default" w:ascii="Times New Roman" w:hAnsi="Times New Roman" w:eastAsia="黑体" w:cs="Times New Roman"/>
          <w:b w:val="0"/>
          <w:bCs/>
          <w:color w:val="auto"/>
          <w:kern w:val="2"/>
          <w:sz w:val="24"/>
          <w:szCs w:val="24"/>
          <w:lang w:val="zh-CN" w:eastAsia="zh-CN" w:bidi="ar-SA"/>
        </w:rPr>
        <w:t>表</w:t>
      </w:r>
      <w:r>
        <w:rPr>
          <w:rFonts w:hint="default" w:ascii="Times New Roman" w:hAnsi="Times New Roman" w:eastAsia="黑体" w:cs="Times New Roman"/>
          <w:b w:val="0"/>
          <w:bCs/>
          <w:color w:val="auto"/>
          <w:kern w:val="2"/>
          <w:sz w:val="24"/>
          <w:szCs w:val="24"/>
          <w:lang w:val="en-US" w:eastAsia="zh-CN" w:bidi="ar-SA"/>
        </w:rPr>
        <w:t>6.3-</w:t>
      </w:r>
      <w:r>
        <w:rPr>
          <w:rFonts w:hint="default" w:ascii="Times New Roman" w:hAnsi="Times New Roman" w:eastAsia="黑体" w:cs="Times New Roman"/>
          <w:b w:val="0"/>
          <w:bCs/>
          <w:color w:val="auto"/>
          <w:kern w:val="2"/>
          <w:sz w:val="24"/>
          <w:szCs w:val="24"/>
          <w:lang w:val="zh-CN" w:eastAsia="zh-CN" w:bidi="ar-SA"/>
        </w:rPr>
        <w:fldChar w:fldCharType="begin"/>
      </w:r>
      <w:r>
        <w:rPr>
          <w:rFonts w:hint="default" w:ascii="Times New Roman" w:hAnsi="Times New Roman" w:eastAsia="黑体" w:cs="Times New Roman"/>
          <w:b w:val="0"/>
          <w:bCs/>
          <w:color w:val="auto"/>
          <w:kern w:val="2"/>
          <w:sz w:val="24"/>
          <w:szCs w:val="24"/>
          <w:lang w:val="zh-CN" w:eastAsia="zh-CN" w:bidi="ar-SA"/>
        </w:rPr>
        <w:instrText xml:space="preserve"> SEQ 表 \* ARABIC \s 2 </w:instrText>
      </w:r>
      <w:r>
        <w:rPr>
          <w:rFonts w:hint="default" w:ascii="Times New Roman" w:hAnsi="Times New Roman" w:eastAsia="黑体" w:cs="Times New Roman"/>
          <w:b w:val="0"/>
          <w:bCs/>
          <w:color w:val="auto"/>
          <w:kern w:val="2"/>
          <w:sz w:val="24"/>
          <w:szCs w:val="24"/>
          <w:lang w:val="zh-CN" w:eastAsia="zh-CN" w:bidi="ar-SA"/>
        </w:rPr>
        <w:fldChar w:fldCharType="separate"/>
      </w:r>
      <w:r>
        <w:rPr>
          <w:rFonts w:hint="default" w:ascii="Times New Roman" w:hAnsi="Times New Roman" w:eastAsia="黑体" w:cs="Times New Roman"/>
          <w:b w:val="0"/>
          <w:bCs/>
          <w:color w:val="auto"/>
          <w:kern w:val="2"/>
          <w:sz w:val="24"/>
          <w:szCs w:val="24"/>
          <w:lang w:val="zh-CN" w:eastAsia="zh-CN" w:bidi="ar-SA"/>
        </w:rPr>
        <w:t>1</w:t>
      </w:r>
      <w:r>
        <w:rPr>
          <w:rFonts w:hint="default" w:ascii="Times New Roman" w:hAnsi="Times New Roman" w:eastAsia="黑体" w:cs="Times New Roman"/>
          <w:b w:val="0"/>
          <w:bCs/>
          <w:color w:val="auto"/>
          <w:kern w:val="2"/>
          <w:sz w:val="24"/>
          <w:szCs w:val="24"/>
          <w:lang w:val="zh-CN" w:eastAsia="zh-CN" w:bidi="ar-SA"/>
        </w:rPr>
        <w:fldChar w:fldCharType="end"/>
      </w:r>
      <w:r>
        <w:rPr>
          <w:rFonts w:hint="default" w:ascii="Times New Roman" w:hAnsi="Times New Roman" w:eastAsia="黑体" w:cs="Times New Roman"/>
          <w:b w:val="0"/>
          <w:bCs/>
          <w:color w:val="auto"/>
          <w:kern w:val="2"/>
          <w:sz w:val="24"/>
          <w:szCs w:val="24"/>
          <w:lang w:val="zh-CN" w:eastAsia="zh-CN" w:bidi="ar-SA"/>
        </w:rPr>
        <w:t xml:space="preserve"> 化学品事故分类情况</w:t>
      </w:r>
    </w:p>
    <w:tbl>
      <w:tblPr>
        <w:tblStyle w:val="90"/>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29"/>
        <w:gridCol w:w="2207"/>
        <w:gridCol w:w="1422"/>
        <w:gridCol w:w="2206"/>
        <w:gridCol w:w="142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029" w:type="dxa"/>
            <w:tcBorders>
              <w:lef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类别</w:t>
            </w:r>
          </w:p>
        </w:tc>
        <w:tc>
          <w:tcPr>
            <w:tcW w:w="220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名称</w:t>
            </w:r>
          </w:p>
        </w:tc>
        <w:tc>
          <w:tcPr>
            <w:tcW w:w="142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百分数%</w:t>
            </w:r>
          </w:p>
        </w:tc>
        <w:tc>
          <w:tcPr>
            <w:tcW w:w="22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名称</w:t>
            </w:r>
          </w:p>
        </w:tc>
        <w:tc>
          <w:tcPr>
            <w:tcW w:w="1422"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百分数%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029" w:type="dxa"/>
            <w:vMerge w:val="restart"/>
            <w:tcBorders>
              <w:lef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化学品的物质形态</w:t>
            </w:r>
          </w:p>
        </w:tc>
        <w:tc>
          <w:tcPr>
            <w:tcW w:w="220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液体</w:t>
            </w:r>
          </w:p>
        </w:tc>
        <w:tc>
          <w:tcPr>
            <w:tcW w:w="142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47.8</w:t>
            </w:r>
          </w:p>
        </w:tc>
        <w:tc>
          <w:tcPr>
            <w:tcW w:w="22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液化气</w:t>
            </w:r>
          </w:p>
        </w:tc>
        <w:tc>
          <w:tcPr>
            <w:tcW w:w="1422"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27.6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vMerge w:val="continue"/>
            <w:tcBorders>
              <w:left w:val="single" w:color="auto" w:sz="4" w:space="0"/>
            </w:tcBorders>
            <w:noWrap w:val="0"/>
          </w:tcPr>
          <w:p/>
        </w:tc>
        <w:tc>
          <w:tcPr>
            <w:tcW w:w="220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气体</w:t>
            </w:r>
          </w:p>
        </w:tc>
        <w:tc>
          <w:tcPr>
            <w:tcW w:w="142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18.8</w:t>
            </w:r>
          </w:p>
        </w:tc>
        <w:tc>
          <w:tcPr>
            <w:tcW w:w="22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固体</w:t>
            </w:r>
          </w:p>
        </w:tc>
        <w:tc>
          <w:tcPr>
            <w:tcW w:w="1422"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8.2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029" w:type="dxa"/>
            <w:vMerge w:val="restart"/>
            <w:tcBorders>
              <w:lef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事故来源</w:t>
            </w:r>
          </w:p>
        </w:tc>
        <w:tc>
          <w:tcPr>
            <w:tcW w:w="220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运输</w:t>
            </w:r>
          </w:p>
        </w:tc>
        <w:tc>
          <w:tcPr>
            <w:tcW w:w="142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34.2</w:t>
            </w:r>
          </w:p>
        </w:tc>
        <w:tc>
          <w:tcPr>
            <w:tcW w:w="22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贮存</w:t>
            </w:r>
          </w:p>
        </w:tc>
        <w:tc>
          <w:tcPr>
            <w:tcW w:w="1422"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23.1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vMerge w:val="continue"/>
            <w:tcBorders>
              <w:left w:val="single" w:color="auto" w:sz="4" w:space="0"/>
            </w:tcBorders>
            <w:noWrap w:val="0"/>
          </w:tcPr>
          <w:p/>
        </w:tc>
        <w:tc>
          <w:tcPr>
            <w:tcW w:w="220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工艺过程</w:t>
            </w:r>
          </w:p>
        </w:tc>
        <w:tc>
          <w:tcPr>
            <w:tcW w:w="142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33.0</w:t>
            </w:r>
          </w:p>
        </w:tc>
        <w:tc>
          <w:tcPr>
            <w:tcW w:w="22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搬运</w:t>
            </w:r>
          </w:p>
        </w:tc>
        <w:tc>
          <w:tcPr>
            <w:tcW w:w="1422"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9.6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029" w:type="dxa"/>
            <w:vMerge w:val="restart"/>
            <w:tcBorders>
              <w:lef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事故原因</w:t>
            </w:r>
          </w:p>
        </w:tc>
        <w:tc>
          <w:tcPr>
            <w:tcW w:w="220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阀门管线泄漏</w:t>
            </w:r>
          </w:p>
        </w:tc>
        <w:tc>
          <w:tcPr>
            <w:tcW w:w="142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35.1</w:t>
            </w:r>
          </w:p>
        </w:tc>
        <w:tc>
          <w:tcPr>
            <w:tcW w:w="22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泵设备故障</w:t>
            </w:r>
          </w:p>
        </w:tc>
        <w:tc>
          <w:tcPr>
            <w:tcW w:w="1422"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18.2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vMerge w:val="continue"/>
            <w:tcBorders>
              <w:left w:val="single" w:color="auto" w:sz="4" w:space="0"/>
            </w:tcBorders>
            <w:noWrap w:val="0"/>
          </w:tcPr>
          <w:p/>
        </w:tc>
        <w:tc>
          <w:tcPr>
            <w:tcW w:w="220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操作失误</w:t>
            </w:r>
          </w:p>
        </w:tc>
        <w:tc>
          <w:tcPr>
            <w:tcW w:w="142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15.6</w:t>
            </w:r>
          </w:p>
        </w:tc>
        <w:tc>
          <w:tcPr>
            <w:tcW w:w="22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仪表、电器失灵</w:t>
            </w:r>
          </w:p>
        </w:tc>
        <w:tc>
          <w:tcPr>
            <w:tcW w:w="1422"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12.4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vMerge w:val="continue"/>
            <w:tcBorders>
              <w:left w:val="single" w:color="auto" w:sz="4" w:space="0"/>
            </w:tcBorders>
            <w:noWrap w:val="0"/>
          </w:tcPr>
          <w:p/>
        </w:tc>
        <w:tc>
          <w:tcPr>
            <w:tcW w:w="220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反应失控</w:t>
            </w:r>
          </w:p>
        </w:tc>
        <w:tc>
          <w:tcPr>
            <w:tcW w:w="142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10.4</w:t>
            </w:r>
          </w:p>
        </w:tc>
        <w:tc>
          <w:tcPr>
            <w:tcW w:w="22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雷击等自然灾害</w:t>
            </w:r>
          </w:p>
        </w:tc>
        <w:tc>
          <w:tcPr>
            <w:tcW w:w="1422"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beforeAutospacing="0" w:after="0" w:afterAutospacing="0" w:line="300" w:lineRule="exact"/>
              <w:ind w:left="0" w:right="0" w:firstLine="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8.2</w:t>
            </w:r>
          </w:p>
        </w:tc>
      </w:tr>
    </w:tbl>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2"/>
          <w:sz w:val="24"/>
          <w:szCs w:val="24"/>
          <w:lang w:val="en-US" w:eastAsia="zh-CN" w:bidi="ar"/>
        </w:rPr>
        <w:t>从化学品的物质形态来看，液体和液化气的比重较大，分别占47.8%和27.6%；从事故来源看，贮运事故高达57.3%；从事故的原因分析，阀门、管线泄漏是主要事故原因，占35.1%，其次是设备故障和操作失误。</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（2）事故原因分析</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①仓储区物料泄漏：造成泄漏的原因主要是物料装卸过满导致溢出或储罐、吨桶、储槽产生裂缝发生泄漏；控制阀门或压力表损坏或车间储罐产生裂缝发生泄漏；因意外事故导致倾覆、破裂而产生的泄漏。</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②物料输送：可能发生事故的环节主要有泵失效不运转（如电器故障、机械故障、设备故障等），导致物料受压溢出、连接软管脱节直接外排。</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③管道：失控、误操作导致物料溢出，机械撞击或管道腐蚀穿孔导致泄漏；密封出现问题，导致连接处泄漏。</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④环保措施：环保治理设施运转不正常造成事故排放，造成环境污染的情况；废气处理系统故障、污水处理事故都可能造成环境污染。</w:t>
      </w:r>
    </w:p>
    <w:p>
      <w:pPr>
        <w:widowControl w:val="0"/>
        <w:numPr>
          <w:ilvl w:val="0"/>
          <w:numId w:val="16"/>
        </w:numPr>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本项目风险事故情形设定</w:t>
      </w:r>
    </w:p>
    <w:p>
      <w:pPr>
        <w:keepNext w:val="0"/>
        <w:keepLines w:val="0"/>
        <w:pageBreakBefore w:val="0"/>
        <w:kinsoku/>
        <w:wordWrap/>
        <w:overflowPunct/>
        <w:topLinePunct w:val="0"/>
        <w:bidi w:val="0"/>
        <w:snapToGrid/>
        <w:spacing w:line="360" w:lineRule="auto"/>
        <w:ind w:firstLine="480"/>
        <w:outlineLvl w:val="9"/>
        <w:rPr>
          <w:rFonts w:hint="default" w:ascii="Times New Roman" w:hAnsi="Times New Roman" w:eastAsia="宋体" w:cs="Times New Roman"/>
          <w:b/>
          <w:color w:val="auto"/>
          <w:sz w:val="24"/>
          <w:szCs w:val="24"/>
          <w:lang w:val="zh-CN"/>
        </w:rPr>
      </w:pPr>
      <w:r>
        <w:rPr>
          <w:rFonts w:hint="default" w:ascii="Times New Roman" w:hAnsi="Times New Roman" w:eastAsia="宋体" w:cs="Times New Roman"/>
          <w:color w:val="auto"/>
          <w:sz w:val="24"/>
          <w:szCs w:val="24"/>
          <w:lang w:val="zh-CN" w:bidi="ar"/>
        </w:rPr>
        <w:t>结合风险物质的最大存量、毒性终点浓度、挥发性，根据环境风险识别结果及风险事故情形设定原则及上述风险事故统计表，本项目代表性事故情形设定如下表所示。</w:t>
      </w:r>
    </w:p>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zh-CN" w:eastAsia="zh-CN" w:bidi="ar-SA"/>
        </w:rPr>
      </w:pPr>
      <w:r>
        <w:rPr>
          <w:rFonts w:hint="default" w:ascii="Times New Roman" w:hAnsi="Times New Roman" w:eastAsia="黑体" w:cs="Times New Roman"/>
          <w:b w:val="0"/>
          <w:bCs/>
          <w:color w:val="auto"/>
          <w:kern w:val="2"/>
          <w:sz w:val="24"/>
          <w:szCs w:val="24"/>
          <w:lang w:val="zh-CN" w:eastAsia="zh-CN" w:bidi="ar-SA"/>
        </w:rPr>
        <w:t>表</w:t>
      </w:r>
      <w:r>
        <w:rPr>
          <w:rFonts w:hint="default" w:ascii="Times New Roman" w:hAnsi="Times New Roman" w:eastAsia="黑体" w:cs="Times New Roman"/>
          <w:b w:val="0"/>
          <w:bCs/>
          <w:color w:val="auto"/>
          <w:kern w:val="2"/>
          <w:sz w:val="24"/>
          <w:szCs w:val="24"/>
          <w:lang w:val="en-US" w:eastAsia="zh-CN" w:bidi="ar-SA"/>
        </w:rPr>
        <w:t>6.3</w:t>
      </w:r>
      <w:r>
        <w:rPr>
          <w:rFonts w:hint="default" w:ascii="Times New Roman" w:hAnsi="Times New Roman" w:eastAsia="黑体" w:cs="Times New Roman"/>
          <w:b w:val="0"/>
          <w:bCs/>
          <w:color w:val="auto"/>
          <w:kern w:val="2"/>
          <w:sz w:val="24"/>
          <w:szCs w:val="24"/>
          <w:lang w:val="zh-CN" w:eastAsia="zh-CN" w:bidi="ar-SA"/>
        </w:rPr>
        <w:t>-2 项目代表性事故情形设定表</w:t>
      </w:r>
    </w:p>
    <w:tbl>
      <w:tblPr>
        <w:tblStyle w:val="90"/>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10"/>
        <w:gridCol w:w="1961"/>
        <w:gridCol w:w="1545"/>
        <w:gridCol w:w="1567"/>
        <w:gridCol w:w="310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1110" w:type="dxa"/>
            <w:tcBorders>
              <w:left w:val="single" w:color="auto" w:sz="4" w:space="0"/>
            </w:tcBorders>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143" w:right="0" w:firstLine="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危险单元</w:t>
            </w:r>
          </w:p>
        </w:tc>
        <w:tc>
          <w:tcPr>
            <w:tcW w:w="1961"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风险源</w:t>
            </w:r>
          </w:p>
        </w:tc>
        <w:tc>
          <w:tcPr>
            <w:tcW w:w="1545"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危险物质</w:t>
            </w:r>
          </w:p>
        </w:tc>
        <w:tc>
          <w:tcPr>
            <w:tcW w:w="1567"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146" w:right="-137" w:firstLine="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环境风险类型</w:t>
            </w:r>
          </w:p>
        </w:tc>
        <w:tc>
          <w:tcPr>
            <w:tcW w:w="3103" w:type="dxa"/>
            <w:tcBorders>
              <w:right w:val="single" w:color="auto" w:sz="4" w:space="0"/>
            </w:tcBorders>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环境影响途径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1110" w:type="dxa"/>
            <w:tcBorders>
              <w:left w:val="single" w:color="auto" w:sz="4" w:space="0"/>
            </w:tcBorders>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143" w:right="0" w:firstLine="0"/>
              <w:jc w:val="center"/>
              <w:textAlignment w:val="auto"/>
              <w:outlineLvl w:val="9"/>
              <w:rPr>
                <w:rFonts w:hint="default" w:ascii="Times New Roman" w:hAnsi="Times New Roman" w:eastAsia="宋体" w:cs="Times New Roman"/>
                <w:color w:val="000000"/>
                <w:sz w:val="21"/>
                <w:szCs w:val="21"/>
                <w:lang w:val="en-US" w:eastAsia="zh-CN" w:bidi="ar"/>
              </w:rPr>
            </w:pPr>
            <w:r>
              <w:rPr>
                <w:rFonts w:hint="default" w:ascii="Times New Roman" w:hAnsi="Times New Roman" w:eastAsia="宋体" w:cs="Times New Roman"/>
                <w:color w:val="000000"/>
                <w:sz w:val="21"/>
                <w:szCs w:val="21"/>
                <w:lang w:val="en-US" w:eastAsia="zh-CN" w:bidi="ar"/>
              </w:rPr>
              <w:t>二</w:t>
            </w:r>
            <w:r>
              <w:rPr>
                <w:rFonts w:hint="eastAsia" w:ascii="Times New Roman" w:hAnsi="Times New Roman" w:eastAsia="宋体" w:cs="Times New Roman"/>
                <w:color w:val="000000"/>
                <w:sz w:val="21"/>
                <w:szCs w:val="21"/>
                <w:lang w:val="en-US" w:eastAsia="zh-CN" w:bidi="ar"/>
              </w:rPr>
              <w:t>号</w:t>
            </w:r>
            <w:r>
              <w:rPr>
                <w:rFonts w:hint="default" w:ascii="Times New Roman" w:hAnsi="Times New Roman" w:eastAsia="宋体" w:cs="Times New Roman"/>
                <w:color w:val="000000"/>
                <w:sz w:val="21"/>
                <w:szCs w:val="21"/>
                <w:lang w:val="en-US" w:eastAsia="zh-CN" w:bidi="ar"/>
              </w:rPr>
              <w:t xml:space="preserve">车间装置区 </w:t>
            </w:r>
          </w:p>
        </w:tc>
        <w:tc>
          <w:tcPr>
            <w:tcW w:w="1961"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sz w:val="21"/>
                <w:szCs w:val="21"/>
                <w:lang w:val="en-US" w:bidi="ar"/>
              </w:rPr>
            </w:pPr>
            <w:r>
              <w:rPr>
                <w:rFonts w:hint="default" w:ascii="Times New Roman" w:hAnsi="Times New Roman" w:eastAsia="宋体" w:cs="Times New Roman"/>
                <w:color w:val="000000"/>
                <w:kern w:val="0"/>
                <w:sz w:val="21"/>
                <w:szCs w:val="21"/>
                <w:lang w:val="en-US" w:eastAsia="zh-CN" w:bidi="ar"/>
              </w:rPr>
              <w:t>浓硝酸高位槽/储槽</w:t>
            </w:r>
            <w:r>
              <w:rPr>
                <w:rFonts w:hint="default" w:ascii="Times New Roman" w:hAnsi="Times New Roman" w:eastAsia="宋体" w:cs="Times New Roman"/>
                <w:color w:val="000000"/>
                <w:sz w:val="21"/>
                <w:szCs w:val="21"/>
                <w:lang w:val="en-US" w:eastAsia="zh-CN" w:bidi="ar"/>
              </w:rPr>
              <w:t>、硝酸银储槽、</w:t>
            </w:r>
            <w:r>
              <w:rPr>
                <w:rFonts w:hint="default" w:ascii="Times New Roman" w:hAnsi="Times New Roman" w:eastAsia="宋体" w:cs="Times New Roman"/>
                <w:color w:val="000000"/>
                <w:kern w:val="0"/>
                <w:sz w:val="21"/>
                <w:szCs w:val="21"/>
                <w:lang w:val="en-US" w:eastAsia="zh-CN" w:bidi="ar"/>
              </w:rPr>
              <w:t>氨水储槽、双氧水储槽</w:t>
            </w:r>
            <w:r>
              <w:rPr>
                <w:rFonts w:hint="default" w:ascii="Times New Roman" w:hAnsi="Times New Roman" w:eastAsia="宋体" w:cs="Times New Roman"/>
                <w:color w:val="000000"/>
                <w:sz w:val="21"/>
                <w:szCs w:val="21"/>
                <w:lang w:val="en-US" w:eastAsia="zh-CN" w:bidi="ar"/>
              </w:rPr>
              <w:t>、乙醇储罐、双氧水储罐</w:t>
            </w:r>
            <w:r>
              <w:rPr>
                <w:rFonts w:hint="eastAsia" w:ascii="Times New Roman" w:hAnsi="Times New Roman" w:eastAsia="宋体" w:cs="Times New Roman"/>
                <w:color w:val="000000"/>
                <w:sz w:val="21"/>
                <w:szCs w:val="21"/>
                <w:lang w:val="en-US" w:eastAsia="zh-CN" w:bidi="ar"/>
              </w:rPr>
              <w:t>、银板银粉</w:t>
            </w:r>
          </w:p>
        </w:tc>
        <w:tc>
          <w:tcPr>
            <w:tcW w:w="1545"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sz w:val="21"/>
                <w:szCs w:val="21"/>
                <w:lang w:val="en-US" w:bidi="ar"/>
              </w:rPr>
            </w:pPr>
            <w:r>
              <w:rPr>
                <w:rFonts w:hint="default" w:ascii="Times New Roman" w:hAnsi="Times New Roman" w:eastAsia="宋体" w:cs="Times New Roman"/>
                <w:color w:val="000000"/>
                <w:kern w:val="0"/>
                <w:sz w:val="21"/>
                <w:szCs w:val="21"/>
                <w:lang w:val="en-US" w:eastAsia="zh-CN" w:bidi="ar"/>
              </w:rPr>
              <w:t>浓硝酸</w:t>
            </w:r>
            <w:r>
              <w:rPr>
                <w:rFonts w:hint="default" w:ascii="Times New Roman" w:hAnsi="Times New Roman" w:eastAsia="宋体" w:cs="Times New Roman"/>
                <w:color w:val="000000"/>
                <w:sz w:val="21"/>
                <w:szCs w:val="21"/>
                <w:lang w:val="en-US" w:eastAsia="zh-CN" w:bidi="ar"/>
              </w:rPr>
              <w:t>、硝酸银、</w:t>
            </w:r>
            <w:r>
              <w:rPr>
                <w:rFonts w:hint="default" w:ascii="Times New Roman" w:hAnsi="Times New Roman" w:eastAsia="宋体" w:cs="Times New Roman"/>
                <w:color w:val="000000"/>
                <w:kern w:val="0"/>
                <w:sz w:val="21"/>
                <w:szCs w:val="21"/>
                <w:lang w:val="en-US" w:eastAsia="zh-CN" w:bidi="ar"/>
              </w:rPr>
              <w:t>氨水、</w:t>
            </w:r>
            <w:r>
              <w:rPr>
                <w:rFonts w:hint="default" w:ascii="Times New Roman" w:hAnsi="Times New Roman" w:eastAsia="宋体" w:cs="Times New Roman"/>
                <w:color w:val="000000"/>
                <w:sz w:val="21"/>
                <w:szCs w:val="21"/>
                <w:lang w:val="en-US" w:eastAsia="zh-CN" w:bidi="ar"/>
              </w:rPr>
              <w:t>乙醇、双氧水</w:t>
            </w:r>
            <w:r>
              <w:rPr>
                <w:rFonts w:hint="eastAsia" w:ascii="Times New Roman" w:hAnsi="Times New Roman" w:eastAsia="宋体" w:cs="Times New Roman"/>
                <w:color w:val="000000"/>
                <w:sz w:val="21"/>
                <w:szCs w:val="21"/>
                <w:lang w:val="en-US" w:eastAsia="zh-CN" w:bidi="ar"/>
              </w:rPr>
              <w:t>、银、一氧化氮、二氧化氮</w:t>
            </w:r>
          </w:p>
        </w:tc>
        <w:tc>
          <w:tcPr>
            <w:tcW w:w="1567"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泄漏、火灾</w:t>
            </w:r>
          </w:p>
        </w:tc>
        <w:tc>
          <w:tcPr>
            <w:tcW w:w="3103" w:type="dxa"/>
            <w:tcBorders>
              <w:right w:val="single" w:color="auto" w:sz="4" w:space="0"/>
            </w:tcBorders>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val="zh-CN" w:bidi="ar"/>
              </w:rPr>
              <w:t>泄漏</w:t>
            </w:r>
            <w:r>
              <w:rPr>
                <w:rFonts w:hint="default" w:ascii="Times New Roman" w:hAnsi="Times New Roman" w:eastAsia="宋体" w:cs="Times New Roman"/>
                <w:color w:val="000000"/>
                <w:sz w:val="21"/>
                <w:szCs w:val="21"/>
                <w:lang w:val="en-US" w:eastAsia="zh-CN" w:bidi="ar"/>
              </w:rPr>
              <w:t>物料</w:t>
            </w:r>
            <w:r>
              <w:rPr>
                <w:rFonts w:hint="default" w:ascii="Times New Roman" w:hAnsi="Times New Roman" w:eastAsia="宋体" w:cs="Times New Roman"/>
                <w:color w:val="000000"/>
                <w:sz w:val="21"/>
                <w:szCs w:val="21"/>
                <w:lang w:val="zh-CN" w:bidi="ar"/>
              </w:rPr>
              <w:t>及火灾产生的次生污染物CO进入大气。</w:t>
            </w:r>
            <w:r>
              <w:rPr>
                <w:rFonts w:hint="default" w:ascii="Times New Roman" w:hAnsi="Times New Roman" w:eastAsia="宋体" w:cs="Times New Roman"/>
                <w:color w:val="000000"/>
                <w:sz w:val="21"/>
                <w:szCs w:val="21"/>
                <w:lang w:bidi="ar"/>
              </w:rPr>
              <w:t>泄漏物料及洗消废水污染周边</w:t>
            </w:r>
            <w:r>
              <w:rPr>
                <w:rFonts w:hint="default" w:ascii="Times New Roman" w:hAnsi="Times New Roman" w:eastAsia="宋体" w:cs="Times New Roman"/>
                <w:color w:val="000000"/>
                <w:sz w:val="21"/>
                <w:szCs w:val="21"/>
                <w:lang w:val="en-US" w:eastAsia="zh-CN" w:bidi="ar"/>
              </w:rPr>
              <w:t>水体</w:t>
            </w:r>
            <w:r>
              <w:rPr>
                <w:rFonts w:hint="default" w:ascii="Times New Roman" w:hAnsi="Times New Roman" w:eastAsia="宋体" w:cs="Times New Roman"/>
                <w:color w:val="000000"/>
                <w:sz w:val="21"/>
                <w:szCs w:val="21"/>
                <w:lang w:val="zh-CN" w:bidi="ar"/>
              </w:rPr>
              <w:t>、</w:t>
            </w:r>
            <w:r>
              <w:rPr>
                <w:rFonts w:hint="default" w:ascii="Times New Roman" w:hAnsi="Times New Roman" w:eastAsia="宋体" w:cs="Times New Roman"/>
                <w:color w:val="000000"/>
                <w:sz w:val="21"/>
                <w:szCs w:val="21"/>
                <w:lang w:bidi="ar"/>
              </w:rPr>
              <w:t>土壤环境。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1110" w:type="dxa"/>
            <w:tcBorders>
              <w:left w:val="single" w:color="auto" w:sz="4" w:space="0"/>
            </w:tcBorders>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143" w:right="0" w:firstLine="0"/>
              <w:jc w:val="center"/>
              <w:textAlignment w:val="auto"/>
              <w:outlineLvl w:val="9"/>
              <w:rPr>
                <w:rFonts w:hint="default" w:ascii="Times New Roman" w:hAnsi="Times New Roman" w:eastAsia="宋体" w:cs="Times New Roman"/>
                <w:color w:val="000000"/>
                <w:sz w:val="21"/>
                <w:szCs w:val="21"/>
                <w:lang w:val="en-US" w:bidi="ar"/>
              </w:rPr>
            </w:pPr>
            <w:r>
              <w:rPr>
                <w:rFonts w:hint="default" w:ascii="Times New Roman" w:hAnsi="Times New Roman" w:eastAsia="宋体" w:cs="Times New Roman"/>
                <w:color w:val="000000"/>
                <w:sz w:val="21"/>
                <w:szCs w:val="21"/>
                <w:lang w:val="en-US" w:eastAsia="zh-CN" w:bidi="ar"/>
              </w:rPr>
              <w:t>综合仓库</w:t>
            </w:r>
          </w:p>
        </w:tc>
        <w:tc>
          <w:tcPr>
            <w:tcW w:w="1961"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sz w:val="21"/>
                <w:szCs w:val="21"/>
                <w:lang w:val="en-US" w:eastAsia="zh-CN" w:bidi="ar"/>
              </w:rPr>
            </w:pPr>
            <w:r>
              <w:rPr>
                <w:rFonts w:hint="eastAsia" w:ascii="Times New Roman" w:hAnsi="Times New Roman" w:eastAsia="宋体" w:cs="Times New Roman"/>
                <w:color w:val="000000"/>
                <w:sz w:val="21"/>
                <w:szCs w:val="21"/>
                <w:lang w:val="en-US" w:eastAsia="zh-CN" w:bidi="ar"/>
              </w:rPr>
              <w:t>次氯酸钠</w:t>
            </w:r>
            <w:r>
              <w:rPr>
                <w:rFonts w:hint="default" w:ascii="Times New Roman" w:hAnsi="Times New Roman" w:eastAsia="宋体" w:cs="Times New Roman"/>
                <w:color w:val="000000"/>
                <w:sz w:val="21"/>
                <w:szCs w:val="21"/>
                <w:lang w:val="en-US" w:eastAsia="zh-CN" w:bidi="ar"/>
              </w:rPr>
              <w:t>吨桶、福尔马林吨桶、氢氧化钠吨桶</w:t>
            </w:r>
          </w:p>
        </w:tc>
        <w:tc>
          <w:tcPr>
            <w:tcW w:w="1545"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val="en-US" w:eastAsia="zh-CN" w:bidi="ar"/>
              </w:rPr>
              <w:t>次氯酸钠</w:t>
            </w:r>
            <w:r>
              <w:rPr>
                <w:rFonts w:hint="default" w:ascii="Times New Roman" w:hAnsi="Times New Roman" w:eastAsia="宋体" w:cs="Times New Roman"/>
                <w:color w:val="000000"/>
                <w:sz w:val="21"/>
                <w:szCs w:val="21"/>
                <w:lang w:val="en-US" w:eastAsia="zh-CN" w:bidi="ar"/>
              </w:rPr>
              <w:t>、福尔马林、氢氧化钠</w:t>
            </w:r>
          </w:p>
        </w:tc>
        <w:tc>
          <w:tcPr>
            <w:tcW w:w="1567"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泄漏、火灾</w:t>
            </w:r>
          </w:p>
        </w:tc>
        <w:tc>
          <w:tcPr>
            <w:tcW w:w="3103" w:type="dxa"/>
            <w:tcBorders>
              <w:right w:val="single" w:color="auto" w:sz="4" w:space="0"/>
            </w:tcBorders>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sz w:val="21"/>
                <w:szCs w:val="21"/>
                <w:lang w:val="zh-CN" w:bidi="ar"/>
              </w:rPr>
            </w:pPr>
            <w:r>
              <w:rPr>
                <w:rFonts w:hint="default" w:ascii="Times New Roman" w:hAnsi="Times New Roman" w:eastAsia="宋体" w:cs="Times New Roman"/>
                <w:color w:val="000000"/>
                <w:sz w:val="21"/>
                <w:szCs w:val="21"/>
                <w:lang w:val="zh-CN" w:bidi="ar"/>
              </w:rPr>
              <w:t>泄漏</w:t>
            </w:r>
            <w:r>
              <w:rPr>
                <w:rFonts w:hint="default" w:ascii="Times New Roman" w:hAnsi="Times New Roman" w:eastAsia="宋体" w:cs="Times New Roman"/>
                <w:color w:val="000000"/>
                <w:sz w:val="21"/>
                <w:szCs w:val="21"/>
                <w:lang w:val="en-US" w:eastAsia="zh-CN" w:bidi="ar"/>
              </w:rPr>
              <w:t>物料</w:t>
            </w:r>
            <w:r>
              <w:rPr>
                <w:rFonts w:hint="default" w:ascii="Times New Roman" w:hAnsi="Times New Roman" w:eastAsia="宋体" w:cs="Times New Roman"/>
                <w:color w:val="000000"/>
                <w:sz w:val="21"/>
                <w:szCs w:val="21"/>
                <w:lang w:val="zh-CN" w:bidi="ar"/>
              </w:rPr>
              <w:t>及火灾产生的次生污染物CO进入大气。</w:t>
            </w:r>
            <w:r>
              <w:rPr>
                <w:rFonts w:hint="default" w:ascii="Times New Roman" w:hAnsi="Times New Roman" w:eastAsia="宋体" w:cs="Times New Roman"/>
                <w:color w:val="000000"/>
                <w:sz w:val="21"/>
                <w:szCs w:val="21"/>
                <w:lang w:bidi="ar"/>
              </w:rPr>
              <w:t>洗消废水污染周边</w:t>
            </w:r>
            <w:r>
              <w:rPr>
                <w:rFonts w:hint="default" w:ascii="Times New Roman" w:hAnsi="Times New Roman" w:eastAsia="宋体" w:cs="Times New Roman"/>
                <w:color w:val="000000"/>
                <w:sz w:val="21"/>
                <w:szCs w:val="21"/>
                <w:lang w:val="en-US" w:eastAsia="zh-CN" w:bidi="ar"/>
              </w:rPr>
              <w:t>水体</w:t>
            </w:r>
            <w:r>
              <w:rPr>
                <w:rFonts w:hint="default" w:ascii="Times New Roman" w:hAnsi="Times New Roman" w:eastAsia="宋体" w:cs="Times New Roman"/>
                <w:color w:val="000000"/>
                <w:sz w:val="21"/>
                <w:szCs w:val="21"/>
                <w:lang w:val="zh-CN" w:bidi="ar"/>
              </w:rPr>
              <w:t>、</w:t>
            </w:r>
            <w:r>
              <w:rPr>
                <w:rFonts w:hint="default" w:ascii="Times New Roman" w:hAnsi="Times New Roman" w:eastAsia="宋体" w:cs="Times New Roman"/>
                <w:color w:val="000000"/>
                <w:sz w:val="21"/>
                <w:szCs w:val="21"/>
                <w:lang w:bidi="ar"/>
              </w:rPr>
              <w:t>土壤环境。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2" w:hRule="atLeast"/>
          <w:jc w:val="center"/>
        </w:trPr>
        <w:tc>
          <w:tcPr>
            <w:tcW w:w="1110" w:type="dxa"/>
            <w:tcBorders>
              <w:left w:val="single" w:color="auto" w:sz="4" w:space="0"/>
            </w:tcBorders>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bidi="ar"/>
              </w:rPr>
              <w:t>储罐</w:t>
            </w:r>
          </w:p>
        </w:tc>
        <w:tc>
          <w:tcPr>
            <w:tcW w:w="1961"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sz w:val="21"/>
                <w:szCs w:val="21"/>
                <w:lang w:val="en-US" w:bidi="ar"/>
              </w:rPr>
            </w:pPr>
            <w:r>
              <w:rPr>
                <w:rFonts w:hint="default" w:ascii="Times New Roman" w:hAnsi="Times New Roman" w:eastAsia="宋体" w:cs="Times New Roman"/>
                <w:color w:val="000000"/>
                <w:sz w:val="21"/>
                <w:szCs w:val="21"/>
                <w:lang w:val="en-US" w:eastAsia="zh-CN" w:bidi="ar"/>
              </w:rPr>
              <w:t>硝酸储罐、氨水储罐、乙醇储罐、双氧水储罐</w:t>
            </w:r>
          </w:p>
        </w:tc>
        <w:tc>
          <w:tcPr>
            <w:tcW w:w="1545"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sz w:val="21"/>
                <w:szCs w:val="21"/>
                <w:lang w:eastAsia="zh-CN" w:bidi="ar"/>
              </w:rPr>
            </w:pPr>
            <w:r>
              <w:rPr>
                <w:rFonts w:hint="default" w:ascii="Times New Roman" w:hAnsi="Times New Roman" w:eastAsia="宋体" w:cs="Times New Roman"/>
                <w:color w:val="000000"/>
                <w:sz w:val="21"/>
                <w:szCs w:val="21"/>
                <w:lang w:val="en-US" w:eastAsia="zh-CN" w:bidi="ar"/>
              </w:rPr>
              <w:t>硝酸、氨水、 乙醇、双氧水</w:t>
            </w:r>
          </w:p>
        </w:tc>
        <w:tc>
          <w:tcPr>
            <w:tcW w:w="1567"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泄漏、火灾</w:t>
            </w:r>
          </w:p>
        </w:tc>
        <w:tc>
          <w:tcPr>
            <w:tcW w:w="3103" w:type="dxa"/>
            <w:tcBorders>
              <w:right w:val="single" w:color="auto" w:sz="4" w:space="0"/>
            </w:tcBorders>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color w:val="000000"/>
                <w:sz w:val="21"/>
                <w:szCs w:val="21"/>
                <w:lang w:val="zh-CN" w:bidi="ar"/>
              </w:rPr>
            </w:pPr>
            <w:r>
              <w:rPr>
                <w:rFonts w:hint="default" w:ascii="Times New Roman" w:hAnsi="Times New Roman" w:eastAsia="宋体" w:cs="Times New Roman"/>
                <w:color w:val="000000"/>
                <w:sz w:val="21"/>
                <w:szCs w:val="21"/>
                <w:lang w:val="zh-CN" w:bidi="ar"/>
              </w:rPr>
              <w:t>泄漏</w:t>
            </w:r>
            <w:r>
              <w:rPr>
                <w:rFonts w:hint="default" w:ascii="Times New Roman" w:hAnsi="Times New Roman" w:eastAsia="宋体" w:cs="Times New Roman"/>
                <w:color w:val="000000"/>
                <w:sz w:val="21"/>
                <w:szCs w:val="21"/>
                <w:lang w:val="en-US" w:eastAsia="zh-CN" w:bidi="ar"/>
              </w:rPr>
              <w:t>的物料</w:t>
            </w:r>
            <w:r>
              <w:rPr>
                <w:rFonts w:hint="default" w:ascii="Times New Roman" w:hAnsi="Times New Roman" w:eastAsia="宋体" w:cs="Times New Roman"/>
                <w:color w:val="000000"/>
                <w:sz w:val="21"/>
                <w:szCs w:val="21"/>
                <w:lang w:val="zh-CN" w:bidi="ar"/>
              </w:rPr>
              <w:t>及火灾产生的次生污染物CO进入大气。</w:t>
            </w:r>
            <w:r>
              <w:rPr>
                <w:rFonts w:hint="default" w:ascii="Times New Roman" w:hAnsi="Times New Roman" w:eastAsia="宋体" w:cs="Times New Roman"/>
                <w:color w:val="000000"/>
                <w:sz w:val="21"/>
                <w:szCs w:val="21"/>
                <w:lang w:bidi="ar"/>
              </w:rPr>
              <w:t>泄漏物料及洗消废水污染周边</w:t>
            </w:r>
            <w:r>
              <w:rPr>
                <w:rFonts w:hint="default" w:ascii="Times New Roman" w:hAnsi="Times New Roman" w:eastAsia="宋体" w:cs="Times New Roman"/>
                <w:color w:val="000000"/>
                <w:sz w:val="21"/>
                <w:szCs w:val="21"/>
                <w:lang w:val="en-US" w:eastAsia="zh-CN" w:bidi="ar"/>
              </w:rPr>
              <w:t>水体</w:t>
            </w:r>
            <w:r>
              <w:rPr>
                <w:rFonts w:hint="default" w:ascii="Times New Roman" w:hAnsi="Times New Roman" w:eastAsia="宋体" w:cs="Times New Roman"/>
                <w:color w:val="000000"/>
                <w:sz w:val="21"/>
                <w:szCs w:val="21"/>
                <w:lang w:val="zh-CN" w:bidi="ar"/>
              </w:rPr>
              <w:t>、</w:t>
            </w:r>
            <w:r>
              <w:rPr>
                <w:rFonts w:hint="default" w:ascii="Times New Roman" w:hAnsi="Times New Roman" w:eastAsia="宋体" w:cs="Times New Roman"/>
                <w:color w:val="000000"/>
                <w:sz w:val="21"/>
                <w:szCs w:val="21"/>
                <w:lang w:bidi="ar"/>
              </w:rPr>
              <w:t>土壤环境。</w:t>
            </w:r>
          </w:p>
        </w:tc>
      </w:tr>
    </w:tbl>
    <w:p>
      <w:pPr>
        <w:spacing w:line="360" w:lineRule="auto"/>
        <w:ind w:firstLine="480"/>
        <w:rPr>
          <w:rFonts w:hint="default" w:ascii="Times New Roman" w:hAnsi="Times New Roman" w:eastAsia="宋体" w:cs="Times New Roman"/>
          <w:color w:val="auto"/>
          <w:sz w:val="24"/>
          <w:szCs w:val="24"/>
          <w:lang w:bidi="ar"/>
        </w:rPr>
      </w:pPr>
      <w:bookmarkStart w:id="328" w:name="_Hlk29887938"/>
      <w:r>
        <w:rPr>
          <w:rFonts w:hint="default" w:ascii="Times New Roman" w:hAnsi="Times New Roman" w:eastAsia="宋体" w:cs="Times New Roman"/>
          <w:color w:val="auto"/>
          <w:sz w:val="24"/>
          <w:szCs w:val="24"/>
          <w:lang w:val="zh-CN" w:bidi="ar"/>
        </w:rPr>
        <w:t>综上，厂区内危险物质主要为有毒有害、易燃物质。结合风险物质的最大存量、毒性终点浓度限值、挥发性分析及危险单元分布情况，筛选出本项目主要代表性危险物质</w:t>
      </w:r>
      <w:r>
        <w:rPr>
          <w:rFonts w:hint="default" w:ascii="Times New Roman" w:hAnsi="Times New Roman" w:eastAsia="宋体" w:cs="Times New Roman"/>
          <w:color w:val="auto"/>
          <w:sz w:val="24"/>
          <w:szCs w:val="24"/>
          <w:lang w:val="en-US" w:eastAsia="zh-CN" w:bidi="ar"/>
        </w:rPr>
        <w:t>福尔马林、氨水、浓硝酸</w:t>
      </w:r>
      <w:r>
        <w:rPr>
          <w:rFonts w:hint="default" w:ascii="Times New Roman" w:hAnsi="Times New Roman" w:eastAsia="宋体" w:cs="Times New Roman"/>
          <w:color w:val="auto"/>
          <w:sz w:val="24"/>
          <w:szCs w:val="24"/>
          <w:lang w:val="zh-CN" w:bidi="ar"/>
        </w:rPr>
        <w:t>。</w:t>
      </w:r>
      <w:r>
        <w:rPr>
          <w:rFonts w:hint="default" w:ascii="Times New Roman" w:hAnsi="Times New Roman" w:eastAsia="宋体" w:cs="Times New Roman"/>
          <w:color w:val="auto"/>
          <w:sz w:val="24"/>
          <w:szCs w:val="24"/>
          <w:lang w:bidi="ar"/>
        </w:rPr>
        <w:t>重点风险源为</w:t>
      </w:r>
      <w:r>
        <w:rPr>
          <w:rFonts w:hint="default" w:ascii="Times New Roman" w:hAnsi="Times New Roman" w:eastAsia="宋体" w:cs="Times New Roman"/>
          <w:color w:val="auto"/>
          <w:sz w:val="24"/>
          <w:szCs w:val="24"/>
          <w:lang w:val="en-US" w:eastAsia="zh-CN" w:bidi="ar"/>
        </w:rPr>
        <w:t>氨水、浓硝酸</w:t>
      </w:r>
      <w:r>
        <w:rPr>
          <w:rFonts w:hint="default" w:ascii="Times New Roman" w:hAnsi="Times New Roman" w:eastAsia="宋体" w:cs="Times New Roman"/>
          <w:color w:val="auto"/>
          <w:sz w:val="24"/>
          <w:szCs w:val="24"/>
          <w:lang w:val="zh-CN" w:bidi="ar"/>
        </w:rPr>
        <w:t>储罐、</w:t>
      </w:r>
      <w:r>
        <w:rPr>
          <w:rFonts w:hint="eastAsia" w:ascii="Times New Roman" w:hAnsi="Times New Roman" w:eastAsia="宋体" w:cs="Times New Roman"/>
          <w:color w:val="auto"/>
          <w:sz w:val="24"/>
          <w:szCs w:val="24"/>
          <w:lang w:val="en-US" w:eastAsia="zh-CN" w:bidi="ar"/>
        </w:rPr>
        <w:t>乙醇储罐、</w:t>
      </w:r>
      <w:r>
        <w:rPr>
          <w:rFonts w:hint="default" w:ascii="Times New Roman" w:hAnsi="Times New Roman" w:eastAsia="宋体" w:cs="Times New Roman"/>
          <w:color w:val="auto"/>
          <w:sz w:val="24"/>
          <w:szCs w:val="24"/>
          <w:lang w:val="en-US" w:eastAsia="zh-CN" w:bidi="ar"/>
        </w:rPr>
        <w:t>福尔马林吨桶泄漏产生的泄漏气体氨气</w:t>
      </w:r>
      <w:r>
        <w:rPr>
          <w:rFonts w:hint="default" w:ascii="Times New Roman" w:hAnsi="Times New Roman" w:eastAsia="宋体" w:cs="Times New Roman"/>
          <w:color w:val="auto"/>
          <w:sz w:val="24"/>
          <w:szCs w:val="24"/>
          <w:lang w:bidi="ar"/>
        </w:rPr>
        <w:t>、甲醛</w:t>
      </w:r>
      <w:r>
        <w:rPr>
          <w:rFonts w:hint="default" w:ascii="Times New Roman" w:hAnsi="Times New Roman" w:eastAsia="宋体" w:cs="Times New Roman"/>
          <w:color w:val="auto"/>
          <w:sz w:val="24"/>
          <w:szCs w:val="24"/>
          <w:lang w:val="zh-CN" w:bidi="ar"/>
        </w:rPr>
        <w:t>、</w:t>
      </w:r>
      <w:r>
        <w:rPr>
          <w:rFonts w:hint="default" w:ascii="Times New Roman" w:hAnsi="Times New Roman" w:eastAsia="宋体" w:cs="Times New Roman"/>
          <w:color w:val="auto"/>
          <w:sz w:val="24"/>
          <w:szCs w:val="24"/>
          <w:lang w:val="en-US" w:eastAsia="zh-CN" w:bidi="ar"/>
        </w:rPr>
        <w:t>硝酸雾</w:t>
      </w:r>
      <w:r>
        <w:rPr>
          <w:rFonts w:hint="default" w:ascii="Times New Roman" w:hAnsi="Times New Roman" w:eastAsia="宋体" w:cs="Times New Roman"/>
          <w:color w:val="auto"/>
          <w:sz w:val="24"/>
          <w:szCs w:val="24"/>
          <w:lang w:val="zh-CN" w:bidi="ar"/>
        </w:rPr>
        <w:t>排放。</w:t>
      </w:r>
    </w:p>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val="0"/>
          <w:bCs/>
          <w:color w:val="auto"/>
          <w:kern w:val="0"/>
          <w:sz w:val="30"/>
          <w:szCs w:val="30"/>
          <w:lang w:val="en-US" w:eastAsia="zh-CN" w:bidi="ar-SA"/>
        </w:rPr>
      </w:pPr>
      <w:r>
        <w:rPr>
          <w:rFonts w:hint="default" w:ascii="Times New Roman" w:hAnsi="Times New Roman" w:eastAsia="黑体" w:cs="Times New Roman"/>
          <w:b w:val="0"/>
          <w:bCs/>
          <w:color w:val="auto"/>
          <w:kern w:val="0"/>
          <w:sz w:val="30"/>
          <w:szCs w:val="30"/>
          <w:lang w:val="en-US" w:eastAsia="zh-CN" w:bidi="ar-SA"/>
        </w:rPr>
        <w:t>6.3.2源项分析</w:t>
      </w:r>
    </w:p>
    <w:bookmarkEnd w:id="328"/>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（1）事故风险概率分析</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bidi="ar"/>
        </w:rPr>
        <w:t>根据《建设项目环境风险评价技术导则》（HJ169-2018）附录E，容器、管道等泄漏频率见下表。</w:t>
      </w:r>
    </w:p>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zh-CN" w:eastAsia="zh-CN" w:bidi="ar-SA"/>
        </w:rPr>
      </w:pPr>
      <w:r>
        <w:rPr>
          <w:rFonts w:hint="default" w:ascii="Times New Roman" w:hAnsi="Times New Roman" w:eastAsia="黑体" w:cs="Times New Roman"/>
          <w:b w:val="0"/>
          <w:bCs/>
          <w:color w:val="auto"/>
          <w:kern w:val="2"/>
          <w:sz w:val="24"/>
          <w:szCs w:val="24"/>
          <w:lang w:val="zh-CN" w:eastAsia="zh-CN" w:bidi="ar-SA"/>
        </w:rPr>
        <w:t>表</w:t>
      </w:r>
      <w:r>
        <w:rPr>
          <w:rFonts w:hint="default" w:ascii="Times New Roman" w:hAnsi="Times New Roman" w:eastAsia="黑体" w:cs="Times New Roman"/>
          <w:b w:val="0"/>
          <w:bCs/>
          <w:color w:val="auto"/>
          <w:kern w:val="2"/>
          <w:sz w:val="24"/>
          <w:szCs w:val="24"/>
          <w:lang w:val="en-US" w:eastAsia="zh-CN" w:bidi="ar-SA"/>
        </w:rPr>
        <w:t>6</w:t>
      </w:r>
      <w:r>
        <w:rPr>
          <w:rFonts w:hint="default" w:ascii="Times New Roman" w:hAnsi="Times New Roman" w:eastAsia="黑体" w:cs="Times New Roman"/>
          <w:b w:val="0"/>
          <w:bCs/>
          <w:color w:val="auto"/>
          <w:kern w:val="2"/>
          <w:sz w:val="24"/>
          <w:szCs w:val="24"/>
          <w:lang w:val="zh-CN" w:eastAsia="zh-CN" w:bidi="ar-SA"/>
        </w:rPr>
        <w:t>.</w:t>
      </w:r>
      <w:r>
        <w:rPr>
          <w:rFonts w:hint="default" w:ascii="Times New Roman" w:hAnsi="Times New Roman" w:eastAsia="黑体" w:cs="Times New Roman"/>
          <w:b w:val="0"/>
          <w:bCs/>
          <w:color w:val="auto"/>
          <w:kern w:val="2"/>
          <w:sz w:val="24"/>
          <w:szCs w:val="24"/>
          <w:lang w:val="en-US" w:eastAsia="zh-CN" w:bidi="ar-SA"/>
        </w:rPr>
        <w:t>3</w:t>
      </w:r>
      <w:r>
        <w:rPr>
          <w:rFonts w:hint="default" w:ascii="Times New Roman" w:hAnsi="Times New Roman" w:eastAsia="黑体" w:cs="Times New Roman"/>
          <w:b w:val="0"/>
          <w:bCs/>
          <w:color w:val="auto"/>
          <w:kern w:val="2"/>
          <w:sz w:val="24"/>
          <w:szCs w:val="24"/>
          <w:lang w:val="zh-CN" w:eastAsia="zh-CN" w:bidi="ar-SA"/>
        </w:rPr>
        <w:t>-</w:t>
      </w:r>
      <w:r>
        <w:rPr>
          <w:rFonts w:hint="default" w:ascii="Times New Roman" w:hAnsi="Times New Roman" w:eastAsia="黑体" w:cs="Times New Roman"/>
          <w:b w:val="0"/>
          <w:bCs/>
          <w:color w:val="auto"/>
          <w:kern w:val="2"/>
          <w:sz w:val="24"/>
          <w:szCs w:val="24"/>
          <w:lang w:val="en-US" w:eastAsia="zh-CN" w:bidi="ar-SA"/>
        </w:rPr>
        <w:t>3</w:t>
      </w:r>
      <w:r>
        <w:rPr>
          <w:rFonts w:hint="default" w:ascii="Times New Roman" w:hAnsi="Times New Roman" w:eastAsia="黑体" w:cs="Times New Roman"/>
          <w:b w:val="0"/>
          <w:bCs/>
          <w:color w:val="auto"/>
          <w:kern w:val="2"/>
          <w:sz w:val="24"/>
          <w:szCs w:val="24"/>
          <w:lang w:val="zh-CN" w:eastAsia="zh-CN" w:bidi="ar-SA"/>
        </w:rPr>
        <w:t xml:space="preserve">   用于重大危险源定量风险评价的泄漏概率表</w:t>
      </w:r>
    </w:p>
    <w:tbl>
      <w:tblPr>
        <w:tblStyle w:val="90"/>
        <w:tblW w:w="0" w:type="auto"/>
        <w:jc w:val="center"/>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966"/>
        <w:gridCol w:w="5066"/>
        <w:gridCol w:w="2254"/>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部件类型</w:t>
            </w: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泄漏模式</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泄漏频率</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66"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反应器/工艺储罐/气体储罐/塔器</w:t>
            </w: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泄漏孔径为10 mm孔径</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1.00×10</w:t>
            </w:r>
            <w:r>
              <w:rPr>
                <w:rFonts w:hint="default" w:ascii="Times New Roman" w:hAnsi="Times New Roman" w:eastAsia="宋体" w:cs="Times New Roman"/>
                <w:bCs/>
                <w:color w:val="auto"/>
                <w:sz w:val="21"/>
                <w:szCs w:val="21"/>
                <w:vertAlign w:val="superscript"/>
                <w:lang w:bidi="ar"/>
              </w:rPr>
              <w:t>-4</w:t>
            </w:r>
            <w:r>
              <w:rPr>
                <w:rFonts w:hint="default" w:ascii="Times New Roman" w:hAnsi="Times New Roman" w:eastAsia="宋体" w:cs="Times New Roman"/>
                <w:bCs/>
                <w:color w:val="auto"/>
                <w:sz w:val="21"/>
                <w:szCs w:val="21"/>
                <w:lang w:bidi="ar"/>
              </w:rPr>
              <w:t>/a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vMerge w:val="continue"/>
            <w:tcBorders>
              <w:top w:val="single" w:color="auto" w:sz="4" w:space="0"/>
              <w:left w:val="single" w:color="auto" w:sz="4" w:space="0"/>
              <w:bottom w:val="single" w:color="auto" w:sz="4" w:space="0"/>
              <w:right w:val="single" w:color="auto" w:sz="4" w:space="0"/>
            </w:tcBorders>
            <w:noWrap w:val="0"/>
          </w:tcP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10min内储罐泄漏完</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5.00×10</w:t>
            </w:r>
            <w:r>
              <w:rPr>
                <w:rFonts w:hint="default" w:ascii="Times New Roman" w:hAnsi="Times New Roman" w:eastAsia="宋体" w:cs="Times New Roman"/>
                <w:bCs/>
                <w:color w:val="auto"/>
                <w:sz w:val="21"/>
                <w:szCs w:val="21"/>
                <w:vertAlign w:val="superscript"/>
                <w:lang w:bidi="ar"/>
              </w:rPr>
              <w:t>-6</w:t>
            </w:r>
            <w:r>
              <w:rPr>
                <w:rFonts w:hint="default" w:ascii="Times New Roman" w:hAnsi="Times New Roman" w:eastAsia="宋体" w:cs="Times New Roman"/>
                <w:bCs/>
                <w:color w:val="auto"/>
                <w:sz w:val="21"/>
                <w:szCs w:val="21"/>
                <w:lang w:bidi="ar"/>
              </w:rPr>
              <w:t>/a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vMerge w:val="continue"/>
            <w:tcBorders>
              <w:top w:val="single" w:color="auto" w:sz="4" w:space="0"/>
              <w:left w:val="single" w:color="auto" w:sz="4" w:space="0"/>
              <w:bottom w:val="single" w:color="auto" w:sz="4" w:space="0"/>
              <w:right w:val="single" w:color="auto" w:sz="4" w:space="0"/>
            </w:tcBorders>
            <w:noWrap w:val="0"/>
          </w:tcP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储罐全破裂</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5.00×10</w:t>
            </w:r>
            <w:r>
              <w:rPr>
                <w:rFonts w:hint="default" w:ascii="Times New Roman" w:hAnsi="Times New Roman" w:eastAsia="宋体" w:cs="Times New Roman"/>
                <w:bCs/>
                <w:color w:val="auto"/>
                <w:sz w:val="21"/>
                <w:szCs w:val="21"/>
                <w:vertAlign w:val="superscript"/>
                <w:lang w:bidi="ar"/>
              </w:rPr>
              <w:t>-6</w:t>
            </w:r>
            <w:r>
              <w:rPr>
                <w:rFonts w:hint="default" w:ascii="Times New Roman" w:hAnsi="Times New Roman" w:eastAsia="宋体" w:cs="Times New Roman"/>
                <w:bCs/>
                <w:color w:val="auto"/>
                <w:sz w:val="21"/>
                <w:szCs w:val="21"/>
                <w:lang w:bidi="ar"/>
              </w:rPr>
              <w:t>/a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66"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常压单包容储罐</w:t>
            </w: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泄漏孔径为10 mm孔径</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1.00×10</w:t>
            </w:r>
            <w:r>
              <w:rPr>
                <w:rFonts w:hint="default" w:ascii="Times New Roman" w:hAnsi="Times New Roman" w:eastAsia="宋体" w:cs="Times New Roman"/>
                <w:bCs/>
                <w:color w:val="auto"/>
                <w:sz w:val="21"/>
                <w:szCs w:val="21"/>
                <w:vertAlign w:val="superscript"/>
                <w:lang w:bidi="ar"/>
              </w:rPr>
              <w:t>-4</w:t>
            </w:r>
            <w:r>
              <w:rPr>
                <w:rFonts w:hint="default" w:ascii="Times New Roman" w:hAnsi="Times New Roman" w:eastAsia="宋体" w:cs="Times New Roman"/>
                <w:bCs/>
                <w:color w:val="auto"/>
                <w:sz w:val="21"/>
                <w:szCs w:val="21"/>
                <w:lang w:bidi="ar"/>
              </w:rPr>
              <w:t>/a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vMerge w:val="continue"/>
            <w:tcBorders>
              <w:top w:val="single" w:color="auto" w:sz="4" w:space="0"/>
              <w:left w:val="single" w:color="auto" w:sz="4" w:space="0"/>
              <w:bottom w:val="single" w:color="auto" w:sz="4" w:space="0"/>
              <w:right w:val="single" w:color="auto" w:sz="4" w:space="0"/>
            </w:tcBorders>
            <w:noWrap w:val="0"/>
          </w:tcP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10min内储罐泄漏完</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5.00×10</w:t>
            </w:r>
            <w:r>
              <w:rPr>
                <w:rFonts w:hint="default" w:ascii="Times New Roman" w:hAnsi="Times New Roman" w:eastAsia="宋体" w:cs="Times New Roman"/>
                <w:bCs/>
                <w:color w:val="auto"/>
                <w:sz w:val="21"/>
                <w:szCs w:val="21"/>
                <w:vertAlign w:val="superscript"/>
                <w:lang w:bidi="ar"/>
              </w:rPr>
              <w:t>-6</w:t>
            </w:r>
            <w:r>
              <w:rPr>
                <w:rFonts w:hint="default" w:ascii="Times New Roman" w:hAnsi="Times New Roman" w:eastAsia="宋体" w:cs="Times New Roman"/>
                <w:bCs/>
                <w:color w:val="auto"/>
                <w:sz w:val="21"/>
                <w:szCs w:val="21"/>
                <w:lang w:bidi="ar"/>
              </w:rPr>
              <w:t>/a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vMerge w:val="continue"/>
            <w:tcBorders>
              <w:top w:val="single" w:color="auto" w:sz="4" w:space="0"/>
              <w:left w:val="single" w:color="auto" w:sz="4" w:space="0"/>
              <w:bottom w:val="single" w:color="auto" w:sz="4" w:space="0"/>
              <w:right w:val="single" w:color="auto" w:sz="4" w:space="0"/>
            </w:tcBorders>
            <w:noWrap w:val="0"/>
          </w:tcP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储罐全破裂</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5.00×10</w:t>
            </w:r>
            <w:r>
              <w:rPr>
                <w:rFonts w:hint="default" w:ascii="Times New Roman" w:hAnsi="Times New Roman" w:eastAsia="宋体" w:cs="Times New Roman"/>
                <w:bCs/>
                <w:color w:val="auto"/>
                <w:sz w:val="21"/>
                <w:szCs w:val="21"/>
                <w:vertAlign w:val="superscript"/>
                <w:lang w:bidi="ar"/>
              </w:rPr>
              <w:t>-6</w:t>
            </w:r>
            <w:r>
              <w:rPr>
                <w:rFonts w:hint="default" w:ascii="Times New Roman" w:hAnsi="Times New Roman" w:eastAsia="宋体" w:cs="Times New Roman"/>
                <w:bCs/>
                <w:color w:val="auto"/>
                <w:sz w:val="21"/>
                <w:szCs w:val="21"/>
                <w:lang w:bidi="ar"/>
              </w:rPr>
              <w:t>/a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66"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常压双包容储罐</w:t>
            </w: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泄漏孔径为10 mm孔径</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1.00×10</w:t>
            </w:r>
            <w:r>
              <w:rPr>
                <w:rFonts w:hint="default" w:ascii="Times New Roman" w:hAnsi="Times New Roman" w:eastAsia="宋体" w:cs="Times New Roman"/>
                <w:bCs/>
                <w:color w:val="auto"/>
                <w:sz w:val="21"/>
                <w:szCs w:val="21"/>
                <w:vertAlign w:val="superscript"/>
                <w:lang w:bidi="ar"/>
              </w:rPr>
              <w:t>-4</w:t>
            </w:r>
            <w:r>
              <w:rPr>
                <w:rFonts w:hint="default" w:ascii="Times New Roman" w:hAnsi="Times New Roman" w:eastAsia="宋体" w:cs="Times New Roman"/>
                <w:bCs/>
                <w:color w:val="auto"/>
                <w:sz w:val="21"/>
                <w:szCs w:val="21"/>
                <w:lang w:bidi="ar"/>
              </w:rPr>
              <w:t>/a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vMerge w:val="continue"/>
            <w:tcBorders>
              <w:top w:val="single" w:color="auto" w:sz="4" w:space="0"/>
              <w:left w:val="single" w:color="auto" w:sz="4" w:space="0"/>
              <w:bottom w:val="single" w:color="auto" w:sz="4" w:space="0"/>
              <w:right w:val="single" w:color="auto" w:sz="4" w:space="0"/>
            </w:tcBorders>
            <w:noWrap w:val="0"/>
          </w:tcP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10min内储罐泄漏完</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1.25×10</w:t>
            </w:r>
            <w:r>
              <w:rPr>
                <w:rFonts w:hint="default" w:ascii="Times New Roman" w:hAnsi="Times New Roman" w:eastAsia="宋体" w:cs="Times New Roman"/>
                <w:bCs/>
                <w:color w:val="auto"/>
                <w:sz w:val="21"/>
                <w:szCs w:val="21"/>
                <w:vertAlign w:val="superscript"/>
                <w:lang w:bidi="ar"/>
              </w:rPr>
              <w:t>-8</w:t>
            </w:r>
            <w:r>
              <w:rPr>
                <w:rFonts w:hint="default" w:ascii="Times New Roman" w:hAnsi="Times New Roman" w:eastAsia="宋体" w:cs="Times New Roman"/>
                <w:bCs/>
                <w:color w:val="auto"/>
                <w:sz w:val="21"/>
                <w:szCs w:val="21"/>
                <w:lang w:bidi="ar"/>
              </w:rPr>
              <w:t>/a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vMerge w:val="continue"/>
            <w:tcBorders>
              <w:top w:val="single" w:color="auto" w:sz="4" w:space="0"/>
              <w:left w:val="single" w:color="auto" w:sz="4" w:space="0"/>
              <w:bottom w:val="single" w:color="auto" w:sz="4" w:space="0"/>
              <w:right w:val="single" w:color="auto" w:sz="4" w:space="0"/>
            </w:tcBorders>
            <w:noWrap w:val="0"/>
          </w:tcP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储罐全破裂</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1.25×10</w:t>
            </w:r>
            <w:r>
              <w:rPr>
                <w:rFonts w:hint="default" w:ascii="Times New Roman" w:hAnsi="Times New Roman" w:eastAsia="宋体" w:cs="Times New Roman"/>
                <w:bCs/>
                <w:color w:val="auto"/>
                <w:sz w:val="21"/>
                <w:szCs w:val="21"/>
                <w:vertAlign w:val="superscript"/>
                <w:lang w:bidi="ar"/>
              </w:rPr>
              <w:t>-8</w:t>
            </w:r>
            <w:r>
              <w:rPr>
                <w:rFonts w:hint="default" w:ascii="Times New Roman" w:hAnsi="Times New Roman" w:eastAsia="宋体" w:cs="Times New Roman"/>
                <w:bCs/>
                <w:color w:val="auto"/>
                <w:sz w:val="21"/>
                <w:szCs w:val="21"/>
                <w:lang w:bidi="ar"/>
              </w:rPr>
              <w:t>/a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常压全包容储罐</w:t>
            </w: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储罐全破裂</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1.00×10</w:t>
            </w:r>
            <w:r>
              <w:rPr>
                <w:rFonts w:hint="default" w:ascii="Times New Roman" w:hAnsi="Times New Roman" w:eastAsia="宋体" w:cs="Times New Roman"/>
                <w:bCs/>
                <w:color w:val="auto"/>
                <w:sz w:val="21"/>
                <w:szCs w:val="21"/>
                <w:vertAlign w:val="superscript"/>
                <w:lang w:bidi="ar"/>
              </w:rPr>
              <w:t>-8</w:t>
            </w:r>
            <w:r>
              <w:rPr>
                <w:rFonts w:hint="default" w:ascii="Times New Roman" w:hAnsi="Times New Roman" w:eastAsia="宋体" w:cs="Times New Roman"/>
                <w:bCs/>
                <w:color w:val="auto"/>
                <w:sz w:val="21"/>
                <w:szCs w:val="21"/>
                <w:lang w:bidi="ar"/>
              </w:rPr>
              <w:t>/a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575" w:hRule="exact"/>
          <w:jc w:val="center"/>
        </w:trPr>
        <w:tc>
          <w:tcPr>
            <w:tcW w:w="1966"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内径≤75mm的管道</w:t>
            </w: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泄漏孔径为10%孔径</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全管径泄漏</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5.00×10</w:t>
            </w:r>
            <w:r>
              <w:rPr>
                <w:rFonts w:hint="default" w:ascii="Times New Roman" w:hAnsi="Times New Roman" w:eastAsia="宋体" w:cs="Times New Roman"/>
                <w:bCs/>
                <w:color w:val="auto"/>
                <w:sz w:val="21"/>
                <w:szCs w:val="21"/>
                <w:vertAlign w:val="superscript"/>
                <w:lang w:bidi="ar"/>
              </w:rPr>
              <w:t>-6</w:t>
            </w:r>
            <w:r>
              <w:rPr>
                <w:rFonts w:hint="default" w:ascii="Times New Roman" w:hAnsi="Times New Roman" w:eastAsia="宋体" w:cs="Times New Roman"/>
                <w:bCs/>
                <w:color w:val="auto"/>
                <w:sz w:val="21"/>
                <w:szCs w:val="21"/>
                <w:lang w:bidi="ar"/>
              </w:rPr>
              <w:t>/（m·a）1.00×10</w:t>
            </w:r>
            <w:r>
              <w:rPr>
                <w:rFonts w:hint="default" w:ascii="Times New Roman" w:hAnsi="Times New Roman" w:eastAsia="宋体" w:cs="Times New Roman"/>
                <w:bCs/>
                <w:color w:val="auto"/>
                <w:sz w:val="21"/>
                <w:szCs w:val="21"/>
                <w:vertAlign w:val="superscript"/>
                <w:lang w:bidi="ar"/>
              </w:rPr>
              <w:t>-6</w:t>
            </w:r>
            <w:r>
              <w:rPr>
                <w:rFonts w:hint="default" w:ascii="Times New Roman" w:hAnsi="Times New Roman" w:eastAsia="宋体" w:cs="Times New Roman"/>
                <w:bCs/>
                <w:color w:val="auto"/>
                <w:sz w:val="21"/>
                <w:szCs w:val="21"/>
                <w:lang w:bidi="ar"/>
              </w:rPr>
              <w:t>/（m·a）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vMerge w:val="continue"/>
            <w:tcBorders>
              <w:top w:val="single" w:color="auto" w:sz="4" w:space="0"/>
              <w:left w:val="single" w:color="auto" w:sz="4" w:space="0"/>
              <w:bottom w:val="single" w:color="auto" w:sz="4" w:space="0"/>
              <w:right w:val="single" w:color="auto" w:sz="4" w:space="0"/>
            </w:tcBorders>
            <w:noWrap w:val="0"/>
          </w:tcP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全管径泄漏</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1.00×10</w:t>
            </w:r>
            <w:r>
              <w:rPr>
                <w:rFonts w:hint="default" w:ascii="Times New Roman" w:hAnsi="Times New Roman" w:eastAsia="宋体" w:cs="Times New Roman"/>
                <w:bCs/>
                <w:color w:val="auto"/>
                <w:sz w:val="21"/>
                <w:szCs w:val="21"/>
                <w:vertAlign w:val="superscript"/>
                <w:lang w:bidi="ar"/>
              </w:rPr>
              <w:t>-6</w:t>
            </w:r>
            <w:r>
              <w:rPr>
                <w:rFonts w:hint="default" w:ascii="Times New Roman" w:hAnsi="Times New Roman" w:eastAsia="宋体" w:cs="Times New Roman"/>
                <w:bCs/>
                <w:color w:val="auto"/>
                <w:sz w:val="21"/>
                <w:szCs w:val="21"/>
                <w:lang w:bidi="ar"/>
              </w:rPr>
              <w:t>/（m·a）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66"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75mm＜内径≤150mm的管道</w:t>
            </w: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泄漏孔径为10%孔径</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全管径泄漏</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2.00×10</w:t>
            </w:r>
            <w:r>
              <w:rPr>
                <w:rFonts w:hint="default" w:ascii="Times New Roman" w:hAnsi="Times New Roman" w:eastAsia="宋体" w:cs="Times New Roman"/>
                <w:bCs/>
                <w:color w:val="auto"/>
                <w:sz w:val="21"/>
                <w:szCs w:val="21"/>
                <w:vertAlign w:val="superscript"/>
                <w:lang w:bidi="ar"/>
              </w:rPr>
              <w:t>-6</w:t>
            </w:r>
            <w:r>
              <w:rPr>
                <w:rFonts w:hint="default" w:ascii="Times New Roman" w:hAnsi="Times New Roman" w:eastAsia="宋体" w:cs="Times New Roman"/>
                <w:bCs/>
                <w:color w:val="auto"/>
                <w:sz w:val="21"/>
                <w:szCs w:val="21"/>
                <w:lang w:bidi="ar"/>
              </w:rPr>
              <w:t>/（m·a）</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3.00×10-7/（m·a）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vMerge w:val="continue"/>
            <w:tcBorders>
              <w:top w:val="single" w:color="auto" w:sz="4" w:space="0"/>
              <w:left w:val="single" w:color="auto" w:sz="4" w:space="0"/>
              <w:bottom w:val="single" w:color="auto" w:sz="4" w:space="0"/>
              <w:right w:val="single" w:color="auto" w:sz="4" w:space="0"/>
            </w:tcBorders>
            <w:noWrap w:val="0"/>
          </w:tcP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全管径泄漏</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3.00×10</w:t>
            </w:r>
            <w:r>
              <w:rPr>
                <w:rFonts w:hint="default" w:ascii="Times New Roman" w:hAnsi="Times New Roman" w:eastAsia="宋体" w:cs="Times New Roman"/>
                <w:bCs/>
                <w:color w:val="auto"/>
                <w:sz w:val="21"/>
                <w:szCs w:val="21"/>
                <w:vertAlign w:val="superscript"/>
                <w:lang w:bidi="ar"/>
              </w:rPr>
              <w:t>-6</w:t>
            </w:r>
            <w:r>
              <w:rPr>
                <w:rFonts w:hint="default" w:ascii="Times New Roman" w:hAnsi="Times New Roman" w:eastAsia="宋体" w:cs="Times New Roman"/>
                <w:bCs/>
                <w:color w:val="auto"/>
                <w:sz w:val="21"/>
                <w:szCs w:val="21"/>
                <w:lang w:bidi="ar"/>
              </w:rPr>
              <w:t>/（m·a）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66"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内径＞150mm的管道</w:t>
            </w: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泄漏孔径为10%孔径（最大50 mm）</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全管径泄漏</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2.40×10</w:t>
            </w:r>
            <w:r>
              <w:rPr>
                <w:rFonts w:hint="default" w:ascii="Times New Roman" w:hAnsi="Times New Roman" w:eastAsia="宋体" w:cs="Times New Roman"/>
                <w:bCs/>
                <w:color w:val="auto"/>
                <w:sz w:val="21"/>
                <w:szCs w:val="21"/>
                <w:vertAlign w:val="superscript"/>
                <w:lang w:bidi="ar"/>
              </w:rPr>
              <w:t>-6</w:t>
            </w:r>
            <w:r>
              <w:rPr>
                <w:rFonts w:hint="default" w:ascii="Times New Roman" w:hAnsi="Times New Roman" w:eastAsia="宋体" w:cs="Times New Roman"/>
                <w:bCs/>
                <w:color w:val="auto"/>
                <w:sz w:val="21"/>
                <w:szCs w:val="21"/>
                <w:lang w:bidi="ar"/>
              </w:rPr>
              <w:t>/（m·a）</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1.00×10-7/（m·a）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vMerge w:val="continue"/>
            <w:tcBorders>
              <w:top w:val="single" w:color="auto" w:sz="4" w:space="0"/>
              <w:left w:val="single" w:color="auto" w:sz="4" w:space="0"/>
              <w:bottom w:val="single" w:color="auto" w:sz="4" w:space="0"/>
              <w:right w:val="single" w:color="auto" w:sz="4" w:space="0"/>
            </w:tcBorders>
            <w:noWrap w:val="0"/>
          </w:tcP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全管径泄漏</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1.00×10</w:t>
            </w:r>
            <w:r>
              <w:rPr>
                <w:rFonts w:hint="default" w:ascii="Times New Roman" w:hAnsi="Times New Roman" w:eastAsia="宋体" w:cs="Times New Roman"/>
                <w:bCs/>
                <w:color w:val="auto"/>
                <w:sz w:val="21"/>
                <w:szCs w:val="21"/>
                <w:vertAlign w:val="superscript"/>
                <w:lang w:bidi="ar"/>
              </w:rPr>
              <w:t>-7</w:t>
            </w:r>
            <w:r>
              <w:rPr>
                <w:rFonts w:hint="default" w:ascii="Times New Roman" w:hAnsi="Times New Roman" w:eastAsia="宋体" w:cs="Times New Roman"/>
                <w:bCs/>
                <w:color w:val="auto"/>
                <w:sz w:val="21"/>
                <w:szCs w:val="21"/>
                <w:lang w:bidi="ar"/>
              </w:rPr>
              <w:t>/（m·a）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66"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泵体和压缩机</w:t>
            </w: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泵体和压缩机最大连接管泄漏孔径为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10%孔径（最大50 mm）</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5.00×10</w:t>
            </w:r>
            <w:r>
              <w:rPr>
                <w:rFonts w:hint="default" w:ascii="Times New Roman" w:hAnsi="Times New Roman" w:eastAsia="宋体" w:cs="Times New Roman"/>
                <w:bCs/>
                <w:color w:val="auto"/>
                <w:sz w:val="21"/>
                <w:szCs w:val="21"/>
                <w:vertAlign w:val="superscript"/>
                <w:lang w:bidi="ar"/>
              </w:rPr>
              <w:t>-4</w:t>
            </w:r>
            <w:r>
              <w:rPr>
                <w:rFonts w:hint="default" w:ascii="Times New Roman" w:hAnsi="Times New Roman" w:eastAsia="宋体" w:cs="Times New Roman"/>
                <w:bCs/>
                <w:color w:val="auto"/>
                <w:sz w:val="21"/>
                <w:szCs w:val="21"/>
                <w:lang w:bidi="ar"/>
              </w:rPr>
              <w:t>/a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vMerge w:val="continue"/>
            <w:tcBorders>
              <w:top w:val="single" w:color="auto" w:sz="4" w:space="0"/>
              <w:left w:val="single" w:color="auto" w:sz="4" w:space="0"/>
              <w:bottom w:val="single" w:color="auto" w:sz="4" w:space="0"/>
              <w:right w:val="single" w:color="auto" w:sz="4" w:space="0"/>
            </w:tcBorders>
            <w:noWrap w:val="0"/>
          </w:tcP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泵体和压缩机最大连接管全管径泄漏</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1.00×10</w:t>
            </w:r>
            <w:r>
              <w:rPr>
                <w:rFonts w:hint="default" w:ascii="Times New Roman" w:hAnsi="Times New Roman" w:eastAsia="宋体" w:cs="Times New Roman"/>
                <w:bCs/>
                <w:color w:val="auto"/>
                <w:sz w:val="21"/>
                <w:szCs w:val="21"/>
                <w:vertAlign w:val="superscript"/>
                <w:lang w:bidi="ar"/>
              </w:rPr>
              <w:t>-4</w:t>
            </w:r>
            <w:r>
              <w:rPr>
                <w:rFonts w:hint="default" w:ascii="Times New Roman" w:hAnsi="Times New Roman" w:eastAsia="宋体" w:cs="Times New Roman"/>
                <w:bCs/>
                <w:color w:val="auto"/>
                <w:sz w:val="21"/>
                <w:szCs w:val="21"/>
                <w:lang w:bidi="ar"/>
              </w:rPr>
              <w:t>/a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402" w:hRule="exact"/>
          <w:jc w:val="center"/>
        </w:trPr>
        <w:tc>
          <w:tcPr>
            <w:tcW w:w="1966"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装卸臂</w:t>
            </w: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装卸臂连接管泄漏孔径为10%孔径（最大50mm）</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3.00×10</w:t>
            </w:r>
            <w:r>
              <w:rPr>
                <w:rFonts w:hint="default" w:ascii="Times New Roman" w:hAnsi="Times New Roman" w:eastAsia="宋体" w:cs="Times New Roman"/>
                <w:bCs/>
                <w:color w:val="auto"/>
                <w:sz w:val="21"/>
                <w:szCs w:val="21"/>
                <w:vertAlign w:val="superscript"/>
                <w:lang w:bidi="ar"/>
              </w:rPr>
              <w:t>-7</w:t>
            </w:r>
            <w:r>
              <w:rPr>
                <w:rFonts w:hint="default" w:ascii="Times New Roman" w:hAnsi="Times New Roman" w:eastAsia="宋体" w:cs="Times New Roman"/>
                <w:bCs/>
                <w:color w:val="auto"/>
                <w:sz w:val="21"/>
                <w:szCs w:val="21"/>
                <w:lang w:bidi="ar"/>
              </w:rPr>
              <w:t>/h</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vMerge w:val="continue"/>
            <w:tcBorders>
              <w:top w:val="single" w:color="auto" w:sz="4" w:space="0"/>
              <w:left w:val="single" w:color="auto" w:sz="4" w:space="0"/>
              <w:bottom w:val="single" w:color="auto" w:sz="4" w:space="0"/>
              <w:right w:val="single" w:color="auto" w:sz="4" w:space="0"/>
            </w:tcBorders>
            <w:noWrap w:val="0"/>
          </w:tcP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装卸臂全管径泄漏</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3.00×10</w:t>
            </w:r>
            <w:r>
              <w:rPr>
                <w:rFonts w:hint="default" w:ascii="Times New Roman" w:hAnsi="Times New Roman" w:eastAsia="宋体" w:cs="Times New Roman"/>
                <w:bCs/>
                <w:color w:val="auto"/>
                <w:sz w:val="21"/>
                <w:szCs w:val="21"/>
                <w:vertAlign w:val="superscript"/>
                <w:lang w:bidi="ar"/>
              </w:rPr>
              <w:t>-8</w:t>
            </w:r>
            <w:r>
              <w:rPr>
                <w:rFonts w:hint="default" w:ascii="Times New Roman" w:hAnsi="Times New Roman" w:eastAsia="宋体" w:cs="Times New Roman"/>
                <w:bCs/>
                <w:color w:val="auto"/>
                <w:sz w:val="21"/>
                <w:szCs w:val="21"/>
                <w:lang w:bidi="ar"/>
              </w:rPr>
              <w:t>/h</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73" w:hRule="exact"/>
          <w:jc w:val="center"/>
        </w:trPr>
        <w:tc>
          <w:tcPr>
            <w:tcW w:w="1966"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装卸软管</w:t>
            </w: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装卸软管连接管泄漏孔径为10%孔径（最大50mm）</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4.00×10</w:t>
            </w:r>
            <w:r>
              <w:rPr>
                <w:rFonts w:hint="default" w:ascii="Times New Roman" w:hAnsi="Times New Roman" w:eastAsia="宋体" w:cs="Times New Roman"/>
                <w:bCs/>
                <w:color w:val="auto"/>
                <w:sz w:val="21"/>
                <w:szCs w:val="21"/>
                <w:vertAlign w:val="superscript"/>
                <w:lang w:bidi="ar"/>
              </w:rPr>
              <w:t>-5</w:t>
            </w:r>
            <w:r>
              <w:rPr>
                <w:rFonts w:hint="default" w:ascii="Times New Roman" w:hAnsi="Times New Roman" w:eastAsia="宋体" w:cs="Times New Roman"/>
                <w:bCs/>
                <w:color w:val="auto"/>
                <w:sz w:val="21"/>
                <w:szCs w:val="21"/>
                <w:lang w:bidi="ar"/>
              </w:rPr>
              <w:t>/h</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vMerge w:val="continue"/>
            <w:tcBorders>
              <w:top w:val="single" w:color="auto" w:sz="4" w:space="0"/>
              <w:left w:val="single" w:color="auto" w:sz="4" w:space="0"/>
              <w:bottom w:val="single" w:color="auto" w:sz="4" w:space="0"/>
              <w:right w:val="single" w:color="auto" w:sz="4" w:space="0"/>
            </w:tcBorders>
            <w:noWrap w:val="0"/>
          </w:tcPr>
          <w:p/>
        </w:tc>
        <w:tc>
          <w:tcPr>
            <w:tcW w:w="50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装卸软管全管径泄漏</w:t>
            </w:r>
          </w:p>
        </w:tc>
        <w:tc>
          <w:tcPr>
            <w:tcW w:w="2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bidi="ar"/>
              </w:rPr>
              <w:t>4.00×10</w:t>
            </w:r>
            <w:r>
              <w:rPr>
                <w:rFonts w:hint="default" w:ascii="Times New Roman" w:hAnsi="Times New Roman" w:eastAsia="宋体" w:cs="Times New Roman"/>
                <w:bCs/>
                <w:color w:val="auto"/>
                <w:sz w:val="21"/>
                <w:szCs w:val="21"/>
                <w:vertAlign w:val="superscript"/>
                <w:lang w:bidi="ar"/>
              </w:rPr>
              <w:t>-6</w:t>
            </w:r>
            <w:r>
              <w:rPr>
                <w:rFonts w:hint="default" w:ascii="Times New Roman" w:hAnsi="Times New Roman" w:eastAsia="宋体" w:cs="Times New Roman"/>
                <w:bCs/>
                <w:color w:val="auto"/>
                <w:sz w:val="21"/>
                <w:szCs w:val="21"/>
                <w:lang w:bidi="ar"/>
              </w:rPr>
              <w:t>/h</w:t>
            </w:r>
          </w:p>
        </w:tc>
      </w:tr>
    </w:tbl>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bidi="ar"/>
        </w:rPr>
        <w:t>本项目最大可信事故为储罐</w:t>
      </w:r>
      <w:r>
        <w:rPr>
          <w:rFonts w:hint="default" w:ascii="Times New Roman" w:hAnsi="Times New Roman" w:eastAsia="宋体" w:cs="Times New Roman"/>
          <w:color w:val="auto"/>
          <w:sz w:val="24"/>
          <w:szCs w:val="24"/>
          <w:lang w:val="en-US" w:eastAsia="zh-CN" w:bidi="ar"/>
        </w:rPr>
        <w:t>/吨桶</w:t>
      </w:r>
      <w:r>
        <w:rPr>
          <w:rFonts w:hint="default" w:ascii="Times New Roman" w:hAnsi="Times New Roman" w:eastAsia="宋体" w:cs="Times New Roman"/>
          <w:color w:val="auto"/>
          <w:sz w:val="24"/>
          <w:szCs w:val="24"/>
          <w:lang w:bidi="ar"/>
        </w:rPr>
        <w:t>泄漏，设定由连接罐底的进料管道</w:t>
      </w:r>
      <w:r>
        <w:rPr>
          <w:rFonts w:hint="default" w:ascii="Times New Roman" w:hAnsi="Times New Roman" w:eastAsia="宋体" w:cs="Times New Roman"/>
          <w:color w:val="auto"/>
          <w:sz w:val="24"/>
          <w:szCs w:val="24"/>
          <w:lang w:val="en-US" w:eastAsia="zh-CN" w:bidi="ar"/>
        </w:rPr>
        <w:t>/吨桶</w:t>
      </w:r>
      <w:r>
        <w:rPr>
          <w:rFonts w:hint="default" w:ascii="Times New Roman" w:hAnsi="Times New Roman" w:eastAsia="宋体" w:cs="Times New Roman"/>
          <w:color w:val="auto"/>
          <w:sz w:val="24"/>
          <w:szCs w:val="24"/>
          <w:lang w:bidi="ar"/>
        </w:rPr>
        <w:t>泄漏引起，泄漏模式10mm孔径泄漏，泄漏频率为</w:t>
      </w:r>
      <w:r>
        <w:rPr>
          <w:rFonts w:hint="default" w:ascii="Times New Roman" w:hAnsi="Times New Roman" w:eastAsia="宋体" w:cs="Times New Roman"/>
          <w:bCs/>
          <w:color w:val="auto"/>
          <w:sz w:val="24"/>
          <w:szCs w:val="24"/>
          <w:lang w:bidi="ar"/>
        </w:rPr>
        <w:t>5.00×10</w:t>
      </w:r>
      <w:r>
        <w:rPr>
          <w:rFonts w:hint="default" w:ascii="Times New Roman" w:hAnsi="Times New Roman" w:eastAsia="宋体" w:cs="Times New Roman"/>
          <w:bCs/>
          <w:color w:val="auto"/>
          <w:sz w:val="24"/>
          <w:szCs w:val="24"/>
          <w:vertAlign w:val="superscript"/>
          <w:lang w:bidi="ar"/>
        </w:rPr>
        <w:t>-6</w:t>
      </w:r>
      <w:r>
        <w:rPr>
          <w:rFonts w:hint="default" w:ascii="Times New Roman" w:hAnsi="Times New Roman" w:eastAsia="宋体" w:cs="Times New Roman"/>
          <w:bCs/>
          <w:color w:val="auto"/>
          <w:sz w:val="24"/>
          <w:szCs w:val="24"/>
          <w:lang w:bidi="ar"/>
        </w:rPr>
        <w:t>/a</w:t>
      </w:r>
      <w:r>
        <w:rPr>
          <w:rFonts w:hint="default" w:ascii="Times New Roman" w:hAnsi="Times New Roman" w:eastAsia="宋体" w:cs="Times New Roman"/>
          <w:color w:val="auto"/>
          <w:sz w:val="24"/>
          <w:szCs w:val="24"/>
          <w:lang w:bidi="ar"/>
        </w:rPr>
        <w:t>。</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（2）储罐泄漏蒸发源项</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fldChar w:fldCharType="begin"/>
      </w:r>
      <w:r>
        <w:rPr>
          <w:rFonts w:hint="default" w:ascii="Times New Roman" w:hAnsi="Times New Roman" w:eastAsia="宋体" w:cs="Times New Roman"/>
          <w:color w:val="auto"/>
          <w:sz w:val="24"/>
          <w:szCs w:val="24"/>
          <w:lang w:bidi="ar"/>
        </w:rPr>
        <w:instrText xml:space="preserve"> = 1 \* GB3 \* MERGEFORMAT </w:instrText>
      </w:r>
      <w:r>
        <w:rPr>
          <w:rFonts w:hint="default" w:ascii="Times New Roman" w:hAnsi="Times New Roman" w:eastAsia="宋体" w:cs="Times New Roman"/>
          <w:color w:val="auto"/>
          <w:sz w:val="24"/>
          <w:szCs w:val="24"/>
          <w:lang w:bidi="ar"/>
        </w:rPr>
        <w:fldChar w:fldCharType="separate"/>
      </w:r>
      <w:r>
        <w:rPr>
          <w:rFonts w:hint="default" w:ascii="Times New Roman" w:hAnsi="Times New Roman" w:eastAsia="宋体" w:cs="Times New Roman"/>
          <w:color w:val="auto"/>
          <w:sz w:val="24"/>
          <w:szCs w:val="24"/>
          <w:lang w:bidi="ar"/>
        </w:rPr>
        <w:t>①</w:t>
      </w:r>
      <w:r>
        <w:rPr>
          <w:rFonts w:hint="default" w:ascii="Times New Roman" w:hAnsi="Times New Roman" w:eastAsia="宋体" w:cs="Times New Roman"/>
          <w:color w:val="auto"/>
          <w:sz w:val="24"/>
          <w:szCs w:val="24"/>
          <w:lang w:bidi="ar"/>
        </w:rPr>
        <w:fldChar w:fldCharType="end"/>
      </w:r>
      <w:r>
        <w:rPr>
          <w:rFonts w:hint="default" w:ascii="Times New Roman" w:hAnsi="Times New Roman" w:eastAsia="宋体" w:cs="Times New Roman"/>
          <w:color w:val="auto"/>
          <w:sz w:val="24"/>
          <w:szCs w:val="24"/>
          <w:lang w:bidi="ar"/>
        </w:rPr>
        <w:t>储罐泄漏</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假定氨水储罐罐底出料管道（管径50mm）、硝酸储罐罐底出料管道（管径50mm）、福尔马林吨桶泄漏物料，发生孔径为10mm的泄漏，泄漏物料在围堰内地面形成液池。依据《建设项目环境风险评价技术导则》（HJ169-2018）附录计算30min的泄漏量及泄漏物料在最不利气象条件（F类稳定度，1.5m/s风速，温度25℃，相对湿度50%）下的蒸发情况。</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液体泄漏速度Q</w:t>
      </w:r>
      <w:r>
        <w:rPr>
          <w:rFonts w:hint="default" w:ascii="Times New Roman" w:hAnsi="Times New Roman" w:eastAsia="宋体" w:cs="Times New Roman"/>
          <w:snapToGrid w:val="0"/>
          <w:color w:val="auto"/>
          <w:kern w:val="0"/>
          <w:sz w:val="24"/>
          <w:szCs w:val="21"/>
          <w:vertAlign w:val="subscript"/>
          <w:lang w:val="en-US" w:eastAsia="zh-CN" w:bidi="ar-SA"/>
        </w:rPr>
        <w:t>L</w:t>
      </w:r>
      <w:r>
        <w:rPr>
          <w:rFonts w:hint="default" w:ascii="Times New Roman" w:hAnsi="Times New Roman" w:eastAsia="宋体" w:cs="Times New Roman"/>
          <w:snapToGrid w:val="0"/>
          <w:color w:val="auto"/>
          <w:kern w:val="0"/>
          <w:sz w:val="24"/>
          <w:szCs w:val="21"/>
          <w:lang w:val="en-US" w:eastAsia="zh-CN" w:bidi="ar-SA"/>
        </w:rPr>
        <w:t>用柏努利方程计算：</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pict>
          <v:shape id="对象 53" o:spid="_x0000_s2067" o:spt="75" type="#_x0000_t75" style="position:absolute;left:0pt;margin-left:148.35pt;margin-top:-5.85pt;height:38pt;width:147pt;z-index:251739136;mso-width-relative:page;mso-height-relative:page;" o:ole="t" filled="f" o:preferrelative="t" stroked="f" coordsize="21600,21600">
            <v:path/>
            <v:fill on="f" focussize="0,0"/>
            <v:stroke on="f"/>
            <v:imagedata r:id="rId65" o:title=""/>
            <o:lock v:ext="edit" aspectratio="t"/>
            <w10:anchorlock/>
          </v:shape>
          <o:OLEObject Type="Embed" ProgID="Equation.3" ShapeID="对象 53" DrawAspect="Content" ObjectID="_1468075725" r:id="rId64">
            <o:LockedField>false</o:LockedField>
          </o:OLEObject>
        </w:pic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式中：</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 xml:space="preserve">     Q</w:t>
      </w:r>
      <w:r>
        <w:rPr>
          <w:rFonts w:hint="default" w:ascii="Times New Roman" w:hAnsi="Times New Roman" w:eastAsia="宋体" w:cs="Times New Roman"/>
          <w:snapToGrid w:val="0"/>
          <w:color w:val="auto"/>
          <w:kern w:val="0"/>
          <w:sz w:val="24"/>
          <w:szCs w:val="21"/>
          <w:vertAlign w:val="subscript"/>
          <w:lang w:val="en-US" w:eastAsia="zh-CN" w:bidi="ar-SA"/>
        </w:rPr>
        <w:t>L</w:t>
      </w:r>
      <w:r>
        <w:rPr>
          <w:rFonts w:hint="default" w:ascii="Times New Roman" w:hAnsi="Times New Roman" w:eastAsia="宋体" w:cs="Times New Roman"/>
          <w:snapToGrid w:val="0"/>
          <w:color w:val="auto"/>
          <w:kern w:val="0"/>
          <w:sz w:val="24"/>
          <w:szCs w:val="21"/>
          <w:lang w:val="en-US" w:eastAsia="zh-CN" w:bidi="ar-SA"/>
        </w:rPr>
        <w:t>——液体泄漏速度，kg/s；</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 xml:space="preserve">     C</w:t>
      </w:r>
      <w:r>
        <w:rPr>
          <w:rFonts w:hint="default" w:ascii="Times New Roman" w:hAnsi="Times New Roman" w:eastAsia="宋体" w:cs="Times New Roman"/>
          <w:snapToGrid w:val="0"/>
          <w:color w:val="auto"/>
          <w:kern w:val="0"/>
          <w:sz w:val="24"/>
          <w:szCs w:val="21"/>
          <w:vertAlign w:val="subscript"/>
          <w:lang w:val="en-US" w:eastAsia="zh-CN" w:bidi="ar-SA"/>
        </w:rPr>
        <w:t>d</w:t>
      </w:r>
      <w:r>
        <w:rPr>
          <w:rFonts w:hint="default" w:ascii="Times New Roman" w:hAnsi="Times New Roman" w:eastAsia="宋体" w:cs="Times New Roman"/>
          <w:snapToGrid w:val="0"/>
          <w:color w:val="auto"/>
          <w:kern w:val="0"/>
          <w:sz w:val="24"/>
          <w:szCs w:val="21"/>
          <w:lang w:val="en-US" w:eastAsia="zh-CN" w:bidi="ar-SA"/>
        </w:rPr>
        <w:t>——液体泄漏系数，按照圆形裂口形状，雷诺数Re＞100，此处取0.65；</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 xml:space="preserve">     A——裂口面积，m</w:t>
      </w:r>
      <w:r>
        <w:rPr>
          <w:rFonts w:hint="default" w:ascii="Times New Roman" w:hAnsi="Times New Roman" w:eastAsia="宋体" w:cs="Times New Roman"/>
          <w:snapToGrid w:val="0"/>
          <w:color w:val="auto"/>
          <w:kern w:val="0"/>
          <w:sz w:val="24"/>
          <w:szCs w:val="21"/>
          <w:vertAlign w:val="superscript"/>
          <w:lang w:val="en-US" w:eastAsia="zh-CN" w:bidi="ar-SA"/>
        </w:rPr>
        <w:t>2</w:t>
      </w:r>
      <w:r>
        <w:rPr>
          <w:rFonts w:hint="default" w:ascii="Times New Roman" w:hAnsi="Times New Roman" w:eastAsia="宋体" w:cs="Times New Roman"/>
          <w:snapToGrid w:val="0"/>
          <w:color w:val="auto"/>
          <w:kern w:val="0"/>
          <w:sz w:val="24"/>
          <w:szCs w:val="21"/>
          <w:lang w:val="en-US" w:eastAsia="zh-CN" w:bidi="ar-SA"/>
        </w:rPr>
        <w:t>；</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 xml:space="preserve">     P——容器内介质压力，Pa；</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 xml:space="preserve">     P</w:t>
      </w:r>
      <w:r>
        <w:rPr>
          <w:rFonts w:hint="default" w:ascii="Times New Roman" w:hAnsi="Times New Roman" w:eastAsia="宋体" w:cs="Times New Roman"/>
          <w:snapToGrid w:val="0"/>
          <w:color w:val="auto"/>
          <w:kern w:val="0"/>
          <w:sz w:val="24"/>
          <w:szCs w:val="21"/>
          <w:vertAlign w:val="subscript"/>
          <w:lang w:val="en-US" w:eastAsia="zh-CN" w:bidi="ar-SA"/>
        </w:rPr>
        <w:t>0</w:t>
      </w:r>
      <w:r>
        <w:rPr>
          <w:rFonts w:hint="default" w:ascii="Times New Roman" w:hAnsi="Times New Roman" w:eastAsia="宋体" w:cs="Times New Roman"/>
          <w:snapToGrid w:val="0"/>
          <w:color w:val="auto"/>
          <w:kern w:val="0"/>
          <w:sz w:val="24"/>
          <w:szCs w:val="21"/>
          <w:lang w:val="en-US" w:eastAsia="zh-CN" w:bidi="ar-SA"/>
        </w:rPr>
        <w:t>——环境压力，Pa；</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 xml:space="preserve">     g ——重力加速度；</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 xml:space="preserve">     ρ——液体密度，kg/m</w:t>
      </w:r>
      <w:r>
        <w:rPr>
          <w:rFonts w:hint="default" w:ascii="Times New Roman" w:hAnsi="Times New Roman" w:eastAsia="宋体" w:cs="Times New Roman"/>
          <w:snapToGrid w:val="0"/>
          <w:color w:val="auto"/>
          <w:kern w:val="0"/>
          <w:sz w:val="24"/>
          <w:szCs w:val="21"/>
          <w:vertAlign w:val="superscript"/>
          <w:lang w:val="en-US" w:eastAsia="zh-CN" w:bidi="ar-SA"/>
        </w:rPr>
        <w:t>3</w:t>
      </w:r>
      <w:r>
        <w:rPr>
          <w:rFonts w:hint="default" w:ascii="Times New Roman" w:hAnsi="Times New Roman" w:eastAsia="宋体" w:cs="Times New Roman"/>
          <w:snapToGrid w:val="0"/>
          <w:color w:val="auto"/>
          <w:kern w:val="0"/>
          <w:sz w:val="24"/>
          <w:szCs w:val="21"/>
          <w:lang w:val="en-US" w:eastAsia="zh-CN" w:bidi="ar-SA"/>
        </w:rPr>
        <w:t>；</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 xml:space="preserve">     h ——裂口之上液位高度，m。</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泄漏物料在围堰内形成液池，并随地表风的对流面而蒸发扩散。氨水、硝酸、福尔马林的沸点高于周边环境常温温度，因此本次评价仅考虑泄漏氨水、硝酸、福尔马林的质量蒸发，根据HJ169-2018质量蒸发速度Q</w:t>
      </w:r>
      <w:r>
        <w:rPr>
          <w:rFonts w:hint="default" w:ascii="Times New Roman" w:hAnsi="Times New Roman" w:eastAsia="宋体" w:cs="Times New Roman"/>
          <w:bCs/>
          <w:snapToGrid w:val="0"/>
          <w:color w:val="auto"/>
          <w:kern w:val="0"/>
          <w:sz w:val="24"/>
          <w:szCs w:val="21"/>
          <w:vertAlign w:val="subscript"/>
          <w:lang w:val="en-US" w:eastAsia="zh-CN" w:bidi="ar-SA"/>
        </w:rPr>
        <w:t>3</w:t>
      </w:r>
      <w:r>
        <w:rPr>
          <w:rFonts w:hint="default" w:ascii="Times New Roman" w:hAnsi="Times New Roman" w:eastAsia="宋体" w:cs="Times New Roman"/>
          <w:bCs/>
          <w:snapToGrid w:val="0"/>
          <w:color w:val="auto"/>
          <w:kern w:val="0"/>
          <w:sz w:val="24"/>
          <w:szCs w:val="21"/>
          <w:lang w:val="en-US" w:eastAsia="zh-CN" w:bidi="ar-SA"/>
        </w:rPr>
        <w:t>按照下式计算：</w:t>
      </w:r>
    </w:p>
    <w:p>
      <w:pPr>
        <w:widowControl w:val="0"/>
        <w:spacing w:line="360" w:lineRule="auto"/>
        <w:ind w:firstLine="480"/>
        <w:jc w:val="center"/>
        <w:rPr>
          <w:rFonts w:hint="default" w:ascii="Times New Roman" w:hAnsi="Times New Roman" w:eastAsia="宋体" w:cs="Times New Roman"/>
          <w:snapToGrid w:val="0"/>
          <w:color w:val="auto"/>
          <w:kern w:val="0"/>
          <w:sz w:val="24"/>
          <w:szCs w:val="21"/>
          <w:vertAlign w:val="superscript"/>
          <w:lang w:val="es-ES" w:eastAsia="zh-CN" w:bidi="ar-SA"/>
        </w:rPr>
      </w:pPr>
      <w:r>
        <w:rPr>
          <w:rFonts w:hint="default" w:ascii="Times New Roman" w:hAnsi="Times New Roman" w:eastAsia="宋体" w:cs="Times New Roman"/>
          <w:snapToGrid w:val="0"/>
          <w:color w:val="auto"/>
          <w:kern w:val="0"/>
          <w:sz w:val="24"/>
          <w:szCs w:val="21"/>
          <w:lang w:val="es-ES" w:eastAsia="zh-CN" w:bidi="ar-SA"/>
        </w:rPr>
        <w:t>Q</w:t>
      </w:r>
      <w:r>
        <w:rPr>
          <w:rFonts w:hint="default" w:ascii="Times New Roman" w:hAnsi="Times New Roman" w:eastAsia="宋体" w:cs="Times New Roman"/>
          <w:snapToGrid w:val="0"/>
          <w:color w:val="auto"/>
          <w:kern w:val="0"/>
          <w:sz w:val="24"/>
          <w:szCs w:val="21"/>
          <w:vertAlign w:val="subscript"/>
          <w:lang w:val="es-ES" w:eastAsia="zh-CN" w:bidi="ar-SA"/>
        </w:rPr>
        <w:t>3</w:t>
      </w:r>
      <w:r>
        <w:rPr>
          <w:rFonts w:hint="default" w:ascii="Times New Roman" w:hAnsi="Times New Roman" w:eastAsia="宋体" w:cs="Times New Roman"/>
          <w:snapToGrid w:val="0"/>
          <w:color w:val="auto"/>
          <w:kern w:val="0"/>
          <w:sz w:val="24"/>
          <w:szCs w:val="21"/>
          <w:lang w:val="es-ES" w:eastAsia="zh-CN" w:bidi="ar-SA"/>
        </w:rPr>
        <w:t>=a×P×M/(R×T</w:t>
      </w:r>
      <w:r>
        <w:rPr>
          <w:rFonts w:hint="default" w:ascii="Times New Roman" w:hAnsi="Times New Roman" w:eastAsia="宋体" w:cs="Times New Roman"/>
          <w:snapToGrid w:val="0"/>
          <w:color w:val="auto"/>
          <w:kern w:val="0"/>
          <w:sz w:val="24"/>
          <w:szCs w:val="21"/>
          <w:vertAlign w:val="subscript"/>
          <w:lang w:val="es-ES" w:eastAsia="zh-CN" w:bidi="ar-SA"/>
        </w:rPr>
        <w:t>0</w:t>
      </w:r>
      <w:r>
        <w:rPr>
          <w:rFonts w:hint="default" w:ascii="Times New Roman" w:hAnsi="Times New Roman" w:eastAsia="宋体" w:cs="Times New Roman"/>
          <w:snapToGrid w:val="0"/>
          <w:color w:val="auto"/>
          <w:kern w:val="0"/>
          <w:sz w:val="24"/>
          <w:szCs w:val="21"/>
          <w:lang w:val="es-ES" w:eastAsia="zh-CN" w:bidi="ar-SA"/>
        </w:rPr>
        <w:t>)×u</w:t>
      </w:r>
      <w:r>
        <w:rPr>
          <w:rFonts w:hint="default" w:ascii="Times New Roman" w:hAnsi="Times New Roman" w:eastAsia="宋体" w:cs="Times New Roman"/>
          <w:snapToGrid w:val="0"/>
          <w:color w:val="auto"/>
          <w:kern w:val="0"/>
          <w:sz w:val="24"/>
          <w:szCs w:val="21"/>
          <w:vertAlign w:val="superscript"/>
          <w:lang w:val="es-ES" w:eastAsia="zh-CN" w:bidi="ar-SA"/>
        </w:rPr>
        <w:t>(2-n)/(2+n)</w:t>
      </w:r>
      <w:r>
        <w:rPr>
          <w:rFonts w:hint="default" w:ascii="Times New Roman" w:hAnsi="Times New Roman" w:eastAsia="宋体" w:cs="Times New Roman"/>
          <w:snapToGrid w:val="0"/>
          <w:color w:val="auto"/>
          <w:kern w:val="0"/>
          <w:sz w:val="24"/>
          <w:szCs w:val="21"/>
          <w:lang w:val="es-ES" w:eastAsia="zh-CN" w:bidi="ar-SA"/>
        </w:rPr>
        <w:t>×r</w:t>
      </w:r>
      <w:r>
        <w:rPr>
          <w:rFonts w:hint="default" w:ascii="Times New Roman" w:hAnsi="Times New Roman" w:eastAsia="宋体" w:cs="Times New Roman"/>
          <w:snapToGrid w:val="0"/>
          <w:color w:val="auto"/>
          <w:kern w:val="0"/>
          <w:sz w:val="24"/>
          <w:szCs w:val="21"/>
          <w:vertAlign w:val="superscript"/>
          <w:lang w:val="es-ES" w:eastAsia="zh-CN" w:bidi="ar-SA"/>
        </w:rPr>
        <w:t>(4+n)/(2+n)</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s-ES" w:eastAsia="zh-CN" w:bidi="ar-SA"/>
        </w:rPr>
      </w:pPr>
      <w:r>
        <w:rPr>
          <w:rFonts w:hint="default" w:ascii="Times New Roman" w:hAnsi="Times New Roman" w:eastAsia="宋体" w:cs="Times New Roman"/>
          <w:snapToGrid w:val="0"/>
          <w:color w:val="auto"/>
          <w:kern w:val="0"/>
          <w:sz w:val="24"/>
          <w:szCs w:val="21"/>
          <w:lang w:val="en-US" w:eastAsia="zh-CN" w:bidi="ar-SA"/>
        </w:rPr>
        <w:t>式中</w:t>
      </w:r>
      <w:r>
        <w:rPr>
          <w:rFonts w:hint="default" w:ascii="Times New Roman" w:hAnsi="Times New Roman" w:eastAsia="宋体" w:cs="Times New Roman"/>
          <w:snapToGrid w:val="0"/>
          <w:color w:val="auto"/>
          <w:kern w:val="0"/>
          <w:sz w:val="24"/>
          <w:szCs w:val="21"/>
          <w:lang w:val="es-ES" w:eastAsia="zh-CN" w:bidi="ar-SA"/>
        </w:rPr>
        <w:t>：Q</w:t>
      </w:r>
      <w:r>
        <w:rPr>
          <w:rFonts w:hint="default" w:ascii="Times New Roman" w:hAnsi="Times New Roman" w:eastAsia="宋体" w:cs="Times New Roman"/>
          <w:snapToGrid w:val="0"/>
          <w:color w:val="auto"/>
          <w:kern w:val="0"/>
          <w:sz w:val="24"/>
          <w:szCs w:val="21"/>
          <w:vertAlign w:val="subscript"/>
          <w:lang w:val="es-ES" w:eastAsia="zh-CN" w:bidi="ar-SA"/>
        </w:rPr>
        <w:t>3</w:t>
      </w:r>
      <w:r>
        <w:rPr>
          <w:rFonts w:hint="default" w:ascii="Times New Roman" w:hAnsi="Times New Roman" w:eastAsia="宋体" w:cs="Times New Roman"/>
          <w:snapToGrid w:val="0"/>
          <w:color w:val="auto"/>
          <w:kern w:val="0"/>
          <w:sz w:val="24"/>
          <w:szCs w:val="21"/>
          <w:lang w:val="es-ES" w:eastAsia="zh-CN" w:bidi="ar-SA"/>
        </w:rPr>
        <w:t>—</w:t>
      </w:r>
      <w:r>
        <w:rPr>
          <w:rFonts w:hint="default" w:ascii="Times New Roman" w:hAnsi="Times New Roman" w:eastAsia="宋体" w:cs="Times New Roman"/>
          <w:snapToGrid w:val="0"/>
          <w:color w:val="auto"/>
          <w:kern w:val="0"/>
          <w:sz w:val="24"/>
          <w:szCs w:val="21"/>
          <w:lang w:val="en-US" w:eastAsia="zh-CN" w:bidi="ar-SA"/>
        </w:rPr>
        <w:t>质量蒸发速度</w:t>
      </w:r>
      <w:r>
        <w:rPr>
          <w:rFonts w:hint="default" w:ascii="Times New Roman" w:hAnsi="Times New Roman" w:eastAsia="宋体" w:cs="Times New Roman"/>
          <w:snapToGrid w:val="0"/>
          <w:color w:val="auto"/>
          <w:kern w:val="0"/>
          <w:sz w:val="24"/>
          <w:szCs w:val="21"/>
          <w:lang w:val="es-ES" w:eastAsia="zh-CN" w:bidi="ar-SA"/>
        </w:rPr>
        <w:t>，kg/s</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s-ES" w:eastAsia="zh-CN" w:bidi="ar-SA"/>
        </w:rPr>
      </w:pPr>
      <w:r>
        <w:rPr>
          <w:rFonts w:hint="default" w:ascii="Times New Roman" w:hAnsi="Times New Roman" w:eastAsia="宋体" w:cs="Times New Roman"/>
          <w:snapToGrid w:val="0"/>
          <w:color w:val="auto"/>
          <w:kern w:val="0"/>
          <w:sz w:val="24"/>
          <w:szCs w:val="21"/>
          <w:lang w:val="es-ES" w:eastAsia="zh-CN" w:bidi="ar-SA"/>
        </w:rPr>
        <w:t xml:space="preserve">      a，n—</w:t>
      </w:r>
      <w:r>
        <w:rPr>
          <w:rFonts w:hint="default" w:ascii="Times New Roman" w:hAnsi="Times New Roman" w:eastAsia="宋体" w:cs="Times New Roman"/>
          <w:snapToGrid w:val="0"/>
          <w:color w:val="auto"/>
          <w:kern w:val="0"/>
          <w:sz w:val="24"/>
          <w:szCs w:val="21"/>
          <w:lang w:val="en-US" w:eastAsia="zh-CN" w:bidi="ar-SA"/>
        </w:rPr>
        <w:t>大气稳定系数</w:t>
      </w:r>
      <w:r>
        <w:rPr>
          <w:rFonts w:hint="default" w:ascii="Times New Roman" w:hAnsi="Times New Roman" w:eastAsia="宋体" w:cs="Times New Roman"/>
          <w:snapToGrid w:val="0"/>
          <w:color w:val="auto"/>
          <w:kern w:val="0"/>
          <w:sz w:val="24"/>
          <w:szCs w:val="21"/>
          <w:lang w:val="es-ES" w:eastAsia="zh-CN" w:bidi="ar-SA"/>
        </w:rPr>
        <w:t>，</w:t>
      </w:r>
      <w:r>
        <w:rPr>
          <w:rFonts w:hint="default" w:ascii="Times New Roman" w:hAnsi="Times New Roman" w:eastAsia="宋体" w:cs="Times New Roman"/>
          <w:snapToGrid w:val="0"/>
          <w:color w:val="auto"/>
          <w:kern w:val="0"/>
          <w:sz w:val="24"/>
          <w:szCs w:val="21"/>
          <w:lang w:val="en-US" w:eastAsia="zh-CN" w:bidi="ar-SA"/>
        </w:rPr>
        <w:t>见表6.3-3所示。</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s-ES" w:eastAsia="zh-CN" w:bidi="ar-SA"/>
        </w:rPr>
      </w:pPr>
      <w:r>
        <w:rPr>
          <w:rFonts w:hint="default" w:ascii="Times New Roman" w:hAnsi="Times New Roman" w:eastAsia="宋体" w:cs="Times New Roman"/>
          <w:snapToGrid w:val="0"/>
          <w:color w:val="auto"/>
          <w:kern w:val="0"/>
          <w:sz w:val="24"/>
          <w:szCs w:val="21"/>
          <w:lang w:val="es-ES" w:eastAsia="zh-CN" w:bidi="ar-SA"/>
        </w:rPr>
        <w:t xml:space="preserve">      P—</w:t>
      </w:r>
      <w:r>
        <w:rPr>
          <w:rFonts w:hint="default" w:ascii="Times New Roman" w:hAnsi="Times New Roman" w:eastAsia="宋体" w:cs="Times New Roman"/>
          <w:snapToGrid w:val="0"/>
          <w:color w:val="auto"/>
          <w:kern w:val="0"/>
          <w:sz w:val="24"/>
          <w:szCs w:val="21"/>
          <w:lang w:val="en-US" w:eastAsia="zh-CN" w:bidi="ar-SA"/>
        </w:rPr>
        <w:t>液体表面蒸气压</w:t>
      </w:r>
      <w:r>
        <w:rPr>
          <w:rFonts w:hint="default" w:ascii="Times New Roman" w:hAnsi="Times New Roman" w:eastAsia="宋体" w:cs="Times New Roman"/>
          <w:snapToGrid w:val="0"/>
          <w:color w:val="auto"/>
          <w:kern w:val="0"/>
          <w:sz w:val="24"/>
          <w:szCs w:val="21"/>
          <w:lang w:val="es-ES" w:eastAsia="zh-CN" w:bidi="ar-SA"/>
        </w:rPr>
        <w:t>，Pa；</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s-ES" w:eastAsia="zh-CN" w:bidi="ar-SA"/>
        </w:rPr>
      </w:pPr>
      <w:r>
        <w:rPr>
          <w:rFonts w:hint="default" w:ascii="Times New Roman" w:hAnsi="Times New Roman" w:eastAsia="宋体" w:cs="Times New Roman"/>
          <w:snapToGrid w:val="0"/>
          <w:color w:val="auto"/>
          <w:kern w:val="0"/>
          <w:sz w:val="24"/>
          <w:szCs w:val="21"/>
          <w:lang w:val="es-ES" w:eastAsia="zh-CN" w:bidi="ar-SA"/>
        </w:rPr>
        <w:t xml:space="preserve">      R—</w:t>
      </w:r>
      <w:r>
        <w:rPr>
          <w:rFonts w:hint="default" w:ascii="Times New Roman" w:hAnsi="Times New Roman" w:eastAsia="宋体" w:cs="Times New Roman"/>
          <w:snapToGrid w:val="0"/>
          <w:color w:val="auto"/>
          <w:kern w:val="0"/>
          <w:sz w:val="24"/>
          <w:szCs w:val="21"/>
          <w:lang w:val="en-US" w:eastAsia="zh-CN" w:bidi="ar-SA"/>
        </w:rPr>
        <w:t>气体常数</w:t>
      </w:r>
      <w:r>
        <w:rPr>
          <w:rFonts w:hint="default" w:ascii="Times New Roman" w:hAnsi="Times New Roman" w:eastAsia="宋体" w:cs="Times New Roman"/>
          <w:snapToGrid w:val="0"/>
          <w:color w:val="auto"/>
          <w:kern w:val="0"/>
          <w:sz w:val="24"/>
          <w:szCs w:val="21"/>
          <w:lang w:val="es-ES" w:eastAsia="zh-CN" w:bidi="ar-SA"/>
        </w:rPr>
        <w:t>，J/mol·K；</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s-ES" w:eastAsia="zh-CN" w:bidi="ar-SA"/>
        </w:rPr>
      </w:pPr>
      <w:r>
        <w:rPr>
          <w:rFonts w:hint="default" w:ascii="Times New Roman" w:hAnsi="Times New Roman" w:eastAsia="宋体" w:cs="Times New Roman"/>
          <w:snapToGrid w:val="0"/>
          <w:color w:val="auto"/>
          <w:kern w:val="0"/>
          <w:sz w:val="24"/>
          <w:szCs w:val="21"/>
          <w:lang w:val="es-ES" w:eastAsia="zh-CN" w:bidi="ar-SA"/>
        </w:rPr>
        <w:t xml:space="preserve">      T</w:t>
      </w:r>
      <w:r>
        <w:rPr>
          <w:rFonts w:hint="default" w:ascii="Times New Roman" w:hAnsi="Times New Roman" w:eastAsia="宋体" w:cs="Times New Roman"/>
          <w:snapToGrid w:val="0"/>
          <w:color w:val="auto"/>
          <w:kern w:val="0"/>
          <w:sz w:val="24"/>
          <w:szCs w:val="21"/>
          <w:vertAlign w:val="subscript"/>
          <w:lang w:val="es-ES" w:eastAsia="zh-CN" w:bidi="ar-SA"/>
        </w:rPr>
        <w:t>0</w:t>
      </w:r>
      <w:r>
        <w:rPr>
          <w:rFonts w:hint="default" w:ascii="Times New Roman" w:hAnsi="Times New Roman" w:eastAsia="宋体" w:cs="Times New Roman"/>
          <w:snapToGrid w:val="0"/>
          <w:color w:val="auto"/>
          <w:kern w:val="0"/>
          <w:sz w:val="24"/>
          <w:szCs w:val="21"/>
          <w:lang w:val="es-ES" w:eastAsia="zh-CN" w:bidi="ar-SA"/>
        </w:rPr>
        <w:t>—</w:t>
      </w:r>
      <w:r>
        <w:rPr>
          <w:rFonts w:hint="default" w:ascii="Times New Roman" w:hAnsi="Times New Roman" w:eastAsia="宋体" w:cs="Times New Roman"/>
          <w:snapToGrid w:val="0"/>
          <w:color w:val="auto"/>
          <w:kern w:val="0"/>
          <w:sz w:val="24"/>
          <w:szCs w:val="21"/>
          <w:lang w:val="en-US" w:eastAsia="zh-CN" w:bidi="ar-SA"/>
        </w:rPr>
        <w:t>环境温度</w:t>
      </w:r>
      <w:r>
        <w:rPr>
          <w:rFonts w:hint="default" w:ascii="Times New Roman" w:hAnsi="Times New Roman" w:eastAsia="宋体" w:cs="Times New Roman"/>
          <w:snapToGrid w:val="0"/>
          <w:color w:val="auto"/>
          <w:kern w:val="0"/>
          <w:sz w:val="24"/>
          <w:szCs w:val="21"/>
          <w:lang w:val="es-ES" w:eastAsia="zh-CN" w:bidi="ar-SA"/>
        </w:rPr>
        <w:t>，K；</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s-ES" w:eastAsia="zh-CN" w:bidi="ar-SA"/>
        </w:rPr>
        <w:t xml:space="preserve">      </w:t>
      </w:r>
      <w:r>
        <w:rPr>
          <w:rFonts w:hint="default" w:ascii="Times New Roman" w:hAnsi="Times New Roman" w:eastAsia="宋体" w:cs="Times New Roman"/>
          <w:snapToGrid w:val="0"/>
          <w:color w:val="auto"/>
          <w:kern w:val="0"/>
          <w:sz w:val="24"/>
          <w:szCs w:val="21"/>
          <w:lang w:val="en-US" w:eastAsia="zh-CN" w:bidi="ar-SA"/>
        </w:rPr>
        <w:t>U—风速，m/s；</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 xml:space="preserve">      r—液池半径，m；</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 xml:space="preserve">      M—分子量；</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根据上述公式计算出，氨水、硝酸储罐、福尔马林吨桶泄漏质量蒸发源强如下表6.3-4所示。</w:t>
      </w:r>
    </w:p>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en-US" w:eastAsia="zh-CN" w:bidi="ar-SA"/>
        </w:rPr>
      </w:pPr>
      <w:r>
        <w:rPr>
          <w:rFonts w:hint="default" w:ascii="Times New Roman" w:hAnsi="Times New Roman" w:eastAsia="黑体" w:cs="Times New Roman"/>
          <w:b w:val="0"/>
          <w:bCs/>
          <w:color w:val="auto"/>
          <w:kern w:val="2"/>
          <w:sz w:val="24"/>
          <w:szCs w:val="24"/>
          <w:lang w:val="en-US" w:eastAsia="zh-CN" w:bidi="ar-SA"/>
        </w:rPr>
        <w:t>表6.3-4  a，n系数与大气稳定度关系</w:t>
      </w:r>
    </w:p>
    <w:tbl>
      <w:tblPr>
        <w:tblStyle w:val="90"/>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16"/>
        <w:gridCol w:w="3436"/>
        <w:gridCol w:w="343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16"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大气稳定状况</w:t>
            </w:r>
          </w:p>
        </w:tc>
        <w:tc>
          <w:tcPr>
            <w:tcW w:w="3436"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n</w:t>
            </w:r>
          </w:p>
        </w:tc>
        <w:tc>
          <w:tcPr>
            <w:tcW w:w="3434"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16"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不稳定</w:t>
            </w:r>
          </w:p>
        </w:tc>
        <w:tc>
          <w:tcPr>
            <w:tcW w:w="3436"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0.2</w:t>
            </w:r>
          </w:p>
        </w:tc>
        <w:tc>
          <w:tcPr>
            <w:tcW w:w="3434"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3.846×10</w:t>
            </w:r>
            <w:r>
              <w:rPr>
                <w:rFonts w:hint="default" w:ascii="Times New Roman" w:hAnsi="Times New Roman" w:eastAsia="宋体" w:cs="Times New Roman"/>
                <w:color w:val="auto"/>
                <w:kern w:val="2"/>
                <w:sz w:val="21"/>
                <w:szCs w:val="36"/>
                <w:vertAlign w:val="superscript"/>
                <w:lang w:val="en-US" w:eastAsia="zh-CN" w:bidi="ar-SA"/>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16"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中性</w:t>
            </w:r>
          </w:p>
        </w:tc>
        <w:tc>
          <w:tcPr>
            <w:tcW w:w="3436"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0.25</w:t>
            </w:r>
          </w:p>
        </w:tc>
        <w:tc>
          <w:tcPr>
            <w:tcW w:w="3434"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4.685×10</w:t>
            </w:r>
            <w:r>
              <w:rPr>
                <w:rFonts w:hint="default" w:ascii="Times New Roman" w:hAnsi="Times New Roman" w:eastAsia="宋体" w:cs="Times New Roman"/>
                <w:color w:val="auto"/>
                <w:kern w:val="2"/>
                <w:sz w:val="21"/>
                <w:szCs w:val="36"/>
                <w:vertAlign w:val="superscript"/>
                <w:lang w:val="en-US" w:eastAsia="zh-CN" w:bidi="ar-SA"/>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16" w:type="dxa"/>
            <w:tcBorders>
              <w:lef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稳定</w:t>
            </w:r>
          </w:p>
        </w:tc>
        <w:tc>
          <w:tcPr>
            <w:tcW w:w="3436"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0.3</w:t>
            </w:r>
          </w:p>
        </w:tc>
        <w:tc>
          <w:tcPr>
            <w:tcW w:w="3434" w:type="dxa"/>
            <w:tcBorders>
              <w:right w:val="single" w:color="auto" w:sz="4" w:space="0"/>
            </w:tcBorders>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jc w:val="center"/>
              <w:textAlignment w:val="auto"/>
              <w:outlineLvl w:val="9"/>
              <w:rPr>
                <w:rFonts w:hint="default" w:ascii="Times New Roman" w:hAnsi="Times New Roman" w:eastAsia="宋体" w:cs="Times New Roman"/>
                <w:color w:val="auto"/>
                <w:kern w:val="2"/>
                <w:sz w:val="21"/>
                <w:szCs w:val="36"/>
                <w:lang w:val="en-US" w:eastAsia="zh-CN" w:bidi="ar-SA"/>
              </w:rPr>
            </w:pPr>
            <w:r>
              <w:rPr>
                <w:rFonts w:hint="default" w:ascii="Times New Roman" w:hAnsi="Times New Roman" w:eastAsia="宋体" w:cs="Times New Roman"/>
                <w:color w:val="auto"/>
                <w:kern w:val="2"/>
                <w:sz w:val="21"/>
                <w:szCs w:val="36"/>
                <w:lang w:val="en-US" w:eastAsia="zh-CN" w:bidi="ar-SA"/>
              </w:rPr>
              <w:t>5.285×10</w:t>
            </w:r>
            <w:r>
              <w:rPr>
                <w:rFonts w:hint="default" w:ascii="Times New Roman" w:hAnsi="Times New Roman" w:eastAsia="宋体" w:cs="Times New Roman"/>
                <w:color w:val="auto"/>
                <w:kern w:val="2"/>
                <w:sz w:val="21"/>
                <w:szCs w:val="36"/>
                <w:vertAlign w:val="superscript"/>
                <w:lang w:val="en-US" w:eastAsia="zh-CN" w:bidi="ar-SA"/>
              </w:rPr>
              <w:t>-3</w:t>
            </w:r>
          </w:p>
        </w:tc>
      </w:tr>
    </w:tbl>
    <w:p>
      <w:pPr>
        <w:widowControl w:val="0"/>
        <w:spacing w:afterLines="0" w:line="360" w:lineRule="auto"/>
        <w:ind w:firstLine="0"/>
        <w:jc w:val="center"/>
        <w:outlineLvl w:val="4"/>
        <w:rPr>
          <w:rFonts w:hint="default" w:ascii="Times New Roman" w:hAnsi="Times New Roman" w:eastAsia="黑体" w:cs="Times New Roman"/>
          <w:b/>
          <w:color w:val="auto"/>
          <w:kern w:val="2"/>
          <w:sz w:val="24"/>
          <w:szCs w:val="24"/>
        </w:rPr>
        <w:sectPr>
          <w:pgSz w:w="11906" w:h="16838"/>
          <w:pgMar w:top="1304" w:right="1418" w:bottom="1304" w:left="1418" w:header="851" w:footer="992" w:gutter="0"/>
          <w:pgBorders>
            <w:top w:val="none" w:sz="0" w:space="0"/>
            <w:left w:val="none" w:sz="0" w:space="0"/>
            <w:bottom w:val="none" w:sz="0" w:space="0"/>
            <w:right w:val="none" w:sz="0" w:space="0"/>
          </w:pgBorders>
          <w:pgNumType w:fmt="decimal"/>
          <w:cols w:space="720" w:num="1"/>
          <w:docGrid w:linePitch="380" w:charSpace="-5735"/>
        </w:sectPr>
      </w:pPr>
    </w:p>
    <w:p>
      <w:pPr>
        <w:keepNext w:val="0"/>
        <w:keepLines w:val="0"/>
        <w:pageBreakBefore w:val="0"/>
        <w:widowControl w:val="0"/>
        <w:kinsoku/>
        <w:wordWrap/>
        <w:overflowPunct/>
        <w:topLinePunct w:val="0"/>
        <w:autoSpaceDE/>
        <w:autoSpaceDN/>
        <w:bidi w:val="0"/>
        <w:adjustRightInd/>
        <w:snapToGrid/>
        <w:spacing w:after="0"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en-US" w:eastAsia="zh-CN" w:bidi="ar-SA"/>
        </w:rPr>
      </w:pPr>
      <w:r>
        <w:rPr>
          <w:rFonts w:hint="default" w:ascii="Times New Roman" w:hAnsi="Times New Roman" w:eastAsia="黑体" w:cs="Times New Roman"/>
          <w:b w:val="0"/>
          <w:bCs/>
          <w:color w:val="auto"/>
          <w:kern w:val="2"/>
          <w:sz w:val="24"/>
          <w:szCs w:val="24"/>
          <w:lang w:val="en-US" w:eastAsia="zh-CN" w:bidi="ar-SA"/>
        </w:rPr>
        <w:t>表6.3-5 储罐或泄漏源强汇总表</w:t>
      </w:r>
    </w:p>
    <w:tbl>
      <w:tblPr>
        <w:tblStyle w:val="90"/>
        <w:tblW w:w="0" w:type="auto"/>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265"/>
        <w:gridCol w:w="649"/>
        <w:gridCol w:w="831"/>
        <w:gridCol w:w="672"/>
        <w:gridCol w:w="868"/>
        <w:gridCol w:w="1138"/>
        <w:gridCol w:w="924"/>
        <w:gridCol w:w="906"/>
        <w:gridCol w:w="909"/>
        <w:gridCol w:w="112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65" w:type="dxa"/>
            <w:tcBorders>
              <w:top w:val="single" w:color="000000" w:sz="4" w:space="0"/>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物料</w:t>
            </w:r>
          </w:p>
        </w:tc>
        <w:tc>
          <w:tcPr>
            <w:tcW w:w="649" w:type="dxa"/>
            <w:tcBorders>
              <w:top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气象条件</w:t>
            </w:r>
          </w:p>
        </w:tc>
        <w:tc>
          <w:tcPr>
            <w:tcW w:w="831" w:type="dxa"/>
            <w:tcBorders>
              <w:top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密度(g/cm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672" w:type="dxa"/>
            <w:tcBorders>
              <w:top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液位高度(m)</w:t>
            </w:r>
          </w:p>
        </w:tc>
        <w:tc>
          <w:tcPr>
            <w:tcW w:w="868" w:type="dxa"/>
            <w:tcBorders>
              <w:top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裂口孔径(mm)</w:t>
            </w:r>
          </w:p>
        </w:tc>
        <w:tc>
          <w:tcPr>
            <w:tcW w:w="1138" w:type="dxa"/>
            <w:tcBorders>
              <w:top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泄漏</w:t>
            </w:r>
          </w:p>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速率(kg/s)</w:t>
            </w:r>
          </w:p>
        </w:tc>
        <w:tc>
          <w:tcPr>
            <w:tcW w:w="924" w:type="dxa"/>
            <w:tcBorders>
              <w:top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泄漏时间（min）</w:t>
            </w:r>
          </w:p>
        </w:tc>
        <w:tc>
          <w:tcPr>
            <w:tcW w:w="906" w:type="dxa"/>
            <w:tcBorders>
              <w:top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最大泄漏量(t)</w:t>
            </w:r>
          </w:p>
        </w:tc>
        <w:tc>
          <w:tcPr>
            <w:tcW w:w="909" w:type="dxa"/>
            <w:tcBorders>
              <w:top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蒸发速率kg/s</w:t>
            </w:r>
          </w:p>
        </w:tc>
        <w:tc>
          <w:tcPr>
            <w:tcW w:w="1124" w:type="dxa"/>
            <w:tcBorders>
              <w:top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扩散模式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65" w:type="dxa"/>
            <w:tcBorders>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Cs/>
                <w:snapToGrid w:val="0"/>
                <w:color w:val="auto"/>
                <w:kern w:val="0"/>
                <w:sz w:val="21"/>
                <w:szCs w:val="21"/>
                <w:lang w:val="en-US" w:eastAsia="zh-CN" w:bidi="ar-SA"/>
              </w:rPr>
              <w:t>硝酸</w:t>
            </w:r>
          </w:p>
        </w:tc>
        <w:tc>
          <w:tcPr>
            <w:tcW w:w="649"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w:t>
            </w:r>
          </w:p>
        </w:tc>
        <w:tc>
          <w:tcPr>
            <w:tcW w:w="831"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1.50</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6.0</w:t>
            </w:r>
          </w:p>
        </w:tc>
        <w:tc>
          <w:tcPr>
            <w:tcW w:w="868"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0</w:t>
            </w:r>
          </w:p>
        </w:tc>
        <w:tc>
          <w:tcPr>
            <w:tcW w:w="1138"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0.216</w:t>
            </w:r>
          </w:p>
        </w:tc>
        <w:tc>
          <w:tcPr>
            <w:tcW w:w="924"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906"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fldChar w:fldCharType="begin"/>
            </w:r>
            <w:r>
              <w:rPr>
                <w:rFonts w:hint="default" w:ascii="Times New Roman" w:hAnsi="Times New Roman" w:eastAsia="宋体" w:cs="Times New Roman"/>
                <w:color w:val="auto"/>
                <w:sz w:val="21"/>
                <w:szCs w:val="21"/>
                <w:lang w:val="en-US"/>
              </w:rPr>
              <w:instrText xml:space="preserve"> =0.216*60*30/1000 \# "0.000" \* MERGEFORMAT </w:instrText>
            </w:r>
            <w:r>
              <w:rPr>
                <w:rFonts w:hint="default" w:ascii="Times New Roman" w:hAnsi="Times New Roman" w:eastAsia="宋体" w:cs="Times New Roman"/>
                <w:color w:val="auto"/>
                <w:sz w:val="21"/>
                <w:szCs w:val="21"/>
                <w:lang w:val="en-US"/>
              </w:rPr>
              <w:fldChar w:fldCharType="separate"/>
            </w:r>
            <w:r>
              <w:rPr>
                <w:rFonts w:hint="default" w:ascii="Times New Roman" w:hAnsi="Times New Roman" w:eastAsia="宋体" w:cs="Times New Roman"/>
                <w:color w:val="auto"/>
                <w:sz w:val="21"/>
                <w:szCs w:val="21"/>
              </w:rPr>
              <w:t>0.389</w:t>
            </w:r>
            <w:r>
              <w:rPr>
                <w:rFonts w:hint="default" w:ascii="Times New Roman" w:hAnsi="Times New Roman" w:eastAsia="宋体" w:cs="Times New Roman"/>
                <w:color w:val="auto"/>
                <w:sz w:val="21"/>
                <w:szCs w:val="21"/>
                <w:lang w:val="en-US"/>
              </w:rPr>
              <w:fldChar w:fldCharType="end"/>
            </w:r>
          </w:p>
        </w:tc>
        <w:tc>
          <w:tcPr>
            <w:tcW w:w="909"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0.0</w:t>
            </w:r>
            <w:r>
              <w:rPr>
                <w:rFonts w:hint="default" w:ascii="Times New Roman" w:hAnsi="Times New Roman" w:eastAsia="宋体" w:cs="Times New Roman"/>
                <w:color w:val="auto"/>
                <w:sz w:val="21"/>
                <w:szCs w:val="21"/>
                <w:lang w:val="en-US" w:eastAsia="zh-CN"/>
              </w:rPr>
              <w:t>175</w:t>
            </w:r>
          </w:p>
        </w:tc>
        <w:tc>
          <w:tcPr>
            <w:tcW w:w="1124" w:type="dxa"/>
            <w:tcBorders>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AFTOX</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65" w:type="dxa"/>
            <w:tcBorders>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Cs/>
                <w:snapToGrid w:val="0"/>
                <w:color w:val="auto"/>
                <w:kern w:val="0"/>
                <w:sz w:val="21"/>
                <w:szCs w:val="21"/>
                <w:lang w:val="en-US" w:eastAsia="zh-CN" w:bidi="ar-SA"/>
              </w:rPr>
              <w:t>氨水</w:t>
            </w:r>
          </w:p>
        </w:tc>
        <w:tc>
          <w:tcPr>
            <w:tcW w:w="649"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rPr>
              <w:t>F</w:t>
            </w:r>
          </w:p>
        </w:tc>
        <w:tc>
          <w:tcPr>
            <w:tcW w:w="831"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0.</w:t>
            </w:r>
            <w:r>
              <w:rPr>
                <w:rFonts w:hint="default" w:ascii="Times New Roman" w:hAnsi="Times New Roman" w:eastAsia="宋体" w:cs="Times New Roman"/>
                <w:color w:val="auto"/>
                <w:sz w:val="21"/>
                <w:szCs w:val="21"/>
                <w:lang w:val="en-US" w:eastAsia="zh-CN"/>
              </w:rPr>
              <w:t>892</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6.0</w:t>
            </w:r>
          </w:p>
        </w:tc>
        <w:tc>
          <w:tcPr>
            <w:tcW w:w="868"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0</w:t>
            </w:r>
          </w:p>
        </w:tc>
        <w:tc>
          <w:tcPr>
            <w:tcW w:w="1138"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0.202</w:t>
            </w:r>
          </w:p>
        </w:tc>
        <w:tc>
          <w:tcPr>
            <w:vMerge w:val="continue"/>
            <w:noWrap w:val="0"/>
          </w:tcPr>
          <w:p/>
        </w:tc>
        <w:tc>
          <w:tcPr>
            <w:tcW w:w="906"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fldChar w:fldCharType="begin"/>
            </w:r>
            <w:r>
              <w:rPr>
                <w:rFonts w:hint="default" w:ascii="Times New Roman" w:hAnsi="Times New Roman" w:eastAsia="宋体" w:cs="Times New Roman"/>
                <w:color w:val="auto"/>
                <w:sz w:val="21"/>
                <w:szCs w:val="21"/>
                <w:lang w:val="en-US"/>
              </w:rPr>
              <w:instrText xml:space="preserve"> =0.202*60*30/1000 \# "0.000" </w:instrText>
            </w:r>
            <w:r>
              <w:rPr>
                <w:rFonts w:hint="default" w:ascii="Times New Roman" w:hAnsi="Times New Roman" w:eastAsia="宋体" w:cs="Times New Roman"/>
                <w:color w:val="auto"/>
                <w:sz w:val="21"/>
                <w:szCs w:val="21"/>
                <w:lang w:val="en-US"/>
              </w:rPr>
              <w:fldChar w:fldCharType="separate"/>
            </w:r>
            <w:r>
              <w:rPr>
                <w:rFonts w:hint="default" w:ascii="Times New Roman" w:hAnsi="Times New Roman" w:eastAsia="宋体" w:cs="Times New Roman"/>
                <w:color w:val="auto"/>
                <w:sz w:val="21"/>
                <w:szCs w:val="21"/>
                <w:lang w:val="en-US"/>
              </w:rPr>
              <w:t>0.364</w:t>
            </w:r>
            <w:r>
              <w:rPr>
                <w:rFonts w:hint="default" w:ascii="Times New Roman" w:hAnsi="Times New Roman" w:eastAsia="宋体" w:cs="Times New Roman"/>
                <w:color w:val="auto"/>
                <w:sz w:val="21"/>
                <w:szCs w:val="21"/>
                <w:lang w:val="en-US"/>
              </w:rPr>
              <w:fldChar w:fldCharType="end"/>
            </w:r>
          </w:p>
        </w:tc>
        <w:tc>
          <w:tcPr>
            <w:tcW w:w="909"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0.046</w:t>
            </w:r>
          </w:p>
        </w:tc>
        <w:tc>
          <w:tcPr>
            <w:tcW w:w="1124" w:type="dxa"/>
            <w:tcBorders>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AFTOX</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65" w:type="dxa"/>
            <w:tcBorders>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val="en-US" w:eastAsia="zh-CN"/>
              </w:rPr>
              <w:t>福尔马林</w:t>
            </w:r>
          </w:p>
        </w:tc>
        <w:tc>
          <w:tcPr>
            <w:tcW w:w="649"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w:t>
            </w:r>
          </w:p>
        </w:tc>
        <w:tc>
          <w:tcPr>
            <w:tcW w:w="831"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w:t>
            </w:r>
            <w:r>
              <w:rPr>
                <w:rFonts w:hint="default" w:ascii="Times New Roman" w:hAnsi="Times New Roman" w:eastAsia="宋体" w:cs="Times New Roman"/>
                <w:color w:val="auto"/>
                <w:sz w:val="21"/>
                <w:szCs w:val="21"/>
                <w:lang w:val="en-US" w:eastAsia="zh-CN"/>
              </w:rPr>
              <w:t>083</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868"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0</w:t>
            </w:r>
          </w:p>
        </w:tc>
        <w:tc>
          <w:tcPr>
            <w:tcW w:w="1138"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0.245</w:t>
            </w:r>
          </w:p>
        </w:tc>
        <w:tc>
          <w:tcPr>
            <w:vMerge w:val="continue"/>
            <w:noWrap w:val="0"/>
          </w:tcPr>
          <w:p/>
        </w:tc>
        <w:tc>
          <w:tcPr>
            <w:tcW w:w="906"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fldChar w:fldCharType="begin"/>
            </w:r>
            <w:r>
              <w:rPr>
                <w:rFonts w:hint="default" w:ascii="Times New Roman" w:hAnsi="Times New Roman" w:eastAsia="宋体" w:cs="Times New Roman"/>
                <w:color w:val="auto"/>
                <w:sz w:val="21"/>
                <w:szCs w:val="21"/>
                <w:lang w:val="en-US"/>
              </w:rPr>
              <w:instrText xml:space="preserve"> =0.245*60*30/1000 \# "0.000" \* MERGEFORMAT </w:instrText>
            </w:r>
            <w:r>
              <w:rPr>
                <w:rFonts w:hint="default" w:ascii="Times New Roman" w:hAnsi="Times New Roman" w:eastAsia="宋体" w:cs="Times New Roman"/>
                <w:color w:val="auto"/>
                <w:sz w:val="21"/>
                <w:szCs w:val="21"/>
                <w:lang w:val="en-US"/>
              </w:rPr>
              <w:fldChar w:fldCharType="separate"/>
            </w:r>
            <w:r>
              <w:rPr>
                <w:rFonts w:hint="default" w:ascii="Times New Roman" w:hAnsi="Times New Roman" w:eastAsia="宋体" w:cs="Times New Roman"/>
                <w:color w:val="auto"/>
                <w:sz w:val="21"/>
                <w:szCs w:val="21"/>
              </w:rPr>
              <w:t>0.441</w:t>
            </w:r>
            <w:r>
              <w:rPr>
                <w:rFonts w:hint="default" w:ascii="Times New Roman" w:hAnsi="Times New Roman" w:eastAsia="宋体" w:cs="Times New Roman"/>
                <w:color w:val="auto"/>
                <w:sz w:val="21"/>
                <w:szCs w:val="21"/>
                <w:lang w:val="en-US"/>
              </w:rPr>
              <w:fldChar w:fldCharType="end"/>
            </w:r>
          </w:p>
        </w:tc>
        <w:tc>
          <w:tcPr>
            <w:tcW w:w="909"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0.173</w:t>
            </w:r>
          </w:p>
        </w:tc>
        <w:tc>
          <w:tcPr>
            <w:tcW w:w="1124" w:type="dxa"/>
            <w:tcBorders>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 AFTOX</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65" w:type="dxa"/>
            <w:tcBorders>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乙醇</w:t>
            </w:r>
          </w:p>
        </w:tc>
        <w:tc>
          <w:tcPr>
            <w:tcW w:w="649" w:type="dxa"/>
            <w:tcBorders>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w:t>
            </w:r>
          </w:p>
        </w:tc>
        <w:tc>
          <w:tcPr>
            <w:tcW w:w="831" w:type="dxa"/>
            <w:tcBorders>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0.789</w:t>
            </w:r>
          </w:p>
        </w:tc>
        <w:tc>
          <w:tcPr>
            <w:tcW w:w="672" w:type="dxa"/>
            <w:tcBorders>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4.5</w:t>
            </w:r>
          </w:p>
        </w:tc>
        <w:tc>
          <w:tcPr>
            <w:tcW w:w="868" w:type="dxa"/>
            <w:tcBorders>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138" w:type="dxa"/>
            <w:tcBorders>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0.169</w:t>
            </w:r>
          </w:p>
        </w:tc>
        <w:tc>
          <w:tcPr>
            <w:vMerge w:val="continue"/>
            <w:noWrap w:val="0"/>
          </w:tcPr>
          <w:p/>
        </w:tc>
        <w:tc>
          <w:tcPr>
            <w:tcW w:w="906" w:type="dxa"/>
            <w:tcBorders>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fldChar w:fldCharType="begin"/>
            </w:r>
            <w:r>
              <w:rPr>
                <w:rFonts w:hint="default" w:ascii="Times New Roman" w:hAnsi="Times New Roman" w:eastAsia="宋体" w:cs="Times New Roman"/>
                <w:color w:val="auto"/>
                <w:sz w:val="21"/>
                <w:szCs w:val="21"/>
                <w:lang w:val="en-US"/>
              </w:rPr>
              <w:instrText xml:space="preserve"> =0.169*60*30/1000 \# "0.000" \* MERGEFORMAT </w:instrText>
            </w:r>
            <w:r>
              <w:rPr>
                <w:rFonts w:hint="default" w:ascii="Times New Roman" w:hAnsi="Times New Roman" w:eastAsia="宋体" w:cs="Times New Roman"/>
                <w:color w:val="auto"/>
                <w:sz w:val="21"/>
                <w:szCs w:val="21"/>
                <w:lang w:val="en-US"/>
              </w:rPr>
              <w:fldChar w:fldCharType="separate"/>
            </w:r>
            <w:r>
              <w:rPr>
                <w:rFonts w:hint="default" w:ascii="Times New Roman" w:hAnsi="Times New Roman" w:eastAsia="宋体" w:cs="Times New Roman"/>
                <w:color w:val="auto"/>
                <w:sz w:val="21"/>
                <w:szCs w:val="21"/>
              </w:rPr>
              <w:t>0.304</w:t>
            </w:r>
            <w:r>
              <w:rPr>
                <w:rFonts w:hint="default" w:ascii="Times New Roman" w:hAnsi="Times New Roman" w:eastAsia="宋体" w:cs="Times New Roman"/>
                <w:color w:val="auto"/>
                <w:sz w:val="21"/>
                <w:szCs w:val="21"/>
                <w:lang w:val="en-US"/>
              </w:rPr>
              <w:fldChar w:fldCharType="end"/>
            </w:r>
          </w:p>
        </w:tc>
        <w:tc>
          <w:tcPr>
            <w:tcW w:w="909" w:type="dxa"/>
            <w:tcBorders>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0.0123</w:t>
            </w:r>
          </w:p>
        </w:tc>
        <w:tc>
          <w:tcPr>
            <w:tcW w:w="1124" w:type="dxa"/>
            <w:tcBorders>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AFTOX</w:t>
            </w:r>
          </w:p>
        </w:tc>
      </w:tr>
    </w:tbl>
    <w:p>
      <w:pPr>
        <w:pStyle w:val="85"/>
        <w:keepNext w:val="0"/>
        <w:keepLines w:val="0"/>
        <w:pageBreakBefore w:val="0"/>
        <w:widowControl w:val="0"/>
        <w:tabs>
          <w:tab w:val="left" w:pos="1590"/>
        </w:tabs>
        <w:kinsoku/>
        <w:wordWrap/>
        <w:overflowPunct/>
        <w:topLinePunct w:val="0"/>
        <w:autoSpaceDE/>
        <w:autoSpaceDN/>
        <w:bidi w:val="0"/>
        <w:adjustRightInd/>
        <w:snapToGrid/>
        <w:spacing w:line="360" w:lineRule="auto"/>
        <w:ind w:firstLine="480"/>
        <w:jc w:val="both"/>
        <w:textAlignment w:val="auto"/>
        <w:outlineLvl w:val="9"/>
        <w:rPr>
          <w:rFonts w:hint="default" w:ascii="Times New Roman" w:hAnsi="Times New Roman" w:eastAsia="宋体" w:cs="Times New Roman"/>
          <w:lang w:val="zh-CN"/>
        </w:rPr>
      </w:pPr>
      <w:r>
        <w:rPr>
          <w:rFonts w:hint="eastAsia" w:ascii="Times New Roman" w:hAnsi="Times New Roman" w:cs="Times New Roman"/>
          <w:kern w:val="2"/>
          <w:szCs w:val="22"/>
          <w:lang w:val="en-US" w:eastAsia="zh-CN" w:bidi="ar"/>
        </w:rPr>
        <w:t>②</w:t>
      </w:r>
      <w:r>
        <w:rPr>
          <w:rFonts w:hint="default" w:ascii="Times New Roman" w:hAnsi="Times New Roman" w:eastAsia="宋体" w:cs="Times New Roman"/>
          <w:kern w:val="2"/>
          <w:szCs w:val="22"/>
          <w:lang w:bidi="ar"/>
        </w:rPr>
        <w:t>火灾次生污染物源强</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sz w:val="24"/>
          <w:szCs w:val="24"/>
          <w:lang w:val="zh-CN"/>
        </w:rPr>
      </w:pPr>
      <w:r>
        <w:rPr>
          <w:rFonts w:hint="default" w:ascii="Times New Roman" w:hAnsi="Times New Roman" w:eastAsia="宋体" w:cs="Times New Roman"/>
          <w:sz w:val="24"/>
          <w:szCs w:val="24"/>
          <w:lang w:val="zh-CN" w:bidi="ar"/>
        </w:rPr>
        <w:t>针对</w:t>
      </w:r>
      <w:r>
        <w:rPr>
          <w:rFonts w:hint="eastAsia" w:ascii="Times New Roman" w:hAnsi="Times New Roman" w:eastAsia="宋体" w:cs="Times New Roman"/>
          <w:sz w:val="24"/>
          <w:szCs w:val="24"/>
          <w:lang w:val="en-US" w:eastAsia="zh-CN" w:bidi="ar"/>
        </w:rPr>
        <w:t>乙醇</w:t>
      </w:r>
      <w:r>
        <w:rPr>
          <w:rFonts w:hint="default" w:ascii="Times New Roman" w:hAnsi="Times New Roman" w:eastAsia="宋体" w:cs="Times New Roman"/>
          <w:sz w:val="24"/>
          <w:szCs w:val="24"/>
          <w:lang w:bidi="ar"/>
        </w:rPr>
        <w:t>储罐泄漏</w:t>
      </w:r>
      <w:r>
        <w:rPr>
          <w:rFonts w:hint="default" w:ascii="Times New Roman" w:hAnsi="Times New Roman" w:eastAsia="宋体" w:cs="Times New Roman"/>
          <w:sz w:val="24"/>
          <w:szCs w:val="24"/>
          <w:lang w:val="zh-CN" w:bidi="ar"/>
        </w:rPr>
        <w:t>火灾次生污染物</w:t>
      </w:r>
      <w:r>
        <w:rPr>
          <w:rFonts w:hint="default" w:ascii="Times New Roman" w:hAnsi="Times New Roman" w:eastAsia="宋体" w:cs="Times New Roman"/>
          <w:sz w:val="24"/>
          <w:szCs w:val="24"/>
          <w:lang w:bidi="ar"/>
        </w:rPr>
        <w:t>CO对大气环境的影响进行预测分析。</w:t>
      </w:r>
      <w:r>
        <w:rPr>
          <w:rFonts w:hint="default" w:ascii="Times New Roman" w:hAnsi="Times New Roman" w:eastAsia="宋体" w:cs="Times New Roman"/>
          <w:sz w:val="24"/>
          <w:szCs w:val="24"/>
          <w:lang w:val="zh-CN" w:bidi="ar"/>
        </w:rPr>
        <w:t>依据《建设项目环境风险评价技术导则》（</w:t>
      </w:r>
      <w:r>
        <w:rPr>
          <w:rFonts w:hint="default" w:ascii="Times New Roman" w:hAnsi="Times New Roman" w:eastAsia="宋体" w:cs="Times New Roman"/>
          <w:sz w:val="24"/>
          <w:szCs w:val="24"/>
          <w:lang w:bidi="ar"/>
        </w:rPr>
        <w:t>HJ169-2018</w:t>
      </w:r>
      <w:r>
        <w:rPr>
          <w:rFonts w:hint="default" w:ascii="Times New Roman" w:hAnsi="Times New Roman" w:eastAsia="宋体" w:cs="Times New Roman"/>
          <w:sz w:val="24"/>
          <w:szCs w:val="24"/>
          <w:lang w:val="zh-CN" w:bidi="ar"/>
        </w:rPr>
        <w:t>）附录</w:t>
      </w:r>
      <w:r>
        <w:rPr>
          <w:rFonts w:hint="default" w:ascii="Times New Roman" w:hAnsi="Times New Roman" w:eastAsia="宋体" w:cs="Times New Roman"/>
          <w:sz w:val="24"/>
          <w:szCs w:val="24"/>
          <w:lang w:bidi="ar"/>
        </w:rPr>
        <w:t>F3，</w:t>
      </w:r>
      <w:r>
        <w:rPr>
          <w:rFonts w:hint="default" w:ascii="Times New Roman" w:hAnsi="Times New Roman" w:eastAsia="宋体" w:cs="Times New Roman"/>
          <w:sz w:val="24"/>
          <w:szCs w:val="24"/>
          <w:lang w:val="zh-CN" w:bidi="ar"/>
        </w:rPr>
        <w:t>火灾下CO 产生量</w:t>
      </w:r>
    </w:p>
    <w:p>
      <w:pPr>
        <w:keepNext w:val="0"/>
        <w:keepLines w:val="0"/>
        <w:pageBreakBefore w:val="0"/>
        <w:widowControl w:val="0"/>
        <w:kinsoku/>
        <w:wordWrap/>
        <w:overflowPunct/>
        <w:topLinePunct w:val="0"/>
        <w:autoSpaceDE/>
        <w:autoSpaceDN/>
        <w:bidi w:val="0"/>
        <w:adjustRightInd/>
        <w:snapToGrid/>
        <w:spacing w:line="360" w:lineRule="auto"/>
        <w:ind w:firstLine="480"/>
        <w:jc w:val="center"/>
        <w:textAlignment w:val="auto"/>
        <w:outlineLvl w:val="9"/>
        <w:rPr>
          <w:rFonts w:hint="default" w:ascii="Times New Roman" w:hAnsi="Times New Roman" w:eastAsia="宋体" w:cs="Times New Roman"/>
          <w:sz w:val="24"/>
          <w:szCs w:val="24"/>
          <w:lang w:val="zh-CN"/>
        </w:rPr>
      </w:pPr>
      <w:r>
        <w:rPr>
          <w:rFonts w:hint="default" w:ascii="Times New Roman" w:hAnsi="Times New Roman" w:eastAsia="宋体" w:cs="Times New Roman"/>
          <w:sz w:val="24"/>
          <w:szCs w:val="24"/>
          <w:lang w:val="zh-CN" w:bidi="ar"/>
        </w:rPr>
        <w:t xml:space="preserve">G </w:t>
      </w:r>
      <w:r>
        <w:rPr>
          <w:rFonts w:hint="default" w:ascii="Times New Roman" w:hAnsi="Times New Roman" w:eastAsia="宋体" w:cs="Times New Roman"/>
          <w:sz w:val="24"/>
          <w:szCs w:val="24"/>
          <w:vertAlign w:val="subscript"/>
          <w:lang w:val="zh-CN" w:bidi="ar"/>
        </w:rPr>
        <w:t>一氧化碳</w:t>
      </w:r>
      <w:r>
        <w:rPr>
          <w:rFonts w:hint="default" w:ascii="Times New Roman" w:hAnsi="Times New Roman" w:eastAsia="宋体" w:cs="Times New Roman"/>
          <w:sz w:val="24"/>
          <w:szCs w:val="24"/>
          <w:lang w:val="zh-CN" w:bidi="ar"/>
        </w:rPr>
        <w:t>=2330qCQ</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sz w:val="24"/>
          <w:szCs w:val="24"/>
          <w:lang w:val="zh-CN"/>
        </w:rPr>
      </w:pPr>
      <w:r>
        <w:rPr>
          <w:rFonts w:hint="default" w:ascii="Times New Roman" w:hAnsi="Times New Roman" w:eastAsia="宋体" w:cs="Times New Roman"/>
          <w:sz w:val="24"/>
          <w:szCs w:val="24"/>
          <w:lang w:val="zh-CN" w:bidi="ar"/>
        </w:rPr>
        <w:t>式中：G</w:t>
      </w:r>
      <w:r>
        <w:rPr>
          <w:rFonts w:hint="default" w:ascii="Times New Roman" w:hAnsi="Times New Roman" w:eastAsia="宋体" w:cs="Times New Roman"/>
          <w:sz w:val="24"/>
          <w:szCs w:val="24"/>
          <w:vertAlign w:val="subscript"/>
          <w:lang w:val="zh-CN" w:bidi="ar"/>
        </w:rPr>
        <w:t>一氧化碳</w:t>
      </w:r>
      <w:r>
        <w:rPr>
          <w:rFonts w:hint="default" w:ascii="Times New Roman" w:hAnsi="Times New Roman" w:eastAsia="宋体" w:cs="Times New Roman"/>
          <w:sz w:val="24"/>
          <w:szCs w:val="24"/>
          <w:lang w:val="zh-CN" w:bidi="ar"/>
        </w:rPr>
        <w:t xml:space="preserve">——一氧化碳的产生量，kg/s； </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sz w:val="24"/>
          <w:szCs w:val="24"/>
          <w:lang w:val="zh-CN"/>
        </w:rPr>
      </w:pPr>
      <w:r>
        <w:rPr>
          <w:rFonts w:hint="default" w:ascii="Times New Roman" w:hAnsi="Times New Roman" w:eastAsia="宋体" w:cs="Times New Roman"/>
          <w:sz w:val="24"/>
          <w:szCs w:val="24"/>
          <w:lang w:val="zh-CN" w:bidi="ar"/>
        </w:rPr>
        <w:t>C——物质中碳的含量</w:t>
      </w:r>
      <w:r>
        <w:rPr>
          <w:rFonts w:hint="eastAsia" w:ascii="Times New Roman" w:hAnsi="Times New Roman" w:eastAsia="宋体" w:cs="Times New Roman"/>
          <w:sz w:val="24"/>
          <w:szCs w:val="24"/>
          <w:lang w:val="zh-CN" w:bidi="ar"/>
        </w:rPr>
        <w:t>，</w:t>
      </w:r>
      <w:r>
        <w:rPr>
          <w:rFonts w:hint="eastAsia" w:ascii="Times New Roman" w:hAnsi="Times New Roman" w:eastAsia="宋体" w:cs="Times New Roman"/>
          <w:sz w:val="24"/>
          <w:szCs w:val="24"/>
          <w:lang w:val="en-US" w:eastAsia="zh-CN" w:bidi="ar"/>
        </w:rPr>
        <w:t>乙醇中含碳52.2%</w:t>
      </w:r>
      <w:r>
        <w:rPr>
          <w:rFonts w:hint="default" w:ascii="Times New Roman" w:hAnsi="Times New Roman" w:eastAsia="宋体" w:cs="Times New Roman"/>
          <w:sz w:val="24"/>
          <w:szCs w:val="24"/>
          <w:lang w:val="zh-CN" w:bidi="ar"/>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sz w:val="24"/>
          <w:szCs w:val="24"/>
          <w:lang w:val="zh-CN"/>
        </w:rPr>
      </w:pPr>
      <w:r>
        <w:rPr>
          <w:rFonts w:hint="default" w:ascii="Times New Roman" w:hAnsi="Times New Roman" w:eastAsia="宋体" w:cs="Times New Roman"/>
          <w:sz w:val="24"/>
          <w:szCs w:val="24"/>
          <w:lang w:val="zh-CN" w:bidi="ar"/>
        </w:rPr>
        <w:t>q——化学不完全燃烧值，取1.5%~6.0%，本项目取</w:t>
      </w:r>
      <w:r>
        <w:rPr>
          <w:rFonts w:hint="default" w:ascii="Times New Roman" w:hAnsi="Times New Roman" w:eastAsia="宋体" w:cs="Times New Roman"/>
          <w:sz w:val="24"/>
          <w:szCs w:val="24"/>
          <w:lang w:bidi="ar"/>
        </w:rPr>
        <w:t>6</w:t>
      </w:r>
      <w:r>
        <w:rPr>
          <w:rFonts w:hint="default" w:ascii="Times New Roman" w:hAnsi="Times New Roman" w:eastAsia="宋体" w:cs="Times New Roman"/>
          <w:sz w:val="24"/>
          <w:szCs w:val="24"/>
          <w:lang w:val="zh-CN" w:bidi="ar"/>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sz w:val="24"/>
          <w:szCs w:val="24"/>
          <w:lang w:val="zh-CN"/>
        </w:rPr>
      </w:pPr>
      <w:r>
        <w:rPr>
          <w:rFonts w:hint="default" w:ascii="Times New Roman" w:hAnsi="Times New Roman" w:eastAsia="宋体" w:cs="Times New Roman"/>
          <w:sz w:val="24"/>
          <w:szCs w:val="24"/>
          <w:lang w:val="zh-CN" w:bidi="ar"/>
        </w:rPr>
        <w:t xml:space="preserve">Q——参与燃烧的物质量，t/s。 </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sz w:val="24"/>
          <w:szCs w:val="24"/>
          <w:lang w:val="zh-CN"/>
        </w:rPr>
      </w:pPr>
      <w:r>
        <w:rPr>
          <w:rFonts w:hint="default" w:ascii="Times New Roman" w:hAnsi="Times New Roman" w:eastAsia="宋体" w:cs="Times New Roman"/>
          <w:sz w:val="24"/>
          <w:szCs w:val="24"/>
          <w:lang w:val="zh-CN" w:bidi="ar"/>
        </w:rPr>
        <w:t>燃烧量</w:t>
      </w:r>
      <w:r>
        <w:rPr>
          <w:rFonts w:hint="default" w:ascii="Times New Roman" w:hAnsi="Times New Roman" w:eastAsia="宋体" w:cs="Times New Roman"/>
          <w:sz w:val="24"/>
          <w:szCs w:val="24"/>
          <w:lang w:bidi="ar"/>
        </w:rPr>
        <w:t>Q</w:t>
      </w:r>
      <w:r>
        <w:rPr>
          <w:rFonts w:hint="default" w:ascii="Times New Roman" w:hAnsi="Times New Roman" w:eastAsia="宋体" w:cs="Times New Roman"/>
          <w:sz w:val="24"/>
          <w:szCs w:val="24"/>
          <w:lang w:val="zh-CN" w:bidi="ar"/>
        </w:rPr>
        <w:t>采用以下公式计算：</w:t>
      </w:r>
    </w:p>
    <w:p>
      <w:pPr>
        <w:keepNext w:val="0"/>
        <w:keepLines w:val="0"/>
        <w:pageBreakBefore w:val="0"/>
        <w:widowControl w:val="0"/>
        <w:kinsoku/>
        <w:wordWrap/>
        <w:overflowPunct/>
        <w:topLinePunct w:val="0"/>
        <w:autoSpaceDE/>
        <w:autoSpaceDN/>
        <w:bidi w:val="0"/>
        <w:adjustRightInd/>
        <w:snapToGrid w:val="0"/>
        <w:spacing w:line="240" w:lineRule="auto"/>
        <w:ind w:firstLine="560"/>
        <w:jc w:val="center"/>
        <w:textAlignment w:val="auto"/>
        <w:outlineLvl w:val="9"/>
        <w:rPr>
          <w:rFonts w:hint="default" w:ascii="Times New Roman" w:hAnsi="Times New Roman" w:eastAsia="宋体" w:cs="Times New Roman"/>
          <w:sz w:val="24"/>
          <w:szCs w:val="24"/>
          <w:lang w:val="zh-CN"/>
        </w:rPr>
      </w:pPr>
      <w:r>
        <w:drawing>
          <wp:inline distT="0" distB="0" distL="114300" distR="114300">
            <wp:extent cx="2169160" cy="618490"/>
            <wp:effectExtent l="0" t="0" r="2540" b="10160"/>
            <wp:docPr id="11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4"/>
                    <pic:cNvPicPr>
                      <a:picLocks noChangeAspect="1"/>
                    </pic:cNvPicPr>
                  </pic:nvPicPr>
                  <pic:blipFill>
                    <a:blip r:embed="rId66"/>
                    <a:stretch>
                      <a:fillRect/>
                    </a:stretch>
                  </pic:blipFill>
                  <pic:spPr>
                    <a:xfrm>
                      <a:off x="0" y="0"/>
                      <a:ext cx="2169160" cy="6184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sz w:val="24"/>
          <w:szCs w:val="24"/>
          <w:lang w:val="zh-CN"/>
        </w:rPr>
      </w:pPr>
      <w:r>
        <w:rPr>
          <w:rFonts w:hint="default" w:ascii="Times New Roman" w:hAnsi="Times New Roman" w:eastAsia="宋体" w:cs="Times New Roman"/>
          <w:sz w:val="24"/>
          <w:szCs w:val="24"/>
          <w:lang w:val="zh-CN" w:bidi="ar"/>
        </w:rPr>
        <w:t>式中：</w:t>
      </w:r>
      <w:r>
        <w:rPr>
          <w:rFonts w:hint="default" w:ascii="Times New Roman" w:hAnsi="Times New Roman" w:eastAsia="宋体" w:cs="Times New Roman"/>
          <w:sz w:val="24"/>
          <w:szCs w:val="24"/>
          <w:lang w:bidi="ar"/>
        </w:rPr>
        <w:t>dm/dt</w:t>
      </w:r>
      <w:r>
        <w:rPr>
          <w:rFonts w:hint="default" w:ascii="Times New Roman" w:hAnsi="Times New Roman" w:eastAsia="宋体" w:cs="Times New Roman"/>
          <w:sz w:val="24"/>
          <w:szCs w:val="24"/>
          <w:lang w:val="zh-CN" w:bidi="ar"/>
        </w:rPr>
        <w:t>—单位表面积的燃烧速度，kg/m</w:t>
      </w:r>
      <w:r>
        <w:rPr>
          <w:rFonts w:hint="default" w:ascii="Times New Roman" w:hAnsi="Times New Roman" w:eastAsia="宋体" w:cs="Times New Roman"/>
          <w:sz w:val="24"/>
          <w:szCs w:val="24"/>
          <w:vertAlign w:val="superscript"/>
          <w:lang w:val="zh-CN" w:bidi="ar"/>
        </w:rPr>
        <w:t>2</w:t>
      </w:r>
      <w:r>
        <w:rPr>
          <w:rFonts w:hint="default" w:ascii="Times New Roman" w:hAnsi="Times New Roman" w:eastAsia="宋体" w:cs="Times New Roman"/>
          <w:sz w:val="24"/>
          <w:szCs w:val="24"/>
          <w:lang w:val="zh-CN" w:bidi="ar"/>
        </w:rPr>
        <w:t>ꞏs；</w:t>
      </w:r>
    </w:p>
    <w:p>
      <w:pPr>
        <w:keepNext w:val="0"/>
        <w:keepLines w:val="0"/>
        <w:pageBreakBefore w:val="0"/>
        <w:widowControl w:val="0"/>
        <w:kinsoku/>
        <w:wordWrap/>
        <w:overflowPunct/>
        <w:topLinePunct w:val="0"/>
        <w:autoSpaceDE/>
        <w:autoSpaceDN/>
        <w:bidi w:val="0"/>
        <w:adjustRightInd/>
        <w:snapToGrid/>
        <w:spacing w:line="360" w:lineRule="auto"/>
        <w:ind w:firstLine="1440"/>
        <w:textAlignment w:val="auto"/>
        <w:outlineLvl w:val="9"/>
        <w:rPr>
          <w:rFonts w:hint="default" w:ascii="Times New Roman" w:hAnsi="Times New Roman" w:eastAsia="宋体" w:cs="Times New Roman"/>
          <w:sz w:val="24"/>
          <w:szCs w:val="24"/>
          <w:lang w:val="zh-CN"/>
        </w:rPr>
      </w:pPr>
      <w:r>
        <w:rPr>
          <w:rFonts w:hint="default" w:ascii="Times New Roman" w:hAnsi="Times New Roman" w:eastAsia="宋体" w:cs="Times New Roman"/>
          <w:sz w:val="24"/>
          <w:szCs w:val="24"/>
          <w:lang w:bidi="ar"/>
        </w:rPr>
        <w:t>C</w:t>
      </w:r>
      <w:r>
        <w:rPr>
          <w:rFonts w:hint="default" w:ascii="Times New Roman" w:hAnsi="Times New Roman" w:eastAsia="宋体" w:cs="Times New Roman"/>
          <w:sz w:val="24"/>
          <w:szCs w:val="24"/>
          <w:vertAlign w:val="subscript"/>
          <w:lang w:bidi="ar"/>
        </w:rPr>
        <w:t>P</w:t>
      </w:r>
      <w:r>
        <w:rPr>
          <w:rFonts w:hint="default" w:ascii="Times New Roman" w:hAnsi="Times New Roman" w:eastAsia="宋体" w:cs="Times New Roman"/>
          <w:sz w:val="24"/>
          <w:szCs w:val="24"/>
          <w:lang w:val="zh-CN" w:bidi="ar"/>
        </w:rPr>
        <w:t>——液体的定压比热，</w:t>
      </w:r>
      <w:r>
        <w:rPr>
          <w:rFonts w:hint="eastAsia" w:ascii="Times New Roman" w:hAnsi="Times New Roman" w:eastAsia="宋体" w:cs="Times New Roman"/>
          <w:sz w:val="24"/>
          <w:szCs w:val="24"/>
          <w:lang w:val="en-US" w:eastAsia="zh-CN" w:bidi="ar"/>
        </w:rPr>
        <w:t>2300</w:t>
      </w:r>
      <w:r>
        <w:rPr>
          <w:rFonts w:hint="default" w:ascii="Times New Roman" w:hAnsi="Times New Roman" w:eastAsia="宋体" w:cs="Times New Roman"/>
          <w:sz w:val="24"/>
          <w:szCs w:val="24"/>
          <w:lang w:val="zh-CN" w:bidi="ar"/>
        </w:rPr>
        <w:t>J/kgꞏK；</w:t>
      </w:r>
    </w:p>
    <w:p>
      <w:pPr>
        <w:keepNext w:val="0"/>
        <w:keepLines w:val="0"/>
        <w:pageBreakBefore w:val="0"/>
        <w:widowControl w:val="0"/>
        <w:kinsoku/>
        <w:wordWrap/>
        <w:overflowPunct/>
        <w:topLinePunct w:val="0"/>
        <w:autoSpaceDE/>
        <w:autoSpaceDN/>
        <w:bidi w:val="0"/>
        <w:adjustRightInd/>
        <w:snapToGrid/>
        <w:spacing w:line="360" w:lineRule="auto"/>
        <w:ind w:firstLine="1440"/>
        <w:textAlignment w:val="auto"/>
        <w:outlineLvl w:val="9"/>
        <w:rPr>
          <w:rFonts w:hint="default" w:ascii="Times New Roman" w:hAnsi="Times New Roman" w:eastAsia="宋体" w:cs="Times New Roman"/>
          <w:sz w:val="24"/>
          <w:szCs w:val="24"/>
          <w:lang w:val="zh-CN"/>
        </w:rPr>
      </w:pPr>
      <w:r>
        <w:rPr>
          <w:rFonts w:hint="default" w:ascii="Times New Roman" w:hAnsi="Times New Roman" w:eastAsia="宋体" w:cs="Times New Roman"/>
          <w:sz w:val="24"/>
          <w:szCs w:val="24"/>
          <w:lang w:bidi="ar"/>
        </w:rPr>
        <w:t>T</w:t>
      </w:r>
      <w:r>
        <w:rPr>
          <w:rFonts w:hint="default" w:ascii="Times New Roman" w:hAnsi="Times New Roman" w:eastAsia="宋体" w:cs="Times New Roman"/>
          <w:sz w:val="24"/>
          <w:szCs w:val="24"/>
          <w:vertAlign w:val="subscript"/>
          <w:lang w:bidi="ar"/>
        </w:rPr>
        <w:t>b</w:t>
      </w:r>
      <w:r>
        <w:rPr>
          <w:rFonts w:hint="default" w:ascii="Times New Roman" w:hAnsi="Times New Roman" w:eastAsia="宋体" w:cs="Times New Roman"/>
          <w:sz w:val="24"/>
          <w:szCs w:val="24"/>
          <w:lang w:val="zh-CN" w:bidi="ar"/>
        </w:rPr>
        <w:t>——液体沸点，</w:t>
      </w:r>
      <w:r>
        <w:rPr>
          <w:rFonts w:hint="eastAsia" w:ascii="Times New Roman" w:hAnsi="Times New Roman" w:eastAsia="宋体" w:cs="Times New Roman"/>
          <w:sz w:val="24"/>
          <w:szCs w:val="24"/>
          <w:lang w:val="en-US" w:eastAsia="zh-CN" w:bidi="ar"/>
        </w:rPr>
        <w:t>352.6</w:t>
      </w:r>
      <w:r>
        <w:rPr>
          <w:rFonts w:hint="default" w:ascii="Times New Roman" w:hAnsi="Times New Roman" w:eastAsia="宋体" w:cs="Times New Roman"/>
          <w:sz w:val="24"/>
          <w:szCs w:val="24"/>
          <w:lang w:val="zh-CN" w:bidi="ar"/>
        </w:rPr>
        <w:t>K；</w:t>
      </w:r>
    </w:p>
    <w:p>
      <w:pPr>
        <w:keepNext w:val="0"/>
        <w:keepLines w:val="0"/>
        <w:pageBreakBefore w:val="0"/>
        <w:widowControl w:val="0"/>
        <w:kinsoku/>
        <w:wordWrap/>
        <w:overflowPunct/>
        <w:topLinePunct w:val="0"/>
        <w:autoSpaceDE/>
        <w:autoSpaceDN/>
        <w:bidi w:val="0"/>
        <w:adjustRightInd/>
        <w:snapToGrid/>
        <w:spacing w:line="360" w:lineRule="auto"/>
        <w:ind w:firstLine="1440"/>
        <w:textAlignment w:val="auto"/>
        <w:outlineLvl w:val="9"/>
        <w:rPr>
          <w:rFonts w:hint="default" w:ascii="Times New Roman" w:hAnsi="Times New Roman" w:eastAsia="宋体" w:cs="Times New Roman"/>
          <w:sz w:val="24"/>
          <w:szCs w:val="24"/>
          <w:lang w:val="zh-CN"/>
        </w:rPr>
      </w:pPr>
      <w:r>
        <w:rPr>
          <w:rFonts w:hint="default" w:ascii="Times New Roman" w:hAnsi="Times New Roman" w:eastAsia="宋体" w:cs="Times New Roman"/>
          <w:sz w:val="24"/>
          <w:szCs w:val="24"/>
          <w:lang w:bidi="ar"/>
        </w:rPr>
        <w:t>T</w:t>
      </w:r>
      <w:r>
        <w:rPr>
          <w:rFonts w:hint="default" w:ascii="Times New Roman" w:hAnsi="Times New Roman" w:eastAsia="宋体" w:cs="Times New Roman"/>
          <w:sz w:val="24"/>
          <w:szCs w:val="24"/>
          <w:vertAlign w:val="subscript"/>
          <w:lang w:bidi="ar"/>
        </w:rPr>
        <w:t>0</w:t>
      </w:r>
      <w:r>
        <w:rPr>
          <w:rFonts w:hint="default" w:ascii="Times New Roman" w:hAnsi="Times New Roman" w:eastAsia="宋体" w:cs="Times New Roman"/>
          <w:sz w:val="24"/>
          <w:szCs w:val="24"/>
          <w:lang w:val="zh-CN" w:bidi="ar"/>
        </w:rPr>
        <w:t>——环境温度，</w:t>
      </w:r>
      <w:r>
        <w:rPr>
          <w:rFonts w:hint="default" w:ascii="Times New Roman" w:hAnsi="Times New Roman" w:eastAsia="宋体" w:cs="Times New Roman"/>
          <w:sz w:val="24"/>
          <w:szCs w:val="24"/>
          <w:lang w:bidi="ar"/>
        </w:rPr>
        <w:t>293</w:t>
      </w:r>
      <w:r>
        <w:rPr>
          <w:rFonts w:hint="default" w:ascii="Times New Roman" w:hAnsi="Times New Roman" w:eastAsia="宋体" w:cs="Times New Roman"/>
          <w:sz w:val="24"/>
          <w:szCs w:val="24"/>
          <w:lang w:val="zh-CN" w:bidi="ar"/>
        </w:rPr>
        <w:t>K；</w:t>
      </w:r>
    </w:p>
    <w:p>
      <w:pPr>
        <w:keepNext w:val="0"/>
        <w:keepLines w:val="0"/>
        <w:pageBreakBefore w:val="0"/>
        <w:widowControl w:val="0"/>
        <w:kinsoku/>
        <w:wordWrap/>
        <w:overflowPunct/>
        <w:topLinePunct w:val="0"/>
        <w:autoSpaceDE/>
        <w:autoSpaceDN/>
        <w:bidi w:val="0"/>
        <w:adjustRightInd/>
        <w:snapToGrid/>
        <w:spacing w:line="360" w:lineRule="auto"/>
        <w:ind w:firstLine="1440"/>
        <w:textAlignment w:val="auto"/>
        <w:outlineLvl w:val="9"/>
        <w:rPr>
          <w:rFonts w:hint="default" w:ascii="Times New Roman" w:hAnsi="Times New Roman" w:eastAsia="宋体" w:cs="Times New Roman"/>
          <w:sz w:val="24"/>
          <w:szCs w:val="24"/>
          <w:lang w:val="zh-CN"/>
        </w:rPr>
      </w:pPr>
      <w:r>
        <w:rPr>
          <w:rFonts w:hint="default" w:ascii="Times New Roman" w:hAnsi="Times New Roman" w:eastAsia="宋体" w:cs="Times New Roman"/>
          <w:sz w:val="24"/>
          <w:szCs w:val="24"/>
          <w:lang w:bidi="ar"/>
        </w:rPr>
        <w:t>H</w:t>
      </w:r>
      <w:r>
        <w:rPr>
          <w:rFonts w:hint="default" w:ascii="Times New Roman" w:hAnsi="Times New Roman" w:eastAsia="宋体" w:cs="Times New Roman"/>
          <w:sz w:val="24"/>
          <w:szCs w:val="24"/>
          <w:vertAlign w:val="subscript"/>
          <w:lang w:bidi="ar"/>
        </w:rPr>
        <w:t>vap</w:t>
      </w:r>
      <w:r>
        <w:rPr>
          <w:rFonts w:hint="default" w:ascii="Times New Roman" w:hAnsi="Times New Roman" w:eastAsia="宋体" w:cs="Times New Roman"/>
          <w:sz w:val="24"/>
          <w:szCs w:val="24"/>
          <w:lang w:val="zh-CN" w:bidi="ar"/>
        </w:rPr>
        <w:t>——液体蒸发热，</w:t>
      </w:r>
      <w:r>
        <w:rPr>
          <w:rFonts w:hint="eastAsia" w:ascii="Times New Roman" w:hAnsi="Times New Roman" w:eastAsia="宋体" w:cs="Times New Roman"/>
          <w:sz w:val="24"/>
          <w:szCs w:val="24"/>
          <w:lang w:val="en-US" w:eastAsia="zh-CN" w:bidi="ar"/>
        </w:rPr>
        <w:t>846739</w:t>
      </w:r>
      <w:r>
        <w:rPr>
          <w:rFonts w:hint="default" w:ascii="Times New Roman" w:hAnsi="Times New Roman" w:eastAsia="宋体" w:cs="Times New Roman"/>
          <w:sz w:val="24"/>
          <w:szCs w:val="24"/>
          <w:lang w:val="zh-CN" w:bidi="ar"/>
        </w:rPr>
        <w:t>J/kg；</w:t>
      </w:r>
    </w:p>
    <w:p>
      <w:pPr>
        <w:keepNext w:val="0"/>
        <w:keepLines w:val="0"/>
        <w:pageBreakBefore w:val="0"/>
        <w:widowControl w:val="0"/>
        <w:kinsoku/>
        <w:wordWrap/>
        <w:overflowPunct/>
        <w:topLinePunct w:val="0"/>
        <w:autoSpaceDE/>
        <w:autoSpaceDN/>
        <w:bidi w:val="0"/>
        <w:adjustRightInd/>
        <w:snapToGrid/>
        <w:spacing w:line="360" w:lineRule="auto"/>
        <w:ind w:firstLine="1440"/>
        <w:textAlignment w:val="auto"/>
        <w:outlineLvl w:val="9"/>
        <w:rPr>
          <w:rFonts w:hint="default" w:ascii="Times New Roman" w:hAnsi="Times New Roman" w:eastAsia="宋体" w:cs="Times New Roman"/>
          <w:sz w:val="24"/>
          <w:szCs w:val="24"/>
          <w:lang w:val="zh-CN"/>
        </w:rPr>
      </w:pPr>
      <w:r>
        <w:rPr>
          <w:rFonts w:hint="default" w:ascii="Times New Roman" w:hAnsi="Times New Roman" w:eastAsia="宋体" w:cs="Times New Roman"/>
          <w:sz w:val="24"/>
          <w:szCs w:val="24"/>
          <w:lang w:val="zh-CN" w:bidi="ar"/>
        </w:rPr>
        <w:t>H</w:t>
      </w:r>
      <w:r>
        <w:rPr>
          <w:rFonts w:hint="default" w:ascii="Times New Roman" w:hAnsi="Times New Roman" w:eastAsia="宋体" w:cs="Times New Roman"/>
          <w:sz w:val="24"/>
          <w:szCs w:val="24"/>
          <w:vertAlign w:val="subscript"/>
          <w:lang w:bidi="ar"/>
        </w:rPr>
        <w:t>c</w:t>
      </w:r>
      <w:r>
        <w:rPr>
          <w:rFonts w:hint="default" w:ascii="Times New Roman" w:hAnsi="Times New Roman" w:eastAsia="宋体" w:cs="Times New Roman"/>
          <w:sz w:val="24"/>
          <w:szCs w:val="24"/>
          <w:lang w:val="zh-CN" w:bidi="ar"/>
        </w:rPr>
        <w:t>——液体燃烧热，</w:t>
      </w:r>
      <w:r>
        <w:rPr>
          <w:rFonts w:hint="default" w:ascii="Times New Roman" w:hAnsi="Times New Roman" w:eastAsia="宋体" w:cs="Times New Roman"/>
          <w:sz w:val="24"/>
          <w:szCs w:val="24"/>
          <w:lang w:val="en-US" w:eastAsia="zh-CN" w:bidi="ar"/>
        </w:rPr>
        <w:t>29684782.61</w:t>
      </w:r>
      <w:r>
        <w:rPr>
          <w:rFonts w:hint="default" w:ascii="Times New Roman" w:hAnsi="Times New Roman" w:eastAsia="宋体" w:cs="Times New Roman"/>
          <w:sz w:val="24"/>
          <w:szCs w:val="24"/>
          <w:lang w:val="zh-CN" w:bidi="ar"/>
        </w:rPr>
        <w:t>J/kg。</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sz w:val="24"/>
          <w:szCs w:val="24"/>
          <w:lang w:bidi="ar"/>
        </w:rPr>
      </w:pPr>
      <w:r>
        <w:rPr>
          <w:rFonts w:hint="default" w:ascii="Times New Roman" w:hAnsi="Times New Roman" w:eastAsia="宋体" w:cs="Times New Roman"/>
          <w:sz w:val="24"/>
          <w:szCs w:val="24"/>
          <w:lang w:val="zh-CN" w:bidi="ar"/>
        </w:rPr>
        <w:t>着火面积按泄漏</w:t>
      </w:r>
      <w:r>
        <w:rPr>
          <w:rFonts w:hint="default" w:ascii="Times New Roman" w:hAnsi="Times New Roman" w:eastAsia="宋体" w:cs="Times New Roman"/>
          <w:sz w:val="24"/>
          <w:szCs w:val="24"/>
          <w:lang w:val="en-US" w:eastAsia="zh-CN" w:bidi="ar"/>
        </w:rPr>
        <w:t>乙醇</w:t>
      </w:r>
      <w:r>
        <w:rPr>
          <w:rFonts w:hint="default" w:ascii="Times New Roman" w:hAnsi="Times New Roman" w:eastAsia="宋体" w:cs="Times New Roman"/>
          <w:sz w:val="24"/>
          <w:szCs w:val="24"/>
          <w:lang w:val="zh-CN" w:bidi="ar"/>
        </w:rPr>
        <w:t>形成的液池面积计，</w:t>
      </w:r>
      <w:r>
        <w:rPr>
          <w:rFonts w:hint="default" w:ascii="Times New Roman" w:hAnsi="Times New Roman" w:eastAsia="宋体" w:cs="Times New Roman"/>
          <w:sz w:val="24"/>
          <w:szCs w:val="24"/>
          <w:lang w:bidi="ar"/>
        </w:rPr>
        <w:t>经计算，CO产生量</w:t>
      </w:r>
      <w:r>
        <w:rPr>
          <w:rFonts w:hint="default" w:ascii="Times New Roman" w:hAnsi="Times New Roman" w:eastAsia="宋体" w:cs="Times New Roman"/>
          <w:sz w:val="24"/>
          <w:szCs w:val="24"/>
          <w:lang w:bidi="ar"/>
        </w:rPr>
        <w:fldChar w:fldCharType="begin"/>
      </w:r>
      <w:r>
        <w:rPr>
          <w:rFonts w:hint="default" w:ascii="Times New Roman" w:hAnsi="Times New Roman" w:eastAsia="宋体" w:cs="Times New Roman"/>
          <w:sz w:val="24"/>
          <w:szCs w:val="24"/>
          <w:lang w:bidi="ar"/>
        </w:rPr>
        <w:instrText xml:space="preserve"> =0.001*29684782.61/(2300*(352.6-293)+846739）*3.14*1.5*1.5/1000*2330*0.522*0.06 \# "0.000" \* MERGEFORMAT </w:instrText>
      </w:r>
      <w:r>
        <w:rPr>
          <w:rFonts w:hint="default" w:ascii="Times New Roman" w:hAnsi="Times New Roman" w:eastAsia="宋体" w:cs="Times New Roman"/>
          <w:sz w:val="24"/>
          <w:szCs w:val="24"/>
          <w:lang w:bidi="ar"/>
        </w:rPr>
        <w:fldChar w:fldCharType="separate"/>
      </w:r>
      <w:r>
        <w:rPr>
          <w:rFonts w:hint="default" w:ascii="Times New Roman" w:hAnsi="Times New Roman" w:cs="Times New Roman"/>
          <w:sz w:val="24"/>
          <w:szCs w:val="24"/>
        </w:rPr>
        <w:t>0.016</w:t>
      </w:r>
      <w:r>
        <w:rPr>
          <w:rFonts w:hint="default" w:ascii="Times New Roman" w:hAnsi="Times New Roman" w:eastAsia="宋体" w:cs="Times New Roman"/>
          <w:sz w:val="24"/>
          <w:szCs w:val="24"/>
          <w:lang w:bidi="ar"/>
        </w:rPr>
        <w:fldChar w:fldCharType="end"/>
      </w:r>
      <w:r>
        <w:rPr>
          <w:rFonts w:hint="default" w:ascii="Times New Roman" w:hAnsi="Times New Roman" w:eastAsia="宋体" w:cs="Times New Roman"/>
          <w:sz w:val="24"/>
          <w:szCs w:val="24"/>
          <w:lang w:bidi="ar"/>
        </w:rPr>
        <w:t>kg/s。</w:t>
      </w:r>
    </w:p>
    <w:p>
      <w:pPr>
        <w:keepNext/>
        <w:keepLines/>
        <w:widowControl w:val="0"/>
        <w:autoSpaceDE/>
        <w:autoSpaceDN/>
        <w:adjustRightInd/>
        <w:spacing w:after="0" w:afterLines="0" w:line="360" w:lineRule="auto"/>
        <w:ind w:left="0" w:firstLine="0"/>
        <w:jc w:val="both"/>
        <w:outlineLvl w:val="1"/>
        <w:rPr>
          <w:rFonts w:hint="default" w:ascii="Times New Roman" w:hAnsi="Times New Roman" w:eastAsia="黑体" w:cs="Times New Roman"/>
          <w:b w:val="0"/>
          <w:bCs w:val="0"/>
          <w:color w:val="auto"/>
          <w:kern w:val="2"/>
          <w:sz w:val="32"/>
          <w:szCs w:val="30"/>
          <w:lang w:val="en-US" w:eastAsia="zh-CN" w:bidi="ar-SA"/>
        </w:rPr>
      </w:pPr>
      <w:bookmarkStart w:id="329" w:name="_Toc25530"/>
      <w:r>
        <w:rPr>
          <w:rFonts w:hint="default" w:ascii="Times New Roman" w:hAnsi="Times New Roman" w:eastAsia="黑体" w:cs="Times New Roman"/>
          <w:b w:val="0"/>
          <w:bCs w:val="0"/>
          <w:color w:val="auto"/>
          <w:kern w:val="2"/>
          <w:sz w:val="32"/>
          <w:szCs w:val="30"/>
          <w:lang w:val="en-US" w:eastAsia="zh-CN" w:bidi="ar-SA"/>
        </w:rPr>
        <w:t>6.4风险预测与评价</w:t>
      </w:r>
      <w:bookmarkEnd w:id="329"/>
    </w:p>
    <w:p>
      <w:pPr>
        <w:snapToGrid w:val="0"/>
        <w:spacing w:line="360" w:lineRule="auto"/>
        <w:ind w:firstLine="482"/>
        <w:rPr>
          <w:rFonts w:hint="default" w:ascii="Times New Roman" w:hAnsi="Times New Roman" w:eastAsia="宋体" w:cs="Times New Roman"/>
          <w:b/>
          <w:bCs/>
          <w:i/>
          <w:iCs/>
          <w:sz w:val="24"/>
          <w:szCs w:val="28"/>
          <w:lang w:val="en-US" w:eastAsia="zh-CN"/>
        </w:rPr>
      </w:pPr>
      <w:bookmarkStart w:id="330" w:name="_Hlk28962202"/>
      <w:r>
        <w:rPr>
          <w:rFonts w:hint="eastAsia" w:ascii="Times New Roman" w:hAnsi="Times New Roman" w:eastAsia="宋体" w:cs="Times New Roman"/>
          <w:b/>
          <w:bCs/>
          <w:i/>
          <w:iCs/>
          <w:sz w:val="24"/>
          <w:szCs w:val="28"/>
          <w:lang w:val="en-US" w:eastAsia="zh-CN"/>
        </w:rPr>
        <w:t>涉及商业机密，删除！</w:t>
      </w:r>
    </w:p>
    <w:bookmarkEnd w:id="330"/>
    <w:p>
      <w:pPr>
        <w:widowControl w:val="0"/>
        <w:tabs>
          <w:tab w:val="left" w:pos="1590"/>
        </w:tabs>
        <w:spacing w:before="93" w:beforeLines="30" w:line="360" w:lineRule="auto"/>
        <w:ind w:firstLine="480"/>
        <w:jc w:val="both"/>
        <w:rPr>
          <w:rFonts w:hint="default" w:ascii="Times New Roman" w:hAnsi="Times New Roman" w:eastAsia="宋体" w:cs="Times New Roman"/>
          <w:color w:val="auto"/>
          <w:kern w:val="1"/>
          <w:sz w:val="24"/>
          <w:szCs w:val="22"/>
          <w:shd w:val="clear" w:color="auto" w:fill="auto"/>
          <w:lang w:val="en-US" w:eastAsia="zh-CN" w:bidi="ar"/>
        </w:rPr>
      </w:pPr>
      <w:r>
        <w:rPr>
          <w:rFonts w:hint="default" w:ascii="Times New Roman" w:hAnsi="Times New Roman" w:eastAsia="宋体" w:cs="Times New Roman"/>
          <w:color w:val="auto"/>
          <w:kern w:val="1"/>
          <w:sz w:val="24"/>
          <w:szCs w:val="22"/>
          <w:shd w:val="clear" w:color="auto" w:fill="auto"/>
          <w:lang w:val="en-US" w:eastAsia="zh-CN" w:bidi="ar"/>
        </w:rPr>
        <w:t>上述各事故情形下，各污染物的毒性终点浓度影响范围内均不存在大气敏感目标。各关心点均在项目场地上风向，各污染因子预测浓度均未达到毒性终点浓度。最不利气象条件和常见气象条件下，上述各事故情形发生时，事故源项及事故后果见表6.4-</w:t>
      </w:r>
      <w:r>
        <w:rPr>
          <w:rFonts w:hint="eastAsia" w:ascii="Times New Roman" w:hAnsi="Times New Roman" w:eastAsia="宋体" w:cs="Times New Roman"/>
          <w:color w:val="auto"/>
          <w:kern w:val="1"/>
          <w:sz w:val="24"/>
          <w:szCs w:val="22"/>
          <w:shd w:val="clear" w:color="auto" w:fill="auto"/>
          <w:lang w:val="en-US" w:eastAsia="zh-CN" w:bidi="ar"/>
        </w:rPr>
        <w:t>6</w:t>
      </w:r>
      <w:r>
        <w:rPr>
          <w:rFonts w:hint="default" w:ascii="Times New Roman" w:hAnsi="Times New Roman" w:eastAsia="宋体" w:cs="Times New Roman"/>
          <w:color w:val="auto"/>
          <w:kern w:val="1"/>
          <w:sz w:val="24"/>
          <w:szCs w:val="22"/>
          <w:shd w:val="clear" w:color="auto" w:fill="auto"/>
          <w:lang w:val="en-US" w:eastAsia="zh-CN" w:bidi="ar"/>
        </w:rPr>
        <w:t>。</w:t>
      </w:r>
    </w:p>
    <w:p>
      <w:pPr>
        <w:keepNext w:val="0"/>
        <w:keepLines w:val="0"/>
        <w:pageBreakBefore w:val="0"/>
        <w:widowControl w:val="0"/>
        <w:kinsoku/>
        <w:wordWrap/>
        <w:overflowPunct/>
        <w:topLinePunct w:val="0"/>
        <w:autoSpaceDE/>
        <w:autoSpaceDN/>
        <w:bidi w:val="0"/>
        <w:adjustRightInd/>
        <w:snapToGrid/>
        <w:spacing w:afterLines="0" w:line="360" w:lineRule="auto"/>
        <w:ind w:firstLine="0"/>
        <w:jc w:val="center"/>
        <w:textAlignment w:val="auto"/>
        <w:outlineLvl w:val="4"/>
        <w:rPr>
          <w:rFonts w:hint="default" w:ascii="Times New Roman" w:hAnsi="Times New Roman" w:eastAsia="黑体" w:cs="Times New Roman"/>
          <w:b/>
          <w:color w:val="auto"/>
          <w:kern w:val="2"/>
          <w:sz w:val="24"/>
          <w:szCs w:val="24"/>
          <w:shd w:val="clear" w:color="auto" w:fill="auto"/>
          <w:lang w:val="en-US" w:eastAsia="zh-CN" w:bidi="ar-SA"/>
        </w:rPr>
      </w:pPr>
      <w:r>
        <w:rPr>
          <w:rFonts w:hint="default" w:ascii="Times New Roman" w:hAnsi="Times New Roman" w:eastAsia="黑体" w:cs="Times New Roman"/>
          <w:b/>
          <w:color w:val="auto"/>
          <w:kern w:val="2"/>
          <w:sz w:val="24"/>
          <w:szCs w:val="24"/>
          <w:shd w:val="clear" w:color="auto" w:fill="auto"/>
          <w:lang w:val="en-US" w:eastAsia="zh-CN" w:bidi="ar-SA"/>
        </w:rPr>
        <w:t>表6.4-</w:t>
      </w:r>
      <w:r>
        <w:rPr>
          <w:rFonts w:hint="eastAsia" w:ascii="Times New Roman" w:hAnsi="Times New Roman" w:eastAsia="黑体" w:cs="Times New Roman"/>
          <w:b/>
          <w:color w:val="auto"/>
          <w:kern w:val="2"/>
          <w:sz w:val="24"/>
          <w:szCs w:val="24"/>
          <w:shd w:val="clear" w:color="auto" w:fill="auto"/>
          <w:lang w:val="en-US" w:eastAsia="zh-CN" w:bidi="ar-SA"/>
        </w:rPr>
        <w:t>6</w:t>
      </w:r>
      <w:r>
        <w:rPr>
          <w:rFonts w:hint="default" w:ascii="Times New Roman" w:hAnsi="Times New Roman" w:eastAsia="黑体" w:cs="Times New Roman"/>
          <w:b/>
          <w:color w:val="auto"/>
          <w:kern w:val="2"/>
          <w:sz w:val="24"/>
          <w:szCs w:val="24"/>
          <w:shd w:val="clear" w:color="auto" w:fill="auto"/>
          <w:lang w:val="en-US" w:eastAsia="zh-CN" w:bidi="ar-SA"/>
        </w:rPr>
        <w:t xml:space="preserve">  事故源项及事故后果基本信息表</w:t>
      </w:r>
    </w:p>
    <w:tbl>
      <w:tblPr>
        <w:tblStyle w:val="90"/>
        <w:tblW w:w="0" w:type="auto"/>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973"/>
        <w:gridCol w:w="2329"/>
        <w:gridCol w:w="1942"/>
        <w:gridCol w:w="1796"/>
        <w:gridCol w:w="2030"/>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exact"/>
        </w:trPr>
        <w:tc>
          <w:tcPr>
            <w:tcW w:w="9070" w:type="dxa"/>
            <w:gridSpan w:val="5"/>
            <w:tcBorders>
              <w:left w:val="single" w:color="000000" w:sz="4" w:space="0"/>
              <w:right w:val="single" w:color="000000" w:sz="4" w:space="0"/>
            </w:tcBorders>
            <w:noWrap w:val="0"/>
            <w:vAlign w:val="center"/>
          </w:tcPr>
          <w:p>
            <w:pPr>
              <w:keepNext w:val="0"/>
              <w:keepLines w:val="0"/>
              <w:pageBreakBefore w:val="0"/>
              <w:widowControl/>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bCs/>
                <w:color w:val="auto"/>
                <w:kern w:val="44"/>
                <w:sz w:val="21"/>
                <w:szCs w:val="44"/>
                <w:shd w:val="clear" w:color="auto" w:fill="auto"/>
              </w:rPr>
            </w:pPr>
            <w:r>
              <w:rPr>
                <w:rFonts w:hint="default" w:ascii="Times New Roman" w:hAnsi="Times New Roman" w:eastAsia="宋体" w:cs="Times New Roman"/>
                <w:bCs/>
                <w:color w:val="auto"/>
                <w:kern w:val="44"/>
                <w:sz w:val="21"/>
                <w:szCs w:val="44"/>
                <w:shd w:val="clear" w:color="auto" w:fill="auto"/>
              </w:rPr>
              <w:t>事故后果预测</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973" w:type="dxa"/>
            <w:vMerge w:val="restart"/>
            <w:tcBorders>
              <w:left w:val="single" w:color="000000" w:sz="4" w:space="0"/>
            </w:tcBorders>
            <w:noWrap w:val="0"/>
            <w:tcMar>
              <w:top w:w="0" w:type="dxa"/>
              <w:left w:w="0" w:type="dxa"/>
              <w:bottom w:w="0" w:type="dxa"/>
              <w:right w:w="0" w:type="dxa"/>
            </w:tcMar>
            <w:vAlign w:val="center"/>
          </w:tcPr>
          <w:p>
            <w:pPr>
              <w:keepNext w:val="0"/>
              <w:keepLines w:val="0"/>
              <w:pageBreakBefore w:val="0"/>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shd w:val="clear" w:color="auto" w:fill="auto"/>
                <w:lang w:val="en-US" w:eastAsia="zh-CN"/>
              </w:rPr>
              <w:t>硝酸</w:t>
            </w:r>
          </w:p>
        </w:tc>
        <w:tc>
          <w:tcPr>
            <w:tcW w:w="2329" w:type="dxa"/>
            <w:noWrap w:val="0"/>
            <w:tcMar>
              <w:top w:w="0" w:type="dxa"/>
              <w:left w:w="0" w:type="dxa"/>
              <w:bottom w:w="0" w:type="dxa"/>
              <w:right w:w="0" w:type="dxa"/>
            </w:tcMar>
            <w:vAlign w:val="center"/>
          </w:tcPr>
          <w:p>
            <w:pPr>
              <w:keepNext w:val="0"/>
              <w:keepLines w:val="0"/>
              <w:pageBreakBefore w:val="0"/>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指标</w:t>
            </w:r>
          </w:p>
        </w:tc>
        <w:tc>
          <w:tcPr>
            <w:tcW w:w="1942" w:type="dxa"/>
            <w:noWrap w:val="0"/>
            <w:tcMar>
              <w:top w:w="0" w:type="dxa"/>
              <w:left w:w="0" w:type="dxa"/>
              <w:bottom w:w="0" w:type="dxa"/>
              <w:right w:w="0" w:type="dxa"/>
            </w:tcMar>
            <w:vAlign w:val="center"/>
          </w:tcPr>
          <w:p>
            <w:pPr>
              <w:keepNext w:val="0"/>
              <w:keepLines w:val="0"/>
              <w:pageBreakBefore w:val="0"/>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浓度值/(mg/m</w:t>
            </w:r>
            <w:r>
              <w:rPr>
                <w:rFonts w:hint="default" w:ascii="Times New Roman" w:hAnsi="Times New Roman" w:eastAsia="宋体" w:cs="Times New Roman"/>
                <w:color w:val="auto"/>
                <w:sz w:val="21"/>
                <w:szCs w:val="21"/>
                <w:shd w:val="clear" w:color="auto" w:fill="auto"/>
                <w:vertAlign w:val="superscript"/>
              </w:rPr>
              <w:t>3</w:t>
            </w:r>
            <w:r>
              <w:rPr>
                <w:rFonts w:hint="default" w:ascii="Times New Roman" w:hAnsi="Times New Roman" w:eastAsia="宋体" w:cs="Times New Roman"/>
                <w:color w:val="auto"/>
                <w:sz w:val="21"/>
                <w:szCs w:val="21"/>
                <w:shd w:val="clear" w:color="auto" w:fill="auto"/>
              </w:rPr>
              <w:t>)</w:t>
            </w:r>
          </w:p>
        </w:tc>
        <w:tc>
          <w:tcPr>
            <w:tcW w:w="1796" w:type="dxa"/>
            <w:noWrap w:val="0"/>
            <w:tcMar>
              <w:top w:w="0" w:type="dxa"/>
              <w:left w:w="0" w:type="dxa"/>
              <w:bottom w:w="0" w:type="dxa"/>
              <w:right w:w="0" w:type="dxa"/>
            </w:tcMar>
            <w:vAlign w:val="center"/>
          </w:tcPr>
          <w:p>
            <w:pPr>
              <w:keepNext w:val="0"/>
              <w:keepLines w:val="0"/>
              <w:pageBreakBefore w:val="0"/>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最远影响距离/m</w:t>
            </w:r>
          </w:p>
        </w:tc>
        <w:tc>
          <w:tcPr>
            <w:tcW w:w="2030" w:type="dxa"/>
            <w:tcBorders>
              <w:right w:val="single" w:color="000000" w:sz="4" w:space="0"/>
            </w:tcBorders>
            <w:noWrap w:val="0"/>
            <w:tcMar>
              <w:top w:w="0" w:type="dxa"/>
              <w:left w:w="0" w:type="dxa"/>
              <w:bottom w:w="0" w:type="dxa"/>
              <w:right w:w="0" w:type="dxa"/>
            </w:tcMar>
            <w:vAlign w:val="center"/>
          </w:tcPr>
          <w:p>
            <w:pPr>
              <w:keepNext w:val="0"/>
              <w:keepLines w:val="0"/>
              <w:pageBreakBefore w:val="0"/>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到达时间/min</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1" w:hRule="atLeast"/>
        </w:trPr>
        <w:tc>
          <w:tcPr>
            <w:vMerge w:val="continue"/>
            <w:tcBorders>
              <w:left w:val="single" w:color="000000" w:sz="4" w:space="0"/>
            </w:tcBorders>
            <w:noWrap w:val="0"/>
            <w:tcMar>
              <w:top w:w="0" w:type="dxa"/>
              <w:left w:w="0" w:type="dxa"/>
              <w:bottom w:w="0" w:type="dxa"/>
              <w:right w:w="0" w:type="dxa"/>
            </w:tcMar>
          </w:tcPr>
          <w:p/>
        </w:tc>
        <w:tc>
          <w:tcPr>
            <w:tcW w:w="2329"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大气毒性终点浓度-1</w:t>
            </w:r>
          </w:p>
        </w:tc>
        <w:tc>
          <w:tcPr>
            <w:tcW w:w="1942"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240</w:t>
            </w:r>
          </w:p>
        </w:tc>
        <w:tc>
          <w:tcPr>
            <w:tcW w:w="1796"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95</w:t>
            </w:r>
          </w:p>
        </w:tc>
        <w:tc>
          <w:tcPr>
            <w:tcW w:w="2030" w:type="dxa"/>
            <w:tcBorders>
              <w:right w:val="single" w:color="000000" w:sz="4" w:space="0"/>
            </w:tcBorders>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1.056</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vMerge w:val="continue"/>
            <w:tcBorders>
              <w:left w:val="single" w:color="000000" w:sz="4" w:space="0"/>
            </w:tcBorders>
            <w:noWrap w:val="0"/>
            <w:tcMar>
              <w:top w:w="0" w:type="dxa"/>
              <w:left w:w="0" w:type="dxa"/>
              <w:bottom w:w="0" w:type="dxa"/>
              <w:right w:w="0" w:type="dxa"/>
            </w:tcMar>
          </w:tcPr>
          <w:p/>
        </w:tc>
        <w:tc>
          <w:tcPr>
            <w:tcW w:w="2329"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大气毒性终点浓度-2</w:t>
            </w:r>
          </w:p>
        </w:tc>
        <w:tc>
          <w:tcPr>
            <w:tcW w:w="1942"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62</w:t>
            </w:r>
          </w:p>
        </w:tc>
        <w:tc>
          <w:tcPr>
            <w:tcW w:w="1796"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245</w:t>
            </w:r>
          </w:p>
        </w:tc>
        <w:tc>
          <w:tcPr>
            <w:tcW w:w="2030" w:type="dxa"/>
            <w:tcBorders>
              <w:right w:val="single" w:color="000000" w:sz="4" w:space="0"/>
            </w:tcBorders>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2.722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973" w:type="dxa"/>
            <w:vMerge w:val="restart"/>
            <w:tcBorders>
              <w:left w:val="single" w:color="000000" w:sz="4" w:space="0"/>
            </w:tcBorders>
            <w:noWrap w:val="0"/>
            <w:vAlign w:val="center"/>
          </w:tcPr>
          <w:p>
            <w:pPr>
              <w:keepNext w:val="0"/>
              <w:keepLines w:val="0"/>
              <w:pageBreakBefore w:val="0"/>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shd w:val="clear" w:color="auto" w:fill="auto"/>
                <w:lang w:eastAsia="zh-CN"/>
              </w:rPr>
            </w:pPr>
            <w:r>
              <w:rPr>
                <w:rFonts w:hint="default" w:ascii="Times New Roman" w:hAnsi="Times New Roman" w:eastAsia="宋体" w:cs="Times New Roman"/>
                <w:color w:val="auto"/>
                <w:sz w:val="21"/>
                <w:szCs w:val="21"/>
                <w:shd w:val="clear" w:color="auto" w:fill="auto"/>
                <w:lang w:val="en-US" w:eastAsia="zh-CN"/>
              </w:rPr>
              <w:t>氨水</w:t>
            </w:r>
          </w:p>
        </w:tc>
        <w:tc>
          <w:tcPr>
            <w:tcW w:w="2329" w:type="dxa"/>
            <w:noWrap w:val="0"/>
            <w:tcMar>
              <w:top w:w="0" w:type="dxa"/>
              <w:left w:w="0" w:type="dxa"/>
              <w:bottom w:w="0" w:type="dxa"/>
              <w:right w:w="0" w:type="dxa"/>
            </w:tcMar>
            <w:vAlign w:val="center"/>
          </w:tcPr>
          <w:p>
            <w:pPr>
              <w:keepNext w:val="0"/>
              <w:keepLines w:val="0"/>
              <w:pageBreakBefore w:val="0"/>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指标</w:t>
            </w:r>
          </w:p>
        </w:tc>
        <w:tc>
          <w:tcPr>
            <w:tcW w:w="1942" w:type="dxa"/>
            <w:noWrap w:val="0"/>
            <w:tcMar>
              <w:top w:w="0" w:type="dxa"/>
              <w:left w:w="0" w:type="dxa"/>
              <w:bottom w:w="0" w:type="dxa"/>
              <w:right w:w="0" w:type="dxa"/>
            </w:tcMar>
            <w:vAlign w:val="center"/>
          </w:tcPr>
          <w:p>
            <w:pPr>
              <w:keepNext w:val="0"/>
              <w:keepLines w:val="0"/>
              <w:pageBreakBefore w:val="0"/>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浓度值/(mg/m</w:t>
            </w:r>
            <w:r>
              <w:rPr>
                <w:rFonts w:hint="default" w:ascii="Times New Roman" w:hAnsi="Times New Roman" w:eastAsia="宋体" w:cs="Times New Roman"/>
                <w:color w:val="auto"/>
                <w:sz w:val="21"/>
                <w:szCs w:val="21"/>
                <w:shd w:val="clear" w:color="auto" w:fill="auto"/>
                <w:vertAlign w:val="superscript"/>
              </w:rPr>
              <w:t>3</w:t>
            </w:r>
            <w:r>
              <w:rPr>
                <w:rFonts w:hint="default" w:ascii="Times New Roman" w:hAnsi="Times New Roman" w:eastAsia="宋体" w:cs="Times New Roman"/>
                <w:color w:val="auto"/>
                <w:sz w:val="21"/>
                <w:szCs w:val="21"/>
                <w:shd w:val="clear" w:color="auto" w:fill="auto"/>
              </w:rPr>
              <w:t>)</w:t>
            </w:r>
          </w:p>
        </w:tc>
        <w:tc>
          <w:tcPr>
            <w:tcW w:w="1796" w:type="dxa"/>
            <w:noWrap w:val="0"/>
            <w:tcMar>
              <w:top w:w="0" w:type="dxa"/>
              <w:left w:w="0" w:type="dxa"/>
              <w:bottom w:w="0" w:type="dxa"/>
              <w:right w:w="0" w:type="dxa"/>
            </w:tcMar>
            <w:vAlign w:val="center"/>
          </w:tcPr>
          <w:p>
            <w:pPr>
              <w:keepNext w:val="0"/>
              <w:keepLines w:val="0"/>
              <w:pageBreakBefore w:val="0"/>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最远影响距离/m</w:t>
            </w:r>
          </w:p>
        </w:tc>
        <w:tc>
          <w:tcPr>
            <w:tcW w:w="2030" w:type="dxa"/>
            <w:tcBorders>
              <w:right w:val="single" w:color="000000" w:sz="4" w:space="0"/>
            </w:tcBorders>
            <w:noWrap w:val="0"/>
            <w:tcMar>
              <w:top w:w="0" w:type="dxa"/>
              <w:left w:w="0" w:type="dxa"/>
              <w:bottom w:w="0" w:type="dxa"/>
              <w:right w:w="0" w:type="dxa"/>
            </w:tcMar>
            <w:vAlign w:val="center"/>
          </w:tcPr>
          <w:p>
            <w:pPr>
              <w:keepNext w:val="0"/>
              <w:keepLines w:val="0"/>
              <w:pageBreakBefore w:val="0"/>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到达时间/min</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vMerge w:val="continue"/>
            <w:tcBorders>
              <w:left w:val="single" w:color="000000" w:sz="4" w:space="0"/>
            </w:tcBorders>
            <w:noWrap w:val="0"/>
          </w:tcPr>
          <w:p/>
        </w:tc>
        <w:tc>
          <w:tcPr>
            <w:tcW w:w="2329"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大气毒性终点浓度-1</w:t>
            </w:r>
          </w:p>
        </w:tc>
        <w:tc>
          <w:tcPr>
            <w:tcW w:w="1942"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770</w:t>
            </w:r>
          </w:p>
        </w:tc>
        <w:tc>
          <w:tcPr>
            <w:tcW w:w="1796"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79</w:t>
            </w:r>
          </w:p>
        </w:tc>
        <w:tc>
          <w:tcPr>
            <w:tcW w:w="2030" w:type="dxa"/>
            <w:tcBorders>
              <w:right w:val="single" w:color="000000" w:sz="4" w:space="0"/>
            </w:tcBorders>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0.878</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vMerge w:val="continue"/>
            <w:tcBorders>
              <w:left w:val="single" w:color="000000" w:sz="4" w:space="0"/>
            </w:tcBorders>
            <w:noWrap w:val="0"/>
          </w:tcPr>
          <w:p/>
        </w:tc>
        <w:tc>
          <w:tcPr>
            <w:tcW w:w="2329"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大气毒性终点浓度-2</w:t>
            </w:r>
          </w:p>
        </w:tc>
        <w:tc>
          <w:tcPr>
            <w:tcW w:w="1942"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110</w:t>
            </w:r>
          </w:p>
        </w:tc>
        <w:tc>
          <w:tcPr>
            <w:tcW w:w="1796"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312</w:t>
            </w:r>
          </w:p>
        </w:tc>
        <w:tc>
          <w:tcPr>
            <w:tcW w:w="2030" w:type="dxa"/>
            <w:tcBorders>
              <w:right w:val="single" w:color="000000" w:sz="4" w:space="0"/>
            </w:tcBorders>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3.467</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973" w:type="dxa"/>
            <w:vMerge w:val="restart"/>
            <w:tcBorders>
              <w:left w:val="single" w:color="000000" w:sz="4" w:space="0"/>
            </w:tcBorders>
            <w:noWrap w:val="0"/>
            <w:vAlign w:val="center"/>
          </w:tcPr>
          <w:p>
            <w:pPr>
              <w:keepNext w:val="0"/>
              <w:keepLines w:val="0"/>
              <w:pageBreakBefore w:val="0"/>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shd w:val="clear" w:color="auto" w:fill="auto"/>
                <w:lang w:eastAsia="zh-CN"/>
              </w:rPr>
            </w:pPr>
            <w:r>
              <w:rPr>
                <w:rFonts w:hint="default" w:ascii="Times New Roman" w:hAnsi="Times New Roman" w:eastAsia="宋体" w:cs="Times New Roman"/>
                <w:color w:val="auto"/>
                <w:sz w:val="21"/>
                <w:szCs w:val="21"/>
                <w:shd w:val="clear" w:color="auto" w:fill="auto"/>
                <w:lang w:val="en-US" w:eastAsia="zh-CN"/>
              </w:rPr>
              <w:t>福尔马林</w:t>
            </w:r>
          </w:p>
        </w:tc>
        <w:tc>
          <w:tcPr>
            <w:tcW w:w="2329" w:type="dxa"/>
            <w:noWrap w:val="0"/>
            <w:tcMar>
              <w:top w:w="0" w:type="dxa"/>
              <w:left w:w="0" w:type="dxa"/>
              <w:bottom w:w="0" w:type="dxa"/>
              <w:right w:w="0" w:type="dxa"/>
            </w:tcMar>
            <w:vAlign w:val="center"/>
          </w:tcPr>
          <w:p>
            <w:pPr>
              <w:keepNext w:val="0"/>
              <w:keepLines w:val="0"/>
              <w:pageBreakBefore w:val="0"/>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指标</w:t>
            </w:r>
          </w:p>
        </w:tc>
        <w:tc>
          <w:tcPr>
            <w:tcW w:w="1942" w:type="dxa"/>
            <w:noWrap w:val="0"/>
            <w:tcMar>
              <w:top w:w="0" w:type="dxa"/>
              <w:left w:w="0" w:type="dxa"/>
              <w:bottom w:w="0" w:type="dxa"/>
              <w:right w:w="0" w:type="dxa"/>
            </w:tcMar>
            <w:vAlign w:val="center"/>
          </w:tcPr>
          <w:p>
            <w:pPr>
              <w:keepNext w:val="0"/>
              <w:keepLines w:val="0"/>
              <w:pageBreakBefore w:val="0"/>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浓度值/(mg/m</w:t>
            </w:r>
            <w:r>
              <w:rPr>
                <w:rFonts w:hint="default" w:ascii="Times New Roman" w:hAnsi="Times New Roman" w:eastAsia="宋体" w:cs="Times New Roman"/>
                <w:color w:val="auto"/>
                <w:sz w:val="21"/>
                <w:szCs w:val="21"/>
                <w:shd w:val="clear" w:color="auto" w:fill="auto"/>
                <w:vertAlign w:val="superscript"/>
              </w:rPr>
              <w:t>3</w:t>
            </w:r>
            <w:r>
              <w:rPr>
                <w:rFonts w:hint="default" w:ascii="Times New Roman" w:hAnsi="Times New Roman" w:eastAsia="宋体" w:cs="Times New Roman"/>
                <w:color w:val="auto"/>
                <w:sz w:val="21"/>
                <w:szCs w:val="21"/>
                <w:shd w:val="clear" w:color="auto" w:fill="auto"/>
              </w:rPr>
              <w:t>)</w:t>
            </w:r>
          </w:p>
        </w:tc>
        <w:tc>
          <w:tcPr>
            <w:tcW w:w="1796" w:type="dxa"/>
            <w:noWrap w:val="0"/>
            <w:tcMar>
              <w:top w:w="0" w:type="dxa"/>
              <w:left w:w="0" w:type="dxa"/>
              <w:bottom w:w="0" w:type="dxa"/>
              <w:right w:w="0" w:type="dxa"/>
            </w:tcMar>
            <w:vAlign w:val="center"/>
          </w:tcPr>
          <w:p>
            <w:pPr>
              <w:keepNext w:val="0"/>
              <w:keepLines w:val="0"/>
              <w:pageBreakBefore w:val="0"/>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最远影响距离/m</w:t>
            </w:r>
          </w:p>
        </w:tc>
        <w:tc>
          <w:tcPr>
            <w:tcW w:w="2030" w:type="dxa"/>
            <w:tcBorders>
              <w:right w:val="single" w:color="000000" w:sz="4" w:space="0"/>
            </w:tcBorders>
            <w:noWrap w:val="0"/>
            <w:tcMar>
              <w:top w:w="0" w:type="dxa"/>
              <w:left w:w="0" w:type="dxa"/>
              <w:bottom w:w="0" w:type="dxa"/>
              <w:right w:w="0" w:type="dxa"/>
            </w:tcMar>
            <w:vAlign w:val="center"/>
          </w:tcPr>
          <w:p>
            <w:pPr>
              <w:keepNext w:val="0"/>
              <w:keepLines w:val="0"/>
              <w:pageBreakBefore w:val="0"/>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rPr>
              <w:t>到达时间/min</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vMerge w:val="continue"/>
            <w:tcBorders>
              <w:left w:val="single" w:color="000000" w:sz="4" w:space="0"/>
            </w:tcBorders>
            <w:noWrap w:val="0"/>
          </w:tcPr>
          <w:p/>
        </w:tc>
        <w:tc>
          <w:tcPr>
            <w:tcW w:w="2329"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大气毒性终点浓度-1</w:t>
            </w:r>
          </w:p>
        </w:tc>
        <w:tc>
          <w:tcPr>
            <w:tcW w:w="1942"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69</w:t>
            </w:r>
          </w:p>
        </w:tc>
        <w:tc>
          <w:tcPr>
            <w:tcW w:w="1796"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96</w:t>
            </w:r>
          </w:p>
        </w:tc>
        <w:tc>
          <w:tcPr>
            <w:tcW w:w="2030" w:type="dxa"/>
            <w:tcBorders>
              <w:right w:val="single" w:color="000000" w:sz="4" w:space="0"/>
            </w:tcBorders>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1.067</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vMerge w:val="continue"/>
            <w:tcBorders>
              <w:left w:val="single" w:color="000000" w:sz="4" w:space="0"/>
            </w:tcBorders>
            <w:noWrap w:val="0"/>
          </w:tcPr>
          <w:p/>
        </w:tc>
        <w:tc>
          <w:tcPr>
            <w:tcW w:w="2329"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大气毒性终点浓度-2</w:t>
            </w:r>
          </w:p>
        </w:tc>
        <w:tc>
          <w:tcPr>
            <w:tcW w:w="1942"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17</w:t>
            </w:r>
          </w:p>
        </w:tc>
        <w:tc>
          <w:tcPr>
            <w:tcW w:w="1796"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181</w:t>
            </w:r>
          </w:p>
        </w:tc>
        <w:tc>
          <w:tcPr>
            <w:tcW w:w="2030" w:type="dxa"/>
            <w:tcBorders>
              <w:right w:val="single" w:color="000000" w:sz="4" w:space="0"/>
            </w:tcBorders>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2.011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973" w:type="dxa"/>
            <w:vMerge w:val="restart"/>
            <w:tcBorders>
              <w:left w:val="single" w:color="000000" w:sz="4" w:space="0"/>
            </w:tcBorders>
            <w:noWrap w:val="0"/>
            <w:vAlign w:val="center"/>
          </w:tcPr>
          <w:p>
            <w:pPr>
              <w:keepNext w:val="0"/>
              <w:keepLines w:val="0"/>
              <w:pageBreakBefore w:val="0"/>
              <w:kinsoku/>
              <w:wordWrap/>
              <w:overflowPunct w:val="0"/>
              <w:topLinePunct w:val="0"/>
              <w:autoSpaceDE/>
              <w:autoSpaceDN/>
              <w:bidi w:val="0"/>
              <w:adjustRightInd/>
              <w:snapToGrid/>
              <w:spacing w:line="300" w:lineRule="exact"/>
              <w:ind w:firstLine="0"/>
              <w:jc w:val="center"/>
              <w:textAlignment w:val="auto"/>
              <w:outlineLvl w:val="9"/>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CO</w:t>
            </w:r>
          </w:p>
        </w:tc>
        <w:tc>
          <w:tcPr>
            <w:tcW w:w="2329" w:type="dxa"/>
            <w:noWrap w:val="0"/>
            <w:tcMar>
              <w:top w:w="0" w:type="dxa"/>
              <w:left w:w="0" w:type="dxa"/>
              <w:bottom w:w="0" w:type="dxa"/>
              <w:right w:w="0" w:type="dxa"/>
            </w:tcMar>
            <w:vAlign w:val="center"/>
          </w:tcPr>
          <w:p>
            <w:pPr>
              <w:keepNext w:val="0"/>
              <w:keepLines w:val="0"/>
              <w:pageBreakBefore w:val="0"/>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sz w:val="21"/>
                <w:szCs w:val="21"/>
                <w:shd w:val="clear" w:color="auto" w:fill="auto"/>
              </w:rPr>
              <w:t>指标</w:t>
            </w:r>
          </w:p>
        </w:tc>
        <w:tc>
          <w:tcPr>
            <w:tcW w:w="1942" w:type="dxa"/>
            <w:noWrap w:val="0"/>
            <w:tcMar>
              <w:top w:w="0" w:type="dxa"/>
              <w:left w:w="0" w:type="dxa"/>
              <w:bottom w:w="0" w:type="dxa"/>
              <w:right w:w="0" w:type="dxa"/>
            </w:tcMar>
            <w:vAlign w:val="center"/>
          </w:tcPr>
          <w:p>
            <w:pPr>
              <w:keepNext w:val="0"/>
              <w:keepLines w:val="0"/>
              <w:pageBreakBefore w:val="0"/>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sz w:val="21"/>
                <w:szCs w:val="21"/>
                <w:shd w:val="clear" w:color="auto" w:fill="auto"/>
              </w:rPr>
              <w:t>浓度值/(mg/m</w:t>
            </w:r>
            <w:r>
              <w:rPr>
                <w:rFonts w:hint="default" w:ascii="Times New Roman" w:hAnsi="Times New Roman" w:eastAsia="宋体" w:cs="Times New Roman"/>
                <w:color w:val="auto"/>
                <w:sz w:val="21"/>
                <w:szCs w:val="21"/>
                <w:shd w:val="clear" w:color="auto" w:fill="auto"/>
                <w:vertAlign w:val="superscript"/>
              </w:rPr>
              <w:t>3</w:t>
            </w:r>
            <w:r>
              <w:rPr>
                <w:rFonts w:hint="default" w:ascii="Times New Roman" w:hAnsi="Times New Roman" w:eastAsia="宋体" w:cs="Times New Roman"/>
                <w:color w:val="auto"/>
                <w:sz w:val="21"/>
                <w:szCs w:val="21"/>
                <w:shd w:val="clear" w:color="auto" w:fill="auto"/>
              </w:rPr>
              <w:t>)</w:t>
            </w:r>
          </w:p>
        </w:tc>
        <w:tc>
          <w:tcPr>
            <w:tcW w:w="1796" w:type="dxa"/>
            <w:noWrap w:val="0"/>
            <w:tcMar>
              <w:top w:w="0" w:type="dxa"/>
              <w:left w:w="0" w:type="dxa"/>
              <w:bottom w:w="0" w:type="dxa"/>
              <w:right w:w="0" w:type="dxa"/>
            </w:tcMar>
            <w:vAlign w:val="center"/>
          </w:tcPr>
          <w:p>
            <w:pPr>
              <w:keepNext w:val="0"/>
              <w:keepLines w:val="0"/>
              <w:pageBreakBefore w:val="0"/>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sz w:val="21"/>
                <w:szCs w:val="21"/>
                <w:shd w:val="clear" w:color="auto" w:fill="auto"/>
              </w:rPr>
              <w:t>最远影响距离/m</w:t>
            </w:r>
          </w:p>
        </w:tc>
        <w:tc>
          <w:tcPr>
            <w:tcW w:w="2030" w:type="dxa"/>
            <w:tcBorders>
              <w:right w:val="single" w:color="000000" w:sz="4" w:space="0"/>
            </w:tcBorders>
            <w:noWrap w:val="0"/>
            <w:tcMar>
              <w:top w:w="0" w:type="dxa"/>
              <w:left w:w="0" w:type="dxa"/>
              <w:bottom w:w="0" w:type="dxa"/>
              <w:right w:w="0" w:type="dxa"/>
            </w:tcMar>
            <w:vAlign w:val="center"/>
          </w:tcPr>
          <w:p>
            <w:pPr>
              <w:keepNext w:val="0"/>
              <w:keepLines w:val="0"/>
              <w:pageBreakBefore w:val="0"/>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sz w:val="21"/>
                <w:szCs w:val="21"/>
                <w:shd w:val="clear" w:color="auto" w:fill="auto"/>
              </w:rPr>
              <w:t>到达时间/min</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vMerge w:val="continue"/>
            <w:tcBorders>
              <w:left w:val="single" w:color="000000" w:sz="4" w:space="0"/>
            </w:tcBorders>
            <w:noWrap w:val="0"/>
          </w:tcPr>
          <w:p/>
        </w:tc>
        <w:tc>
          <w:tcPr>
            <w:tcW w:w="2329"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大气毒性终点浓度-1</w:t>
            </w:r>
          </w:p>
        </w:tc>
        <w:tc>
          <w:tcPr>
            <w:tcW w:w="1942"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eastAsia" w:ascii="Times New Roman" w:hAnsi="Times New Roman" w:eastAsia="宋体" w:cs="Times New Roman"/>
                <w:color w:val="auto"/>
                <w:kern w:val="2"/>
                <w:sz w:val="21"/>
                <w:szCs w:val="21"/>
                <w:shd w:val="clear" w:color="auto" w:fill="auto"/>
                <w:lang w:val="en-US" w:eastAsia="zh-CN" w:bidi="ar-SA"/>
              </w:rPr>
              <w:t>380</w:t>
            </w:r>
          </w:p>
        </w:tc>
        <w:tc>
          <w:tcPr>
            <w:tcW w:w="1796"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eastAsia" w:ascii="Times New Roman" w:hAnsi="Times New Roman" w:eastAsia="宋体" w:cs="Times New Roman"/>
                <w:color w:val="auto"/>
                <w:kern w:val="2"/>
                <w:sz w:val="21"/>
                <w:szCs w:val="21"/>
                <w:shd w:val="clear" w:color="auto" w:fill="auto"/>
                <w:lang w:val="en-US" w:eastAsia="zh-CN" w:bidi="ar-SA"/>
              </w:rPr>
              <w:t>36</w:t>
            </w:r>
          </w:p>
        </w:tc>
        <w:tc>
          <w:tcPr>
            <w:tcW w:w="2030" w:type="dxa"/>
            <w:tcBorders>
              <w:right w:val="single" w:color="000000" w:sz="4" w:space="0"/>
            </w:tcBorders>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eastAsia" w:ascii="Times New Roman" w:hAnsi="Times New Roman" w:eastAsia="宋体" w:cs="Times New Roman"/>
                <w:color w:val="auto"/>
                <w:kern w:val="2"/>
                <w:sz w:val="21"/>
                <w:szCs w:val="21"/>
                <w:shd w:val="clear" w:color="auto" w:fill="auto"/>
                <w:lang w:val="en-US" w:eastAsia="zh-CN" w:bidi="ar-SA"/>
              </w:rPr>
              <w:t>0.300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vMerge w:val="continue"/>
            <w:tcBorders>
              <w:left w:val="single" w:color="000000" w:sz="4" w:space="0"/>
            </w:tcBorders>
            <w:noWrap w:val="0"/>
          </w:tcPr>
          <w:p/>
        </w:tc>
        <w:tc>
          <w:tcPr>
            <w:tcW w:w="2329"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大气毒性终点浓度-2</w:t>
            </w:r>
          </w:p>
        </w:tc>
        <w:tc>
          <w:tcPr>
            <w:tcW w:w="1942"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eastAsia" w:ascii="Times New Roman" w:hAnsi="Times New Roman" w:eastAsia="宋体" w:cs="Times New Roman"/>
                <w:color w:val="auto"/>
                <w:kern w:val="2"/>
                <w:sz w:val="21"/>
                <w:szCs w:val="21"/>
                <w:shd w:val="clear" w:color="auto" w:fill="auto"/>
                <w:lang w:val="en-US" w:eastAsia="zh-CN" w:bidi="ar-SA"/>
              </w:rPr>
              <w:t>95</w:t>
            </w:r>
          </w:p>
        </w:tc>
        <w:tc>
          <w:tcPr>
            <w:tcW w:w="1796" w:type="dxa"/>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eastAsia" w:ascii="Times New Roman" w:hAnsi="Times New Roman" w:eastAsia="宋体" w:cs="Times New Roman"/>
                <w:color w:val="auto"/>
                <w:kern w:val="2"/>
                <w:sz w:val="21"/>
                <w:szCs w:val="21"/>
                <w:shd w:val="clear" w:color="auto" w:fill="auto"/>
                <w:lang w:val="en-US" w:eastAsia="zh-CN" w:bidi="ar-SA"/>
              </w:rPr>
              <w:t>116</w:t>
            </w:r>
          </w:p>
        </w:tc>
        <w:tc>
          <w:tcPr>
            <w:tcW w:w="2030" w:type="dxa"/>
            <w:tcBorders>
              <w:right w:val="single" w:color="000000" w:sz="4" w:space="0"/>
            </w:tcBorders>
            <w:noWrap w:val="0"/>
            <w:tcMar>
              <w:top w:w="0" w:type="dxa"/>
              <w:left w:w="0" w:type="dxa"/>
              <w:bottom w:w="0" w:type="dxa"/>
              <w:right w:w="0" w:type="dxa"/>
            </w:tcMar>
            <w:vAlign w:val="center"/>
          </w:tcPr>
          <w:p>
            <w:pPr>
              <w:keepNext w:val="0"/>
              <w:keepLines w:val="0"/>
              <w:pageBreakBefore w:val="0"/>
              <w:widowControl w:val="0"/>
              <w:pBdr>
                <w:bottom w:val="none" w:color="auto" w:sz="0" w:space="0"/>
              </w:pBdr>
              <w:tabs>
                <w:tab w:val="left" w:pos="420"/>
              </w:tabs>
              <w:kinsoku/>
              <w:wordWrap/>
              <w:overflowPunct w:val="0"/>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kern w:val="2"/>
                <w:sz w:val="21"/>
                <w:szCs w:val="21"/>
                <w:shd w:val="clear" w:color="auto" w:fill="auto"/>
                <w:lang w:val="en-US" w:eastAsia="zh-CN" w:bidi="ar-SA"/>
              </w:rPr>
            </w:pPr>
            <w:r>
              <w:rPr>
                <w:rFonts w:hint="eastAsia" w:ascii="Times New Roman" w:hAnsi="Times New Roman" w:eastAsia="宋体" w:cs="Times New Roman"/>
                <w:color w:val="auto"/>
                <w:kern w:val="2"/>
                <w:sz w:val="21"/>
                <w:szCs w:val="21"/>
                <w:shd w:val="clear" w:color="auto" w:fill="auto"/>
                <w:lang w:val="en-US" w:eastAsia="zh-CN" w:bidi="ar-SA"/>
              </w:rPr>
              <w:t>0.967</w:t>
            </w:r>
          </w:p>
        </w:tc>
      </w:tr>
    </w:tbl>
    <w:p>
      <w:pPr>
        <w:widowControl w:val="0"/>
        <w:spacing w:line="360" w:lineRule="auto"/>
        <w:ind w:firstLine="480"/>
        <w:jc w:val="both"/>
        <w:rPr>
          <w:color w:val="auto"/>
          <w:shd w:val="clear" w:color="auto" w:fill="auto"/>
        </w:rPr>
      </w:pPr>
      <w:r>
        <w:rPr>
          <w:rFonts w:hint="default" w:ascii="Times New Roman" w:hAnsi="Times New Roman" w:eastAsia="宋体" w:cs="Times New Roman"/>
          <w:snapToGrid w:val="0"/>
          <w:color w:val="auto"/>
          <w:kern w:val="0"/>
          <w:sz w:val="24"/>
          <w:szCs w:val="21"/>
          <w:shd w:val="clear" w:color="auto" w:fill="auto"/>
          <w:lang w:val="en-US" w:eastAsia="zh-CN" w:bidi="ar-SA"/>
        </w:rPr>
        <w:t>由于泄漏风险的后果是严重的，而且由于评价的假设，与实际情况相比存在诸多的不确定性，当泄漏量、泄漏事故控制时间大于本评价设定的情形，则风险影响范围和程度将大于以上预测值。建设单位应采取更有力的措施来减少事故的发生概率，设置各风险物品监测设施，一旦发生泄漏事故立即报警并联锁关停有关设备，消除事故排放，保证在短时间内，自动启动泄漏气体收集、吸收系统等措施，并应及时疏散事故影响范围内的员工和居民。</w:t>
      </w:r>
    </w:p>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bCs w:val="0"/>
          <w:color w:val="auto"/>
          <w:kern w:val="0"/>
          <w:sz w:val="30"/>
          <w:szCs w:val="30"/>
          <w:lang w:val="en-US" w:eastAsia="zh-CN" w:bidi="ar-SA"/>
        </w:rPr>
      </w:pPr>
      <w:r>
        <w:rPr>
          <w:rFonts w:hint="default" w:ascii="Times New Roman" w:hAnsi="Times New Roman" w:eastAsia="黑体" w:cs="Times New Roman"/>
          <w:b/>
          <w:bCs w:val="0"/>
          <w:color w:val="auto"/>
          <w:kern w:val="0"/>
          <w:sz w:val="30"/>
          <w:szCs w:val="30"/>
          <w:lang w:val="en-US" w:eastAsia="zh-CN" w:bidi="ar-SA"/>
        </w:rPr>
        <w:t>6.4.2地表水环境风险影响分析</w:t>
      </w:r>
    </w:p>
    <w:p>
      <w:pPr>
        <w:widowControl w:val="0"/>
        <w:adjustRightInd w:val="0"/>
        <w:snapToGrid w:val="0"/>
        <w:spacing w:line="360" w:lineRule="auto"/>
        <w:ind w:left="0" w:firstLine="0"/>
        <w:jc w:val="both"/>
        <w:textAlignment w:val="baseline"/>
        <w:outlineLvl w:val="3"/>
        <w:rPr>
          <w:rFonts w:hint="default" w:ascii="Times New Roman" w:hAnsi="Times New Roman" w:eastAsia="黑体" w:cs="Times New Roman"/>
          <w:b w:val="0"/>
          <w:color w:val="auto"/>
          <w:kern w:val="0"/>
          <w:sz w:val="28"/>
          <w:szCs w:val="22"/>
          <w:lang w:val="en-US" w:eastAsia="zh-CN" w:bidi="ar-SA"/>
        </w:rPr>
      </w:pPr>
      <w:r>
        <w:rPr>
          <w:rFonts w:hint="default" w:ascii="Times New Roman" w:hAnsi="Times New Roman" w:eastAsia="黑体" w:cs="Times New Roman"/>
          <w:b w:val="0"/>
          <w:color w:val="auto"/>
          <w:kern w:val="0"/>
          <w:sz w:val="28"/>
          <w:szCs w:val="22"/>
          <w:lang w:val="en-US" w:eastAsia="zh-CN" w:bidi="ar-SA"/>
        </w:rPr>
        <w:t>6.4.2.1事故废水产生</w:t>
      </w:r>
    </w:p>
    <w:p>
      <w:pPr>
        <w:widowControl w:val="0"/>
        <w:spacing w:line="360" w:lineRule="auto"/>
        <w:ind w:firstLine="480"/>
        <w:jc w:val="both"/>
        <w:rPr>
          <w:rFonts w:hint="default" w:ascii="Times New Roman" w:hAnsi="Times New Roman" w:eastAsia="宋体" w:cs="Times New Roman"/>
          <w:snapToGrid w:val="0"/>
          <w:color w:val="auto"/>
          <w:kern w:val="0"/>
          <w:sz w:val="24"/>
          <w:szCs w:val="24"/>
          <w:lang w:val="zh-CN" w:eastAsia="zh-CN" w:bidi="ar"/>
        </w:rPr>
      </w:pPr>
      <w:r>
        <w:rPr>
          <w:rFonts w:hint="default" w:ascii="Times New Roman" w:hAnsi="Times New Roman" w:eastAsia="宋体" w:cs="Times New Roman"/>
          <w:bCs/>
          <w:snapToGrid w:val="0"/>
          <w:color w:val="auto"/>
          <w:kern w:val="0"/>
          <w:sz w:val="24"/>
          <w:szCs w:val="21"/>
          <w:lang w:val="en-US" w:eastAsia="zh-CN" w:bidi="ar-SA"/>
        </w:rPr>
        <w:t>本项目事故废水主要有以下几种情况：①当生产不正常造成工艺物料泄漏、生产污水排放量或者排放浓度大幅度增加超过了污水处理装置的承载负荷时；②由于污水处理装置运行不正常、排水水质不能满足排放标准要求时；③发生火灾时污染区域内产生了大量消防废水；④污染区域内产生的初期污染雨水等。</w:t>
      </w:r>
    </w:p>
    <w:p>
      <w:pPr>
        <w:widowControl w:val="0"/>
        <w:adjustRightInd w:val="0"/>
        <w:snapToGrid w:val="0"/>
        <w:spacing w:line="360" w:lineRule="auto"/>
        <w:ind w:left="0" w:firstLine="0"/>
        <w:jc w:val="both"/>
        <w:textAlignment w:val="baseline"/>
        <w:outlineLvl w:val="3"/>
        <w:rPr>
          <w:rFonts w:hint="default" w:ascii="Times New Roman" w:hAnsi="Times New Roman" w:eastAsia="黑体" w:cs="Times New Roman"/>
          <w:b w:val="0"/>
          <w:color w:val="auto"/>
          <w:kern w:val="0"/>
          <w:sz w:val="28"/>
          <w:szCs w:val="22"/>
          <w:lang w:val="en-US" w:eastAsia="zh-CN" w:bidi="ar-SA"/>
        </w:rPr>
      </w:pPr>
      <w:r>
        <w:rPr>
          <w:rFonts w:hint="default" w:ascii="Times New Roman" w:hAnsi="Times New Roman" w:eastAsia="黑体" w:cs="Times New Roman"/>
          <w:b w:val="0"/>
          <w:color w:val="auto"/>
          <w:kern w:val="0"/>
          <w:sz w:val="28"/>
          <w:szCs w:val="22"/>
          <w:lang w:val="en-US" w:eastAsia="zh-CN" w:bidi="ar-SA"/>
        </w:rPr>
        <w:t>6.4.2.2事故废水特征</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当发生火灾等风险事故时，将用到大量消防水来灭火；或发生液体化工品泄漏时用不燃性分散剂制成的乳液刷洗产生冲洗液，或用泡沫覆盖，抑制蒸发。消防时，泄漏出来的物料混入消防水，消防水即被污染。消防污水具有以下几个特点：</w:t>
      </w:r>
    </w:p>
    <w:p>
      <w:pPr>
        <w:widowControl w:val="0"/>
        <w:numPr>
          <w:ilvl w:val="0"/>
          <w:numId w:val="0"/>
        </w:numPr>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（1）消防污水量变化大</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消防污水量与消防时实际用水量有关，而消防实际用水量与火灾严重程度密切相关。当火灾处于初期或程度比较轻时，消防实际用水量就小，产生的消防污水也就少；当火灾程度比较严重时，消防实际用水量就大，产生的消防污水也就多。</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（2）污水中污染物组分复杂</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不同的货种泄漏，消防污水中污染物的组分都会不同，污染物的浓度也会有很大差异。本项目消防水中可能含有氨、硝酸、乙醇、银等。</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一旦消防用水量大于事故水池的容积，消防污水将可能进入排洪渠及兴化湾，对兴化水质、生态环境造成较大的影响。因此，消防污水的收集与处理是十分必要的。</w:t>
      </w:r>
    </w:p>
    <w:p>
      <w:pPr>
        <w:widowControl w:val="0"/>
        <w:adjustRightInd w:val="0"/>
        <w:snapToGrid w:val="0"/>
        <w:spacing w:line="360" w:lineRule="auto"/>
        <w:ind w:left="0" w:firstLine="0"/>
        <w:jc w:val="both"/>
        <w:textAlignment w:val="baseline"/>
        <w:outlineLvl w:val="3"/>
        <w:rPr>
          <w:rFonts w:hint="default" w:ascii="Times New Roman" w:hAnsi="Times New Roman" w:eastAsia="黑体" w:cs="Times New Roman"/>
          <w:b w:val="0"/>
          <w:color w:val="auto"/>
          <w:kern w:val="0"/>
          <w:sz w:val="28"/>
          <w:szCs w:val="22"/>
          <w:lang w:val="en-US" w:eastAsia="zh-CN" w:bidi="ar-SA"/>
        </w:rPr>
      </w:pPr>
      <w:r>
        <w:rPr>
          <w:rFonts w:hint="default" w:ascii="Times New Roman" w:hAnsi="Times New Roman" w:eastAsia="黑体" w:cs="Times New Roman"/>
          <w:b w:val="0"/>
          <w:color w:val="auto"/>
          <w:kern w:val="0"/>
          <w:sz w:val="28"/>
          <w:szCs w:val="22"/>
          <w:lang w:val="en-US" w:eastAsia="zh-CN" w:bidi="ar-SA"/>
        </w:rPr>
        <w:t>6.4.2.3事故废水对海洋生态环境的影响分析</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本项目所在的江阴工业园区设置有园区事故污水控制调储措施（</w:t>
      </w:r>
      <w:r>
        <w:rPr>
          <w:rFonts w:hint="default" w:ascii="Times New Roman" w:hAnsi="Times New Roman" w:eastAsia="宋体" w:cs="Times New Roman"/>
          <w:snapToGrid w:val="0"/>
          <w:color w:val="auto"/>
          <w:kern w:val="0"/>
          <w:sz w:val="24"/>
          <w:szCs w:val="24"/>
          <w:lang w:val="en-US" w:eastAsia="zh-CN" w:bidi="ar"/>
        </w:rPr>
        <w:t>园区建有1个5万m</w:t>
      </w:r>
      <w:r>
        <w:rPr>
          <w:rFonts w:hint="default" w:ascii="Times New Roman" w:hAnsi="Times New Roman" w:eastAsia="宋体" w:cs="Times New Roman"/>
          <w:snapToGrid w:val="0"/>
          <w:color w:val="auto"/>
          <w:kern w:val="0"/>
          <w:sz w:val="24"/>
          <w:szCs w:val="24"/>
          <w:vertAlign w:val="superscript"/>
          <w:lang w:val="en-US" w:eastAsia="zh-CN" w:bidi="ar"/>
        </w:rPr>
        <w:t>3</w:t>
      </w:r>
      <w:r>
        <w:rPr>
          <w:rFonts w:hint="default" w:ascii="Times New Roman" w:hAnsi="Times New Roman" w:eastAsia="宋体" w:cs="Times New Roman"/>
          <w:snapToGrid w:val="0"/>
          <w:color w:val="auto"/>
          <w:kern w:val="0"/>
          <w:sz w:val="24"/>
          <w:szCs w:val="24"/>
          <w:lang w:val="en-US" w:eastAsia="zh-CN" w:bidi="ar"/>
        </w:rPr>
        <w:t>公共应急池及其切换装置、管道</w:t>
      </w:r>
      <w:r>
        <w:rPr>
          <w:rFonts w:hint="default" w:ascii="Times New Roman" w:hAnsi="Times New Roman" w:eastAsia="宋体" w:cs="Times New Roman"/>
          <w:snapToGrid w:val="0"/>
          <w:color w:val="auto"/>
          <w:kern w:val="0"/>
          <w:sz w:val="24"/>
          <w:szCs w:val="21"/>
          <w:lang w:val="en-US" w:eastAsia="zh-CN" w:bidi="ar-SA"/>
        </w:rPr>
        <w:t>），同时，可启动园区应急预案，通过相关防控措施，企业厂区发生事故废水排放对排污口水域造成的环境影响能够得到有效控制。</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（1）对海水水质的影响</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事故污水中可能含有化学品，进入海域后将使得局部海域的pH、COD、氨氮、银的指标明显增大，将对附近海域的海水水质造成一定的影响。</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（2）对浮游生物的影响</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浮游生物对液化品污染极为敏感，许多浮游生物皆会因受液化品危害而惨遭厄运，食物链会被破坏，饵料基础因此遭破坏，特别是由于浮游生物缺乏运动能力，加以身体柔弱，身体多生毛、刺更易为液化产品所附着和易受污染。</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（3）对底栖生物的影响</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事故污水进入海域中，液化品沉降可能导致该海域滩涂、底栖生物窒息死亡或中毒死亡，其中一些营固着性生物的贝类如牡蛎、贻贝等及甲壳类的虾、蟹，及对污染敏感的棘皮动物将深受其害，一些滩涂鱼类也会因此受害，幸存者也将因有臭味而降低其经济价值。此外，海涂及沉积物中未经降解的液化品有可能还原于水中造成二次污染。</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（4）对渔业生产的影响</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事故污水进入海域后，可能将对周围的渔业资源、鱼类产卵场、育肥场带来影响的同时，也可能对现有养殖区养殖生产造成重大的损失。</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本项目等危化品对水生生物等危害较大，若在极端事故情况下，大量危化品进入河流，将对附近兴化湾水域的生态造成严重的影响。因此，建设单位应制定完善的风险防范措施与应急预案，必须杜绝危化品和消防事故污水泄漏进入兴化湾的事故发生。</w:t>
      </w:r>
    </w:p>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bCs w:val="0"/>
          <w:color w:val="auto"/>
          <w:kern w:val="0"/>
          <w:sz w:val="30"/>
          <w:szCs w:val="30"/>
          <w:lang w:val="en-US" w:eastAsia="zh-CN" w:bidi="ar-SA"/>
        </w:rPr>
      </w:pPr>
      <w:r>
        <w:rPr>
          <w:rFonts w:hint="default" w:ascii="Times New Roman" w:hAnsi="Times New Roman" w:eastAsia="黑体" w:cs="Times New Roman"/>
          <w:b/>
          <w:bCs w:val="0"/>
          <w:color w:val="auto"/>
          <w:kern w:val="0"/>
          <w:sz w:val="30"/>
          <w:szCs w:val="30"/>
          <w:lang w:val="en-US" w:eastAsia="zh-CN" w:bidi="ar-SA"/>
        </w:rPr>
        <w:t>6.4.3地下水环境风险预测与分析</w:t>
      </w:r>
    </w:p>
    <w:p>
      <w:pPr>
        <w:widowControl w:val="0"/>
        <w:spacing w:line="360" w:lineRule="auto"/>
        <w:ind w:firstLine="480"/>
        <w:jc w:val="both"/>
        <w:rPr>
          <w:rFonts w:hint="default" w:ascii="Times New Roman" w:hAnsi="Times New Roman" w:eastAsia="宋体" w:cs="Times New Roman"/>
          <w:snapToGrid w:val="0"/>
          <w:color w:val="auto"/>
          <w:kern w:val="0"/>
          <w:sz w:val="24"/>
          <w:szCs w:val="24"/>
          <w:lang w:val="zh-CN" w:eastAsia="zh-CN" w:bidi="ar"/>
        </w:rPr>
      </w:pPr>
      <w:r>
        <w:rPr>
          <w:rFonts w:hint="default" w:ascii="Times New Roman" w:hAnsi="Times New Roman" w:eastAsia="宋体" w:cs="Times New Roman"/>
          <w:bCs/>
          <w:snapToGrid w:val="0"/>
          <w:color w:val="auto"/>
          <w:kern w:val="0"/>
          <w:sz w:val="24"/>
          <w:szCs w:val="21"/>
          <w:lang w:val="en-US" w:eastAsia="zh-CN" w:bidi="ar-SA"/>
        </w:rPr>
        <w:t>正常工况下，本项目生产设施场地防渗设施应按GB/T50934的防渗要求进行设置。根据《环境影响评价技术导则-地下水环境》（HJ 610-2016）建设项目已根据GB/T50934设计地下水污染防渗措施的建设项目，正常情况下不会发生渗漏。</w:t>
      </w:r>
      <w:r>
        <w:rPr>
          <w:rFonts w:hint="default" w:ascii="Times New Roman" w:hAnsi="Times New Roman" w:eastAsia="宋体" w:cs="Times New Roman"/>
          <w:snapToGrid w:val="0"/>
          <w:color w:val="auto"/>
          <w:kern w:val="0"/>
          <w:sz w:val="24"/>
          <w:szCs w:val="21"/>
          <w:lang w:val="en-US" w:eastAsia="zh-CN" w:bidi="ar-SA"/>
        </w:rPr>
        <w:t>本项目事故状态下发生渗漏对地下水的环境风险预测情况详见5.5小节。</w:t>
      </w:r>
      <w:r>
        <w:rPr>
          <w:rFonts w:hint="default" w:ascii="Times New Roman" w:hAnsi="Times New Roman" w:eastAsia="宋体" w:cs="Times New Roman"/>
          <w:snapToGrid w:val="0"/>
          <w:color w:val="auto"/>
          <w:kern w:val="0"/>
          <w:sz w:val="24"/>
          <w:szCs w:val="24"/>
          <w:lang w:val="zh-CN" w:eastAsia="zh-CN" w:bidi="ar"/>
        </w:rPr>
        <w:t>加强地下水环境的监控、预警，厂区设置地下水监控井</w:t>
      </w:r>
      <w:r>
        <w:rPr>
          <w:rFonts w:hint="default" w:ascii="Times New Roman" w:hAnsi="Times New Roman" w:eastAsia="宋体" w:cs="Times New Roman"/>
          <w:snapToGrid w:val="0"/>
          <w:color w:val="auto"/>
          <w:kern w:val="0"/>
          <w:sz w:val="24"/>
          <w:szCs w:val="24"/>
          <w:lang w:val="en-US" w:eastAsia="zh-CN" w:bidi="ar"/>
        </w:rPr>
        <w:t>3</w:t>
      </w:r>
      <w:r>
        <w:rPr>
          <w:rFonts w:hint="default" w:ascii="Times New Roman" w:hAnsi="Times New Roman" w:eastAsia="宋体" w:cs="Times New Roman"/>
          <w:snapToGrid w:val="0"/>
          <w:color w:val="auto"/>
          <w:kern w:val="0"/>
          <w:sz w:val="24"/>
          <w:szCs w:val="24"/>
          <w:lang w:val="zh-CN" w:eastAsia="zh-CN" w:bidi="ar"/>
        </w:rPr>
        <w:t>眼，定期对厂区的地下水监控井进行监测，实时监控厂区内的地下水环境。</w:t>
      </w:r>
    </w:p>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bCs w:val="0"/>
          <w:color w:val="auto"/>
          <w:kern w:val="0"/>
          <w:sz w:val="30"/>
          <w:szCs w:val="30"/>
          <w:lang w:val="en-US" w:eastAsia="zh-CN" w:bidi="ar-SA"/>
        </w:rPr>
      </w:pPr>
      <w:r>
        <w:rPr>
          <w:rFonts w:hint="default" w:ascii="Times New Roman" w:hAnsi="Times New Roman" w:eastAsia="黑体" w:cs="Times New Roman"/>
          <w:b/>
          <w:bCs w:val="0"/>
          <w:color w:val="auto"/>
          <w:kern w:val="0"/>
          <w:sz w:val="30"/>
          <w:szCs w:val="30"/>
          <w:lang w:val="en-US" w:eastAsia="zh-CN" w:bidi="ar-SA"/>
        </w:rPr>
        <w:t>6.4.4运输过程潜在的风险影响分析</w:t>
      </w:r>
    </w:p>
    <w:p>
      <w:pPr>
        <w:widowControl w:val="0"/>
        <w:spacing w:line="360" w:lineRule="auto"/>
        <w:ind w:firstLine="480"/>
        <w:jc w:val="both"/>
        <w:rPr>
          <w:rFonts w:hint="default" w:ascii="Times New Roman" w:hAnsi="Times New Roman" w:eastAsia="宋体" w:cs="Times New Roman"/>
          <w:snapToGrid w:val="0"/>
          <w:color w:val="auto"/>
          <w:kern w:val="0"/>
          <w:sz w:val="24"/>
          <w:szCs w:val="24"/>
          <w:lang w:val="zh-CN" w:eastAsia="zh-CN" w:bidi="ar"/>
        </w:rPr>
      </w:pPr>
      <w:r>
        <w:rPr>
          <w:rFonts w:hint="default" w:ascii="Times New Roman" w:hAnsi="Times New Roman" w:eastAsia="宋体" w:cs="Times New Roman"/>
          <w:snapToGrid w:val="0"/>
          <w:color w:val="auto"/>
          <w:kern w:val="0"/>
          <w:sz w:val="24"/>
          <w:szCs w:val="24"/>
          <w:lang w:val="zh-CN" w:eastAsia="zh-CN" w:bidi="ar"/>
        </w:rPr>
        <w:t>本项目的生产原料由供货单位负责运输，产品则由建设单位委托有危险品运输资质的单位运输，运输路线、运输方式、运输时间需报公路沿线交通管理部门审批。运输过程产生的风险主要表现在因交通事故和违反危险品运输的有关规定，在运输途中发生重大撞车翻车事故突发性溢漏，使所运载危险品进入大气，造成恶性污染事故。污染事故最为严重的路段是跨越人口密集的城镇路段，其余路段由于人口少，通过及时采取防护措施，可避免污染造成的伤亡事故发生。因此本项目装载危险物品运输路线应避开人口集中的区域，其车辆不得在生活饮用水地表水源保护区、居民聚居点、行人稠密地段、政府机关、大桥等敏感目标停车。如必须在上述地区进行装卸作业或临时停车，应事先报经当地县、市公安部门批准，按照指定的路线、时间行驶。本项目运输过程风险防范措施见</w:t>
      </w:r>
      <w:r>
        <w:rPr>
          <w:rFonts w:hint="default" w:ascii="Times New Roman" w:hAnsi="Times New Roman" w:eastAsia="宋体" w:cs="Times New Roman"/>
          <w:snapToGrid w:val="0"/>
          <w:color w:val="auto"/>
          <w:kern w:val="0"/>
          <w:sz w:val="24"/>
          <w:szCs w:val="24"/>
          <w:lang w:val="en-US" w:eastAsia="zh-CN" w:bidi="ar"/>
        </w:rPr>
        <w:t>6.5.2.5</w:t>
      </w:r>
      <w:r>
        <w:rPr>
          <w:rFonts w:hint="default" w:ascii="Times New Roman" w:hAnsi="Times New Roman" w:eastAsia="宋体" w:cs="Times New Roman"/>
          <w:snapToGrid w:val="0"/>
          <w:color w:val="auto"/>
          <w:kern w:val="0"/>
          <w:sz w:val="24"/>
          <w:szCs w:val="24"/>
          <w:lang w:val="zh-CN" w:eastAsia="zh-CN" w:bidi="ar"/>
        </w:rPr>
        <w:t>，通过采取相应的防范措施，发生事故的概率较小。</w:t>
      </w:r>
    </w:p>
    <w:p>
      <w:pPr>
        <w:keepNext/>
        <w:keepLines/>
        <w:widowControl w:val="0"/>
        <w:autoSpaceDE/>
        <w:autoSpaceDN/>
        <w:adjustRightInd/>
        <w:spacing w:after="0" w:afterLines="0" w:line="360" w:lineRule="auto"/>
        <w:ind w:left="0" w:firstLine="0"/>
        <w:jc w:val="both"/>
        <w:outlineLvl w:val="1"/>
        <w:rPr>
          <w:rFonts w:hint="default" w:ascii="Times New Roman" w:hAnsi="Times New Roman" w:eastAsia="黑体" w:cs="Times New Roman"/>
          <w:b/>
          <w:bCs/>
          <w:color w:val="auto"/>
          <w:kern w:val="2"/>
          <w:sz w:val="32"/>
          <w:szCs w:val="30"/>
          <w:lang w:val="en-US" w:eastAsia="zh-CN" w:bidi="ar-SA"/>
        </w:rPr>
      </w:pPr>
      <w:bookmarkStart w:id="331" w:name="_Toc11036"/>
      <w:bookmarkStart w:id="332" w:name="_Hlk30087038"/>
      <w:r>
        <w:rPr>
          <w:rFonts w:hint="default" w:ascii="Times New Roman" w:hAnsi="Times New Roman" w:eastAsia="黑体" w:cs="Times New Roman"/>
          <w:b/>
          <w:bCs/>
          <w:color w:val="auto"/>
          <w:kern w:val="2"/>
          <w:sz w:val="32"/>
          <w:szCs w:val="30"/>
          <w:lang w:val="en-US" w:eastAsia="zh-CN" w:bidi="ar-SA"/>
        </w:rPr>
        <w:t>6.5环境风险管理</w:t>
      </w:r>
      <w:bookmarkEnd w:id="331"/>
    </w:p>
    <w:bookmarkEnd w:id="332"/>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bCs w:val="0"/>
          <w:color w:val="auto"/>
          <w:kern w:val="0"/>
          <w:sz w:val="30"/>
          <w:szCs w:val="30"/>
          <w:lang w:val="en-US" w:eastAsia="zh-CN" w:bidi="ar-SA"/>
        </w:rPr>
      </w:pPr>
      <w:bookmarkStart w:id="333" w:name="_Hlk30085831"/>
      <w:r>
        <w:rPr>
          <w:rFonts w:hint="default" w:ascii="Times New Roman" w:hAnsi="Times New Roman" w:eastAsia="黑体" w:cs="Times New Roman"/>
          <w:b/>
          <w:bCs w:val="0"/>
          <w:color w:val="auto"/>
          <w:kern w:val="0"/>
          <w:sz w:val="30"/>
          <w:szCs w:val="30"/>
          <w:lang w:val="en-US" w:eastAsia="zh-CN" w:bidi="ar-SA"/>
        </w:rPr>
        <w:t>6.5.1环境风险管理目标</w:t>
      </w:r>
    </w:p>
    <w:bookmarkEnd w:id="333"/>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4"/>
          <w:lang w:val="zh-CN" w:eastAsia="zh-CN" w:bidi="ar"/>
        </w:rPr>
        <w:t>环境风险管理目标是采用最低合理可行原则管控环境风险。采取的环境风险防范措施应与社会经济技术发展水平相适应，运用科学的技术手段和管理方法，对环境风险进行有效的预防、监控、响应。</w:t>
      </w:r>
    </w:p>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bCs w:val="0"/>
          <w:color w:val="auto"/>
          <w:kern w:val="0"/>
          <w:sz w:val="30"/>
          <w:szCs w:val="30"/>
          <w:lang w:val="en-US" w:eastAsia="zh-CN" w:bidi="ar-SA"/>
        </w:rPr>
      </w:pPr>
      <w:r>
        <w:rPr>
          <w:rFonts w:hint="default" w:ascii="Times New Roman" w:hAnsi="Times New Roman" w:eastAsia="黑体" w:cs="Times New Roman"/>
          <w:b/>
          <w:bCs w:val="0"/>
          <w:color w:val="auto"/>
          <w:kern w:val="0"/>
          <w:sz w:val="30"/>
          <w:szCs w:val="30"/>
          <w:lang w:val="en-US" w:eastAsia="zh-CN" w:bidi="ar-SA"/>
        </w:rPr>
        <w:t>6.5.2环境风险防范措施</w:t>
      </w:r>
    </w:p>
    <w:p>
      <w:pPr>
        <w:widowControl w:val="0"/>
        <w:adjustRightInd w:val="0"/>
        <w:snapToGrid w:val="0"/>
        <w:spacing w:line="360" w:lineRule="auto"/>
        <w:ind w:left="0" w:firstLine="0"/>
        <w:jc w:val="both"/>
        <w:textAlignment w:val="baseline"/>
        <w:outlineLvl w:val="3"/>
        <w:rPr>
          <w:rFonts w:hint="default" w:ascii="Times New Roman" w:hAnsi="Times New Roman" w:eastAsia="黑体" w:cs="Times New Roman"/>
          <w:b w:val="0"/>
          <w:color w:val="auto"/>
          <w:kern w:val="0"/>
          <w:sz w:val="28"/>
          <w:szCs w:val="22"/>
          <w:lang w:val="zh-CN" w:eastAsia="zh-CN" w:bidi="ar-SA"/>
        </w:rPr>
      </w:pPr>
      <w:r>
        <w:rPr>
          <w:rFonts w:hint="default" w:ascii="Times New Roman" w:hAnsi="Times New Roman" w:eastAsia="黑体" w:cs="Times New Roman"/>
          <w:b w:val="0"/>
          <w:color w:val="auto"/>
          <w:kern w:val="0"/>
          <w:sz w:val="28"/>
          <w:szCs w:val="22"/>
          <w:lang w:val="en-US" w:eastAsia="zh-CN" w:bidi="ar-SA"/>
        </w:rPr>
        <w:t>6.5</w:t>
      </w:r>
      <w:r>
        <w:rPr>
          <w:rFonts w:hint="default" w:ascii="Times New Roman" w:hAnsi="Times New Roman" w:eastAsia="黑体" w:cs="Times New Roman"/>
          <w:b w:val="0"/>
          <w:color w:val="auto"/>
          <w:kern w:val="0"/>
          <w:sz w:val="28"/>
          <w:szCs w:val="22"/>
          <w:lang w:val="zh-CN" w:eastAsia="zh-CN" w:bidi="ar-SA"/>
        </w:rPr>
        <w:t>.2.1大气环境风险防范及减缓措施</w:t>
      </w:r>
    </w:p>
    <w:p>
      <w:pPr>
        <w:spacing w:line="360" w:lineRule="auto"/>
        <w:ind w:firstLine="480"/>
        <w:rPr>
          <w:rFonts w:hint="default" w:ascii="Times New Roman" w:hAnsi="Times New Roman" w:eastAsia="宋体" w:cs="Times New Roman"/>
          <w:color w:val="auto"/>
          <w:sz w:val="24"/>
          <w:szCs w:val="24"/>
          <w:lang w:val="zh-CN" w:bidi="ar"/>
        </w:rPr>
      </w:pPr>
      <w:r>
        <w:rPr>
          <w:rFonts w:hint="default" w:ascii="Times New Roman" w:hAnsi="Times New Roman" w:eastAsia="宋体" w:cs="Times New Roman"/>
          <w:color w:val="auto"/>
          <w:sz w:val="24"/>
          <w:szCs w:val="24"/>
          <w:lang w:val="zh-CN" w:bidi="ar"/>
        </w:rPr>
        <w:t>（1）工程设计</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①总平面布置中，根据生产流程及各单元的生产特点和火灾爆炸危险特性，结合地形及风向等因素，在总体布置时进行优化调整，按功能分区布置，各功能区之间均设置消防通道，道路成环状布置，满足消防及安全疏散要求。同时考虑满足工艺流程通顺、管线短捷的要求，又考虑了防火防爆及安全疏散等问题。全厂各工序之间、各设备之间保持足够的安全距离，满足消防规范的要求。</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val="zh-CN" w:bidi="ar"/>
        </w:rPr>
        <w:t>②</w:t>
      </w:r>
      <w:r>
        <w:rPr>
          <w:rFonts w:hint="default" w:ascii="Times New Roman" w:hAnsi="Times New Roman" w:eastAsia="宋体" w:cs="Times New Roman"/>
          <w:color w:val="auto"/>
          <w:sz w:val="24"/>
          <w:szCs w:val="24"/>
          <w:lang w:bidi="ar"/>
        </w:rPr>
        <w:t>危险化学品贮运安全防范措施</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a.危险化学品储运系统的设计严格按照《石油化工储运系统罐区设计规范》、《石油化工企业设计防火规范》的要求进行设计和施工，确保防火间距、消防通道、消防设施等满足规定要求。</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b.罐区严格按照《建筑物防雷设计规范》、《工业与民用电力装臵的接地设计规范》设防雷击、防静电系统。</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bidi="ar"/>
        </w:rPr>
        <w:t>c.按照《石油化工企业可燃气体和有毒气体检测报警设计规范》在罐区设自动报警设施。</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d.在储运过程控制采用DCS 系统，并设有越限报警和连锁保护系统，确保在误操作或非正常工况下，对危险物料的安全控制。</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bidi="ar"/>
        </w:rPr>
        <w:t>e.与大容量储罐相连接的泵，其紧急截止阀安装在泵及设备的安全距离之外，并可在发生火灾时进行远程紧急制动切断可燃物料。</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bidi="ar"/>
        </w:rPr>
        <w:t>f.可燃液体罐区以及装置区分别设有防火堤和围堰，并设专用排泄沟/管，防火堤、围堰的设计均执行国家及行业标准。</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bidi="ar"/>
        </w:rPr>
        <w:t>g.储罐防火设施，包括储罐基础、罐体、保温层等采用不燃材料；易燃液体储罐配备液面计、呼吸阀和阻火器；储罐的进料管线末端按至储罐下部，防止液体冲击产生过量静电；储罐保持良好接地、防雷；设倒罐线，在储罐发生事故时易于转送物料。</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③</w:t>
      </w:r>
      <w:r>
        <w:rPr>
          <w:rFonts w:hint="default" w:ascii="Times New Roman" w:hAnsi="Times New Roman" w:eastAsia="宋体" w:cs="Times New Roman"/>
          <w:color w:val="auto"/>
          <w:sz w:val="24"/>
          <w:szCs w:val="24"/>
          <w:lang w:val="zh-CN" w:bidi="ar"/>
        </w:rPr>
        <w:t>火灾报警系统和有毒气体检测系统</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在物料易泄处按照《石油化工可燃气体和有毒气体检测报警设计规范》</w:t>
      </w:r>
      <w:r>
        <w:rPr>
          <w:rFonts w:hint="default" w:ascii="Times New Roman" w:hAnsi="Times New Roman" w:eastAsia="宋体" w:cs="Times New Roman"/>
          <w:color w:val="auto"/>
          <w:sz w:val="24"/>
          <w:szCs w:val="24"/>
          <w:lang w:eastAsia="zh-CN" w:bidi="ar"/>
        </w:rPr>
        <w:t>（</w:t>
      </w:r>
      <w:r>
        <w:rPr>
          <w:rFonts w:hint="default" w:ascii="Times New Roman" w:hAnsi="Times New Roman" w:eastAsia="宋体" w:cs="Times New Roman"/>
          <w:color w:val="auto"/>
          <w:sz w:val="24"/>
          <w:szCs w:val="24"/>
          <w:lang w:bidi="ar"/>
        </w:rPr>
        <w:t>GB50493-20</w:t>
      </w:r>
      <w:r>
        <w:rPr>
          <w:rFonts w:hint="default" w:ascii="Times New Roman" w:hAnsi="Times New Roman" w:eastAsia="宋体" w:cs="Times New Roman"/>
          <w:color w:val="auto"/>
          <w:sz w:val="24"/>
          <w:szCs w:val="24"/>
          <w:lang w:val="en-US" w:eastAsia="zh-CN" w:bidi="ar"/>
        </w:rPr>
        <w:t>1</w:t>
      </w:r>
      <w:r>
        <w:rPr>
          <w:rFonts w:hint="default" w:ascii="Times New Roman" w:hAnsi="Times New Roman" w:eastAsia="宋体" w:cs="Times New Roman"/>
          <w:color w:val="auto"/>
          <w:sz w:val="24"/>
          <w:szCs w:val="24"/>
          <w:lang w:bidi="ar"/>
        </w:rPr>
        <w:t>9</w:t>
      </w:r>
      <w:r>
        <w:rPr>
          <w:rFonts w:hint="default" w:ascii="Times New Roman" w:hAnsi="Times New Roman" w:eastAsia="宋体" w:cs="Times New Roman"/>
          <w:color w:val="auto"/>
          <w:sz w:val="24"/>
          <w:szCs w:val="24"/>
          <w:lang w:eastAsia="zh-CN" w:bidi="ar"/>
        </w:rPr>
        <w:t>）</w:t>
      </w:r>
      <w:r>
        <w:rPr>
          <w:rFonts w:hint="default" w:ascii="Times New Roman" w:hAnsi="Times New Roman" w:eastAsia="宋体" w:cs="Times New Roman"/>
          <w:color w:val="auto"/>
          <w:sz w:val="24"/>
          <w:szCs w:val="24"/>
          <w:lang w:bidi="ar"/>
        </w:rPr>
        <w:t>、《工作场所有毒气体检测报警装置设置规范》GBZT233-2009要求设置可燃、有毒气体报警仪。当物料泄漏时能及时报警，以便在第一时间及时处理。正常监测系统兼顾环境风险事故快速监测系统，负责对事故现场及周围区域进行应急监测，向公司应急指挥部及时提供包括事故的规模、事故发展的趋向、事故影响边界、气象条件，污染物质浓度、流量，可能的二次反应有害物及污染物质滞留区等监测数据。</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（2）管理措施</w:t>
      </w:r>
    </w:p>
    <w:p>
      <w:pPr>
        <w:spacing w:line="360" w:lineRule="auto"/>
        <w:ind w:firstLine="480"/>
        <w:rPr>
          <w:rFonts w:hint="default" w:ascii="Times New Roman" w:hAnsi="Times New Roman" w:eastAsia="宋体" w:cs="Times New Roman"/>
          <w:color w:val="auto"/>
          <w:sz w:val="24"/>
          <w:szCs w:val="24"/>
          <w:lang w:val="zh-CN" w:bidi="ar"/>
        </w:rPr>
      </w:pPr>
      <w:r>
        <w:rPr>
          <w:rFonts w:hint="default" w:ascii="Times New Roman" w:hAnsi="Times New Roman" w:eastAsia="宋体" w:cs="Times New Roman"/>
          <w:color w:val="auto"/>
          <w:sz w:val="24"/>
          <w:szCs w:val="24"/>
          <w:lang w:val="zh-CN" w:bidi="ar"/>
        </w:rPr>
        <w:t>①</w:t>
      </w:r>
      <w:r>
        <w:rPr>
          <w:rFonts w:hint="default" w:ascii="Times New Roman" w:hAnsi="Times New Roman" w:eastAsia="宋体" w:cs="Times New Roman"/>
          <w:color w:val="auto"/>
          <w:sz w:val="24"/>
          <w:szCs w:val="24"/>
          <w:lang w:bidi="ar"/>
        </w:rPr>
        <w:t>加强储罐、装置的操作、维护维修管理，严防因人为操作及设备损坏引起的物料泄漏。</w:t>
      </w:r>
    </w:p>
    <w:p>
      <w:pPr>
        <w:spacing w:line="360" w:lineRule="auto"/>
        <w:ind w:firstLine="480"/>
        <w:rPr>
          <w:rFonts w:hint="default" w:ascii="Times New Roman" w:hAnsi="Times New Roman" w:eastAsia="宋体" w:cs="Times New Roman"/>
          <w:color w:val="auto"/>
          <w:sz w:val="24"/>
          <w:szCs w:val="24"/>
          <w:lang w:val="zh-CN" w:bidi="ar"/>
        </w:rPr>
      </w:pPr>
      <w:r>
        <w:rPr>
          <w:rFonts w:hint="default" w:ascii="Times New Roman" w:hAnsi="Times New Roman" w:eastAsia="宋体" w:cs="Times New Roman"/>
          <w:color w:val="auto"/>
          <w:sz w:val="24"/>
          <w:szCs w:val="24"/>
          <w:lang w:val="zh-CN" w:bidi="ar"/>
        </w:rPr>
        <w:t>②</w:t>
      </w:r>
      <w:r>
        <w:rPr>
          <w:rFonts w:hint="default" w:ascii="Times New Roman" w:hAnsi="Times New Roman" w:eastAsia="宋体" w:cs="Times New Roman"/>
          <w:color w:val="auto"/>
          <w:sz w:val="24"/>
          <w:szCs w:val="24"/>
          <w:lang w:bidi="ar"/>
        </w:rPr>
        <w:t>作业人员必须接受与本岗位相适应的、专门的安全技术培训，经安全技术理论考核和实际操作机能考核合格，方可上岗作业。所有上岗人员必须定期进行继续教育，保持技术更新要求，所有持证上岗人员，须按期进行换证考核。</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③所有压力容器、可燃气体检测仪器、安全阀以及远近距离控制阀等，应按规定周期定期检验，确保安全、灵敏、可靠。</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④加强对易腐蚀系统的设备和管线的厚壁监测工作，随时掌握厚壁减薄情况，以便随时更换腐蚀较严重的设施。</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⑤在事故处理及检修需要进入容器时，应严格执行有关的安全规定（如办理审批手续），穿戴好各种防护用品，并有责任心强的人员进行监护。</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⑥在易引起误操作事故的岗位设立明显标志，在作业场所的紧急通道和紧急出入口设置明显的标志和指示箭头。</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fldChar w:fldCharType="begin"/>
      </w:r>
      <w:r>
        <w:rPr>
          <w:rFonts w:hint="default" w:ascii="Times New Roman" w:hAnsi="Times New Roman" w:eastAsia="宋体" w:cs="Times New Roman"/>
          <w:color w:val="auto"/>
          <w:sz w:val="24"/>
          <w:szCs w:val="24"/>
          <w:lang w:bidi="ar"/>
        </w:rPr>
        <w:instrText xml:space="preserve"> = 7 \* GB3 \* MERGEFORMAT </w:instrText>
      </w:r>
      <w:r>
        <w:rPr>
          <w:rFonts w:hint="default" w:ascii="Times New Roman" w:hAnsi="Times New Roman" w:eastAsia="宋体" w:cs="Times New Roman"/>
          <w:color w:val="auto"/>
          <w:sz w:val="24"/>
          <w:szCs w:val="24"/>
          <w:lang w:bidi="ar"/>
        </w:rPr>
        <w:fldChar w:fldCharType="separate"/>
      </w:r>
      <w:r>
        <w:rPr>
          <w:rFonts w:hint="default" w:ascii="Times New Roman" w:hAnsi="Times New Roman" w:eastAsia="宋体" w:cs="Times New Roman"/>
          <w:color w:val="auto"/>
          <w:sz w:val="24"/>
          <w:szCs w:val="24"/>
          <w:lang w:bidi="ar"/>
        </w:rPr>
        <w:t>⑦</w:t>
      </w:r>
      <w:r>
        <w:rPr>
          <w:rFonts w:hint="default" w:ascii="Times New Roman" w:hAnsi="Times New Roman" w:eastAsia="宋体" w:cs="Times New Roman"/>
          <w:color w:val="auto"/>
          <w:sz w:val="24"/>
          <w:szCs w:val="24"/>
          <w:lang w:bidi="ar"/>
        </w:rPr>
        <w:fldChar w:fldCharType="end"/>
      </w:r>
      <w:r>
        <w:rPr>
          <w:rFonts w:hint="default" w:ascii="Times New Roman" w:hAnsi="Times New Roman" w:eastAsia="宋体" w:cs="Times New Roman"/>
          <w:color w:val="auto"/>
          <w:sz w:val="24"/>
          <w:szCs w:val="24"/>
          <w:lang w:bidi="ar"/>
        </w:rPr>
        <w:t xml:space="preserve"> 建立事故风险应急管理组织机构，制定安全规程，事故防范措施及应急预案。定期检查事故防范措施运行情况，组织进行事故演练。</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fldChar w:fldCharType="begin"/>
      </w:r>
      <w:r>
        <w:rPr>
          <w:rFonts w:hint="default" w:ascii="Times New Roman" w:hAnsi="Times New Roman" w:eastAsia="宋体" w:cs="Times New Roman"/>
          <w:color w:val="auto"/>
          <w:sz w:val="24"/>
          <w:szCs w:val="24"/>
          <w:lang w:bidi="ar"/>
        </w:rPr>
        <w:instrText xml:space="preserve"> = 8 \* GB3 \* MERGEFORMAT </w:instrText>
      </w:r>
      <w:r>
        <w:rPr>
          <w:rFonts w:hint="default" w:ascii="Times New Roman" w:hAnsi="Times New Roman" w:eastAsia="宋体" w:cs="Times New Roman"/>
          <w:color w:val="auto"/>
          <w:sz w:val="24"/>
          <w:szCs w:val="24"/>
          <w:lang w:bidi="ar"/>
        </w:rPr>
        <w:fldChar w:fldCharType="separate"/>
      </w:r>
      <w:r>
        <w:rPr>
          <w:rFonts w:hint="default" w:ascii="Times New Roman" w:hAnsi="Times New Roman" w:eastAsia="宋体" w:cs="Times New Roman"/>
          <w:color w:val="auto"/>
          <w:sz w:val="24"/>
          <w:szCs w:val="24"/>
          <w:lang w:bidi="ar"/>
        </w:rPr>
        <w:t>⑧</w:t>
      </w:r>
      <w:r>
        <w:rPr>
          <w:rFonts w:hint="default" w:ascii="Times New Roman" w:hAnsi="Times New Roman" w:eastAsia="宋体" w:cs="Times New Roman"/>
          <w:color w:val="auto"/>
          <w:sz w:val="24"/>
          <w:szCs w:val="24"/>
          <w:lang w:bidi="ar"/>
        </w:rPr>
        <w:fldChar w:fldCharType="end"/>
      </w:r>
      <w:r>
        <w:rPr>
          <w:rFonts w:hint="default" w:ascii="Times New Roman" w:hAnsi="Times New Roman" w:eastAsia="宋体" w:cs="Times New Roman"/>
          <w:color w:val="auto"/>
          <w:sz w:val="24"/>
          <w:szCs w:val="24"/>
          <w:lang w:bidi="ar"/>
        </w:rPr>
        <w:t>严格按照《危险化学品安全管理条例》要求进行管理。</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（3）管线的风险防控措施</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fldChar w:fldCharType="begin"/>
      </w:r>
      <w:r>
        <w:rPr>
          <w:rFonts w:hint="default" w:ascii="Times New Roman" w:hAnsi="Times New Roman" w:eastAsia="宋体" w:cs="Times New Roman"/>
          <w:color w:val="auto"/>
          <w:sz w:val="24"/>
          <w:szCs w:val="24"/>
          <w:lang w:bidi="ar"/>
        </w:rPr>
        <w:instrText xml:space="preserve"> = 1 \* GB3 \* MERGEFORMAT </w:instrText>
      </w:r>
      <w:r>
        <w:rPr>
          <w:rFonts w:hint="default" w:ascii="Times New Roman" w:hAnsi="Times New Roman" w:eastAsia="宋体" w:cs="Times New Roman"/>
          <w:color w:val="auto"/>
          <w:sz w:val="24"/>
          <w:szCs w:val="24"/>
          <w:lang w:bidi="ar"/>
        </w:rPr>
        <w:fldChar w:fldCharType="separate"/>
      </w:r>
      <w:r>
        <w:rPr>
          <w:rFonts w:hint="default" w:ascii="Times New Roman" w:hAnsi="Times New Roman" w:eastAsia="宋体" w:cs="Times New Roman"/>
          <w:color w:val="auto"/>
          <w:sz w:val="21"/>
          <w:szCs w:val="22"/>
        </w:rPr>
        <w:t>①</w:t>
      </w:r>
      <w:r>
        <w:rPr>
          <w:rFonts w:hint="default" w:ascii="Times New Roman" w:hAnsi="Times New Roman" w:eastAsia="宋体" w:cs="Times New Roman"/>
          <w:color w:val="auto"/>
          <w:sz w:val="24"/>
          <w:szCs w:val="24"/>
          <w:lang w:bidi="ar"/>
        </w:rPr>
        <w:fldChar w:fldCharType="end"/>
      </w:r>
      <w:r>
        <w:rPr>
          <w:rFonts w:hint="default" w:ascii="Times New Roman" w:hAnsi="Times New Roman" w:eastAsia="宋体" w:cs="Times New Roman"/>
          <w:color w:val="auto"/>
          <w:sz w:val="24"/>
          <w:szCs w:val="24"/>
          <w:lang w:bidi="ar"/>
        </w:rPr>
        <w:t>设计方面</w:t>
      </w:r>
    </w:p>
    <w:p>
      <w:pPr>
        <w:spacing w:line="360" w:lineRule="auto"/>
        <w:ind w:firstLine="480"/>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4"/>
          <w:szCs w:val="24"/>
          <w:lang w:bidi="ar"/>
        </w:rPr>
        <w:t>a. 封闭管线上设置相应泄压设施，防止因太阳曝晒等原因而导致超压；</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b. 设置DCS自动报警和连锁切断设施，并设紧急事故切断阀，保证其手动操作功能。一旦发生超压或泄漏，立即自动检测并送至厂内DCS控制系统，安全控制系统动作；</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c. 按“无泄漏工程”的标准，采用焊接连接并建议易燃、易爆介质、有毒介质、腐蚀性介质管道焊缝以及跨越道路及排洪渠河道的管道焊接焊缝按100%进行射线探伤检验，以保证管道的严密性，严防跑、冒、滴、漏事故；</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d. 输管线沿途应设有明显的警示标志，提醒过往车辆和行人注意安全；</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e. 在管线两侧应设有火灾、事故报警电话，确保发生事故时能立即与相关部门联系；</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f.项目中使用的压力管道等属于特种设备，均须有出厂合格证，使用之前委托有关部门进行检测、试压，取得使用许可证后方可使用；压力管道应由具备相关资质的单位进行施工、检测、试压，且应有完整的施工、检测记录；管道外壁颜色、标志应执行《工业管道的基本识别色、识别符号和安全标识》（GB 7231-2003）的规定；由具备相关资质的监理单位进行监理，并有完整的监理报告。</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g.易燃、可燃物料在管道内输送的过程中，一旦流速控制不良，使流体与管壁的摩擦增大，静电积聚过快，释放不及时，会引发静电火花进而引燃物料，造成火灾、爆炸事故。因此，要根据不同物料的危险性，按规范采用不同的流速进行输送，确保安全性；同时根据相关规范需对管道设置相应的防雷防静电接地设施。</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val="zh-CN" w:bidi="ar"/>
        </w:rPr>
        <w:t>②管理方面</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a.建立</w:t>
      </w:r>
      <w:r>
        <w:rPr>
          <w:rFonts w:hint="default" w:ascii="Times New Roman" w:hAnsi="Times New Roman" w:eastAsia="宋体" w:cs="Times New Roman"/>
          <w:color w:val="auto"/>
          <w:sz w:val="24"/>
          <w:szCs w:val="24"/>
          <w:lang w:val="en-US" w:eastAsia="zh-CN" w:bidi="ar"/>
        </w:rPr>
        <w:t>物料输送</w:t>
      </w:r>
      <w:r>
        <w:rPr>
          <w:rFonts w:hint="default" w:ascii="Times New Roman" w:hAnsi="Times New Roman" w:eastAsia="宋体" w:cs="Times New Roman"/>
          <w:color w:val="auto"/>
          <w:sz w:val="24"/>
          <w:szCs w:val="24"/>
          <w:lang w:bidi="ar"/>
        </w:rPr>
        <w:t>管道的安全技术档案，内容包括管道使用维护说明、安装技术文件和资料、管道输送物料、管道介质条件、管道标识、应急切断阀位置、管道沿线焊缝位置、管道变径及弯头位置、焊缝巡检情况、泄漏应急处置、应急物资存放地等。档案应及时更新，并作为员工上岗培训重点内容。</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b.加强运输管线的检查（防泄漏、防腐蚀、阀门封闭等情况），设有专人对管线进行巡查，查看管线的防泄漏（应特别关注焊缝、管道变径及弯头处）、防腐蚀以及阀门等设备的完好情况，并将巡查结果记录在案备查，一旦发现问题，巡查人员应立即向有关有关部门反映解决。</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c、管道施工后增加警示牌，特别是在跨路段需加密布设，增加的标识可参考下图所示。</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88"/>
        <w:gridCol w:w="3048"/>
        <w:gridCol w:w="3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88" w:type="dxa"/>
            <w:noWrap w:val="0"/>
            <w:vAlign w:val="center"/>
          </w:tcPr>
          <w:p>
            <w:pPr>
              <w:widowControl w:val="0"/>
              <w:suppressAutoHyphens/>
              <w:snapToGrid w:val="0"/>
              <w:jc w:val="center"/>
              <w:rPr>
                <w:rFonts w:hint="default" w:ascii="Times New Roman" w:hAnsi="Times New Roman" w:eastAsia="宋体" w:cs="Times New Roman"/>
                <w:color w:val="auto"/>
                <w:kern w:val="2"/>
                <w:sz w:val="21"/>
                <w:szCs w:val="22"/>
                <w:lang w:val="en-US" w:eastAsia="zh-CN" w:bidi="ar-SA"/>
              </w:rPr>
            </w:pPr>
            <w:r>
              <w:drawing>
                <wp:inline distT="0" distB="0" distL="114300" distR="114300">
                  <wp:extent cx="951865" cy="799465"/>
                  <wp:effectExtent l="0" t="0" r="635" b="635"/>
                  <wp:docPr id="112" name="图片 102" descr="jinggao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02" descr="jinggao_42"/>
                          <pic:cNvPicPr>
                            <a:picLocks noChangeAspect="1"/>
                          </pic:cNvPicPr>
                        </pic:nvPicPr>
                        <pic:blipFill>
                          <a:blip r:embed="rId67"/>
                          <a:stretch>
                            <a:fillRect/>
                          </a:stretch>
                        </pic:blipFill>
                        <pic:spPr>
                          <a:xfrm>
                            <a:off x="0" y="0"/>
                            <a:ext cx="951865" cy="799465"/>
                          </a:xfrm>
                          <a:prstGeom prst="rect">
                            <a:avLst/>
                          </a:prstGeom>
                          <a:noFill/>
                          <a:ln>
                            <a:noFill/>
                          </a:ln>
                        </pic:spPr>
                      </pic:pic>
                    </a:graphicData>
                  </a:graphic>
                </wp:inline>
              </w:drawing>
            </w:r>
          </w:p>
          <w:p>
            <w:pPr>
              <w:widowControl w:val="0"/>
              <w:suppressAutoHyphens/>
              <w:snapToGrid w:val="0"/>
              <w:jc w:val="center"/>
              <w:rPr>
                <w:rFonts w:hint="default" w:ascii="Times New Roman" w:hAnsi="Times New Roman" w:eastAsia="宋体" w:cs="Times New Roman"/>
                <w:color w:val="auto"/>
                <w:kern w:val="2"/>
                <w:sz w:val="21"/>
                <w:szCs w:val="22"/>
                <w:lang w:val="en-US" w:eastAsia="zh-CN" w:bidi="ar-SA"/>
              </w:rPr>
            </w:pPr>
            <w:r>
              <mc:AlternateContent>
                <mc:Choice Requires="wps">
                  <w:drawing>
                    <wp:anchor distT="0" distB="0" distL="114300" distR="114300" simplePos="0" relativeHeight="251740160" behindDoc="0" locked="0" layoutInCell="1" allowOverlap="1">
                      <wp:simplePos x="0" y="0"/>
                      <wp:positionH relativeFrom="column">
                        <wp:posOffset>226695</wp:posOffset>
                      </wp:positionH>
                      <wp:positionV relativeFrom="paragraph">
                        <wp:posOffset>3810</wp:posOffset>
                      </wp:positionV>
                      <wp:extent cx="1480185" cy="490220"/>
                      <wp:effectExtent l="10795" t="11430" r="13970" b="12700"/>
                      <wp:wrapNone/>
                      <wp:docPr id="3404" name="文本框 3404"/>
                      <wp:cNvGraphicFramePr/>
                      <a:graphic xmlns:a="http://schemas.openxmlformats.org/drawingml/2006/main">
                        <a:graphicData uri="http://schemas.microsoft.com/office/word/2010/wordprocessingShape">
                          <wps:wsp>
                            <wps:cNvSpPr txBox="1">
                              <a:spLocks noChangeArrowheads="1"/>
                            </wps:cNvSpPr>
                            <wps:spPr bwMode="auto">
                              <a:xfrm>
                                <a:off x="0" y="0"/>
                                <a:ext cx="1480185" cy="490220"/>
                              </a:xfrm>
                              <a:prstGeom prst="rect">
                                <a:avLst/>
                              </a:prstGeom>
                              <a:noFill/>
                              <a:ln w="22225">
                                <a:solidFill>
                                  <a:srgbClr val="000000"/>
                                </a:solidFill>
                                <a:miter lim="800000"/>
                              </a:ln>
                              <a:effectLst/>
                            </wps:spPr>
                            <wps:txbx>
                              <w:txbxContent>
                                <w:p>
                                  <w:pPr>
                                    <w:spacing w:line="240" w:lineRule="auto"/>
                                    <w:ind w:firstLine="0"/>
                                    <w:rPr>
                                      <w:rFonts w:ascii="Calibri" w:hAnsi="Calibri" w:eastAsia="宋体" w:cs="Times New Roman"/>
                                      <w:sz w:val="21"/>
                                    </w:rPr>
                                  </w:pPr>
                                  <w:r>
                                    <w:rPr>
                                      <w:rFonts w:hint="eastAsia" w:ascii="Calibri" w:hAnsi="Calibri" w:eastAsia="宋体" w:cs="Times New Roman"/>
                                      <w:sz w:val="21"/>
                                    </w:rPr>
                                    <w:t>XX</w:t>
                                  </w:r>
                                  <w:r>
                                    <w:rPr>
                                      <w:rFonts w:hint="eastAsia" w:ascii="Calibri" w:hAnsi="Calibri" w:eastAsia="宋体" w:cs="Times New Roman"/>
                                      <w:sz w:val="21"/>
                                      <w:lang w:val="en-US" w:eastAsia="zh-CN"/>
                                    </w:rPr>
                                    <w:t>物料</w:t>
                                  </w:r>
                                  <w:r>
                                    <w:rPr>
                                      <w:rFonts w:hint="eastAsia" w:ascii="Calibri" w:hAnsi="Calibri" w:eastAsia="宋体" w:cs="Times New Roman"/>
                                      <w:sz w:val="21"/>
                                    </w:rPr>
                                    <w:t>管线</w:t>
                                  </w:r>
                                </w:p>
                                <w:p>
                                  <w:pPr>
                                    <w:spacing w:line="240" w:lineRule="auto"/>
                                    <w:ind w:firstLine="0"/>
                                    <w:rPr>
                                      <w:rFonts w:ascii="Calibri" w:hAnsi="Calibri" w:eastAsia="宋体" w:cs="Times New Roman"/>
                                      <w:sz w:val="21"/>
                                    </w:rPr>
                                  </w:pPr>
                                  <w:r>
                                    <w:rPr>
                                      <w:rFonts w:hint="eastAsia" w:ascii="Calibri" w:hAnsi="Calibri" w:eastAsia="宋体" w:cs="Times New Roman"/>
                                      <w:sz w:val="21"/>
                                    </w:rPr>
                                    <w:t>联系电话：XXXXX</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7.85pt;margin-top:0.3pt;height:38.6pt;width:116.55pt;z-index:251740160;mso-width-relative:page;mso-height-relative:page;" filled="f" stroked="t" coordsize="21600,21600" o:gfxdata="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AlNXQnVAAAABgEAAA8AAAAAAAAAAQAgAAAA&#10;IgAAAGRycy9kb3ducmV2LnhtbFBLAQIUABQAAAAIAIdO4kBqGMLPRwIAAHMEAAAOAAAAAAAAAAEA&#10;IAAAACQBAABkcnMvZTJvRG9jLnhtbFBLBQYAAAAABgAGAFkBAADdBQAAAAA=&#10;">
                      <v:fill on="f" focussize="0,0"/>
                      <v:stroke weight="1.75pt" color="#000000" miterlimit="8" joinstyle="miter"/>
                      <v:imagedata o:title=""/>
                      <o:lock v:ext="edit" aspectratio="f"/>
                      <v:textbox>
                        <w:txbxContent>
                          <w:p>
                            <w:pPr>
                              <w:spacing w:line="240" w:lineRule="auto"/>
                              <w:ind w:firstLine="0"/>
                              <w:rPr>
                                <w:rFonts w:ascii="Calibri" w:hAnsi="Calibri" w:eastAsia="宋体" w:cs="Times New Roman"/>
                                <w:sz w:val="21"/>
                              </w:rPr>
                            </w:pPr>
                            <w:r>
                              <w:rPr>
                                <w:rFonts w:hint="eastAsia" w:ascii="Calibri" w:hAnsi="Calibri" w:eastAsia="宋体" w:cs="Times New Roman"/>
                                <w:sz w:val="21"/>
                              </w:rPr>
                              <w:t>XX</w:t>
                            </w:r>
                            <w:r>
                              <w:rPr>
                                <w:rFonts w:hint="eastAsia" w:ascii="Calibri" w:hAnsi="Calibri" w:eastAsia="宋体" w:cs="Times New Roman"/>
                                <w:sz w:val="21"/>
                                <w:lang w:val="en-US" w:eastAsia="zh-CN"/>
                              </w:rPr>
                              <w:t>物料</w:t>
                            </w:r>
                            <w:r>
                              <w:rPr>
                                <w:rFonts w:hint="eastAsia" w:ascii="Calibri" w:hAnsi="Calibri" w:eastAsia="宋体" w:cs="Times New Roman"/>
                                <w:sz w:val="21"/>
                              </w:rPr>
                              <w:t>管线</w:t>
                            </w:r>
                          </w:p>
                          <w:p>
                            <w:pPr>
                              <w:spacing w:line="240" w:lineRule="auto"/>
                              <w:ind w:firstLine="0"/>
                              <w:rPr>
                                <w:rFonts w:ascii="Calibri" w:hAnsi="Calibri" w:eastAsia="宋体" w:cs="Times New Roman"/>
                                <w:sz w:val="21"/>
                              </w:rPr>
                            </w:pPr>
                            <w:r>
                              <w:rPr>
                                <w:rFonts w:hint="eastAsia" w:ascii="Calibri" w:hAnsi="Calibri" w:eastAsia="宋体" w:cs="Times New Roman"/>
                                <w:sz w:val="21"/>
                              </w:rPr>
                              <w:t>联系电话：XXXXX</w:t>
                            </w:r>
                          </w:p>
                        </w:txbxContent>
                      </v:textbox>
                    </v:shape>
                  </w:pict>
                </mc:Fallback>
              </mc:AlternateContent>
            </w:r>
          </w:p>
          <w:p>
            <w:pPr>
              <w:widowControl w:val="0"/>
              <w:suppressAutoHyphens/>
              <w:snapToGrid w:val="0"/>
              <w:jc w:val="center"/>
              <w:rPr>
                <w:rFonts w:hint="default" w:ascii="Times New Roman" w:hAnsi="Times New Roman" w:eastAsia="宋体" w:cs="Times New Roman"/>
                <w:color w:val="auto"/>
                <w:kern w:val="2"/>
                <w:sz w:val="21"/>
                <w:szCs w:val="22"/>
                <w:lang w:val="en-US" w:eastAsia="zh-CN" w:bidi="ar-SA"/>
              </w:rPr>
            </w:pPr>
          </w:p>
          <w:p>
            <w:pPr>
              <w:widowControl w:val="0"/>
              <w:suppressAutoHyphens/>
              <w:snapToGrid w:val="0"/>
              <w:jc w:val="center"/>
              <w:rPr>
                <w:rFonts w:hint="default" w:ascii="Times New Roman" w:hAnsi="Times New Roman" w:eastAsia="宋体" w:cs="Times New Roman"/>
                <w:color w:val="auto"/>
                <w:kern w:val="2"/>
                <w:sz w:val="21"/>
                <w:szCs w:val="22"/>
                <w:lang w:val="en-US" w:eastAsia="zh-CN" w:bidi="ar-SA"/>
              </w:rPr>
            </w:pPr>
          </w:p>
        </w:tc>
        <w:tc>
          <w:tcPr>
            <w:tcW w:w="3048" w:type="dxa"/>
            <w:noWrap w:val="0"/>
            <w:vAlign w:val="center"/>
          </w:tcPr>
          <w:p>
            <w:pPr>
              <w:widowControl w:val="0"/>
              <w:suppressAutoHyphens/>
              <w:snapToGrid w:val="0"/>
              <w:jc w:val="center"/>
              <w:rPr>
                <w:rFonts w:hint="default" w:ascii="Times New Roman" w:hAnsi="Times New Roman" w:eastAsia="宋体" w:cs="Times New Roman"/>
                <w:color w:val="auto"/>
                <w:kern w:val="2"/>
                <w:sz w:val="21"/>
                <w:szCs w:val="22"/>
                <w:lang w:val="en-US" w:eastAsia="zh-CN" w:bidi="ar-SA"/>
              </w:rPr>
            </w:pPr>
            <w:r>
              <w:drawing>
                <wp:inline distT="0" distB="0" distL="114300" distR="114300">
                  <wp:extent cx="951865" cy="799465"/>
                  <wp:effectExtent l="0" t="0" r="635" b="635"/>
                  <wp:docPr id="113" name="图片 103" descr="jinggao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03" descr="jinggao_04"/>
                          <pic:cNvPicPr>
                            <a:picLocks noChangeAspect="1"/>
                          </pic:cNvPicPr>
                        </pic:nvPicPr>
                        <pic:blipFill>
                          <a:blip r:embed="rId68"/>
                          <a:stretch>
                            <a:fillRect/>
                          </a:stretch>
                        </pic:blipFill>
                        <pic:spPr>
                          <a:xfrm>
                            <a:off x="0" y="0"/>
                            <a:ext cx="951865" cy="799465"/>
                          </a:xfrm>
                          <a:prstGeom prst="rect">
                            <a:avLst/>
                          </a:prstGeom>
                          <a:noFill/>
                          <a:ln>
                            <a:noFill/>
                          </a:ln>
                        </pic:spPr>
                      </pic:pic>
                    </a:graphicData>
                  </a:graphic>
                </wp:inline>
              </w:drawing>
            </w:r>
          </w:p>
          <w:p>
            <w:pPr>
              <w:widowControl w:val="0"/>
              <w:suppressAutoHyphens/>
              <w:snapToGrid w:val="0"/>
              <w:jc w:val="center"/>
              <w:rPr>
                <w:rFonts w:hint="default" w:ascii="Times New Roman" w:hAnsi="Times New Roman" w:eastAsia="宋体" w:cs="Times New Roman"/>
                <w:color w:val="auto"/>
                <w:kern w:val="2"/>
                <w:sz w:val="21"/>
                <w:szCs w:val="22"/>
                <w:lang w:val="en-US" w:eastAsia="zh-CN" w:bidi="ar-SA"/>
              </w:rPr>
            </w:pPr>
            <w:r>
              <mc:AlternateContent>
                <mc:Choice Requires="wps">
                  <w:drawing>
                    <wp:anchor distT="0" distB="0" distL="114300" distR="114300" simplePos="0" relativeHeight="251741184" behindDoc="0" locked="0" layoutInCell="1" allowOverlap="1">
                      <wp:simplePos x="0" y="0"/>
                      <wp:positionH relativeFrom="column">
                        <wp:posOffset>282575</wp:posOffset>
                      </wp:positionH>
                      <wp:positionV relativeFrom="paragraph">
                        <wp:posOffset>5715</wp:posOffset>
                      </wp:positionV>
                      <wp:extent cx="1395095" cy="486410"/>
                      <wp:effectExtent l="10795" t="11430" r="22860" b="16510"/>
                      <wp:wrapNone/>
                      <wp:docPr id="3403" name="文本框 3403"/>
                      <wp:cNvGraphicFramePr/>
                      <a:graphic xmlns:a="http://schemas.openxmlformats.org/drawingml/2006/main">
                        <a:graphicData uri="http://schemas.microsoft.com/office/word/2010/wordprocessingShape">
                          <wps:wsp>
                            <wps:cNvSpPr txBox="1">
                              <a:spLocks noChangeArrowheads="1"/>
                            </wps:cNvSpPr>
                            <wps:spPr bwMode="auto">
                              <a:xfrm>
                                <a:off x="0" y="0"/>
                                <a:ext cx="1395095" cy="486410"/>
                              </a:xfrm>
                              <a:prstGeom prst="rect">
                                <a:avLst/>
                              </a:prstGeom>
                              <a:solidFill>
                                <a:srgbClr val="FFFFFF"/>
                              </a:solidFill>
                              <a:ln w="22225">
                                <a:solidFill>
                                  <a:srgbClr val="000000"/>
                                </a:solidFill>
                                <a:miter lim="800000"/>
                              </a:ln>
                              <a:effectLst/>
                            </wps:spPr>
                            <wps:txbx>
                              <w:txbxContent>
                                <w:p>
                                  <w:pPr>
                                    <w:spacing w:line="240" w:lineRule="auto"/>
                                    <w:ind w:firstLine="0"/>
                                    <w:rPr>
                                      <w:rFonts w:ascii="Calibri" w:hAnsi="Calibri" w:eastAsia="宋体" w:cs="Times New Roman"/>
                                      <w:sz w:val="21"/>
                                    </w:rPr>
                                  </w:pPr>
                                  <w:r>
                                    <w:rPr>
                                      <w:rFonts w:hint="eastAsia" w:ascii="Calibri" w:hAnsi="Calibri" w:eastAsia="宋体" w:cs="Times New Roman"/>
                                      <w:sz w:val="21"/>
                                    </w:rPr>
                                    <w:t>XX管线转弯处</w:t>
                                  </w:r>
                                </w:p>
                                <w:p>
                                  <w:pPr>
                                    <w:spacing w:line="240" w:lineRule="auto"/>
                                    <w:ind w:firstLine="0"/>
                                    <w:rPr>
                                      <w:rFonts w:ascii="Calibri" w:hAnsi="Calibri" w:eastAsia="宋体" w:cs="Times New Roman"/>
                                      <w:sz w:val="21"/>
                                    </w:rPr>
                                  </w:pPr>
                                  <w:r>
                                    <w:rPr>
                                      <w:rFonts w:hint="eastAsia" w:ascii="Calibri" w:hAnsi="Calibri" w:eastAsia="宋体" w:cs="Times New Roman"/>
                                      <w:sz w:val="21"/>
                                    </w:rPr>
                                    <w:t>联系电话：XXXXX</w:t>
                                  </w:r>
                                </w:p>
                                <w:p>
                                  <w:pPr>
                                    <w:spacing w:line="240" w:lineRule="auto"/>
                                    <w:ind w:firstLine="0"/>
                                    <w:rPr>
                                      <w:rFonts w:ascii="Calibri" w:hAnsi="Calibri" w:eastAsia="宋体" w:cs="Times New Roman"/>
                                      <w:sz w:val="21"/>
                                    </w:rPr>
                                  </w:pPr>
                                </w:p>
                              </w:txbxContent>
                            </wps:txbx>
                            <wps:bodyPr rot="0" vert="horz" wrap="square" lIns="36000" tIns="45720" rIns="36000" bIns="45720" anchor="t" anchorCtr="0" upright="1">
                              <a:noAutofit/>
                            </wps:bodyPr>
                          </wps:wsp>
                        </a:graphicData>
                      </a:graphic>
                    </wp:anchor>
                  </w:drawing>
                </mc:Choice>
                <mc:Fallback>
                  <w:pict>
                    <v:shape id="_x0000_s1026" o:spid="_x0000_s1026" o:spt="202" type="#_x0000_t202" style="position:absolute;left:0pt;margin-left:22.25pt;margin-top:0.45pt;height:38.3pt;width:109.85pt;z-index:251741184;mso-width-relative:page;mso-height-relative:page;" fillcolor="#FFFFFF" filled="t" stroked="t" coordsize="21600,21600" o:gfxdata="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R9XvVAAAABgEAAA8AAAAAAAAAAQAg&#10;AAAAIgAAAGRycy9kb3ducmV2LnhtbFBLAQIUABQAAAAIAIdO4kBvACJUSgIAAJwEAAAOAAAAAAAA&#10;AAEAIAAAACQBAABkcnMvZTJvRG9jLnhtbFBLBQYAAAAABgAGAFkBAADgBQAAAAA=&#10;">
                      <v:fill on="t" focussize="0,0"/>
                      <v:stroke weight="1.75pt" color="#000000" miterlimit="8" joinstyle="miter"/>
                      <v:imagedata o:title=""/>
                      <o:lock v:ext="edit" aspectratio="f"/>
                      <v:textbox inset="1mm,1.27mm,1mm,1.27mm">
                        <w:txbxContent>
                          <w:p>
                            <w:pPr>
                              <w:spacing w:line="240" w:lineRule="auto"/>
                              <w:ind w:firstLine="0"/>
                              <w:rPr>
                                <w:rFonts w:ascii="Calibri" w:hAnsi="Calibri" w:eastAsia="宋体" w:cs="Times New Roman"/>
                                <w:sz w:val="21"/>
                              </w:rPr>
                            </w:pPr>
                            <w:r>
                              <w:rPr>
                                <w:rFonts w:hint="eastAsia" w:ascii="Calibri" w:hAnsi="Calibri" w:eastAsia="宋体" w:cs="Times New Roman"/>
                                <w:sz w:val="21"/>
                              </w:rPr>
                              <w:t>XX管线转弯处</w:t>
                            </w:r>
                          </w:p>
                          <w:p>
                            <w:pPr>
                              <w:spacing w:line="240" w:lineRule="auto"/>
                              <w:ind w:firstLine="0"/>
                              <w:rPr>
                                <w:rFonts w:ascii="Calibri" w:hAnsi="Calibri" w:eastAsia="宋体" w:cs="Times New Roman"/>
                                <w:sz w:val="21"/>
                              </w:rPr>
                            </w:pPr>
                            <w:r>
                              <w:rPr>
                                <w:rFonts w:hint="eastAsia" w:ascii="Calibri" w:hAnsi="Calibri" w:eastAsia="宋体" w:cs="Times New Roman"/>
                                <w:sz w:val="21"/>
                              </w:rPr>
                              <w:t>联系电话：XXXXX</w:t>
                            </w:r>
                          </w:p>
                          <w:p>
                            <w:pPr>
                              <w:spacing w:line="240" w:lineRule="auto"/>
                              <w:ind w:firstLine="0"/>
                              <w:rPr>
                                <w:rFonts w:ascii="Calibri" w:hAnsi="Calibri" w:eastAsia="宋体" w:cs="Times New Roman"/>
                                <w:sz w:val="21"/>
                              </w:rPr>
                            </w:pPr>
                          </w:p>
                        </w:txbxContent>
                      </v:textbox>
                    </v:shape>
                  </w:pict>
                </mc:Fallback>
              </mc:AlternateContent>
            </w:r>
          </w:p>
        </w:tc>
        <w:tc>
          <w:tcPr>
            <w:tcW w:w="3050" w:type="dxa"/>
            <w:noWrap w:val="0"/>
            <w:vAlign w:val="center"/>
          </w:tcPr>
          <w:p>
            <w:pPr>
              <w:widowControl w:val="0"/>
              <w:suppressAutoHyphens/>
              <w:snapToGrid w:val="0"/>
              <w:jc w:val="center"/>
              <w:rPr>
                <w:rFonts w:hint="default" w:ascii="Times New Roman" w:hAnsi="Times New Roman" w:eastAsia="宋体" w:cs="Times New Roman"/>
                <w:color w:val="auto"/>
                <w:kern w:val="2"/>
                <w:sz w:val="21"/>
                <w:szCs w:val="22"/>
                <w:lang w:val="en-US" w:eastAsia="zh-CN" w:bidi="ar-SA"/>
              </w:rPr>
            </w:pPr>
            <w:r>
              <w:drawing>
                <wp:inline distT="0" distB="0" distL="114300" distR="114300">
                  <wp:extent cx="1019175" cy="1315085"/>
                  <wp:effectExtent l="0" t="0" r="9525" b="18415"/>
                  <wp:docPr id="114" name="图片 104" descr="20080411172538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04" descr="20080411172538181"/>
                          <pic:cNvPicPr>
                            <a:picLocks noChangeAspect="1"/>
                          </pic:cNvPicPr>
                        </pic:nvPicPr>
                        <pic:blipFill>
                          <a:blip r:embed="rId69"/>
                          <a:stretch>
                            <a:fillRect/>
                          </a:stretch>
                        </pic:blipFill>
                        <pic:spPr>
                          <a:xfrm>
                            <a:off x="0" y="0"/>
                            <a:ext cx="1019175" cy="13150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3188" w:type="dxa"/>
            <w:noWrap w:val="0"/>
            <w:vAlign w:val="center"/>
          </w:tcPr>
          <w:p>
            <w:pPr>
              <w:widowControl w:val="0"/>
              <w:suppressAutoHyphens/>
              <w:snapToGrid w:val="0"/>
              <w:jc w:val="center"/>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一般标识</w:t>
            </w:r>
          </w:p>
        </w:tc>
        <w:tc>
          <w:tcPr>
            <w:tcW w:w="3048" w:type="dxa"/>
            <w:noWrap w:val="0"/>
            <w:vAlign w:val="center"/>
          </w:tcPr>
          <w:p>
            <w:pPr>
              <w:widowControl w:val="0"/>
              <w:suppressAutoHyphens/>
              <w:snapToGrid w:val="0"/>
              <w:jc w:val="center"/>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转弯标识</w:t>
            </w:r>
          </w:p>
        </w:tc>
        <w:tc>
          <w:tcPr>
            <w:tcW w:w="3050" w:type="dxa"/>
            <w:noWrap w:val="0"/>
            <w:vAlign w:val="center"/>
          </w:tcPr>
          <w:p>
            <w:pPr>
              <w:widowControl w:val="0"/>
              <w:suppressAutoHyphens/>
              <w:snapToGrid w:val="0"/>
              <w:jc w:val="center"/>
              <w:rPr>
                <w:rFonts w:hint="default" w:ascii="Times New Roman" w:hAnsi="Times New Roman" w:eastAsia="宋体" w:cs="Times New Roman"/>
                <w:color w:val="auto"/>
                <w:kern w:val="2"/>
                <w:sz w:val="21"/>
                <w:szCs w:val="22"/>
                <w:lang w:val="en-US" w:eastAsia="zh-CN" w:bidi="ar-SA"/>
              </w:rPr>
            </w:pPr>
            <w:r>
              <w:rPr>
                <w:rFonts w:hint="default" w:ascii="Times New Roman" w:hAnsi="Times New Roman" w:eastAsia="宋体" w:cs="Times New Roman"/>
                <w:color w:val="auto"/>
                <w:kern w:val="2"/>
                <w:sz w:val="21"/>
                <w:szCs w:val="22"/>
                <w:lang w:val="en-US" w:eastAsia="zh-CN" w:bidi="ar-SA"/>
              </w:rPr>
              <w:t>禁烟火标识</w:t>
            </w:r>
          </w:p>
        </w:tc>
      </w:tr>
    </w:tbl>
    <w:p>
      <w:pPr>
        <w:keepNext w:val="0"/>
        <w:keepLines w:val="0"/>
        <w:pageBreakBefore w:val="0"/>
        <w:widowControl w:val="0"/>
        <w:kinsoku/>
        <w:wordWrap/>
        <w:overflowPunct/>
        <w:topLinePunct w:val="0"/>
        <w:autoSpaceDE/>
        <w:autoSpaceDN/>
        <w:bidi w:val="0"/>
        <w:adjustRightInd/>
        <w:snapToGrid/>
        <w:spacing w:line="360" w:lineRule="auto"/>
        <w:ind w:firstLine="480"/>
        <w:jc w:val="both"/>
        <w:textAlignment w:val="auto"/>
        <w:outlineLvl w:val="9"/>
        <w:rPr>
          <w:rFonts w:hint="default" w:ascii="Times New Roman" w:hAnsi="Times New Roman" w:eastAsia="宋体" w:cs="Times New Roman"/>
          <w:color w:val="auto"/>
          <w:kern w:val="2"/>
          <w:sz w:val="24"/>
          <w:szCs w:val="24"/>
          <w:lang w:val="en-US" w:eastAsia="zh-CN" w:bidi="ar"/>
        </w:rPr>
      </w:pPr>
      <w:r>
        <w:rPr>
          <w:rFonts w:hint="default" w:ascii="Times New Roman" w:hAnsi="Times New Roman" w:eastAsia="宋体" w:cs="Times New Roman"/>
          <w:color w:val="auto"/>
          <w:kern w:val="2"/>
          <w:sz w:val="24"/>
          <w:szCs w:val="24"/>
          <w:lang w:val="en-US" w:eastAsia="zh-CN" w:bidi="ar"/>
        </w:rPr>
        <w:t>（4）废气治理设施风险防控措施</w:t>
      </w:r>
    </w:p>
    <w:p>
      <w:pPr>
        <w:keepNext w:val="0"/>
        <w:keepLines w:val="0"/>
        <w:pageBreakBefore w:val="0"/>
        <w:widowControl w:val="0"/>
        <w:kinsoku/>
        <w:wordWrap/>
        <w:overflowPunct/>
        <w:topLinePunct w:val="0"/>
        <w:autoSpaceDE/>
        <w:autoSpaceDN/>
        <w:bidi w:val="0"/>
        <w:adjustRightInd/>
        <w:snapToGrid/>
        <w:spacing w:line="360" w:lineRule="auto"/>
        <w:ind w:firstLine="480"/>
        <w:jc w:val="both"/>
        <w:textAlignment w:val="auto"/>
        <w:outlineLvl w:val="9"/>
        <w:rPr>
          <w:rFonts w:hint="default" w:ascii="Times New Roman" w:hAnsi="Times New Roman" w:eastAsia="宋体" w:cs="Times New Roman"/>
          <w:color w:val="auto"/>
          <w:kern w:val="2"/>
          <w:sz w:val="24"/>
          <w:szCs w:val="24"/>
          <w:lang w:val="en-US" w:eastAsia="zh-CN" w:bidi="ar"/>
        </w:rPr>
      </w:pPr>
      <w:r>
        <w:rPr>
          <w:rFonts w:hint="default" w:ascii="Times New Roman" w:hAnsi="Times New Roman" w:eastAsia="宋体" w:cs="Times New Roman"/>
          <w:color w:val="auto"/>
          <w:kern w:val="2"/>
          <w:sz w:val="24"/>
          <w:szCs w:val="24"/>
          <w:lang w:val="en-US" w:eastAsia="zh-CN" w:bidi="ar"/>
        </w:rPr>
        <w:t>设置专人负责废气处理设施运行效果监督，避免废气处理设施故障、操作不当等引起废气超标排放。</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（5）化学品泄漏应急处置、储运注意事项</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项目主要危险化学品泄漏的应急处理处置、储运注意事项</w:t>
      </w:r>
      <w:r>
        <w:rPr>
          <w:rFonts w:hint="default" w:ascii="Times New Roman" w:hAnsi="Times New Roman" w:eastAsia="宋体" w:cs="Times New Roman"/>
          <w:color w:val="auto"/>
          <w:sz w:val="24"/>
          <w:szCs w:val="24"/>
          <w:highlight w:val="none"/>
          <w:lang w:bidi="ar"/>
        </w:rPr>
        <w:t>见</w:t>
      </w:r>
      <w:r>
        <w:rPr>
          <w:rFonts w:hint="default" w:ascii="Times New Roman" w:hAnsi="Times New Roman" w:eastAsia="宋体" w:cs="Times New Roman"/>
          <w:color w:val="auto"/>
          <w:sz w:val="24"/>
          <w:szCs w:val="24"/>
          <w:highlight w:val="none"/>
          <w:lang w:val="en-US" w:eastAsia="zh-CN" w:bidi="ar"/>
        </w:rPr>
        <w:t>附表1-附表8</w:t>
      </w:r>
      <w:r>
        <w:rPr>
          <w:rFonts w:hint="default" w:ascii="Times New Roman" w:hAnsi="Times New Roman" w:eastAsia="宋体" w:cs="Times New Roman"/>
          <w:color w:val="auto"/>
          <w:sz w:val="24"/>
          <w:szCs w:val="24"/>
          <w:highlight w:val="none"/>
          <w:lang w:bidi="ar"/>
        </w:rPr>
        <w:t>。</w:t>
      </w:r>
    </w:p>
    <w:p>
      <w:pPr>
        <w:widowControl w:val="0"/>
        <w:adjustRightInd w:val="0"/>
        <w:snapToGrid w:val="0"/>
        <w:spacing w:line="360" w:lineRule="auto"/>
        <w:ind w:left="0" w:firstLine="0"/>
        <w:jc w:val="both"/>
        <w:textAlignment w:val="baseline"/>
        <w:outlineLvl w:val="3"/>
        <w:rPr>
          <w:rFonts w:hint="default" w:ascii="Times New Roman" w:hAnsi="Times New Roman" w:eastAsia="黑体" w:cs="Times New Roman"/>
          <w:b w:val="0"/>
          <w:color w:val="auto"/>
          <w:kern w:val="0"/>
          <w:sz w:val="28"/>
          <w:szCs w:val="22"/>
          <w:lang w:val="en-US" w:eastAsia="zh-CN" w:bidi="ar-SA"/>
        </w:rPr>
      </w:pPr>
      <w:bookmarkStart w:id="334" w:name="_Hlk30085707"/>
      <w:r>
        <w:rPr>
          <w:rFonts w:hint="default" w:ascii="Times New Roman" w:hAnsi="Times New Roman" w:eastAsia="黑体" w:cs="Times New Roman"/>
          <w:b w:val="0"/>
          <w:color w:val="auto"/>
          <w:kern w:val="0"/>
          <w:sz w:val="28"/>
          <w:szCs w:val="22"/>
          <w:lang w:val="en-US" w:eastAsia="zh-CN" w:bidi="ar-SA"/>
        </w:rPr>
        <w:t>6.5.2.2事故废水环境风险防范措施</w:t>
      </w:r>
    </w:p>
    <w:bookmarkEnd w:id="334"/>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为了阻断事故泄漏液和消防水进入环境，立足工程配套设施，采取“收→调→输→储→处理”事故泄漏和事故消防水，设置“三级防控措施”防范事故泄漏液和消防污水进入外环境和地表水环境。</w:t>
      </w:r>
    </w:p>
    <w:p>
      <w:pPr>
        <w:keepNext w:val="0"/>
        <w:keepLines w:val="0"/>
        <w:pageBreakBefore w:val="0"/>
        <w:widowControl w:val="0"/>
        <w:kinsoku/>
        <w:wordWrap/>
        <w:overflowPunct/>
        <w:topLinePunct w:val="0"/>
        <w:autoSpaceDE/>
        <w:autoSpaceDN/>
        <w:bidi w:val="0"/>
        <w:adjustRightInd w:val="0"/>
        <w:snapToGrid w:val="0"/>
        <w:spacing w:line="360" w:lineRule="auto"/>
        <w:ind w:firstLine="482"/>
        <w:jc w:val="both"/>
        <w:textAlignment w:val="baseline"/>
        <w:outlineLvl w:val="9"/>
        <w:rPr>
          <w:rFonts w:hint="default" w:ascii="Times New Roman" w:hAnsi="Times New Roman" w:eastAsia="宋体" w:cs="Times New Roman"/>
          <w:b/>
          <w:bCs/>
          <w:snapToGrid w:val="0"/>
          <w:color w:val="auto"/>
          <w:kern w:val="0"/>
          <w:sz w:val="24"/>
          <w:szCs w:val="21"/>
          <w:lang w:val="en-US" w:eastAsia="zh-CN" w:bidi="ar-SA"/>
        </w:rPr>
      </w:pPr>
      <w:r>
        <w:rPr>
          <w:rFonts w:hint="default" w:ascii="Times New Roman" w:hAnsi="Times New Roman" w:eastAsia="宋体" w:cs="Times New Roman"/>
          <w:b/>
          <w:bCs/>
          <w:snapToGrid w:val="0"/>
          <w:color w:val="auto"/>
          <w:kern w:val="0"/>
          <w:sz w:val="24"/>
          <w:szCs w:val="21"/>
          <w:lang w:val="en-US" w:eastAsia="zh-CN" w:bidi="ar-SA"/>
        </w:rPr>
        <w:t>（1）事故应急池设置</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根椐</w:t>
      </w:r>
      <w:r>
        <w:rPr>
          <w:rFonts w:hint="default" w:ascii="Times New Roman" w:hAnsi="Times New Roman" w:eastAsia="宋体" w:cs="Times New Roman"/>
          <w:snapToGrid w:val="0"/>
          <w:color w:val="auto"/>
          <w:kern w:val="0"/>
          <w:sz w:val="24"/>
          <w:szCs w:val="24"/>
          <w:lang w:val="zh-CN" w:eastAsia="zh-CN" w:bidi="ar"/>
        </w:rPr>
        <w:t>《事故状态下水体污染的预防与控制技术要求》（QSY</w:t>
      </w:r>
      <w:r>
        <w:rPr>
          <w:rFonts w:hint="default" w:ascii="Times New Roman" w:hAnsi="Times New Roman" w:eastAsia="宋体" w:cs="Times New Roman"/>
          <w:snapToGrid w:val="0"/>
          <w:color w:val="auto"/>
          <w:kern w:val="0"/>
          <w:sz w:val="24"/>
          <w:szCs w:val="24"/>
          <w:lang w:val="en-US" w:eastAsia="zh-CN" w:bidi="ar"/>
        </w:rPr>
        <w:t>08190</w:t>
      </w:r>
      <w:r>
        <w:rPr>
          <w:rFonts w:hint="default" w:ascii="Times New Roman" w:hAnsi="Times New Roman" w:eastAsia="宋体" w:cs="Times New Roman"/>
          <w:snapToGrid w:val="0"/>
          <w:color w:val="auto"/>
          <w:kern w:val="0"/>
          <w:sz w:val="24"/>
          <w:szCs w:val="24"/>
          <w:lang w:val="zh-CN" w:eastAsia="zh-CN" w:bidi="ar"/>
        </w:rPr>
        <w:t>-20</w:t>
      </w:r>
      <w:r>
        <w:rPr>
          <w:rFonts w:hint="default" w:ascii="Times New Roman" w:hAnsi="Times New Roman" w:eastAsia="宋体" w:cs="Times New Roman"/>
          <w:snapToGrid w:val="0"/>
          <w:color w:val="auto"/>
          <w:kern w:val="0"/>
          <w:sz w:val="24"/>
          <w:szCs w:val="24"/>
          <w:lang w:val="en-US" w:eastAsia="zh-CN" w:bidi="ar"/>
        </w:rPr>
        <w:t>19</w:t>
      </w:r>
      <w:r>
        <w:rPr>
          <w:rFonts w:hint="default" w:ascii="Times New Roman" w:hAnsi="Times New Roman" w:eastAsia="宋体" w:cs="Times New Roman"/>
          <w:snapToGrid w:val="0"/>
          <w:color w:val="auto"/>
          <w:kern w:val="0"/>
          <w:sz w:val="24"/>
          <w:szCs w:val="24"/>
          <w:lang w:val="zh-CN" w:eastAsia="zh-CN" w:bidi="ar"/>
        </w:rPr>
        <w:t>）</w:t>
      </w:r>
      <w:r>
        <w:rPr>
          <w:rFonts w:hint="default" w:ascii="Times New Roman" w:hAnsi="Times New Roman" w:eastAsia="宋体" w:cs="Times New Roman"/>
          <w:snapToGrid w:val="0"/>
          <w:color w:val="auto"/>
          <w:kern w:val="0"/>
          <w:sz w:val="24"/>
          <w:szCs w:val="21"/>
          <w:lang w:val="en-US" w:eastAsia="zh-CN" w:bidi="ar-SA"/>
        </w:rPr>
        <w:t>的有关要求，事故储存设施总有效容积计算公式如下：</w:t>
      </w:r>
    </w:p>
    <w:p>
      <w:pPr>
        <w:widowControl w:val="0"/>
        <w:spacing w:line="360" w:lineRule="auto"/>
        <w:ind w:firstLine="480"/>
        <w:jc w:val="center"/>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V</w:t>
      </w:r>
      <w:r>
        <w:rPr>
          <w:rFonts w:hint="default" w:ascii="Times New Roman" w:hAnsi="Times New Roman" w:eastAsia="宋体" w:cs="Times New Roman"/>
          <w:snapToGrid w:val="0"/>
          <w:color w:val="auto"/>
          <w:kern w:val="0"/>
          <w:sz w:val="24"/>
          <w:szCs w:val="21"/>
          <w:vertAlign w:val="subscript"/>
          <w:lang w:val="en-US" w:eastAsia="zh-CN" w:bidi="ar-SA"/>
        </w:rPr>
        <w:t>总</w:t>
      </w:r>
      <w:r>
        <w:rPr>
          <w:rFonts w:hint="default" w:ascii="Times New Roman" w:hAnsi="Times New Roman" w:eastAsia="宋体" w:cs="Times New Roman"/>
          <w:snapToGrid w:val="0"/>
          <w:color w:val="auto"/>
          <w:kern w:val="0"/>
          <w:sz w:val="24"/>
          <w:szCs w:val="21"/>
          <w:lang w:val="en-US" w:eastAsia="zh-CN" w:bidi="ar-SA"/>
        </w:rPr>
        <w:t>= （V</w:t>
      </w:r>
      <w:r>
        <w:rPr>
          <w:rFonts w:hint="default" w:ascii="Times New Roman" w:hAnsi="Times New Roman" w:eastAsia="宋体" w:cs="Times New Roman"/>
          <w:snapToGrid w:val="0"/>
          <w:color w:val="auto"/>
          <w:kern w:val="0"/>
          <w:sz w:val="24"/>
          <w:szCs w:val="21"/>
          <w:vertAlign w:val="subscript"/>
          <w:lang w:val="en-US" w:eastAsia="zh-CN" w:bidi="ar-SA"/>
        </w:rPr>
        <w:t>1</w:t>
      </w:r>
      <w:r>
        <w:rPr>
          <w:rFonts w:hint="default" w:ascii="Times New Roman" w:hAnsi="Times New Roman" w:eastAsia="宋体" w:cs="Times New Roman"/>
          <w:snapToGrid w:val="0"/>
          <w:color w:val="auto"/>
          <w:kern w:val="0"/>
          <w:sz w:val="24"/>
          <w:szCs w:val="21"/>
          <w:lang w:val="en-US" w:eastAsia="zh-CN" w:bidi="ar-SA"/>
        </w:rPr>
        <w:t>+ V</w:t>
      </w:r>
      <w:r>
        <w:rPr>
          <w:rFonts w:hint="default" w:ascii="Times New Roman" w:hAnsi="Times New Roman" w:eastAsia="宋体" w:cs="Times New Roman"/>
          <w:snapToGrid w:val="0"/>
          <w:color w:val="auto"/>
          <w:kern w:val="0"/>
          <w:sz w:val="24"/>
          <w:szCs w:val="21"/>
          <w:vertAlign w:val="subscript"/>
          <w:lang w:val="en-US" w:eastAsia="zh-CN" w:bidi="ar-SA"/>
        </w:rPr>
        <w:t>2</w:t>
      </w:r>
      <w:r>
        <w:rPr>
          <w:rFonts w:hint="default" w:ascii="Times New Roman" w:hAnsi="Times New Roman" w:eastAsia="宋体" w:cs="Times New Roman"/>
          <w:snapToGrid w:val="0"/>
          <w:color w:val="auto"/>
          <w:kern w:val="0"/>
          <w:sz w:val="24"/>
          <w:szCs w:val="21"/>
          <w:lang w:val="en-US" w:eastAsia="zh-CN" w:bidi="ar-SA"/>
        </w:rPr>
        <w:t>- V</w:t>
      </w:r>
      <w:r>
        <w:rPr>
          <w:rFonts w:hint="default" w:ascii="Times New Roman" w:hAnsi="Times New Roman" w:eastAsia="宋体" w:cs="Times New Roman"/>
          <w:snapToGrid w:val="0"/>
          <w:color w:val="auto"/>
          <w:kern w:val="0"/>
          <w:sz w:val="24"/>
          <w:szCs w:val="21"/>
          <w:vertAlign w:val="subscript"/>
          <w:lang w:val="en-US" w:eastAsia="zh-CN" w:bidi="ar-SA"/>
        </w:rPr>
        <w:t>3</w:t>
      </w:r>
      <w:r>
        <w:rPr>
          <w:rFonts w:hint="default" w:ascii="Times New Roman" w:hAnsi="Times New Roman" w:eastAsia="宋体" w:cs="Times New Roman"/>
          <w:snapToGrid w:val="0"/>
          <w:color w:val="auto"/>
          <w:kern w:val="0"/>
          <w:sz w:val="24"/>
          <w:szCs w:val="21"/>
          <w:lang w:val="en-US" w:eastAsia="zh-CN" w:bidi="ar-SA"/>
        </w:rPr>
        <w:t>）</w:t>
      </w:r>
      <w:r>
        <w:rPr>
          <w:rFonts w:hint="default" w:ascii="Times New Roman" w:hAnsi="Times New Roman" w:eastAsia="宋体" w:cs="Times New Roman"/>
          <w:snapToGrid w:val="0"/>
          <w:color w:val="auto"/>
          <w:kern w:val="0"/>
          <w:sz w:val="24"/>
          <w:szCs w:val="21"/>
          <w:vertAlign w:val="subscript"/>
          <w:lang w:val="en-US" w:eastAsia="zh-CN" w:bidi="ar-SA"/>
        </w:rPr>
        <w:t>max</w:t>
      </w:r>
      <w:r>
        <w:rPr>
          <w:rFonts w:hint="default" w:ascii="Times New Roman" w:hAnsi="Times New Roman" w:eastAsia="宋体" w:cs="Times New Roman"/>
          <w:snapToGrid w:val="0"/>
          <w:color w:val="auto"/>
          <w:kern w:val="0"/>
          <w:sz w:val="24"/>
          <w:szCs w:val="21"/>
          <w:lang w:val="en-US" w:eastAsia="zh-CN" w:bidi="ar-SA"/>
        </w:rPr>
        <w:t xml:space="preserve"> + V</w:t>
      </w:r>
      <w:r>
        <w:rPr>
          <w:rFonts w:hint="default" w:ascii="Times New Roman" w:hAnsi="Times New Roman" w:eastAsia="宋体" w:cs="Times New Roman"/>
          <w:snapToGrid w:val="0"/>
          <w:color w:val="auto"/>
          <w:kern w:val="0"/>
          <w:sz w:val="24"/>
          <w:szCs w:val="21"/>
          <w:vertAlign w:val="subscript"/>
          <w:lang w:val="en-US" w:eastAsia="zh-CN" w:bidi="ar-SA"/>
        </w:rPr>
        <w:t>4</w:t>
      </w:r>
      <w:r>
        <w:rPr>
          <w:rFonts w:hint="default" w:ascii="Times New Roman" w:hAnsi="Times New Roman" w:eastAsia="宋体" w:cs="Times New Roman"/>
          <w:snapToGrid w:val="0"/>
          <w:color w:val="auto"/>
          <w:kern w:val="0"/>
          <w:sz w:val="24"/>
          <w:szCs w:val="21"/>
          <w:lang w:val="en-US" w:eastAsia="zh-CN" w:bidi="ar-SA"/>
        </w:rPr>
        <w:t>+ V</w:t>
      </w:r>
      <w:r>
        <w:rPr>
          <w:rFonts w:hint="default" w:ascii="Times New Roman" w:hAnsi="Times New Roman" w:eastAsia="宋体" w:cs="Times New Roman"/>
          <w:snapToGrid w:val="0"/>
          <w:color w:val="auto"/>
          <w:kern w:val="0"/>
          <w:sz w:val="24"/>
          <w:szCs w:val="21"/>
          <w:vertAlign w:val="subscript"/>
          <w:lang w:val="en-US" w:eastAsia="zh-CN" w:bidi="ar-SA"/>
        </w:rPr>
        <w:t>5</w:t>
      </w:r>
    </w:p>
    <w:p>
      <w:pPr>
        <w:widowControl w:val="0"/>
        <w:spacing w:line="360" w:lineRule="auto"/>
        <w:ind w:firstLine="480"/>
        <w:jc w:val="center"/>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V</w:t>
      </w:r>
      <w:r>
        <w:rPr>
          <w:rFonts w:hint="default" w:ascii="Times New Roman" w:hAnsi="Times New Roman" w:eastAsia="宋体" w:cs="Times New Roman"/>
          <w:snapToGrid w:val="0"/>
          <w:color w:val="auto"/>
          <w:kern w:val="0"/>
          <w:sz w:val="24"/>
          <w:szCs w:val="21"/>
          <w:vertAlign w:val="subscript"/>
          <w:lang w:val="en-US" w:eastAsia="zh-CN" w:bidi="ar-SA"/>
        </w:rPr>
        <w:t>2</w:t>
      </w:r>
      <w:r>
        <w:rPr>
          <w:rFonts w:hint="default" w:ascii="Times New Roman" w:hAnsi="Times New Roman" w:eastAsia="宋体" w:cs="Times New Roman"/>
          <w:snapToGrid w:val="0"/>
          <w:color w:val="auto"/>
          <w:kern w:val="0"/>
          <w:sz w:val="24"/>
          <w:szCs w:val="21"/>
          <w:lang w:val="en-US" w:eastAsia="zh-CN" w:bidi="ar-SA"/>
        </w:rPr>
        <w:t>=∑Q</w:t>
      </w:r>
      <w:r>
        <w:rPr>
          <w:rFonts w:hint="default" w:ascii="Times New Roman" w:hAnsi="Times New Roman" w:eastAsia="宋体" w:cs="Times New Roman"/>
          <w:snapToGrid w:val="0"/>
          <w:color w:val="auto"/>
          <w:kern w:val="0"/>
          <w:sz w:val="24"/>
          <w:szCs w:val="21"/>
          <w:vertAlign w:val="subscript"/>
          <w:lang w:val="en-US" w:eastAsia="zh-CN" w:bidi="ar-SA"/>
        </w:rPr>
        <w:t>消</w:t>
      </w:r>
      <w:r>
        <w:rPr>
          <w:rFonts w:hint="default" w:ascii="Times New Roman" w:hAnsi="Times New Roman" w:eastAsia="宋体" w:cs="Times New Roman"/>
          <w:snapToGrid w:val="0"/>
          <w:color w:val="auto"/>
          <w:kern w:val="0"/>
          <w:sz w:val="24"/>
          <w:szCs w:val="21"/>
          <w:lang w:val="en-US" w:eastAsia="zh-CN" w:bidi="ar-SA"/>
        </w:rPr>
        <w:t>.t</w:t>
      </w:r>
      <w:r>
        <w:rPr>
          <w:rFonts w:hint="default" w:ascii="Times New Roman" w:hAnsi="Times New Roman" w:eastAsia="宋体" w:cs="Times New Roman"/>
          <w:snapToGrid w:val="0"/>
          <w:color w:val="auto"/>
          <w:kern w:val="0"/>
          <w:sz w:val="24"/>
          <w:szCs w:val="21"/>
          <w:vertAlign w:val="subscript"/>
          <w:lang w:val="en-US" w:eastAsia="zh-CN" w:bidi="ar-SA"/>
        </w:rPr>
        <w:t>消</w:t>
      </w:r>
    </w:p>
    <w:p>
      <w:pPr>
        <w:widowControl w:val="0"/>
        <w:spacing w:line="360" w:lineRule="auto"/>
        <w:ind w:firstLine="480"/>
        <w:jc w:val="center"/>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V</w:t>
      </w:r>
      <w:r>
        <w:rPr>
          <w:rFonts w:hint="default" w:ascii="Times New Roman" w:hAnsi="Times New Roman" w:eastAsia="宋体" w:cs="Times New Roman"/>
          <w:snapToGrid w:val="0"/>
          <w:color w:val="auto"/>
          <w:kern w:val="0"/>
          <w:sz w:val="24"/>
          <w:szCs w:val="21"/>
          <w:vertAlign w:val="subscript"/>
          <w:lang w:val="en-US" w:eastAsia="zh-CN" w:bidi="ar-SA"/>
        </w:rPr>
        <w:t>5</w:t>
      </w:r>
      <w:r>
        <w:rPr>
          <w:rFonts w:hint="default" w:ascii="Times New Roman" w:hAnsi="Times New Roman" w:eastAsia="宋体" w:cs="Times New Roman"/>
          <w:snapToGrid w:val="0"/>
          <w:color w:val="auto"/>
          <w:kern w:val="0"/>
          <w:sz w:val="24"/>
          <w:szCs w:val="21"/>
          <w:lang w:val="en-US" w:eastAsia="zh-CN" w:bidi="ar-SA"/>
        </w:rPr>
        <w:t>=10q.f</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注：（V</w:t>
      </w:r>
      <w:r>
        <w:rPr>
          <w:rFonts w:hint="default" w:ascii="Times New Roman" w:hAnsi="Times New Roman" w:eastAsia="宋体" w:cs="Times New Roman"/>
          <w:snapToGrid w:val="0"/>
          <w:color w:val="auto"/>
          <w:kern w:val="0"/>
          <w:sz w:val="24"/>
          <w:szCs w:val="21"/>
          <w:vertAlign w:val="subscript"/>
          <w:lang w:val="en-US" w:eastAsia="zh-CN" w:bidi="ar-SA"/>
        </w:rPr>
        <w:t>1</w:t>
      </w:r>
      <w:r>
        <w:rPr>
          <w:rFonts w:hint="default" w:ascii="Times New Roman" w:hAnsi="Times New Roman" w:eastAsia="宋体" w:cs="Times New Roman"/>
          <w:snapToGrid w:val="0"/>
          <w:color w:val="auto"/>
          <w:kern w:val="0"/>
          <w:sz w:val="24"/>
          <w:szCs w:val="21"/>
          <w:lang w:val="en-US" w:eastAsia="zh-CN" w:bidi="ar-SA"/>
        </w:rPr>
        <w:t>+ V</w:t>
      </w:r>
      <w:r>
        <w:rPr>
          <w:rFonts w:hint="default" w:ascii="Times New Roman" w:hAnsi="Times New Roman" w:eastAsia="宋体" w:cs="Times New Roman"/>
          <w:snapToGrid w:val="0"/>
          <w:color w:val="auto"/>
          <w:kern w:val="0"/>
          <w:sz w:val="24"/>
          <w:szCs w:val="21"/>
          <w:vertAlign w:val="subscript"/>
          <w:lang w:val="en-US" w:eastAsia="zh-CN" w:bidi="ar-SA"/>
        </w:rPr>
        <w:t>2</w:t>
      </w:r>
      <w:r>
        <w:rPr>
          <w:rFonts w:hint="default" w:ascii="Times New Roman" w:hAnsi="Times New Roman" w:eastAsia="宋体" w:cs="Times New Roman"/>
          <w:snapToGrid w:val="0"/>
          <w:color w:val="auto"/>
          <w:kern w:val="0"/>
          <w:sz w:val="24"/>
          <w:szCs w:val="21"/>
          <w:lang w:val="en-US" w:eastAsia="zh-CN" w:bidi="ar-SA"/>
        </w:rPr>
        <w:t>- V</w:t>
      </w:r>
      <w:r>
        <w:rPr>
          <w:rFonts w:hint="default" w:ascii="Times New Roman" w:hAnsi="Times New Roman" w:eastAsia="宋体" w:cs="Times New Roman"/>
          <w:snapToGrid w:val="0"/>
          <w:color w:val="auto"/>
          <w:kern w:val="0"/>
          <w:sz w:val="24"/>
          <w:szCs w:val="21"/>
          <w:vertAlign w:val="subscript"/>
          <w:lang w:val="en-US" w:eastAsia="zh-CN" w:bidi="ar-SA"/>
        </w:rPr>
        <w:t>3</w:t>
      </w:r>
      <w:r>
        <w:rPr>
          <w:rFonts w:hint="default" w:ascii="Times New Roman" w:hAnsi="Times New Roman" w:eastAsia="宋体" w:cs="Times New Roman"/>
          <w:snapToGrid w:val="0"/>
          <w:color w:val="auto"/>
          <w:kern w:val="0"/>
          <w:sz w:val="24"/>
          <w:szCs w:val="21"/>
          <w:lang w:val="en-US" w:eastAsia="zh-CN" w:bidi="ar-SA"/>
        </w:rPr>
        <w:t>）</w:t>
      </w:r>
      <w:r>
        <w:rPr>
          <w:rFonts w:hint="default" w:ascii="Times New Roman" w:hAnsi="Times New Roman" w:eastAsia="宋体" w:cs="Times New Roman"/>
          <w:snapToGrid w:val="0"/>
          <w:color w:val="auto"/>
          <w:kern w:val="0"/>
          <w:sz w:val="24"/>
          <w:szCs w:val="21"/>
          <w:vertAlign w:val="subscript"/>
          <w:lang w:val="en-US" w:eastAsia="zh-CN" w:bidi="ar-SA"/>
        </w:rPr>
        <w:t>max</w:t>
      </w:r>
      <w:r>
        <w:rPr>
          <w:rFonts w:hint="default" w:ascii="Times New Roman" w:hAnsi="Times New Roman" w:eastAsia="宋体" w:cs="Times New Roman"/>
          <w:snapToGrid w:val="0"/>
          <w:color w:val="auto"/>
          <w:kern w:val="0"/>
          <w:sz w:val="24"/>
          <w:szCs w:val="21"/>
          <w:lang w:val="en-US" w:eastAsia="zh-CN" w:bidi="ar-SA"/>
        </w:rPr>
        <w:t>是指对收集系统范围内不同罐组或装置分别计算V</w:t>
      </w:r>
      <w:r>
        <w:rPr>
          <w:rFonts w:hint="default" w:ascii="Times New Roman" w:hAnsi="Times New Roman" w:eastAsia="宋体" w:cs="Times New Roman"/>
          <w:snapToGrid w:val="0"/>
          <w:color w:val="auto"/>
          <w:kern w:val="0"/>
          <w:sz w:val="24"/>
          <w:szCs w:val="21"/>
          <w:vertAlign w:val="subscript"/>
          <w:lang w:val="en-US" w:eastAsia="zh-CN" w:bidi="ar-SA"/>
        </w:rPr>
        <w:t>1</w:t>
      </w:r>
      <w:r>
        <w:rPr>
          <w:rFonts w:hint="default" w:ascii="Times New Roman" w:hAnsi="Times New Roman" w:eastAsia="宋体" w:cs="Times New Roman"/>
          <w:snapToGrid w:val="0"/>
          <w:color w:val="auto"/>
          <w:kern w:val="0"/>
          <w:sz w:val="24"/>
          <w:szCs w:val="21"/>
          <w:lang w:val="en-US" w:eastAsia="zh-CN" w:bidi="ar-SA"/>
        </w:rPr>
        <w:t>+ V</w:t>
      </w:r>
      <w:r>
        <w:rPr>
          <w:rFonts w:hint="default" w:ascii="Times New Roman" w:hAnsi="Times New Roman" w:eastAsia="宋体" w:cs="Times New Roman"/>
          <w:snapToGrid w:val="0"/>
          <w:color w:val="auto"/>
          <w:kern w:val="0"/>
          <w:sz w:val="24"/>
          <w:szCs w:val="21"/>
          <w:vertAlign w:val="subscript"/>
          <w:lang w:val="en-US" w:eastAsia="zh-CN" w:bidi="ar-SA"/>
        </w:rPr>
        <w:t>2</w:t>
      </w:r>
      <w:r>
        <w:rPr>
          <w:rFonts w:hint="default" w:ascii="Times New Roman" w:hAnsi="Times New Roman" w:eastAsia="宋体" w:cs="Times New Roman"/>
          <w:snapToGrid w:val="0"/>
          <w:color w:val="auto"/>
          <w:kern w:val="0"/>
          <w:sz w:val="24"/>
          <w:szCs w:val="21"/>
          <w:lang w:val="en-US" w:eastAsia="zh-CN" w:bidi="ar-SA"/>
        </w:rPr>
        <w:t>- V</w:t>
      </w:r>
      <w:r>
        <w:rPr>
          <w:rFonts w:hint="default" w:ascii="Times New Roman" w:hAnsi="Times New Roman" w:eastAsia="宋体" w:cs="Times New Roman"/>
          <w:snapToGrid w:val="0"/>
          <w:color w:val="auto"/>
          <w:kern w:val="0"/>
          <w:sz w:val="24"/>
          <w:szCs w:val="21"/>
          <w:vertAlign w:val="subscript"/>
          <w:lang w:val="en-US" w:eastAsia="zh-CN" w:bidi="ar-SA"/>
        </w:rPr>
        <w:t>3</w:t>
      </w:r>
      <w:r>
        <w:rPr>
          <w:rFonts w:hint="default" w:ascii="Times New Roman" w:hAnsi="Times New Roman" w:eastAsia="宋体" w:cs="Times New Roman"/>
          <w:snapToGrid w:val="0"/>
          <w:color w:val="auto"/>
          <w:kern w:val="0"/>
          <w:sz w:val="24"/>
          <w:szCs w:val="21"/>
          <w:lang w:val="en-US" w:eastAsia="zh-CN" w:bidi="ar-SA"/>
        </w:rPr>
        <w:t>，取其中最大值。</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V</w:t>
      </w:r>
      <w:r>
        <w:rPr>
          <w:rFonts w:hint="default" w:ascii="Times New Roman" w:hAnsi="Times New Roman" w:eastAsia="宋体" w:cs="Times New Roman"/>
          <w:snapToGrid w:val="0"/>
          <w:color w:val="auto"/>
          <w:kern w:val="0"/>
          <w:sz w:val="24"/>
          <w:szCs w:val="21"/>
          <w:vertAlign w:val="subscript"/>
          <w:lang w:val="en-US" w:eastAsia="zh-CN" w:bidi="ar-SA"/>
        </w:rPr>
        <w:t>1</w:t>
      </w:r>
      <w:r>
        <w:rPr>
          <w:rFonts w:hint="default" w:ascii="Times New Roman" w:hAnsi="Times New Roman" w:eastAsia="宋体" w:cs="Times New Roman"/>
          <w:snapToGrid w:val="0"/>
          <w:color w:val="auto"/>
          <w:kern w:val="0"/>
          <w:sz w:val="24"/>
          <w:szCs w:val="21"/>
          <w:lang w:val="en-US" w:eastAsia="zh-CN" w:bidi="ar-SA"/>
        </w:rPr>
        <w:t>——收集系统范围内发生事故的物料量，m</w:t>
      </w:r>
      <w:r>
        <w:rPr>
          <w:rFonts w:hint="default" w:ascii="Times New Roman" w:hAnsi="Times New Roman" w:eastAsia="宋体" w:cs="Times New Roman"/>
          <w:snapToGrid w:val="0"/>
          <w:color w:val="auto"/>
          <w:kern w:val="0"/>
          <w:sz w:val="24"/>
          <w:szCs w:val="21"/>
          <w:vertAlign w:val="superscript"/>
          <w:lang w:val="en-US" w:eastAsia="zh-CN" w:bidi="ar-SA"/>
        </w:rPr>
        <w:t>3</w:t>
      </w:r>
      <w:r>
        <w:rPr>
          <w:rFonts w:hint="default" w:ascii="Times New Roman" w:hAnsi="Times New Roman" w:eastAsia="宋体" w:cs="Times New Roman"/>
          <w:snapToGrid w:val="0"/>
          <w:color w:val="auto"/>
          <w:kern w:val="0"/>
          <w:sz w:val="24"/>
          <w:szCs w:val="21"/>
          <w:lang w:val="en-US" w:eastAsia="zh-CN" w:bidi="ar-SA"/>
        </w:rPr>
        <w:t>；</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V</w:t>
      </w:r>
      <w:r>
        <w:rPr>
          <w:rFonts w:hint="default" w:ascii="Times New Roman" w:hAnsi="Times New Roman" w:eastAsia="宋体" w:cs="Times New Roman"/>
          <w:snapToGrid w:val="0"/>
          <w:color w:val="auto"/>
          <w:kern w:val="0"/>
          <w:sz w:val="24"/>
          <w:szCs w:val="21"/>
          <w:vertAlign w:val="subscript"/>
          <w:lang w:val="en-US" w:eastAsia="zh-CN" w:bidi="ar-SA"/>
        </w:rPr>
        <w:t>2</w:t>
      </w:r>
      <w:r>
        <w:rPr>
          <w:rFonts w:hint="default" w:ascii="Times New Roman" w:hAnsi="Times New Roman" w:eastAsia="宋体" w:cs="Times New Roman"/>
          <w:snapToGrid w:val="0"/>
          <w:color w:val="auto"/>
          <w:kern w:val="0"/>
          <w:sz w:val="24"/>
          <w:szCs w:val="21"/>
          <w:lang w:val="en-US" w:eastAsia="zh-CN" w:bidi="ar-SA"/>
        </w:rPr>
        <w:t>——发生事故的储罐、装置或铁路、汽车装卸区的消防水量，m</w:t>
      </w:r>
      <w:r>
        <w:rPr>
          <w:rFonts w:hint="default" w:ascii="Times New Roman" w:hAnsi="Times New Roman" w:eastAsia="宋体" w:cs="Times New Roman"/>
          <w:snapToGrid w:val="0"/>
          <w:color w:val="auto"/>
          <w:kern w:val="0"/>
          <w:sz w:val="24"/>
          <w:szCs w:val="21"/>
          <w:vertAlign w:val="superscript"/>
          <w:lang w:val="en-US" w:eastAsia="zh-CN" w:bidi="ar-SA"/>
        </w:rPr>
        <w:t>3</w:t>
      </w:r>
      <w:r>
        <w:rPr>
          <w:rFonts w:hint="default" w:ascii="Times New Roman" w:hAnsi="Times New Roman" w:eastAsia="宋体" w:cs="Times New Roman"/>
          <w:snapToGrid w:val="0"/>
          <w:color w:val="auto"/>
          <w:kern w:val="0"/>
          <w:sz w:val="24"/>
          <w:szCs w:val="21"/>
          <w:lang w:val="en-US" w:eastAsia="zh-CN" w:bidi="ar-SA"/>
        </w:rPr>
        <w:t>；</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V</w:t>
      </w:r>
      <w:r>
        <w:rPr>
          <w:rFonts w:hint="default" w:ascii="Times New Roman" w:hAnsi="Times New Roman" w:eastAsia="宋体" w:cs="Times New Roman"/>
          <w:snapToGrid w:val="0"/>
          <w:color w:val="auto"/>
          <w:kern w:val="0"/>
          <w:sz w:val="24"/>
          <w:szCs w:val="21"/>
          <w:vertAlign w:val="subscript"/>
          <w:lang w:val="en-US" w:eastAsia="zh-CN" w:bidi="ar-SA"/>
        </w:rPr>
        <w:t>3</w:t>
      </w:r>
      <w:r>
        <w:rPr>
          <w:rFonts w:hint="default" w:ascii="Times New Roman" w:hAnsi="Times New Roman" w:eastAsia="宋体" w:cs="Times New Roman"/>
          <w:snapToGrid w:val="0"/>
          <w:color w:val="auto"/>
          <w:kern w:val="0"/>
          <w:sz w:val="24"/>
          <w:szCs w:val="21"/>
          <w:lang w:val="en-US" w:eastAsia="zh-CN" w:bidi="ar-SA"/>
        </w:rPr>
        <w:t>——发生事故时可以转输到其他储存或处理设施的物料量，m</w:t>
      </w:r>
      <w:r>
        <w:rPr>
          <w:rFonts w:hint="default" w:ascii="Times New Roman" w:hAnsi="Times New Roman" w:eastAsia="宋体" w:cs="Times New Roman"/>
          <w:snapToGrid w:val="0"/>
          <w:color w:val="auto"/>
          <w:kern w:val="0"/>
          <w:sz w:val="24"/>
          <w:szCs w:val="21"/>
          <w:vertAlign w:val="superscript"/>
          <w:lang w:val="en-US" w:eastAsia="zh-CN" w:bidi="ar-SA"/>
        </w:rPr>
        <w:t>3</w:t>
      </w:r>
      <w:r>
        <w:rPr>
          <w:rFonts w:hint="default" w:ascii="Times New Roman" w:hAnsi="Times New Roman" w:eastAsia="宋体" w:cs="Times New Roman"/>
          <w:snapToGrid w:val="0"/>
          <w:color w:val="auto"/>
          <w:kern w:val="0"/>
          <w:sz w:val="24"/>
          <w:szCs w:val="21"/>
          <w:lang w:val="en-US" w:eastAsia="zh-CN" w:bidi="ar-SA"/>
        </w:rPr>
        <w:t>；</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V</w:t>
      </w:r>
      <w:r>
        <w:rPr>
          <w:rFonts w:hint="default" w:ascii="Times New Roman" w:hAnsi="Times New Roman" w:eastAsia="宋体" w:cs="Times New Roman"/>
          <w:snapToGrid w:val="0"/>
          <w:color w:val="auto"/>
          <w:kern w:val="0"/>
          <w:sz w:val="24"/>
          <w:szCs w:val="21"/>
          <w:vertAlign w:val="subscript"/>
          <w:lang w:val="en-US" w:eastAsia="zh-CN" w:bidi="ar-SA"/>
        </w:rPr>
        <w:t>4</w:t>
      </w:r>
      <w:r>
        <w:rPr>
          <w:rFonts w:hint="default" w:ascii="Times New Roman" w:hAnsi="Times New Roman" w:eastAsia="宋体" w:cs="Times New Roman"/>
          <w:snapToGrid w:val="0"/>
          <w:color w:val="auto"/>
          <w:kern w:val="0"/>
          <w:sz w:val="24"/>
          <w:szCs w:val="21"/>
          <w:lang w:val="en-US" w:eastAsia="zh-CN" w:bidi="ar-SA"/>
        </w:rPr>
        <w:t>——发生事故时仍必须进入该收集系统的生产废水量，m</w:t>
      </w:r>
      <w:r>
        <w:rPr>
          <w:rFonts w:hint="default" w:ascii="Times New Roman" w:hAnsi="Times New Roman" w:eastAsia="宋体" w:cs="Times New Roman"/>
          <w:snapToGrid w:val="0"/>
          <w:color w:val="auto"/>
          <w:kern w:val="0"/>
          <w:sz w:val="24"/>
          <w:szCs w:val="21"/>
          <w:vertAlign w:val="superscript"/>
          <w:lang w:val="en-US" w:eastAsia="zh-CN" w:bidi="ar-SA"/>
        </w:rPr>
        <w:t>3</w:t>
      </w:r>
      <w:r>
        <w:rPr>
          <w:rFonts w:hint="default" w:ascii="Times New Roman" w:hAnsi="Times New Roman" w:eastAsia="宋体" w:cs="Times New Roman"/>
          <w:snapToGrid w:val="0"/>
          <w:color w:val="auto"/>
          <w:kern w:val="0"/>
          <w:sz w:val="24"/>
          <w:szCs w:val="21"/>
          <w:lang w:val="en-US" w:eastAsia="zh-CN" w:bidi="ar-SA"/>
        </w:rPr>
        <w:t>；</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V</w:t>
      </w:r>
      <w:r>
        <w:rPr>
          <w:rFonts w:hint="default" w:ascii="Times New Roman" w:hAnsi="Times New Roman" w:eastAsia="宋体" w:cs="Times New Roman"/>
          <w:snapToGrid w:val="0"/>
          <w:color w:val="auto"/>
          <w:kern w:val="0"/>
          <w:sz w:val="24"/>
          <w:szCs w:val="21"/>
          <w:vertAlign w:val="subscript"/>
          <w:lang w:val="en-US" w:eastAsia="zh-CN" w:bidi="ar-SA"/>
        </w:rPr>
        <w:t>5</w:t>
      </w:r>
      <w:r>
        <w:rPr>
          <w:rFonts w:hint="default" w:ascii="Times New Roman" w:hAnsi="Times New Roman" w:eastAsia="宋体" w:cs="Times New Roman"/>
          <w:snapToGrid w:val="0"/>
          <w:color w:val="auto"/>
          <w:kern w:val="0"/>
          <w:sz w:val="24"/>
          <w:szCs w:val="21"/>
          <w:lang w:val="en-US" w:eastAsia="zh-CN" w:bidi="ar-SA"/>
        </w:rPr>
        <w:t>——发生事故时可能进入该收集系统的降雨量，m</w:t>
      </w:r>
      <w:r>
        <w:rPr>
          <w:rFonts w:hint="default" w:ascii="Times New Roman" w:hAnsi="Times New Roman" w:eastAsia="宋体" w:cs="Times New Roman"/>
          <w:snapToGrid w:val="0"/>
          <w:color w:val="auto"/>
          <w:kern w:val="0"/>
          <w:sz w:val="24"/>
          <w:szCs w:val="21"/>
          <w:vertAlign w:val="superscript"/>
          <w:lang w:val="en-US" w:eastAsia="zh-CN" w:bidi="ar-SA"/>
        </w:rPr>
        <w:t>3</w:t>
      </w:r>
      <w:r>
        <w:rPr>
          <w:rFonts w:hint="default" w:ascii="Times New Roman" w:hAnsi="Times New Roman" w:eastAsia="宋体" w:cs="Times New Roman"/>
          <w:snapToGrid w:val="0"/>
          <w:color w:val="auto"/>
          <w:kern w:val="0"/>
          <w:sz w:val="24"/>
          <w:szCs w:val="21"/>
          <w:lang w:val="en-US" w:eastAsia="zh-CN" w:bidi="ar-SA"/>
        </w:rPr>
        <w:t>；</w:t>
      </w:r>
    </w:p>
    <w:p>
      <w:pPr>
        <w:widowControl w:val="0"/>
        <w:spacing w:line="360" w:lineRule="auto"/>
        <w:ind w:left="560" w:firstLine="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 xml:space="preserve">q——降雨强度，mm；按平均日降雨量； </w:t>
      </w:r>
    </w:p>
    <w:p>
      <w:pPr>
        <w:widowControl w:val="0"/>
        <w:spacing w:line="360" w:lineRule="auto"/>
        <w:ind w:left="560" w:firstLine="0"/>
        <w:jc w:val="center"/>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q=q</w:t>
      </w:r>
      <w:r>
        <w:rPr>
          <w:rFonts w:hint="default" w:ascii="Times New Roman" w:hAnsi="Times New Roman" w:eastAsia="宋体" w:cs="Times New Roman"/>
          <w:snapToGrid w:val="0"/>
          <w:color w:val="auto"/>
          <w:kern w:val="0"/>
          <w:sz w:val="24"/>
          <w:szCs w:val="21"/>
          <w:vertAlign w:val="subscript"/>
          <w:lang w:val="en-US" w:eastAsia="zh-CN" w:bidi="ar-SA"/>
        </w:rPr>
        <w:t>a</w:t>
      </w:r>
      <w:r>
        <w:rPr>
          <w:rFonts w:hint="default" w:ascii="Times New Roman" w:hAnsi="Times New Roman" w:eastAsia="宋体" w:cs="Times New Roman"/>
          <w:snapToGrid w:val="0"/>
          <w:color w:val="auto"/>
          <w:kern w:val="0"/>
          <w:sz w:val="24"/>
          <w:szCs w:val="21"/>
          <w:lang w:val="en-US" w:eastAsia="zh-CN" w:bidi="ar-SA"/>
        </w:rPr>
        <w:t>/n</w:t>
      </w:r>
    </w:p>
    <w:p>
      <w:pPr>
        <w:widowControl w:val="0"/>
        <w:spacing w:line="360" w:lineRule="auto"/>
        <w:ind w:left="560" w:firstLine="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q</w:t>
      </w:r>
      <w:r>
        <w:rPr>
          <w:rFonts w:hint="default" w:ascii="Times New Roman" w:hAnsi="Times New Roman" w:eastAsia="宋体" w:cs="Times New Roman"/>
          <w:snapToGrid w:val="0"/>
          <w:color w:val="auto"/>
          <w:kern w:val="0"/>
          <w:sz w:val="24"/>
          <w:szCs w:val="21"/>
          <w:vertAlign w:val="subscript"/>
          <w:lang w:val="en-US" w:eastAsia="zh-CN" w:bidi="ar-SA"/>
        </w:rPr>
        <w:t>a</w:t>
      </w:r>
      <w:r>
        <w:rPr>
          <w:rFonts w:hint="default" w:ascii="Times New Roman" w:hAnsi="Times New Roman" w:eastAsia="宋体" w:cs="Times New Roman"/>
          <w:snapToGrid w:val="0"/>
          <w:color w:val="auto"/>
          <w:kern w:val="0"/>
          <w:sz w:val="24"/>
          <w:szCs w:val="21"/>
          <w:lang w:val="en-US" w:eastAsia="zh-CN" w:bidi="ar-SA"/>
        </w:rPr>
        <w:t xml:space="preserve">——年平均降雨量，mm； </w:t>
      </w:r>
      <w:r>
        <w:rPr>
          <w:rFonts w:hint="default" w:ascii="Times New Roman" w:hAnsi="Times New Roman" w:eastAsia="宋体" w:cs="Times New Roman"/>
          <w:color w:val="auto"/>
          <w:sz w:val="24"/>
          <w:szCs w:val="21"/>
        </w:rPr>
        <w:br w:type="textWrapping"/>
      </w:r>
      <w:r>
        <w:rPr>
          <w:rFonts w:hint="default" w:ascii="Times New Roman" w:hAnsi="Times New Roman" w:eastAsia="宋体" w:cs="Times New Roman"/>
          <w:snapToGrid w:val="0"/>
          <w:color w:val="auto"/>
          <w:kern w:val="0"/>
          <w:sz w:val="24"/>
          <w:szCs w:val="21"/>
          <w:lang w:val="en-US" w:eastAsia="zh-CN" w:bidi="ar-SA"/>
        </w:rPr>
        <w:t xml:space="preserve">n——年平均降雨日数。 </w:t>
      </w:r>
      <w:r>
        <w:rPr>
          <w:rFonts w:hint="default" w:ascii="Times New Roman" w:hAnsi="Times New Roman" w:eastAsia="宋体" w:cs="Times New Roman"/>
          <w:color w:val="auto"/>
          <w:sz w:val="24"/>
          <w:szCs w:val="21"/>
        </w:rPr>
        <w:br w:type="textWrapping"/>
      </w:r>
      <w:r>
        <w:rPr>
          <w:rFonts w:hint="default" w:ascii="Times New Roman" w:hAnsi="Times New Roman" w:eastAsia="宋体" w:cs="Times New Roman"/>
          <w:snapToGrid w:val="0"/>
          <w:color w:val="auto"/>
          <w:kern w:val="0"/>
          <w:sz w:val="24"/>
          <w:szCs w:val="21"/>
          <w:lang w:val="en-US" w:eastAsia="zh-CN" w:bidi="ar-SA"/>
        </w:rPr>
        <w:t>f——必须进入事故废水收集系统的雨水汇水面积，ha。</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val="zh-CN" w:bidi="ar"/>
        </w:rPr>
        <w:t>针对</w:t>
      </w:r>
      <w:r>
        <w:rPr>
          <w:rFonts w:hint="default" w:ascii="Times New Roman" w:hAnsi="Times New Roman" w:eastAsia="宋体" w:cs="Times New Roman"/>
          <w:color w:val="auto"/>
          <w:sz w:val="24"/>
          <w:szCs w:val="24"/>
          <w:lang w:val="en-US" w:eastAsia="zh-CN" w:bidi="ar"/>
        </w:rPr>
        <w:t>厂区代表性风险单元</w:t>
      </w:r>
      <w:r>
        <w:rPr>
          <w:rFonts w:hint="default" w:ascii="Times New Roman" w:hAnsi="Times New Roman" w:eastAsia="宋体" w:cs="Times New Roman"/>
          <w:color w:val="auto"/>
          <w:sz w:val="24"/>
          <w:szCs w:val="24"/>
          <w:lang w:val="zh-CN" w:bidi="ar"/>
        </w:rPr>
        <w:t>分别计算(V</w:t>
      </w:r>
      <w:r>
        <w:rPr>
          <w:rFonts w:hint="default" w:ascii="Times New Roman" w:hAnsi="Times New Roman" w:eastAsia="宋体" w:cs="Times New Roman"/>
          <w:color w:val="auto"/>
          <w:sz w:val="24"/>
          <w:szCs w:val="24"/>
          <w:vertAlign w:val="subscript"/>
          <w:lang w:val="zh-CN" w:bidi="ar"/>
        </w:rPr>
        <w:t>1</w:t>
      </w:r>
      <w:r>
        <w:rPr>
          <w:rFonts w:hint="default" w:ascii="Times New Roman" w:hAnsi="Times New Roman" w:eastAsia="宋体" w:cs="Times New Roman"/>
          <w:color w:val="auto"/>
          <w:sz w:val="24"/>
          <w:szCs w:val="24"/>
          <w:lang w:val="zh-CN" w:bidi="ar"/>
        </w:rPr>
        <w:t>+ V</w:t>
      </w:r>
      <w:r>
        <w:rPr>
          <w:rFonts w:hint="default" w:ascii="Times New Roman" w:hAnsi="Times New Roman" w:eastAsia="宋体" w:cs="Times New Roman"/>
          <w:color w:val="auto"/>
          <w:sz w:val="24"/>
          <w:szCs w:val="24"/>
          <w:vertAlign w:val="subscript"/>
          <w:lang w:val="zh-CN" w:bidi="ar"/>
        </w:rPr>
        <w:t>2</w:t>
      </w:r>
      <w:r>
        <w:rPr>
          <w:rFonts w:hint="default" w:ascii="Times New Roman" w:hAnsi="Times New Roman" w:eastAsia="宋体" w:cs="Times New Roman"/>
          <w:color w:val="auto"/>
          <w:sz w:val="24"/>
          <w:szCs w:val="24"/>
          <w:lang w:val="zh-CN" w:bidi="ar"/>
        </w:rPr>
        <w:t>-V</w:t>
      </w:r>
      <w:r>
        <w:rPr>
          <w:rFonts w:hint="default" w:ascii="Times New Roman" w:hAnsi="Times New Roman" w:eastAsia="宋体" w:cs="Times New Roman"/>
          <w:color w:val="auto"/>
          <w:sz w:val="24"/>
          <w:szCs w:val="24"/>
          <w:vertAlign w:val="subscript"/>
          <w:lang w:val="zh-CN" w:bidi="ar"/>
        </w:rPr>
        <w:t>3</w:t>
      </w:r>
      <w:r>
        <w:rPr>
          <w:rFonts w:hint="default" w:ascii="Times New Roman" w:hAnsi="Times New Roman" w:eastAsia="宋体" w:cs="Times New Roman"/>
          <w:color w:val="auto"/>
          <w:sz w:val="24"/>
          <w:szCs w:val="24"/>
          <w:lang w:val="zh-CN" w:bidi="ar"/>
        </w:rPr>
        <w:t>)</w:t>
      </w:r>
      <w:r>
        <w:rPr>
          <w:rFonts w:hint="default" w:ascii="Times New Roman" w:hAnsi="Times New Roman" w:eastAsia="宋体" w:cs="Times New Roman"/>
          <w:color w:val="auto"/>
          <w:sz w:val="24"/>
          <w:szCs w:val="24"/>
          <w:vertAlign w:val="subscript"/>
          <w:lang w:val="zh-CN" w:bidi="ar"/>
        </w:rPr>
        <w:t>max</w:t>
      </w:r>
      <w:r>
        <w:rPr>
          <w:rFonts w:hint="default" w:ascii="Times New Roman" w:hAnsi="Times New Roman" w:eastAsia="宋体" w:cs="Times New Roman"/>
          <w:color w:val="auto"/>
          <w:sz w:val="24"/>
          <w:szCs w:val="24"/>
          <w:lang w:val="zh-CN" w:bidi="ar"/>
        </w:rPr>
        <w:t>值，</w:t>
      </w:r>
      <w:r>
        <w:rPr>
          <w:rFonts w:hint="default" w:ascii="Times New Roman" w:hAnsi="Times New Roman" w:eastAsia="宋体" w:cs="Times New Roman"/>
          <w:color w:val="auto"/>
          <w:sz w:val="24"/>
          <w:szCs w:val="24"/>
          <w:lang w:bidi="ar"/>
        </w:rPr>
        <w:t>具体</w:t>
      </w:r>
      <w:r>
        <w:rPr>
          <w:rFonts w:hint="default" w:ascii="Times New Roman" w:hAnsi="Times New Roman" w:eastAsia="宋体" w:cs="Times New Roman"/>
          <w:color w:val="auto"/>
          <w:sz w:val="24"/>
          <w:szCs w:val="24"/>
          <w:lang w:val="zh-CN" w:bidi="ar"/>
        </w:rPr>
        <w:t>见表</w:t>
      </w:r>
      <w:r>
        <w:rPr>
          <w:rFonts w:hint="default" w:ascii="Times New Roman" w:hAnsi="Times New Roman" w:eastAsia="宋体" w:cs="Times New Roman"/>
          <w:color w:val="auto"/>
          <w:sz w:val="24"/>
          <w:szCs w:val="24"/>
          <w:lang w:val="en-US" w:eastAsia="zh-CN" w:bidi="ar"/>
        </w:rPr>
        <w:t>6.5-1</w:t>
      </w:r>
      <w:r>
        <w:rPr>
          <w:rFonts w:hint="default" w:ascii="Times New Roman" w:hAnsi="Times New Roman" w:eastAsia="宋体" w:cs="Times New Roman"/>
          <w:color w:val="auto"/>
          <w:sz w:val="24"/>
          <w:szCs w:val="24"/>
          <w:lang w:bidi="ar"/>
        </w:rPr>
        <w:t>。</w:t>
      </w:r>
    </w:p>
    <w:p>
      <w:pPr>
        <w:keepNext w:val="0"/>
        <w:keepLines w:val="0"/>
        <w:pageBreakBefore w:val="0"/>
        <w:widowControl w:val="0"/>
        <w:kinsoku/>
        <w:wordWrap/>
        <w:overflowPunct/>
        <w:topLinePunct w:val="0"/>
        <w:autoSpaceDE/>
        <w:autoSpaceDN/>
        <w:bidi w:val="0"/>
        <w:adjustRightInd/>
        <w:snapToGrid/>
        <w:spacing w:afterLines="0" w:line="360" w:lineRule="auto"/>
        <w:ind w:firstLine="0"/>
        <w:jc w:val="center"/>
        <w:textAlignment w:val="auto"/>
        <w:outlineLvl w:val="4"/>
        <w:rPr>
          <w:rFonts w:hint="default" w:ascii="Times New Roman" w:hAnsi="Times New Roman" w:eastAsia="黑体" w:cs="Times New Roman"/>
          <w:b/>
          <w:color w:val="auto"/>
          <w:kern w:val="2"/>
          <w:sz w:val="24"/>
          <w:szCs w:val="24"/>
          <w:lang w:val="en-US" w:eastAsia="zh-CN" w:bidi="ar-SA"/>
        </w:rPr>
      </w:pPr>
      <w:r>
        <w:rPr>
          <w:rFonts w:hint="default" w:ascii="Times New Roman" w:hAnsi="Times New Roman" w:eastAsia="黑体" w:cs="Times New Roman"/>
          <w:b/>
          <w:color w:val="auto"/>
          <w:kern w:val="2"/>
          <w:sz w:val="24"/>
          <w:szCs w:val="24"/>
          <w:lang w:val="en-US" w:eastAsia="zh-CN" w:bidi="ar-SA"/>
        </w:rPr>
        <w:t>表6.5-1   项目代表性风险单元</w:t>
      </w:r>
      <w:r>
        <w:rPr>
          <w:rFonts w:hint="default" w:ascii="Times New Roman" w:hAnsi="Times New Roman" w:eastAsia="黑体" w:cs="Times New Roman"/>
          <w:b/>
          <w:color w:val="auto"/>
          <w:kern w:val="2"/>
          <w:sz w:val="24"/>
          <w:szCs w:val="24"/>
          <w:lang w:val="zh-CN" w:eastAsia="zh-CN" w:bidi="ar-SA"/>
        </w:rPr>
        <w:t>(V1+ V2-V3)计算表</w:t>
      </w:r>
      <w:r>
        <w:rPr>
          <w:rFonts w:hint="default" w:ascii="Times New Roman" w:hAnsi="Times New Roman" w:eastAsia="黑体" w:cs="Times New Roman"/>
          <w:b/>
          <w:color w:val="auto"/>
          <w:kern w:val="2"/>
          <w:sz w:val="24"/>
          <w:szCs w:val="24"/>
          <w:lang w:val="en-US" w:eastAsia="zh-CN" w:bidi="ar-SA"/>
        </w:rPr>
        <w:t xml:space="preserve"> </w:t>
      </w:r>
    </w:p>
    <w:tbl>
      <w:tblPr>
        <w:tblStyle w:val="9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471"/>
        <w:gridCol w:w="751"/>
        <w:gridCol w:w="1616"/>
        <w:gridCol w:w="1791"/>
        <w:gridCol w:w="956"/>
        <w:gridCol w:w="751"/>
        <w:gridCol w:w="176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1471" w:type="dxa"/>
            <w:vMerge w:val="restart"/>
            <w:tcBorders>
              <w:lef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单元</w:t>
            </w:r>
          </w:p>
        </w:tc>
        <w:tc>
          <w:tcPr>
            <w:tcW w:w="751" w:type="dxa"/>
            <w:vMerge w:val="restart"/>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V</w:t>
            </w:r>
            <w:r>
              <w:rPr>
                <w:rFonts w:hint="default" w:ascii="Times New Roman" w:hAnsi="Times New Roman" w:eastAsia="宋体" w:cs="Times New Roman"/>
                <w:color w:val="auto"/>
                <w:kern w:val="0"/>
                <w:sz w:val="21"/>
                <w:szCs w:val="21"/>
                <w:vertAlign w:val="subscript"/>
                <w:lang w:bidi="ar"/>
              </w:rPr>
              <w:t>1</w:t>
            </w:r>
            <w:r>
              <w:rPr>
                <w:rFonts w:hint="default" w:ascii="Times New Roman" w:hAnsi="Times New Roman" w:eastAsia="宋体" w:cs="Times New Roman"/>
                <w:color w:val="auto"/>
                <w:kern w:val="0"/>
                <w:sz w:val="21"/>
                <w:szCs w:val="21"/>
                <w:vertAlign w:val="superscript"/>
                <w:lang w:bidi="ar"/>
              </w:rPr>
              <w:t>a</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（m</w:t>
            </w:r>
            <w:r>
              <w:rPr>
                <w:rStyle w:val="347"/>
                <w:rFonts w:hint="default" w:ascii="Times New Roman" w:hAnsi="Times New Roman" w:eastAsia="宋体" w:cs="Times New Roman"/>
                <w:color w:val="auto"/>
                <w:sz w:val="21"/>
                <w:szCs w:val="21"/>
                <w:vertAlign w:val="superscript"/>
                <w:lang w:bidi="ar"/>
              </w:rPr>
              <w:t>3</w:t>
            </w:r>
            <w:r>
              <w:rPr>
                <w:rFonts w:hint="default" w:ascii="Times New Roman" w:hAnsi="Times New Roman" w:eastAsia="宋体" w:cs="Times New Roman"/>
                <w:color w:val="auto"/>
                <w:kern w:val="0"/>
                <w:sz w:val="21"/>
                <w:szCs w:val="21"/>
                <w:lang w:bidi="ar"/>
              </w:rPr>
              <w:t>）</w:t>
            </w:r>
          </w:p>
        </w:tc>
        <w:tc>
          <w:tcPr>
            <w:tcW w:w="4363" w:type="dxa"/>
            <w:gridSpan w:val="3"/>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V</w:t>
            </w:r>
            <w:r>
              <w:rPr>
                <w:rFonts w:hint="default" w:ascii="Times New Roman" w:hAnsi="Times New Roman" w:eastAsia="宋体" w:cs="Times New Roman"/>
                <w:color w:val="auto"/>
                <w:kern w:val="0"/>
                <w:sz w:val="21"/>
                <w:szCs w:val="21"/>
                <w:vertAlign w:val="subscript"/>
                <w:lang w:bidi="ar"/>
              </w:rPr>
              <w:t>2</w:t>
            </w:r>
            <w:r>
              <w:rPr>
                <w:rFonts w:hint="default" w:ascii="Times New Roman" w:hAnsi="Times New Roman" w:eastAsia="宋体" w:cs="Times New Roman"/>
                <w:color w:val="auto"/>
                <w:kern w:val="0"/>
                <w:sz w:val="21"/>
                <w:szCs w:val="21"/>
                <w:lang w:bidi="ar"/>
              </w:rPr>
              <w:t>（m</w:t>
            </w:r>
            <w:r>
              <w:rPr>
                <w:rStyle w:val="347"/>
                <w:rFonts w:hint="default" w:ascii="Times New Roman" w:hAnsi="Times New Roman" w:eastAsia="宋体" w:cs="Times New Roman"/>
                <w:color w:val="auto"/>
                <w:sz w:val="21"/>
                <w:szCs w:val="21"/>
                <w:vertAlign w:val="superscript"/>
                <w:lang w:bidi="ar"/>
              </w:rPr>
              <w:t>3</w:t>
            </w:r>
            <w:r>
              <w:rPr>
                <w:rFonts w:hint="default" w:ascii="Times New Roman" w:hAnsi="Times New Roman" w:eastAsia="宋体" w:cs="Times New Roman"/>
                <w:color w:val="auto"/>
                <w:kern w:val="0"/>
                <w:sz w:val="21"/>
                <w:szCs w:val="21"/>
                <w:lang w:bidi="ar"/>
              </w:rPr>
              <w:t>）</w:t>
            </w:r>
          </w:p>
        </w:tc>
        <w:tc>
          <w:tcPr>
            <w:tcW w:w="751" w:type="dxa"/>
            <w:vMerge w:val="restart"/>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V</w:t>
            </w:r>
            <w:r>
              <w:rPr>
                <w:rFonts w:hint="default" w:ascii="Times New Roman" w:hAnsi="Times New Roman" w:eastAsia="宋体" w:cs="Times New Roman"/>
                <w:color w:val="auto"/>
                <w:kern w:val="0"/>
                <w:sz w:val="21"/>
                <w:szCs w:val="21"/>
                <w:vertAlign w:val="subscript"/>
                <w:lang w:bidi="ar"/>
              </w:rPr>
              <w:t>3</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（m</w:t>
            </w:r>
            <w:r>
              <w:rPr>
                <w:rStyle w:val="347"/>
                <w:rFonts w:hint="default" w:ascii="Times New Roman" w:hAnsi="Times New Roman" w:eastAsia="宋体" w:cs="Times New Roman"/>
                <w:color w:val="auto"/>
                <w:sz w:val="21"/>
                <w:szCs w:val="21"/>
                <w:vertAlign w:val="superscript"/>
                <w:lang w:bidi="ar"/>
              </w:rPr>
              <w:t>3</w:t>
            </w:r>
            <w:r>
              <w:rPr>
                <w:rFonts w:hint="default" w:ascii="Times New Roman" w:hAnsi="Times New Roman" w:eastAsia="宋体" w:cs="Times New Roman"/>
                <w:color w:val="auto"/>
                <w:kern w:val="0"/>
                <w:sz w:val="21"/>
                <w:szCs w:val="21"/>
                <w:lang w:bidi="ar"/>
              </w:rPr>
              <w:t>）</w:t>
            </w:r>
          </w:p>
        </w:tc>
        <w:tc>
          <w:tcPr>
            <w:tcW w:w="1760" w:type="dxa"/>
            <w:vMerge w:val="restart"/>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V</w:t>
            </w:r>
            <w:r>
              <w:rPr>
                <w:rFonts w:hint="default" w:ascii="Times New Roman" w:hAnsi="Times New Roman" w:eastAsia="宋体" w:cs="Times New Roman"/>
                <w:color w:val="auto"/>
                <w:kern w:val="0"/>
                <w:sz w:val="21"/>
                <w:szCs w:val="21"/>
                <w:vertAlign w:val="subscript"/>
                <w:lang w:bidi="ar"/>
              </w:rPr>
              <w:t>1</w:t>
            </w:r>
            <w:r>
              <w:rPr>
                <w:rFonts w:hint="default" w:ascii="Times New Roman" w:hAnsi="Times New Roman" w:eastAsia="宋体" w:cs="Times New Roman"/>
                <w:color w:val="auto"/>
                <w:kern w:val="0"/>
                <w:sz w:val="21"/>
                <w:szCs w:val="21"/>
                <w:lang w:bidi="ar"/>
              </w:rPr>
              <w:t>＋V</w:t>
            </w:r>
            <w:r>
              <w:rPr>
                <w:rFonts w:hint="default" w:ascii="Times New Roman" w:hAnsi="Times New Roman" w:eastAsia="宋体" w:cs="Times New Roman"/>
                <w:color w:val="auto"/>
                <w:kern w:val="0"/>
                <w:sz w:val="21"/>
                <w:szCs w:val="21"/>
                <w:vertAlign w:val="subscript"/>
                <w:lang w:bidi="ar"/>
              </w:rPr>
              <w:t>2</w:t>
            </w:r>
            <w:r>
              <w:rPr>
                <w:rFonts w:hint="default" w:ascii="Times New Roman" w:hAnsi="Times New Roman" w:eastAsia="宋体" w:cs="Times New Roman"/>
                <w:color w:val="auto"/>
                <w:kern w:val="0"/>
                <w:sz w:val="21"/>
                <w:szCs w:val="21"/>
                <w:lang w:bidi="ar"/>
              </w:rPr>
              <w:t>－V</w:t>
            </w:r>
            <w:r>
              <w:rPr>
                <w:rFonts w:hint="default" w:ascii="Times New Roman" w:hAnsi="Times New Roman" w:eastAsia="宋体" w:cs="Times New Roman"/>
                <w:color w:val="auto"/>
                <w:kern w:val="0"/>
                <w:sz w:val="21"/>
                <w:szCs w:val="21"/>
                <w:vertAlign w:val="subscript"/>
                <w:lang w:bidi="ar"/>
              </w:rPr>
              <w:t>3</w:t>
            </w:r>
            <w:r>
              <w:rPr>
                <w:rFonts w:hint="default" w:ascii="Times New Roman" w:hAnsi="Times New Roman" w:eastAsia="宋体" w:cs="Times New Roman"/>
                <w:color w:val="auto"/>
                <w:kern w:val="0"/>
                <w:sz w:val="21"/>
                <w:szCs w:val="21"/>
                <w:lang w:bidi="ar"/>
              </w:rPr>
              <w:t>（m</w:t>
            </w:r>
            <w:r>
              <w:rPr>
                <w:rStyle w:val="347"/>
                <w:rFonts w:hint="default" w:ascii="Times New Roman" w:hAnsi="Times New Roman" w:eastAsia="宋体" w:cs="Times New Roman"/>
                <w:color w:val="auto"/>
                <w:sz w:val="21"/>
                <w:szCs w:val="21"/>
                <w:vertAlign w:val="superscript"/>
                <w:lang w:bidi="ar"/>
              </w:rPr>
              <w:t>3</w:t>
            </w:r>
            <w:r>
              <w:rPr>
                <w:rFonts w:hint="default" w:ascii="Times New Roman" w:hAnsi="Times New Roman" w:eastAsia="宋体" w:cs="Times New Roman"/>
                <w:color w:val="auto"/>
                <w:kern w:val="0"/>
                <w:sz w:val="21"/>
                <w:szCs w:val="21"/>
                <w:lang w:bidi="ar"/>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37" w:hRule="atLeast"/>
        </w:trPr>
        <w:tc>
          <w:tcPr>
            <w:vMerge w:val="continue"/>
            <w:tcBorders>
              <w:left w:val="single" w:color="auto" w:sz="4" w:space="0"/>
            </w:tcBorders>
            <w:noWrap w:val="0"/>
            <w:tcMar>
              <w:top w:w="13" w:type="dxa"/>
              <w:left w:w="13" w:type="dxa"/>
              <w:right w:w="13" w:type="dxa"/>
            </w:tcMar>
          </w:tcPr>
          <w:p/>
        </w:tc>
        <w:tc>
          <w:tcPr>
            <w:vMerge w:val="continue"/>
            <w:noWrap w:val="0"/>
            <w:tcMar>
              <w:top w:w="13" w:type="dxa"/>
              <w:left w:w="13" w:type="dxa"/>
              <w:right w:w="13" w:type="dxa"/>
            </w:tcMar>
          </w:tcPr>
          <w:p/>
        </w:tc>
        <w:tc>
          <w:tcPr>
            <w:tcW w:w="1616"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消防水量（L/S）</w:t>
            </w:r>
          </w:p>
        </w:tc>
        <w:tc>
          <w:tcPr>
            <w:tcW w:w="1791"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火灾持续时间（h）</w:t>
            </w:r>
          </w:p>
        </w:tc>
        <w:tc>
          <w:tcPr>
            <w:tcW w:w="956"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V</w:t>
            </w:r>
            <w:r>
              <w:rPr>
                <w:rFonts w:hint="default" w:ascii="Times New Roman" w:hAnsi="Times New Roman" w:eastAsia="宋体" w:cs="Times New Roman"/>
                <w:color w:val="auto"/>
                <w:kern w:val="0"/>
                <w:sz w:val="21"/>
                <w:szCs w:val="21"/>
                <w:vertAlign w:val="subscript"/>
                <w:lang w:bidi="ar"/>
              </w:rPr>
              <w:t>2</w:t>
            </w:r>
            <w:r>
              <w:rPr>
                <w:rFonts w:hint="default" w:ascii="Times New Roman" w:hAnsi="Times New Roman" w:eastAsia="宋体" w:cs="Times New Roman"/>
                <w:color w:val="auto"/>
                <w:kern w:val="0"/>
                <w:sz w:val="21"/>
                <w:szCs w:val="21"/>
                <w:lang w:bidi="ar"/>
              </w:rPr>
              <w:t>（m</w:t>
            </w:r>
            <w:r>
              <w:rPr>
                <w:rStyle w:val="347"/>
                <w:rFonts w:hint="default" w:ascii="Times New Roman" w:hAnsi="Times New Roman" w:eastAsia="宋体" w:cs="Times New Roman"/>
                <w:color w:val="auto"/>
                <w:sz w:val="21"/>
                <w:szCs w:val="21"/>
                <w:vertAlign w:val="superscript"/>
                <w:lang w:bidi="ar"/>
              </w:rPr>
              <w:t>3</w:t>
            </w:r>
            <w:r>
              <w:rPr>
                <w:rFonts w:hint="default" w:ascii="Times New Roman" w:hAnsi="Times New Roman" w:eastAsia="宋体" w:cs="Times New Roman"/>
                <w:color w:val="auto"/>
                <w:kern w:val="0"/>
                <w:sz w:val="21"/>
                <w:szCs w:val="21"/>
                <w:lang w:bidi="ar"/>
              </w:rPr>
              <w:t>）</w:t>
            </w:r>
          </w:p>
        </w:tc>
        <w:tc>
          <w:tcPr>
            <w:vMerge w:val="continue"/>
            <w:noWrap w:val="0"/>
            <w:tcMar>
              <w:top w:w="13" w:type="dxa"/>
              <w:left w:w="13" w:type="dxa"/>
              <w:right w:w="13" w:type="dxa"/>
            </w:tcMar>
          </w:tcPr>
          <w:p/>
        </w:tc>
        <w:tc>
          <w:tcPr>
            <w:vMerge w:val="continue"/>
            <w:tcBorders>
              <w:right w:val="single" w:color="auto" w:sz="4" w:space="0"/>
            </w:tcBorders>
            <w:noWrap w:val="0"/>
            <w:tcMar>
              <w:top w:w="13" w:type="dxa"/>
              <w:left w:w="13" w:type="dxa"/>
              <w:right w:w="13" w:type="dxa"/>
            </w:tcMar>
          </w:tc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8" w:hRule="atLeast"/>
        </w:trPr>
        <w:tc>
          <w:tcPr>
            <w:tcW w:w="1471" w:type="dxa"/>
            <w:tcBorders>
              <w:lef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罐区</w:t>
            </w:r>
          </w:p>
        </w:tc>
        <w:tc>
          <w:tcPr>
            <w:tcW w:w="751"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outlineLvl w:val="9"/>
              <w:rPr>
                <w:rFonts w:hint="default" w:ascii="Times New Roman" w:hAnsi="Times New Roman" w:eastAsia="宋体" w:cs="Times New Roman"/>
                <w:b w:val="0"/>
                <w:bCs w:val="0"/>
                <w:color w:val="auto"/>
                <w:sz w:val="21"/>
                <w:szCs w:val="21"/>
                <w:vertAlign w:val="superscript"/>
                <w:lang w:val="en-US" w:eastAsia="zh-CN"/>
              </w:rPr>
            </w:pPr>
            <w:r>
              <w:rPr>
                <w:rFonts w:hint="default" w:ascii="Times New Roman" w:hAnsi="Times New Roman" w:eastAsia="宋体" w:cs="Times New Roman"/>
                <w:b w:val="0"/>
                <w:bCs w:val="0"/>
                <w:color w:val="auto"/>
                <w:sz w:val="21"/>
                <w:szCs w:val="21"/>
                <w:lang w:val="en-US" w:eastAsia="zh-CN"/>
              </w:rPr>
              <w:t>42.5</w:t>
            </w:r>
          </w:p>
        </w:tc>
        <w:tc>
          <w:tcPr>
            <w:tcW w:w="1616"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outlineLvl w:val="9"/>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fldChar w:fldCharType="begin"/>
            </w:r>
            <w:r>
              <w:rPr>
                <w:rFonts w:hint="default" w:ascii="Times New Roman" w:hAnsi="Times New Roman" w:eastAsia="宋体" w:cs="Times New Roman"/>
                <w:b w:val="0"/>
                <w:bCs w:val="0"/>
                <w:color w:val="auto"/>
                <w:sz w:val="21"/>
                <w:szCs w:val="21"/>
                <w:lang w:eastAsia="zh-CN"/>
              </w:rPr>
              <w:instrText xml:space="preserve"> =0.8*3.14*3.3+0.7*（3.14*3.3/2+3.14*1.5/2） \# "0.00" \* MERGEFORMAT </w:instrText>
            </w:r>
            <w:r>
              <w:rPr>
                <w:rFonts w:hint="default" w:ascii="Times New Roman" w:hAnsi="Times New Roman" w:eastAsia="宋体" w:cs="Times New Roman"/>
                <w:b w:val="0"/>
                <w:bCs w:val="0"/>
                <w:color w:val="auto"/>
                <w:sz w:val="21"/>
                <w:szCs w:val="21"/>
                <w:lang w:eastAsia="zh-CN"/>
              </w:rPr>
              <w:fldChar w:fldCharType="separate"/>
            </w:r>
            <w:r>
              <w:rPr>
                <w:rFonts w:hint="default" w:ascii="Times New Roman" w:hAnsi="Times New Roman" w:eastAsia="宋体" w:cs="Times New Roman"/>
                <w:color w:val="auto"/>
                <w:sz w:val="21"/>
                <w:szCs w:val="21"/>
              </w:rPr>
              <w:t>13.56</w:t>
            </w:r>
            <w:r>
              <w:rPr>
                <w:rFonts w:hint="default" w:ascii="Times New Roman" w:hAnsi="Times New Roman" w:eastAsia="宋体" w:cs="Times New Roman"/>
                <w:b w:val="0"/>
                <w:bCs w:val="0"/>
                <w:color w:val="auto"/>
                <w:sz w:val="21"/>
                <w:szCs w:val="21"/>
                <w:lang w:eastAsia="zh-CN"/>
              </w:rPr>
              <w:fldChar w:fldCharType="end"/>
            </w:r>
          </w:p>
        </w:tc>
        <w:tc>
          <w:tcPr>
            <w:tcW w:w="1791"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outlineLvl w:val="9"/>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b w:val="0"/>
                <w:bCs w:val="0"/>
                <w:i w:val="0"/>
                <w:color w:val="auto"/>
                <w:kern w:val="0"/>
                <w:sz w:val="21"/>
                <w:szCs w:val="21"/>
                <w:u w:val="none"/>
                <w:lang w:val="en-US" w:eastAsia="zh-CN" w:bidi="ar"/>
              </w:rPr>
              <w:t>6</w:t>
            </w:r>
          </w:p>
        </w:tc>
        <w:tc>
          <w:tcPr>
            <w:tcW w:w="956"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outlineLvl w:val="9"/>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fldChar w:fldCharType="begin"/>
            </w:r>
            <w:r>
              <w:rPr>
                <w:rFonts w:hint="default" w:ascii="Times New Roman" w:hAnsi="Times New Roman" w:eastAsia="宋体" w:cs="Times New Roman"/>
                <w:b w:val="0"/>
                <w:bCs w:val="0"/>
                <w:color w:val="auto"/>
                <w:sz w:val="21"/>
                <w:szCs w:val="21"/>
                <w:lang w:eastAsia="zh-CN"/>
              </w:rPr>
              <w:instrText xml:space="preserve"> =13.56*60*60*6/1000 \# "0.00" \* MERGEFORMAT </w:instrText>
            </w:r>
            <w:r>
              <w:rPr>
                <w:rFonts w:hint="default" w:ascii="Times New Roman" w:hAnsi="Times New Roman" w:eastAsia="宋体" w:cs="Times New Roman"/>
                <w:b w:val="0"/>
                <w:bCs w:val="0"/>
                <w:color w:val="auto"/>
                <w:sz w:val="21"/>
                <w:szCs w:val="21"/>
                <w:lang w:eastAsia="zh-CN"/>
              </w:rPr>
              <w:fldChar w:fldCharType="separate"/>
            </w:r>
            <w:r>
              <w:rPr>
                <w:rFonts w:hint="default" w:ascii="Times New Roman" w:hAnsi="Times New Roman" w:eastAsia="宋体" w:cs="Times New Roman"/>
                <w:color w:val="auto"/>
                <w:sz w:val="21"/>
                <w:szCs w:val="21"/>
              </w:rPr>
              <w:t>292.90</w:t>
            </w:r>
            <w:r>
              <w:rPr>
                <w:rFonts w:hint="default" w:ascii="Times New Roman" w:hAnsi="Times New Roman" w:eastAsia="宋体" w:cs="Times New Roman"/>
                <w:b w:val="0"/>
                <w:bCs w:val="0"/>
                <w:color w:val="auto"/>
                <w:sz w:val="21"/>
                <w:szCs w:val="21"/>
                <w:lang w:eastAsia="zh-CN"/>
              </w:rPr>
              <w:fldChar w:fldCharType="end"/>
            </w:r>
          </w:p>
        </w:tc>
        <w:tc>
          <w:tcPr>
            <w:tcW w:w="751"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outlineLvl w:val="9"/>
              <w:rPr>
                <w:rFonts w:hint="default" w:ascii="Times New Roman" w:hAnsi="Times New Roman" w:eastAsia="宋体" w:cs="Times New Roman"/>
                <w:b w:val="0"/>
                <w:bCs w:val="0"/>
                <w:color w:val="auto"/>
                <w:kern w:val="0"/>
                <w:sz w:val="21"/>
                <w:szCs w:val="21"/>
                <w:lang w:eastAsia="zh-CN" w:bidi="ar"/>
              </w:rPr>
            </w:pPr>
            <w:r>
              <w:rPr>
                <w:rFonts w:hint="default" w:ascii="Times New Roman" w:hAnsi="Times New Roman" w:eastAsia="宋体" w:cs="Times New Roman"/>
                <w:b w:val="0"/>
                <w:bCs w:val="0"/>
                <w:color w:val="auto"/>
                <w:kern w:val="0"/>
                <w:sz w:val="21"/>
                <w:szCs w:val="21"/>
                <w:lang w:eastAsia="zh-CN" w:bidi="ar"/>
              </w:rPr>
              <w:fldChar w:fldCharType="begin"/>
            </w:r>
            <w:r>
              <w:rPr>
                <w:rFonts w:hint="default" w:ascii="Times New Roman" w:hAnsi="Times New Roman" w:eastAsia="宋体" w:cs="Times New Roman"/>
                <w:b w:val="0"/>
                <w:bCs w:val="0"/>
                <w:color w:val="auto"/>
                <w:kern w:val="0"/>
                <w:sz w:val="21"/>
                <w:szCs w:val="21"/>
                <w:lang w:eastAsia="zh-CN" w:bidi="ar"/>
              </w:rPr>
              <w:instrText xml:space="preserve"> =126*6.0-3.14*1.65*1.65*2-3.14*1.5*1.5*3 \# "0.00" \* MERGEFORMAT </w:instrText>
            </w:r>
            <w:r>
              <w:rPr>
                <w:rFonts w:hint="default" w:ascii="Times New Roman" w:hAnsi="Times New Roman" w:eastAsia="宋体" w:cs="Times New Roman"/>
                <w:b w:val="0"/>
                <w:bCs w:val="0"/>
                <w:color w:val="auto"/>
                <w:kern w:val="0"/>
                <w:sz w:val="21"/>
                <w:szCs w:val="21"/>
                <w:lang w:eastAsia="zh-CN" w:bidi="ar"/>
              </w:rPr>
              <w:fldChar w:fldCharType="separate"/>
            </w:r>
            <w:r>
              <w:rPr>
                <w:rFonts w:hint="default" w:ascii="Times New Roman" w:hAnsi="Times New Roman" w:eastAsia="宋体" w:cs="Times New Roman"/>
                <w:color w:val="auto"/>
                <w:sz w:val="21"/>
                <w:szCs w:val="21"/>
              </w:rPr>
              <w:t>717.71</w:t>
            </w:r>
            <w:r>
              <w:rPr>
                <w:rFonts w:hint="default" w:ascii="Times New Roman" w:hAnsi="Times New Roman" w:eastAsia="宋体" w:cs="Times New Roman"/>
                <w:b w:val="0"/>
                <w:bCs w:val="0"/>
                <w:color w:val="auto"/>
                <w:kern w:val="0"/>
                <w:sz w:val="21"/>
                <w:szCs w:val="21"/>
                <w:lang w:eastAsia="zh-CN" w:bidi="ar"/>
              </w:rPr>
              <w:fldChar w:fldCharType="end"/>
            </w:r>
          </w:p>
        </w:tc>
        <w:tc>
          <w:tcPr>
            <w:tcW w:w="1760"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outlineLvl w:val="9"/>
              <w:rPr>
                <w:rFonts w:hint="default" w:ascii="Times New Roman" w:hAnsi="Times New Roman" w:eastAsia="宋体" w:cs="Times New Roman"/>
                <w:b w:val="0"/>
                <w:bCs w:val="0"/>
                <w:color w:val="auto"/>
                <w:kern w:val="0"/>
                <w:sz w:val="21"/>
                <w:szCs w:val="21"/>
                <w:lang w:eastAsia="zh-CN" w:bidi="ar"/>
              </w:rPr>
            </w:pPr>
            <w:r>
              <w:rPr>
                <w:rFonts w:hint="default" w:ascii="Times New Roman" w:hAnsi="Times New Roman" w:eastAsia="宋体" w:cs="Times New Roman"/>
                <w:b w:val="0"/>
                <w:bCs w:val="0"/>
                <w:color w:val="auto"/>
                <w:kern w:val="0"/>
                <w:sz w:val="21"/>
                <w:szCs w:val="21"/>
                <w:lang w:eastAsia="zh-CN" w:bidi="ar"/>
              </w:rPr>
              <w:fldChar w:fldCharType="begin"/>
            </w:r>
            <w:r>
              <w:rPr>
                <w:rFonts w:hint="default" w:ascii="Times New Roman" w:hAnsi="Times New Roman" w:eastAsia="宋体" w:cs="Times New Roman"/>
                <w:b w:val="0"/>
                <w:bCs w:val="0"/>
                <w:color w:val="auto"/>
                <w:kern w:val="0"/>
                <w:sz w:val="21"/>
                <w:szCs w:val="21"/>
                <w:lang w:eastAsia="zh-CN" w:bidi="ar"/>
              </w:rPr>
              <w:instrText xml:space="preserve"> =42.5+292.9-717.71 \* MERGEFORMAT </w:instrText>
            </w:r>
            <w:r>
              <w:rPr>
                <w:rFonts w:hint="default" w:ascii="Times New Roman" w:hAnsi="Times New Roman" w:eastAsia="宋体" w:cs="Times New Roman"/>
                <w:b w:val="0"/>
                <w:bCs w:val="0"/>
                <w:color w:val="auto"/>
                <w:kern w:val="0"/>
                <w:sz w:val="21"/>
                <w:szCs w:val="21"/>
                <w:lang w:eastAsia="zh-CN" w:bidi="ar"/>
              </w:rPr>
              <w:fldChar w:fldCharType="separate"/>
            </w:r>
            <w:r>
              <w:rPr>
                <w:rFonts w:hint="default" w:ascii="Times New Roman" w:hAnsi="Times New Roman" w:eastAsia="宋体" w:cs="Times New Roman"/>
                <w:b w:val="0"/>
                <w:bCs w:val="0"/>
                <w:color w:val="auto"/>
                <w:kern w:val="0"/>
                <w:sz w:val="21"/>
                <w:szCs w:val="21"/>
                <w:lang w:eastAsia="zh-CN" w:bidi="ar"/>
              </w:rPr>
              <w:t>-382.31</w:t>
            </w:r>
            <w:r>
              <w:rPr>
                <w:rFonts w:hint="default" w:ascii="Times New Roman" w:hAnsi="Times New Roman" w:eastAsia="宋体" w:cs="Times New Roman"/>
                <w:b w:val="0"/>
                <w:bCs w:val="0"/>
                <w:color w:val="auto"/>
                <w:kern w:val="0"/>
                <w:sz w:val="21"/>
                <w:szCs w:val="21"/>
                <w:lang w:eastAsia="zh-CN" w:bidi="ar"/>
              </w:rPr>
              <w:fldChar w:fldCharType="end"/>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8" w:hRule="atLeast"/>
        </w:trPr>
        <w:tc>
          <w:tcPr>
            <w:tcW w:w="1471" w:type="dxa"/>
            <w:tcBorders>
              <w:lef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二号车间</w:t>
            </w:r>
          </w:p>
        </w:tc>
        <w:tc>
          <w:tcPr>
            <w:tcW w:w="751"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outlineLvl w:val="9"/>
              <w:rPr>
                <w:rFonts w:hint="default" w:ascii="Times New Roman" w:hAnsi="Times New Roman" w:eastAsia="宋体" w:cs="Times New Roman"/>
                <w:b w:val="0"/>
                <w:bCs w:val="0"/>
                <w:color w:val="auto"/>
                <w:sz w:val="21"/>
                <w:szCs w:val="21"/>
                <w:vertAlign w:val="superscript"/>
                <w:lang w:val="en-US"/>
              </w:rPr>
            </w:pPr>
            <w:r>
              <w:rPr>
                <w:rFonts w:hint="default" w:ascii="Times New Roman" w:hAnsi="Times New Roman" w:eastAsia="宋体" w:cs="Times New Roman"/>
                <w:b w:val="0"/>
                <w:bCs w:val="0"/>
                <w:i w:val="0"/>
                <w:color w:val="auto"/>
                <w:kern w:val="0"/>
                <w:sz w:val="21"/>
                <w:szCs w:val="21"/>
                <w:u w:val="none"/>
                <w:lang w:val="en-US" w:eastAsia="zh-CN" w:bidi="ar"/>
              </w:rPr>
              <w:t>5</w:t>
            </w:r>
          </w:p>
        </w:tc>
        <w:tc>
          <w:tcPr>
            <w:tcW w:w="1616"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outlineLvl w:val="9"/>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i w:val="0"/>
                <w:color w:val="auto"/>
                <w:kern w:val="0"/>
                <w:sz w:val="21"/>
                <w:szCs w:val="21"/>
                <w:u w:val="none"/>
                <w:lang w:val="en-US" w:eastAsia="zh-CN" w:bidi="ar"/>
              </w:rPr>
              <w:t>55</w:t>
            </w:r>
          </w:p>
        </w:tc>
        <w:tc>
          <w:tcPr>
            <w:tcW w:w="1791"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outlineLvl w:val="9"/>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b w:val="0"/>
                <w:bCs w:val="0"/>
                <w:i w:val="0"/>
                <w:color w:val="auto"/>
                <w:kern w:val="0"/>
                <w:sz w:val="21"/>
                <w:szCs w:val="21"/>
                <w:u w:val="none"/>
                <w:lang w:val="en-US" w:eastAsia="zh-CN" w:bidi="ar"/>
              </w:rPr>
              <w:t>6</w:t>
            </w:r>
          </w:p>
        </w:tc>
        <w:tc>
          <w:tcPr>
            <w:tcW w:w="956"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outlineLvl w:val="9"/>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i w:val="0"/>
                <w:color w:val="auto"/>
                <w:kern w:val="0"/>
                <w:sz w:val="21"/>
                <w:szCs w:val="21"/>
                <w:u w:val="none"/>
                <w:lang w:eastAsia="zh-CN" w:bidi="ar"/>
              </w:rPr>
              <w:fldChar w:fldCharType="begin"/>
            </w:r>
            <w:r>
              <w:rPr>
                <w:rFonts w:hint="default" w:ascii="Times New Roman" w:hAnsi="Times New Roman" w:eastAsia="宋体" w:cs="Times New Roman"/>
                <w:b w:val="0"/>
                <w:bCs w:val="0"/>
                <w:i w:val="0"/>
                <w:color w:val="auto"/>
                <w:kern w:val="0"/>
                <w:sz w:val="21"/>
                <w:szCs w:val="21"/>
                <w:u w:val="none"/>
                <w:lang w:eastAsia="zh-CN" w:bidi="ar"/>
              </w:rPr>
              <w:instrText xml:space="preserve"> =55*60*60*6/1000 \* MERGEFORMAT </w:instrText>
            </w:r>
            <w:r>
              <w:rPr>
                <w:rFonts w:hint="default" w:ascii="Times New Roman" w:hAnsi="Times New Roman" w:eastAsia="宋体" w:cs="Times New Roman"/>
                <w:b w:val="0"/>
                <w:bCs w:val="0"/>
                <w:i w:val="0"/>
                <w:color w:val="auto"/>
                <w:kern w:val="0"/>
                <w:sz w:val="21"/>
                <w:szCs w:val="21"/>
                <w:u w:val="none"/>
                <w:lang w:eastAsia="zh-CN" w:bidi="ar"/>
              </w:rPr>
              <w:fldChar w:fldCharType="separate"/>
            </w:r>
            <w:r>
              <w:rPr>
                <w:rFonts w:hint="default" w:ascii="Times New Roman" w:hAnsi="Times New Roman" w:eastAsia="宋体" w:cs="Times New Roman"/>
                <w:b w:val="0"/>
                <w:bCs w:val="0"/>
                <w:i w:val="0"/>
                <w:color w:val="auto"/>
                <w:kern w:val="0"/>
                <w:sz w:val="21"/>
                <w:szCs w:val="21"/>
                <w:u w:val="none"/>
                <w:lang w:eastAsia="zh-CN" w:bidi="ar"/>
              </w:rPr>
              <w:t>1188</w:t>
            </w:r>
            <w:r>
              <w:rPr>
                <w:rFonts w:hint="default" w:ascii="Times New Roman" w:hAnsi="Times New Roman" w:eastAsia="宋体" w:cs="Times New Roman"/>
                <w:b w:val="0"/>
                <w:bCs w:val="0"/>
                <w:i w:val="0"/>
                <w:color w:val="auto"/>
                <w:kern w:val="0"/>
                <w:sz w:val="21"/>
                <w:szCs w:val="21"/>
                <w:u w:val="none"/>
                <w:lang w:eastAsia="zh-CN" w:bidi="ar"/>
              </w:rPr>
              <w:fldChar w:fldCharType="end"/>
            </w:r>
          </w:p>
        </w:tc>
        <w:tc>
          <w:tcPr>
            <w:tcW w:w="751"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outlineLvl w:val="9"/>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b w:val="0"/>
                <w:bCs w:val="0"/>
                <w:i w:val="0"/>
                <w:color w:val="auto"/>
                <w:kern w:val="0"/>
                <w:sz w:val="21"/>
                <w:szCs w:val="21"/>
                <w:u w:val="none"/>
                <w:lang w:val="en-US" w:eastAsia="zh-CN" w:bidi="ar"/>
              </w:rPr>
              <w:t>/</w:t>
            </w:r>
          </w:p>
        </w:tc>
        <w:tc>
          <w:tcPr>
            <w:tcW w:w="1760"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outlineLvl w:val="9"/>
              <w:rPr>
                <w:rFonts w:hint="default" w:ascii="Times New Roman" w:hAnsi="Times New Roman" w:eastAsia="宋体" w:cs="Times New Roman"/>
                <w:b w:val="0"/>
                <w:bCs w:val="0"/>
                <w:color w:val="auto"/>
                <w:kern w:val="0"/>
                <w:sz w:val="21"/>
                <w:szCs w:val="21"/>
                <w:lang w:eastAsia="zh-CN" w:bidi="ar"/>
              </w:rPr>
            </w:pPr>
            <w:r>
              <w:rPr>
                <w:rFonts w:hint="default" w:ascii="Times New Roman" w:hAnsi="Times New Roman" w:eastAsia="宋体" w:cs="Times New Roman"/>
                <w:b w:val="0"/>
                <w:bCs w:val="0"/>
                <w:color w:val="auto"/>
                <w:kern w:val="0"/>
                <w:sz w:val="21"/>
                <w:szCs w:val="21"/>
                <w:lang w:eastAsia="zh-CN" w:bidi="ar"/>
              </w:rPr>
              <w:fldChar w:fldCharType="begin"/>
            </w:r>
            <w:r>
              <w:rPr>
                <w:rFonts w:hint="default" w:ascii="Times New Roman" w:hAnsi="Times New Roman" w:eastAsia="宋体" w:cs="Times New Roman"/>
                <w:b w:val="0"/>
                <w:bCs w:val="0"/>
                <w:color w:val="auto"/>
                <w:kern w:val="0"/>
                <w:sz w:val="21"/>
                <w:szCs w:val="21"/>
                <w:lang w:eastAsia="zh-CN" w:bidi="ar"/>
              </w:rPr>
              <w:instrText xml:space="preserve"> =5+1188 \* MERGEFORMAT </w:instrText>
            </w:r>
            <w:r>
              <w:rPr>
                <w:rFonts w:hint="default" w:ascii="Times New Roman" w:hAnsi="Times New Roman" w:eastAsia="宋体" w:cs="Times New Roman"/>
                <w:b w:val="0"/>
                <w:bCs w:val="0"/>
                <w:color w:val="auto"/>
                <w:kern w:val="0"/>
                <w:sz w:val="21"/>
                <w:szCs w:val="21"/>
                <w:lang w:eastAsia="zh-CN" w:bidi="ar"/>
              </w:rPr>
              <w:fldChar w:fldCharType="separate"/>
            </w:r>
            <w:r>
              <w:rPr>
                <w:rFonts w:hint="default" w:ascii="Times New Roman" w:hAnsi="Times New Roman" w:eastAsia="宋体" w:cs="Times New Roman"/>
                <w:b w:val="0"/>
                <w:bCs w:val="0"/>
                <w:color w:val="auto"/>
                <w:kern w:val="0"/>
                <w:sz w:val="21"/>
                <w:szCs w:val="21"/>
                <w:lang w:eastAsia="zh-CN" w:bidi="ar"/>
              </w:rPr>
              <w:t>1193</w:t>
            </w:r>
            <w:r>
              <w:rPr>
                <w:rFonts w:hint="default" w:ascii="Times New Roman" w:hAnsi="Times New Roman" w:eastAsia="宋体" w:cs="Times New Roman"/>
                <w:b w:val="0"/>
                <w:bCs w:val="0"/>
                <w:color w:val="auto"/>
                <w:kern w:val="0"/>
                <w:sz w:val="21"/>
                <w:szCs w:val="21"/>
                <w:lang w:eastAsia="zh-CN" w:bidi="ar"/>
              </w:rPr>
              <w:fldChar w:fldCharType="end"/>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8" w:hRule="atLeast"/>
        </w:trPr>
        <w:tc>
          <w:tcPr>
            <w:tcW w:w="1471" w:type="dxa"/>
            <w:tcBorders>
              <w:lef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综合仓库</w:t>
            </w:r>
          </w:p>
        </w:tc>
        <w:tc>
          <w:tcPr>
            <w:tcW w:w="751"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outlineLvl w:val="9"/>
              <w:rPr>
                <w:rFonts w:hint="default" w:ascii="Times New Roman" w:hAnsi="Times New Roman" w:eastAsia="宋体" w:cs="Times New Roman"/>
                <w:b w:val="0"/>
                <w:bCs w:val="0"/>
                <w:color w:val="auto"/>
                <w:sz w:val="21"/>
                <w:szCs w:val="21"/>
                <w:vertAlign w:val="superscript"/>
                <w:lang w:val="en-US"/>
              </w:rPr>
            </w:pPr>
            <w:r>
              <w:rPr>
                <w:rFonts w:hint="default" w:ascii="Times New Roman" w:hAnsi="Times New Roman" w:eastAsia="宋体" w:cs="Times New Roman"/>
                <w:b w:val="0"/>
                <w:bCs w:val="0"/>
                <w:i w:val="0"/>
                <w:color w:val="auto"/>
                <w:kern w:val="0"/>
                <w:sz w:val="21"/>
                <w:szCs w:val="21"/>
                <w:u w:val="none"/>
                <w:lang w:val="en-US" w:eastAsia="zh-CN" w:bidi="ar"/>
              </w:rPr>
              <w:t>10</w:t>
            </w:r>
          </w:p>
        </w:tc>
        <w:tc>
          <w:tcPr>
            <w:tcW w:w="1616"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outlineLvl w:val="9"/>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i w:val="0"/>
                <w:color w:val="auto"/>
                <w:kern w:val="0"/>
                <w:sz w:val="21"/>
                <w:szCs w:val="21"/>
                <w:u w:val="none"/>
                <w:lang w:val="en-US" w:eastAsia="zh-CN" w:bidi="ar"/>
              </w:rPr>
              <w:t>50</w:t>
            </w:r>
          </w:p>
        </w:tc>
        <w:tc>
          <w:tcPr>
            <w:tcW w:w="1791"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outlineLvl w:val="9"/>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b w:val="0"/>
                <w:bCs w:val="0"/>
                <w:i w:val="0"/>
                <w:color w:val="auto"/>
                <w:kern w:val="0"/>
                <w:sz w:val="21"/>
                <w:szCs w:val="21"/>
                <w:u w:val="none"/>
                <w:lang w:val="en-US" w:eastAsia="zh-CN" w:bidi="ar"/>
              </w:rPr>
              <w:t>6</w:t>
            </w:r>
          </w:p>
        </w:tc>
        <w:tc>
          <w:tcPr>
            <w:tcW w:w="956"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outlineLvl w:val="9"/>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fldChar w:fldCharType="begin"/>
            </w:r>
            <w:r>
              <w:rPr>
                <w:rFonts w:hint="default" w:ascii="Times New Roman" w:hAnsi="Times New Roman" w:eastAsia="宋体" w:cs="Times New Roman"/>
                <w:b w:val="0"/>
                <w:bCs w:val="0"/>
                <w:color w:val="auto"/>
                <w:sz w:val="21"/>
                <w:szCs w:val="21"/>
                <w:lang w:val="en-US" w:eastAsia="zh-CN"/>
              </w:rPr>
              <w:instrText xml:space="preserve"> =50*60*60*6/1000 \* MERGEFORMAT </w:instrText>
            </w:r>
            <w:r>
              <w:rPr>
                <w:rFonts w:hint="default" w:ascii="Times New Roman" w:hAnsi="Times New Roman" w:eastAsia="宋体" w:cs="Times New Roman"/>
                <w:b w:val="0"/>
                <w:bCs w:val="0"/>
                <w:color w:val="auto"/>
                <w:sz w:val="21"/>
                <w:szCs w:val="21"/>
                <w:lang w:val="en-US" w:eastAsia="zh-CN"/>
              </w:rPr>
              <w:fldChar w:fldCharType="separate"/>
            </w:r>
            <w:r>
              <w:rPr>
                <w:rFonts w:hint="default" w:ascii="Times New Roman" w:hAnsi="Times New Roman" w:eastAsia="宋体" w:cs="Times New Roman"/>
                <w:b w:val="0"/>
                <w:bCs w:val="0"/>
                <w:color w:val="auto"/>
                <w:sz w:val="21"/>
                <w:szCs w:val="21"/>
                <w:lang w:val="en-US" w:eastAsia="zh-CN"/>
              </w:rPr>
              <w:t>1080</w:t>
            </w:r>
            <w:r>
              <w:rPr>
                <w:rFonts w:hint="default" w:ascii="Times New Roman" w:hAnsi="Times New Roman" w:eastAsia="宋体" w:cs="Times New Roman"/>
                <w:b w:val="0"/>
                <w:bCs w:val="0"/>
                <w:color w:val="auto"/>
                <w:sz w:val="21"/>
                <w:szCs w:val="21"/>
                <w:lang w:val="en-US" w:eastAsia="zh-CN"/>
              </w:rPr>
              <w:fldChar w:fldCharType="end"/>
            </w:r>
          </w:p>
        </w:tc>
        <w:tc>
          <w:tcPr>
            <w:tcW w:w="751"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outlineLvl w:val="9"/>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b w:val="0"/>
                <w:bCs w:val="0"/>
                <w:i w:val="0"/>
                <w:color w:val="auto"/>
                <w:kern w:val="0"/>
                <w:sz w:val="21"/>
                <w:szCs w:val="21"/>
                <w:u w:val="none"/>
                <w:lang w:val="en-US" w:eastAsia="zh-CN" w:bidi="ar"/>
              </w:rPr>
              <w:t>/</w:t>
            </w:r>
          </w:p>
        </w:tc>
        <w:tc>
          <w:tcPr>
            <w:tcW w:w="1760"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jc w:val="center"/>
              <w:textAlignment w:val="center"/>
              <w:outlineLvl w:val="9"/>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b w:val="0"/>
                <w:bCs w:val="0"/>
                <w:color w:val="auto"/>
                <w:kern w:val="0"/>
                <w:sz w:val="21"/>
                <w:szCs w:val="21"/>
                <w:lang w:val="en-US" w:eastAsia="zh-CN" w:bidi="ar"/>
              </w:rPr>
              <w:fldChar w:fldCharType="begin"/>
            </w:r>
            <w:r>
              <w:rPr>
                <w:rFonts w:hint="default" w:ascii="Times New Roman" w:hAnsi="Times New Roman" w:eastAsia="宋体" w:cs="Times New Roman"/>
                <w:b w:val="0"/>
                <w:bCs w:val="0"/>
                <w:color w:val="auto"/>
                <w:kern w:val="0"/>
                <w:sz w:val="21"/>
                <w:szCs w:val="21"/>
                <w:lang w:val="en-US" w:eastAsia="zh-CN" w:bidi="ar"/>
              </w:rPr>
              <w:instrText xml:space="preserve"> =10+1080 \* MERGEFORMAT </w:instrText>
            </w:r>
            <w:r>
              <w:rPr>
                <w:rFonts w:hint="default" w:ascii="Times New Roman" w:hAnsi="Times New Roman" w:eastAsia="宋体" w:cs="Times New Roman"/>
                <w:b w:val="0"/>
                <w:bCs w:val="0"/>
                <w:color w:val="auto"/>
                <w:kern w:val="0"/>
                <w:sz w:val="21"/>
                <w:szCs w:val="21"/>
                <w:lang w:val="en-US" w:eastAsia="zh-CN" w:bidi="ar"/>
              </w:rPr>
              <w:fldChar w:fldCharType="separate"/>
            </w:r>
            <w:r>
              <w:rPr>
                <w:rFonts w:hint="default" w:ascii="Times New Roman" w:hAnsi="Times New Roman" w:eastAsia="宋体" w:cs="Times New Roman"/>
                <w:b w:val="0"/>
                <w:bCs w:val="0"/>
                <w:color w:val="auto"/>
                <w:kern w:val="0"/>
                <w:sz w:val="21"/>
                <w:szCs w:val="21"/>
                <w:lang w:val="en-US" w:eastAsia="zh-CN" w:bidi="ar"/>
              </w:rPr>
              <w:t>1090</w:t>
            </w:r>
            <w:r>
              <w:rPr>
                <w:rFonts w:hint="default" w:ascii="Times New Roman" w:hAnsi="Times New Roman" w:eastAsia="宋体" w:cs="Times New Roman"/>
                <w:b w:val="0"/>
                <w:bCs w:val="0"/>
                <w:color w:val="auto"/>
                <w:kern w:val="0"/>
                <w:sz w:val="21"/>
                <w:szCs w:val="21"/>
                <w:lang w:val="en-US" w:eastAsia="zh-CN" w:bidi="ar"/>
              </w:rPr>
              <w:fldChar w:fldCharType="end"/>
            </w:r>
          </w:p>
        </w:tc>
      </w:tr>
    </w:tbl>
    <w:p>
      <w:pPr>
        <w:spacing w:line="240" w:lineRule="auto"/>
        <w:ind w:firstLine="0"/>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val="zh-CN" w:bidi="ar"/>
        </w:rPr>
        <w:t>注：</w:t>
      </w:r>
      <w:r>
        <w:rPr>
          <w:rFonts w:hint="default" w:ascii="Times New Roman" w:hAnsi="Times New Roman" w:eastAsia="宋体" w:cs="Times New Roman"/>
          <w:color w:val="auto"/>
          <w:sz w:val="21"/>
          <w:szCs w:val="21"/>
          <w:lang w:bidi="ar"/>
        </w:rPr>
        <w:t>a：</w:t>
      </w:r>
      <w:r>
        <w:rPr>
          <w:rFonts w:hint="default" w:ascii="Times New Roman" w:hAnsi="Times New Roman" w:eastAsia="宋体" w:cs="Times New Roman"/>
          <w:color w:val="auto"/>
          <w:sz w:val="21"/>
        </w:rPr>
        <w:t>装置泄漏物料量以装置中物料最大一台反应器计，储罐泄漏物料量一罐组中最大储罐计</w:t>
      </w:r>
      <w:r>
        <w:rPr>
          <w:rFonts w:hint="default" w:ascii="Times New Roman" w:hAnsi="Times New Roman" w:eastAsia="宋体" w:cs="Times New Roman"/>
          <w:color w:val="auto"/>
          <w:sz w:val="21"/>
          <w:szCs w:val="21"/>
          <w:lang w:bidi="ar"/>
        </w:rPr>
        <w:t>。</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由上表计算可知，</w:t>
      </w:r>
      <w:r>
        <w:rPr>
          <w:rFonts w:hint="default" w:ascii="Times New Roman" w:hAnsi="Times New Roman" w:eastAsia="宋体" w:cs="Times New Roman"/>
          <w:color w:val="auto"/>
          <w:sz w:val="24"/>
          <w:szCs w:val="24"/>
          <w:lang w:val="en-US" w:eastAsia="zh-CN" w:bidi="ar"/>
        </w:rPr>
        <w:t>厂区风险性代表单元</w:t>
      </w: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1</w:t>
      </w: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)max出现在</w:t>
      </w:r>
      <w:r>
        <w:rPr>
          <w:rFonts w:hint="default" w:ascii="Times New Roman" w:hAnsi="Times New Roman" w:eastAsia="宋体" w:cs="Times New Roman"/>
          <w:color w:val="auto"/>
          <w:kern w:val="0"/>
          <w:sz w:val="21"/>
          <w:szCs w:val="21"/>
          <w:lang w:val="en-US" w:eastAsia="zh-CN" w:bidi="ar"/>
        </w:rPr>
        <w:t>二号车间</w:t>
      </w:r>
      <w:r>
        <w:rPr>
          <w:rFonts w:hint="default" w:ascii="Times New Roman" w:hAnsi="Times New Roman" w:eastAsia="宋体" w:cs="Times New Roman"/>
          <w:color w:val="auto"/>
          <w:sz w:val="24"/>
          <w:szCs w:val="24"/>
        </w:rPr>
        <w:t>，为</w:t>
      </w:r>
      <w:r>
        <w:rPr>
          <w:rFonts w:hint="default" w:ascii="Times New Roman" w:hAnsi="Times New Roman" w:eastAsia="宋体" w:cs="Times New Roman"/>
          <w:color w:val="auto"/>
          <w:sz w:val="24"/>
          <w:szCs w:val="24"/>
          <w:lang w:val="en-US" w:eastAsia="zh-CN"/>
        </w:rPr>
        <w:t>1193</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snapToGrid w:val="0"/>
        <w:jc w:val="center"/>
        <w:textAlignment w:val="auto"/>
        <w:outlineLvl w:val="4"/>
        <w:rPr>
          <w:rFonts w:hint="default" w:ascii="Times New Roman" w:hAnsi="Times New Roman" w:eastAsia="黑体" w:cs="Times New Roman"/>
          <w:b/>
          <w:bCs/>
          <w:color w:val="auto"/>
          <w:sz w:val="24"/>
          <w:szCs w:val="30"/>
          <w:lang w:val="en-US" w:eastAsia="zh-CN" w:bidi="ar-SA"/>
        </w:rPr>
      </w:pPr>
      <w:r>
        <w:rPr>
          <w:rFonts w:hint="default" w:ascii="Times New Roman" w:hAnsi="Times New Roman" w:eastAsia="黑体" w:cs="Times New Roman"/>
          <w:b/>
          <w:bCs w:val="0"/>
          <w:color w:val="auto"/>
          <w:kern w:val="2"/>
          <w:sz w:val="24"/>
          <w:szCs w:val="24"/>
          <w:lang w:val="en-US" w:eastAsia="zh-CN" w:bidi="ar-SA"/>
        </w:rPr>
        <w:t>表6.5-2   项目</w:t>
      </w:r>
      <w:r>
        <w:rPr>
          <w:rFonts w:hint="default" w:ascii="Times New Roman" w:hAnsi="Times New Roman" w:eastAsia="黑体" w:cs="Times New Roman"/>
          <w:b/>
          <w:bCs w:val="0"/>
          <w:color w:val="auto"/>
          <w:kern w:val="2"/>
          <w:sz w:val="24"/>
          <w:szCs w:val="24"/>
          <w:lang w:val="zh-CN" w:eastAsia="zh-CN" w:bidi="ar-SA"/>
        </w:rPr>
        <w:t>V</w:t>
      </w:r>
      <w:r>
        <w:rPr>
          <w:rFonts w:hint="default" w:ascii="Times New Roman" w:hAnsi="Times New Roman" w:eastAsia="黑体" w:cs="Times New Roman"/>
          <w:b/>
          <w:bCs w:val="0"/>
          <w:color w:val="auto"/>
          <w:kern w:val="2"/>
          <w:sz w:val="24"/>
          <w:szCs w:val="24"/>
          <w:lang w:val="en-US" w:eastAsia="zh-CN" w:bidi="ar-SA"/>
        </w:rPr>
        <w:t>总</w:t>
      </w:r>
      <w:r>
        <w:rPr>
          <w:rFonts w:hint="default" w:ascii="Times New Roman" w:hAnsi="Times New Roman" w:eastAsia="黑体" w:cs="Times New Roman"/>
          <w:b/>
          <w:bCs w:val="0"/>
          <w:color w:val="auto"/>
          <w:kern w:val="2"/>
          <w:sz w:val="24"/>
          <w:szCs w:val="24"/>
          <w:lang w:val="zh-CN" w:eastAsia="zh-CN" w:bidi="ar-SA"/>
        </w:rPr>
        <w:t>计算表</w:t>
      </w:r>
      <w:r>
        <w:rPr>
          <w:rFonts w:hint="default" w:ascii="Times New Roman" w:hAnsi="Times New Roman" w:eastAsia="黑体" w:cs="Times New Roman"/>
          <w:b/>
          <w:bCs w:val="0"/>
          <w:color w:val="auto"/>
          <w:kern w:val="2"/>
          <w:sz w:val="24"/>
          <w:szCs w:val="24"/>
          <w:lang w:val="en-US" w:eastAsia="zh-CN" w:bidi="ar-SA"/>
        </w:rPr>
        <w:t xml:space="preserve"> </w:t>
      </w:r>
    </w:p>
    <w:tbl>
      <w:tblPr>
        <w:tblStyle w:val="9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425"/>
        <w:gridCol w:w="1741"/>
        <w:gridCol w:w="936"/>
        <w:gridCol w:w="1034"/>
        <w:gridCol w:w="870"/>
        <w:gridCol w:w="925"/>
        <w:gridCol w:w="1055"/>
        <w:gridCol w:w="111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1425" w:type="dxa"/>
            <w:vMerge w:val="restart"/>
            <w:tcBorders>
              <w:lef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单元</w:t>
            </w:r>
          </w:p>
        </w:tc>
        <w:tc>
          <w:tcPr>
            <w:tcW w:w="1741" w:type="dxa"/>
            <w:vMerge w:val="restart"/>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lang w:val="zh-CN" w:bidi="ar"/>
              </w:rPr>
            </w:pPr>
            <w:r>
              <w:rPr>
                <w:rFonts w:hint="default" w:ascii="Times New Roman" w:hAnsi="Times New Roman" w:eastAsia="宋体" w:cs="Times New Roman"/>
                <w:color w:val="auto"/>
                <w:sz w:val="21"/>
                <w:szCs w:val="21"/>
                <w:lang w:val="zh-CN" w:bidi="ar"/>
              </w:rPr>
              <w:t>(V</w:t>
            </w:r>
            <w:r>
              <w:rPr>
                <w:rFonts w:hint="default" w:ascii="Times New Roman" w:hAnsi="Times New Roman" w:eastAsia="宋体" w:cs="Times New Roman"/>
                <w:color w:val="auto"/>
                <w:sz w:val="21"/>
                <w:szCs w:val="21"/>
                <w:vertAlign w:val="subscript"/>
                <w:lang w:val="zh-CN" w:bidi="ar"/>
              </w:rPr>
              <w:t>1</w:t>
            </w:r>
            <w:r>
              <w:rPr>
                <w:rFonts w:hint="default" w:ascii="Times New Roman" w:hAnsi="Times New Roman" w:eastAsia="宋体" w:cs="Times New Roman"/>
                <w:color w:val="auto"/>
                <w:sz w:val="21"/>
                <w:szCs w:val="21"/>
                <w:lang w:val="zh-CN" w:bidi="ar"/>
              </w:rPr>
              <w:t>+ V</w:t>
            </w:r>
            <w:r>
              <w:rPr>
                <w:rFonts w:hint="default" w:ascii="Times New Roman" w:hAnsi="Times New Roman" w:eastAsia="宋体" w:cs="Times New Roman"/>
                <w:color w:val="auto"/>
                <w:sz w:val="21"/>
                <w:szCs w:val="21"/>
                <w:vertAlign w:val="subscript"/>
                <w:lang w:val="zh-CN" w:bidi="ar"/>
              </w:rPr>
              <w:t>2</w:t>
            </w:r>
            <w:r>
              <w:rPr>
                <w:rFonts w:hint="default" w:ascii="Times New Roman" w:hAnsi="Times New Roman" w:eastAsia="宋体" w:cs="Times New Roman"/>
                <w:color w:val="auto"/>
                <w:sz w:val="21"/>
                <w:szCs w:val="21"/>
                <w:lang w:val="zh-CN" w:bidi="ar"/>
              </w:rPr>
              <w:t>-V</w:t>
            </w:r>
            <w:r>
              <w:rPr>
                <w:rFonts w:hint="default" w:ascii="Times New Roman" w:hAnsi="Times New Roman" w:eastAsia="宋体" w:cs="Times New Roman"/>
                <w:color w:val="auto"/>
                <w:sz w:val="21"/>
                <w:szCs w:val="21"/>
                <w:vertAlign w:val="subscript"/>
                <w:lang w:val="zh-CN" w:bidi="ar"/>
              </w:rPr>
              <w:t>3</w:t>
            </w:r>
            <w:r>
              <w:rPr>
                <w:rFonts w:hint="default" w:ascii="Times New Roman" w:hAnsi="Times New Roman" w:eastAsia="宋体" w:cs="Times New Roman"/>
                <w:color w:val="auto"/>
                <w:sz w:val="21"/>
                <w:szCs w:val="21"/>
                <w:lang w:val="zh-CN" w:bidi="ar"/>
              </w:rPr>
              <w:t>)</w:t>
            </w:r>
            <w:r>
              <w:rPr>
                <w:rFonts w:hint="default" w:ascii="Times New Roman" w:hAnsi="Times New Roman" w:eastAsia="宋体" w:cs="Times New Roman"/>
                <w:color w:val="auto"/>
                <w:sz w:val="21"/>
                <w:szCs w:val="21"/>
                <w:vertAlign w:val="subscript"/>
                <w:lang w:val="zh-CN" w:bidi="ar"/>
              </w:rPr>
              <w:t>max</w:t>
            </w:r>
            <w:r>
              <w:rPr>
                <w:rFonts w:hint="default" w:ascii="Times New Roman" w:hAnsi="Times New Roman" w:eastAsia="宋体" w:cs="Times New Roman"/>
                <w:color w:val="auto"/>
                <w:kern w:val="0"/>
                <w:sz w:val="21"/>
                <w:szCs w:val="21"/>
                <w:lang w:bidi="ar"/>
              </w:rPr>
              <w:t>（m</w:t>
            </w:r>
            <w:r>
              <w:rPr>
                <w:rStyle w:val="347"/>
                <w:rFonts w:hint="default" w:ascii="Times New Roman" w:hAnsi="Times New Roman" w:eastAsia="宋体" w:cs="Times New Roman"/>
                <w:color w:val="auto"/>
                <w:sz w:val="21"/>
                <w:szCs w:val="21"/>
                <w:vertAlign w:val="superscript"/>
                <w:lang w:bidi="ar"/>
              </w:rPr>
              <w:t>3</w:t>
            </w:r>
            <w:r>
              <w:rPr>
                <w:rFonts w:hint="default" w:ascii="Times New Roman" w:hAnsi="Times New Roman" w:eastAsia="宋体" w:cs="Times New Roman"/>
                <w:color w:val="auto"/>
                <w:kern w:val="0"/>
                <w:sz w:val="21"/>
                <w:szCs w:val="21"/>
                <w:lang w:bidi="ar"/>
              </w:rPr>
              <w:t>）</w:t>
            </w:r>
          </w:p>
        </w:tc>
        <w:tc>
          <w:tcPr>
            <w:tcW w:w="936" w:type="dxa"/>
            <w:vMerge w:val="restart"/>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V</w:t>
            </w:r>
            <w:r>
              <w:rPr>
                <w:rFonts w:hint="default" w:ascii="Times New Roman" w:hAnsi="Times New Roman" w:eastAsia="宋体" w:cs="Times New Roman"/>
                <w:color w:val="auto"/>
                <w:kern w:val="0"/>
                <w:sz w:val="21"/>
                <w:szCs w:val="21"/>
                <w:vertAlign w:val="subscript"/>
                <w:lang w:bidi="ar"/>
              </w:rPr>
              <w:t>4</w:t>
            </w:r>
            <w:r>
              <w:rPr>
                <w:rFonts w:hint="default" w:ascii="Times New Roman" w:hAnsi="Times New Roman" w:eastAsia="宋体" w:cs="Times New Roman"/>
                <w:color w:val="auto"/>
                <w:kern w:val="0"/>
                <w:sz w:val="21"/>
                <w:szCs w:val="21"/>
                <w:vertAlign w:val="superscript"/>
                <w:lang w:val="en-US" w:eastAsia="zh-CN" w:bidi="ar"/>
              </w:rPr>
              <w:t>a</w:t>
            </w:r>
            <w:r>
              <w:rPr>
                <w:rFonts w:hint="default" w:ascii="Times New Roman" w:hAnsi="Times New Roman" w:eastAsia="宋体" w:cs="Times New Roman"/>
                <w:color w:val="auto"/>
                <w:kern w:val="0"/>
                <w:sz w:val="21"/>
                <w:szCs w:val="21"/>
                <w:lang w:bidi="ar"/>
              </w:rPr>
              <w:t>（m</w:t>
            </w:r>
            <w:r>
              <w:rPr>
                <w:rStyle w:val="347"/>
                <w:rFonts w:hint="default" w:ascii="Times New Roman" w:hAnsi="Times New Roman" w:eastAsia="宋体" w:cs="Times New Roman"/>
                <w:color w:val="auto"/>
                <w:sz w:val="21"/>
                <w:szCs w:val="21"/>
                <w:vertAlign w:val="superscript"/>
                <w:lang w:bidi="ar"/>
              </w:rPr>
              <w:t>3</w:t>
            </w:r>
            <w:r>
              <w:rPr>
                <w:rFonts w:hint="default" w:ascii="Times New Roman" w:hAnsi="Times New Roman" w:eastAsia="宋体" w:cs="Times New Roman"/>
                <w:color w:val="auto"/>
                <w:kern w:val="0"/>
                <w:sz w:val="21"/>
                <w:szCs w:val="21"/>
                <w:lang w:bidi="ar"/>
              </w:rPr>
              <w:t>）</w:t>
            </w:r>
          </w:p>
        </w:tc>
        <w:tc>
          <w:tcPr>
            <w:tcW w:w="3884" w:type="dxa"/>
            <w:gridSpan w:val="4"/>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bidi="ar"/>
              </w:rPr>
              <w:t>V</w:t>
            </w:r>
            <w:r>
              <w:rPr>
                <w:rFonts w:hint="default" w:ascii="Times New Roman" w:hAnsi="Times New Roman" w:eastAsia="宋体" w:cs="Times New Roman"/>
                <w:color w:val="auto"/>
                <w:kern w:val="0"/>
                <w:sz w:val="21"/>
                <w:szCs w:val="21"/>
                <w:vertAlign w:val="subscript"/>
                <w:lang w:val="en-US" w:eastAsia="zh-CN" w:bidi="ar"/>
              </w:rPr>
              <w:t>5</w:t>
            </w:r>
            <w:r>
              <w:rPr>
                <w:rFonts w:hint="default" w:ascii="Times New Roman" w:hAnsi="Times New Roman" w:eastAsia="宋体" w:cs="Times New Roman"/>
                <w:color w:val="auto"/>
                <w:kern w:val="0"/>
                <w:sz w:val="21"/>
                <w:szCs w:val="21"/>
                <w:lang w:bidi="ar"/>
              </w:rPr>
              <w:t>（m</w:t>
            </w:r>
            <w:r>
              <w:rPr>
                <w:rStyle w:val="347"/>
                <w:rFonts w:hint="default" w:ascii="Times New Roman" w:hAnsi="Times New Roman" w:eastAsia="宋体" w:cs="Times New Roman"/>
                <w:color w:val="auto"/>
                <w:sz w:val="21"/>
                <w:szCs w:val="21"/>
                <w:vertAlign w:val="superscript"/>
                <w:lang w:bidi="ar"/>
              </w:rPr>
              <w:t>3</w:t>
            </w:r>
            <w:r>
              <w:rPr>
                <w:rFonts w:hint="default" w:ascii="Times New Roman" w:hAnsi="Times New Roman" w:eastAsia="宋体" w:cs="Times New Roman"/>
                <w:color w:val="auto"/>
                <w:kern w:val="0"/>
                <w:sz w:val="21"/>
                <w:szCs w:val="21"/>
                <w:lang w:bidi="ar"/>
              </w:rPr>
              <w:t>）</w:t>
            </w:r>
          </w:p>
        </w:tc>
        <w:tc>
          <w:tcPr>
            <w:tcW w:w="1110" w:type="dxa"/>
            <w:vMerge w:val="restart"/>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V</w:t>
            </w:r>
            <w:r>
              <w:rPr>
                <w:rFonts w:hint="default" w:ascii="Times New Roman" w:hAnsi="Times New Roman" w:eastAsia="宋体" w:cs="Times New Roman"/>
                <w:color w:val="auto"/>
                <w:kern w:val="0"/>
                <w:sz w:val="21"/>
                <w:szCs w:val="21"/>
                <w:vertAlign w:val="subscript"/>
                <w:lang w:bidi="ar"/>
              </w:rPr>
              <w:t>总</w:t>
            </w:r>
            <w:r>
              <w:rPr>
                <w:rFonts w:hint="default" w:ascii="Times New Roman" w:hAnsi="Times New Roman" w:eastAsia="宋体" w:cs="Times New Roman"/>
                <w:color w:val="auto"/>
                <w:kern w:val="0"/>
                <w:sz w:val="21"/>
                <w:szCs w:val="21"/>
                <w:lang w:bidi="ar"/>
              </w:rPr>
              <w:t>（m</w:t>
            </w:r>
            <w:r>
              <w:rPr>
                <w:rStyle w:val="347"/>
                <w:rFonts w:hint="default" w:ascii="Times New Roman" w:hAnsi="Times New Roman" w:eastAsia="宋体" w:cs="Times New Roman"/>
                <w:color w:val="auto"/>
                <w:sz w:val="21"/>
                <w:szCs w:val="21"/>
                <w:vertAlign w:val="superscript"/>
                <w:lang w:bidi="ar"/>
              </w:rPr>
              <w:t>3</w:t>
            </w:r>
            <w:r>
              <w:rPr>
                <w:rFonts w:hint="default" w:ascii="Times New Roman" w:hAnsi="Times New Roman" w:eastAsia="宋体" w:cs="Times New Roman"/>
                <w:color w:val="auto"/>
                <w:kern w:val="0"/>
                <w:sz w:val="21"/>
                <w:szCs w:val="21"/>
                <w:lang w:bidi="ar"/>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37" w:hRule="atLeast"/>
        </w:trPr>
        <w:tc>
          <w:tcPr>
            <w:vMerge w:val="continue"/>
            <w:tcBorders>
              <w:left w:val="single" w:color="auto" w:sz="4" w:space="0"/>
            </w:tcBorders>
            <w:noWrap w:val="0"/>
            <w:tcMar>
              <w:top w:w="13" w:type="dxa"/>
              <w:left w:w="13" w:type="dxa"/>
              <w:right w:w="13" w:type="dxa"/>
            </w:tcMar>
          </w:tcPr>
          <w:p/>
        </w:tc>
        <w:tc>
          <w:tcPr>
            <w:vMerge w:val="continue"/>
            <w:noWrap w:val="0"/>
            <w:tcMar>
              <w:top w:w="13" w:type="dxa"/>
              <w:left w:w="13" w:type="dxa"/>
              <w:right w:w="13" w:type="dxa"/>
            </w:tcMar>
          </w:tcPr>
          <w:p/>
        </w:tc>
        <w:tc>
          <w:tcPr>
            <w:vMerge w:val="continue"/>
            <w:noWrap w:val="0"/>
            <w:tcMar>
              <w:top w:w="13" w:type="dxa"/>
              <w:left w:w="13" w:type="dxa"/>
              <w:right w:w="13" w:type="dxa"/>
            </w:tcMar>
          </w:tcPr>
          <w:p/>
        </w:tc>
        <w:tc>
          <w:tcPr>
            <w:tcW w:w="103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q</w:t>
            </w:r>
            <w:r>
              <w:rPr>
                <w:rFonts w:hint="default" w:ascii="Times New Roman" w:hAnsi="Times New Roman" w:eastAsia="宋体" w:cs="Times New Roman"/>
                <w:color w:val="auto"/>
                <w:kern w:val="0"/>
                <w:sz w:val="21"/>
                <w:szCs w:val="21"/>
                <w:vertAlign w:val="subscript"/>
                <w:lang w:bidi="ar"/>
              </w:rPr>
              <w:t>a</w:t>
            </w:r>
            <w:r>
              <w:rPr>
                <w:rFonts w:hint="default" w:ascii="Times New Roman" w:hAnsi="Times New Roman" w:eastAsia="宋体" w:cs="Times New Roman"/>
                <w:color w:val="auto"/>
                <w:kern w:val="0"/>
                <w:sz w:val="21"/>
                <w:szCs w:val="21"/>
                <w:lang w:bidi="ar"/>
              </w:rPr>
              <w:t>（mm）</w:t>
            </w:r>
          </w:p>
        </w:tc>
        <w:tc>
          <w:tcPr>
            <w:tcW w:w="870"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n（d）</w:t>
            </w:r>
          </w:p>
        </w:tc>
        <w:tc>
          <w:tcPr>
            <w:tcW w:w="925"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F</w:t>
            </w:r>
            <w:r>
              <w:rPr>
                <w:rFonts w:hint="default" w:ascii="Times New Roman" w:hAnsi="Times New Roman" w:eastAsia="宋体" w:cs="Times New Roman"/>
                <w:color w:val="auto"/>
                <w:kern w:val="0"/>
                <w:sz w:val="21"/>
                <w:szCs w:val="21"/>
                <w:vertAlign w:val="superscript"/>
                <w:lang w:val="en-US" w:eastAsia="zh-CN" w:bidi="ar"/>
              </w:rPr>
              <w:t>b</w:t>
            </w:r>
            <w:r>
              <w:rPr>
                <w:rFonts w:hint="default" w:ascii="Times New Roman" w:hAnsi="Times New Roman" w:eastAsia="宋体" w:cs="Times New Roman"/>
                <w:color w:val="auto"/>
                <w:kern w:val="0"/>
                <w:sz w:val="21"/>
                <w:szCs w:val="21"/>
                <w:lang w:bidi="ar"/>
              </w:rPr>
              <w:t>（ha）</w:t>
            </w:r>
          </w:p>
        </w:tc>
        <w:tc>
          <w:tcPr>
            <w:tcW w:w="1055"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V</w:t>
            </w:r>
            <w:r>
              <w:rPr>
                <w:rFonts w:hint="default" w:ascii="Times New Roman" w:hAnsi="Times New Roman" w:eastAsia="宋体" w:cs="Times New Roman"/>
                <w:color w:val="auto"/>
                <w:kern w:val="0"/>
                <w:sz w:val="21"/>
                <w:szCs w:val="21"/>
                <w:vertAlign w:val="subscript"/>
                <w:lang w:bidi="ar"/>
              </w:rPr>
              <w:t>5</w:t>
            </w:r>
            <w:r>
              <w:rPr>
                <w:rFonts w:hint="default" w:ascii="Times New Roman" w:hAnsi="Times New Roman" w:eastAsia="宋体" w:cs="Times New Roman"/>
                <w:color w:val="auto"/>
                <w:kern w:val="0"/>
                <w:sz w:val="21"/>
                <w:szCs w:val="21"/>
                <w:lang w:bidi="ar"/>
              </w:rPr>
              <w:t>（m</w:t>
            </w:r>
            <w:r>
              <w:rPr>
                <w:rStyle w:val="347"/>
                <w:rFonts w:hint="default" w:ascii="Times New Roman" w:hAnsi="Times New Roman" w:eastAsia="宋体" w:cs="Times New Roman"/>
                <w:color w:val="auto"/>
                <w:sz w:val="21"/>
                <w:szCs w:val="21"/>
                <w:vertAlign w:val="superscript"/>
                <w:lang w:bidi="ar"/>
              </w:rPr>
              <w:t>3</w:t>
            </w:r>
            <w:r>
              <w:rPr>
                <w:rFonts w:hint="default" w:ascii="Times New Roman" w:hAnsi="Times New Roman" w:eastAsia="宋体" w:cs="Times New Roman"/>
                <w:color w:val="auto"/>
                <w:kern w:val="0"/>
                <w:sz w:val="21"/>
                <w:szCs w:val="21"/>
                <w:lang w:bidi="ar"/>
              </w:rPr>
              <w:t>）</w:t>
            </w:r>
          </w:p>
        </w:tc>
        <w:tc>
          <w:tcPr>
            <w:vMerge w:val="continue"/>
            <w:tcBorders>
              <w:right w:val="single" w:color="auto" w:sz="4" w:space="0"/>
            </w:tcBorders>
            <w:noWrap w:val="0"/>
            <w:tcMar>
              <w:top w:w="13" w:type="dxa"/>
              <w:left w:w="13" w:type="dxa"/>
              <w:right w:w="13" w:type="dxa"/>
            </w:tcMar>
          </w:tc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8" w:hRule="atLeast"/>
        </w:trPr>
        <w:tc>
          <w:tcPr>
            <w:tcW w:w="1425" w:type="dxa"/>
            <w:tcBorders>
              <w:lef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二号车间</w:t>
            </w:r>
          </w:p>
        </w:tc>
        <w:tc>
          <w:tcPr>
            <w:tcW w:w="1741"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kern w:val="0"/>
                <w:sz w:val="21"/>
                <w:szCs w:val="21"/>
                <w:lang w:val="en-US" w:bidi="ar"/>
              </w:rPr>
            </w:pPr>
            <w:r>
              <w:rPr>
                <w:rFonts w:hint="default" w:ascii="Times New Roman" w:hAnsi="Times New Roman" w:eastAsia="宋体" w:cs="Times New Roman"/>
                <w:color w:val="auto"/>
                <w:kern w:val="0"/>
                <w:sz w:val="21"/>
                <w:szCs w:val="21"/>
                <w:lang w:val="en-US" w:eastAsia="zh-CN" w:bidi="ar"/>
              </w:rPr>
              <w:t>1193</w:t>
            </w:r>
          </w:p>
        </w:tc>
        <w:tc>
          <w:tcPr>
            <w:tcW w:w="936"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vertAlign w:val="superscript"/>
                <w:lang w:val="en-US" w:eastAsia="zh-CN"/>
              </w:rPr>
            </w:pPr>
            <w:r>
              <w:rPr>
                <w:rFonts w:hint="default" w:ascii="Times New Roman" w:hAnsi="Times New Roman" w:eastAsia="宋体" w:cs="Times New Roman"/>
                <w:color w:val="auto"/>
                <w:kern w:val="0"/>
                <w:sz w:val="21"/>
                <w:szCs w:val="21"/>
                <w:lang w:val="en-US" w:eastAsia="zh-CN" w:bidi="ar"/>
              </w:rPr>
              <w:t>/</w:t>
            </w:r>
          </w:p>
        </w:tc>
        <w:tc>
          <w:tcPr>
            <w:tcW w:w="1034"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b w:val="0"/>
                <w:bCs w:val="0"/>
                <w:color w:val="auto"/>
                <w:sz w:val="21"/>
                <w:szCs w:val="21"/>
                <w:lang w:val="en-US" w:eastAsia="zh-CN"/>
              </w:rPr>
              <w:t>1</w:t>
            </w:r>
            <w:r>
              <w:rPr>
                <w:rFonts w:hint="eastAsia" w:ascii="Times New Roman" w:hAnsi="Times New Roman" w:eastAsia="宋体" w:cs="Times New Roman"/>
                <w:b w:val="0"/>
                <w:bCs w:val="0"/>
                <w:color w:val="auto"/>
                <w:sz w:val="21"/>
                <w:szCs w:val="21"/>
                <w:lang w:val="en-US" w:eastAsia="zh-CN"/>
              </w:rPr>
              <w:t>604.5</w:t>
            </w:r>
          </w:p>
        </w:tc>
        <w:tc>
          <w:tcPr>
            <w:tcW w:w="870"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b w:val="0"/>
                <w:bCs w:val="0"/>
                <w:color w:val="auto"/>
                <w:kern w:val="0"/>
                <w:sz w:val="21"/>
                <w:szCs w:val="21"/>
                <w:lang w:val="en-US" w:bidi="ar"/>
              </w:rPr>
              <w:t>125</w:t>
            </w:r>
          </w:p>
        </w:tc>
        <w:tc>
          <w:tcPr>
            <w:tcW w:w="925"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fldChar w:fldCharType="begin"/>
            </w:r>
            <w:r>
              <w:rPr>
                <w:rFonts w:hint="default" w:ascii="Times New Roman" w:hAnsi="Times New Roman" w:eastAsia="宋体" w:cs="Times New Roman"/>
                <w:b w:val="0"/>
                <w:bCs w:val="0"/>
                <w:color w:val="auto"/>
                <w:sz w:val="21"/>
                <w:szCs w:val="21"/>
                <w:lang w:val="en-US" w:eastAsia="zh-CN"/>
              </w:rPr>
              <w:instrText xml:space="preserve"> =（3990.09+1620.04+1000+126*6+1600）/10000 \# "0.000" \* MERGEFORMAT </w:instrText>
            </w:r>
            <w:r>
              <w:rPr>
                <w:rFonts w:hint="default" w:ascii="Times New Roman" w:hAnsi="Times New Roman" w:eastAsia="宋体" w:cs="Times New Roman"/>
                <w:b w:val="0"/>
                <w:bCs w:val="0"/>
                <w:color w:val="auto"/>
                <w:sz w:val="21"/>
                <w:szCs w:val="21"/>
                <w:lang w:val="en-US" w:eastAsia="zh-CN"/>
              </w:rPr>
              <w:fldChar w:fldCharType="separate"/>
            </w:r>
            <w:r>
              <w:rPr>
                <w:rFonts w:hint="default" w:ascii="Times New Roman" w:hAnsi="Times New Roman" w:eastAsia="宋体" w:cs="Times New Roman"/>
                <w:b w:val="0"/>
                <w:bCs w:val="0"/>
                <w:color w:val="auto"/>
                <w:sz w:val="21"/>
                <w:szCs w:val="21"/>
              </w:rPr>
              <w:t>0.897</w:t>
            </w:r>
            <w:r>
              <w:rPr>
                <w:rFonts w:hint="default" w:ascii="Times New Roman" w:hAnsi="Times New Roman" w:eastAsia="宋体" w:cs="Times New Roman"/>
                <w:b w:val="0"/>
                <w:bCs w:val="0"/>
                <w:color w:val="auto"/>
                <w:sz w:val="21"/>
                <w:szCs w:val="21"/>
                <w:lang w:val="en-US" w:eastAsia="zh-CN"/>
              </w:rPr>
              <w:fldChar w:fldCharType="end"/>
            </w:r>
          </w:p>
        </w:tc>
        <w:tc>
          <w:tcPr>
            <w:tcW w:w="1055" w:type="dxa"/>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fldChar w:fldCharType="begin"/>
            </w:r>
            <w:r>
              <w:rPr>
                <w:rFonts w:hint="default" w:ascii="Times New Roman" w:hAnsi="Times New Roman" w:eastAsia="宋体" w:cs="Times New Roman"/>
                <w:b w:val="0"/>
                <w:bCs w:val="0"/>
                <w:color w:val="auto"/>
                <w:sz w:val="21"/>
                <w:szCs w:val="21"/>
                <w:lang w:val="en-US" w:eastAsia="zh-CN"/>
              </w:rPr>
              <w:instrText xml:space="preserve"> =10*1604.5/125*0.897 \# "0.00" \* MERGEFORMAT </w:instrText>
            </w:r>
            <w:r>
              <w:rPr>
                <w:rFonts w:hint="default" w:ascii="Times New Roman" w:hAnsi="Times New Roman" w:eastAsia="宋体" w:cs="Times New Roman"/>
                <w:b w:val="0"/>
                <w:bCs w:val="0"/>
                <w:color w:val="auto"/>
                <w:sz w:val="21"/>
                <w:szCs w:val="21"/>
                <w:lang w:val="en-US" w:eastAsia="zh-CN"/>
              </w:rPr>
              <w:fldChar w:fldCharType="separate"/>
            </w:r>
            <w:r>
              <w:rPr>
                <w:b w:val="0"/>
                <w:bCs w:val="0"/>
                <w:color w:val="auto"/>
                <w:sz w:val="21"/>
                <w:szCs w:val="21"/>
              </w:rPr>
              <w:t>115.14</w:t>
            </w:r>
            <w:r>
              <w:rPr>
                <w:rFonts w:hint="default" w:ascii="Times New Roman" w:hAnsi="Times New Roman" w:eastAsia="宋体" w:cs="Times New Roman"/>
                <w:b w:val="0"/>
                <w:bCs w:val="0"/>
                <w:color w:val="auto"/>
                <w:sz w:val="21"/>
                <w:szCs w:val="21"/>
                <w:lang w:val="en-US" w:eastAsia="zh-CN"/>
              </w:rPr>
              <w:fldChar w:fldCharType="end"/>
            </w:r>
          </w:p>
        </w:tc>
        <w:tc>
          <w:tcPr>
            <w:tcW w:w="1110" w:type="dxa"/>
            <w:tcBorders>
              <w:right w:val="single" w:color="auto" w:sz="4" w:space="0"/>
            </w:tcBorders>
            <w:noWrap w:val="0"/>
            <w:tcMar>
              <w:top w:w="13" w:type="dxa"/>
              <w:left w:w="13" w:type="dxa"/>
              <w:right w:w="13"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kern w:val="0"/>
                <w:sz w:val="21"/>
                <w:szCs w:val="21"/>
                <w:lang w:bidi="ar"/>
              </w:rPr>
              <w:fldChar w:fldCharType="begin"/>
            </w:r>
            <w:r>
              <w:rPr>
                <w:rFonts w:hint="default" w:ascii="Times New Roman" w:hAnsi="Times New Roman" w:eastAsia="宋体" w:cs="Times New Roman"/>
                <w:b w:val="0"/>
                <w:bCs w:val="0"/>
                <w:color w:val="auto"/>
                <w:kern w:val="0"/>
                <w:sz w:val="21"/>
                <w:szCs w:val="21"/>
                <w:lang w:bidi="ar"/>
              </w:rPr>
              <w:instrText xml:space="preserve"> =1193+115.14 \* MERGEFORMAT </w:instrText>
            </w:r>
            <w:r>
              <w:rPr>
                <w:rFonts w:hint="default" w:ascii="Times New Roman" w:hAnsi="Times New Roman" w:eastAsia="宋体" w:cs="Times New Roman"/>
                <w:b w:val="0"/>
                <w:bCs w:val="0"/>
                <w:color w:val="auto"/>
                <w:kern w:val="0"/>
                <w:sz w:val="21"/>
                <w:szCs w:val="21"/>
                <w:lang w:bidi="ar"/>
              </w:rPr>
              <w:fldChar w:fldCharType="separate"/>
            </w:r>
            <w:r>
              <w:rPr>
                <w:rFonts w:hint="default" w:ascii="Times New Roman" w:hAnsi="Times New Roman" w:eastAsia="宋体" w:cs="Times New Roman"/>
                <w:b w:val="0"/>
                <w:bCs w:val="0"/>
                <w:color w:val="auto"/>
                <w:kern w:val="0"/>
                <w:sz w:val="21"/>
                <w:szCs w:val="21"/>
                <w:lang w:bidi="ar"/>
              </w:rPr>
              <w:t>1308.14</w:t>
            </w:r>
            <w:r>
              <w:rPr>
                <w:rFonts w:hint="default" w:ascii="Times New Roman" w:hAnsi="Times New Roman" w:eastAsia="宋体" w:cs="Times New Roman"/>
                <w:b w:val="0"/>
                <w:bCs w:val="0"/>
                <w:color w:val="auto"/>
                <w:kern w:val="0"/>
                <w:sz w:val="21"/>
                <w:szCs w:val="21"/>
                <w:lang w:bidi="ar"/>
              </w:rPr>
              <w:fldChar w:fldCharType="end"/>
            </w:r>
            <w:r>
              <w:rPr>
                <w:rFonts w:hint="default" w:ascii="Times New Roman" w:hAnsi="Times New Roman" w:eastAsia="宋体" w:cs="Times New Roman"/>
                <w:b w:val="0"/>
                <w:bCs w:val="0"/>
                <w:color w:val="auto"/>
                <w:kern w:val="0"/>
                <w:sz w:val="21"/>
                <w:szCs w:val="21"/>
                <w:lang w:bidi="ar"/>
              </w:rPr>
              <w:t xml:space="preserve"> </w:t>
            </w:r>
          </w:p>
        </w:tc>
      </w:tr>
    </w:tbl>
    <w:p>
      <w:pPr>
        <w:widowControl w:val="0"/>
        <w:spacing w:line="360" w:lineRule="auto"/>
        <w:ind w:firstLine="480"/>
        <w:jc w:val="both"/>
        <w:rPr>
          <w:rFonts w:hint="default" w:ascii="Times New Roman" w:hAnsi="Times New Roman" w:eastAsia="宋体" w:cs="Times New Roman"/>
          <w:snapToGrid w:val="0"/>
          <w:color w:val="auto"/>
          <w:kern w:val="1"/>
          <w:sz w:val="24"/>
          <w:szCs w:val="22"/>
          <w:lang w:val="en-US" w:eastAsia="zh-CN" w:bidi="ar"/>
        </w:rPr>
      </w:pP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1"/>
          <w:sz w:val="24"/>
          <w:szCs w:val="22"/>
          <w:lang w:val="en-US" w:eastAsia="zh-CN" w:bidi="ar"/>
        </w:rPr>
        <w:t>根据上述参数计算取整得项目</w:t>
      </w:r>
      <w:r>
        <w:rPr>
          <w:rFonts w:hint="default" w:ascii="Times New Roman" w:hAnsi="Times New Roman" w:eastAsia="宋体" w:cs="Times New Roman"/>
          <w:snapToGrid w:val="0"/>
          <w:color w:val="auto"/>
          <w:kern w:val="0"/>
          <w:sz w:val="24"/>
          <w:szCs w:val="21"/>
          <w:lang w:val="en-US" w:eastAsia="zh-CN" w:bidi="ar-SA"/>
        </w:rPr>
        <w:t>V</w:t>
      </w:r>
      <w:r>
        <w:rPr>
          <w:rFonts w:hint="default" w:ascii="Times New Roman" w:hAnsi="Times New Roman" w:eastAsia="宋体" w:cs="Times New Roman"/>
          <w:snapToGrid w:val="0"/>
          <w:color w:val="auto"/>
          <w:kern w:val="0"/>
          <w:sz w:val="24"/>
          <w:szCs w:val="21"/>
          <w:vertAlign w:val="subscript"/>
          <w:lang w:val="en-US" w:eastAsia="zh-CN" w:bidi="ar-SA"/>
        </w:rPr>
        <w:t>总</w:t>
      </w:r>
      <w:r>
        <w:rPr>
          <w:rFonts w:hint="default" w:ascii="Times New Roman" w:hAnsi="Times New Roman" w:eastAsia="宋体" w:cs="Times New Roman"/>
          <w:snapToGrid w:val="0"/>
          <w:color w:val="auto"/>
          <w:kern w:val="0"/>
          <w:sz w:val="24"/>
          <w:szCs w:val="21"/>
          <w:lang w:val="en-US" w:eastAsia="zh-CN" w:bidi="ar-SA"/>
        </w:rPr>
        <w:t>=</w:t>
      </w:r>
      <w:r>
        <w:rPr>
          <w:rFonts w:hint="eastAsia" w:ascii="Times New Roman" w:hAnsi="Times New Roman" w:eastAsia="宋体" w:cs="Times New Roman"/>
          <w:snapToGrid w:val="0"/>
          <w:color w:val="auto"/>
          <w:kern w:val="0"/>
          <w:sz w:val="24"/>
          <w:szCs w:val="21"/>
          <w:lang w:val="en-US" w:eastAsia="zh-CN" w:bidi="ar-SA"/>
        </w:rPr>
        <w:t>1308.14</w:t>
      </w:r>
      <w:r>
        <w:rPr>
          <w:rFonts w:hint="default" w:ascii="Times New Roman" w:hAnsi="Times New Roman" w:eastAsia="宋体" w:cs="Times New Roman"/>
          <w:snapToGrid w:val="0"/>
          <w:color w:val="auto"/>
          <w:kern w:val="0"/>
          <w:sz w:val="24"/>
          <w:szCs w:val="21"/>
          <w:lang w:val="en-US" w:eastAsia="zh-CN" w:bidi="ar-SA"/>
        </w:rPr>
        <w:t>m</w:t>
      </w:r>
      <w:r>
        <w:rPr>
          <w:rFonts w:hint="default" w:ascii="Times New Roman" w:hAnsi="Times New Roman" w:eastAsia="宋体" w:cs="Times New Roman"/>
          <w:snapToGrid w:val="0"/>
          <w:color w:val="auto"/>
          <w:kern w:val="0"/>
          <w:sz w:val="24"/>
          <w:szCs w:val="21"/>
          <w:vertAlign w:val="superscript"/>
          <w:lang w:val="en-US" w:eastAsia="zh-CN" w:bidi="ar-SA"/>
        </w:rPr>
        <w:t>3</w:t>
      </w:r>
      <w:r>
        <w:rPr>
          <w:rFonts w:hint="default" w:ascii="Times New Roman" w:hAnsi="Times New Roman" w:eastAsia="宋体" w:cs="Times New Roman"/>
          <w:snapToGrid w:val="0"/>
          <w:color w:val="auto"/>
          <w:kern w:val="0"/>
          <w:sz w:val="24"/>
          <w:szCs w:val="21"/>
          <w:lang w:val="en-US" w:eastAsia="zh-CN" w:bidi="ar-SA"/>
        </w:rPr>
        <w:t>，</w:t>
      </w:r>
      <w:bookmarkStart w:id="335" w:name="_Hlk14788657"/>
      <w:r>
        <w:rPr>
          <w:rFonts w:hint="default" w:ascii="Times New Roman" w:hAnsi="Times New Roman" w:eastAsia="宋体" w:cs="Times New Roman"/>
          <w:snapToGrid w:val="0"/>
          <w:color w:val="auto"/>
          <w:kern w:val="0"/>
          <w:sz w:val="24"/>
          <w:szCs w:val="21"/>
          <w:lang w:val="en-US" w:eastAsia="zh-CN" w:bidi="ar-SA"/>
        </w:rPr>
        <w:t>建设单位拟建设事故应急池容积1400m</w:t>
      </w:r>
      <w:r>
        <w:rPr>
          <w:rFonts w:hint="default" w:ascii="Times New Roman" w:hAnsi="Times New Roman" w:eastAsia="宋体" w:cs="Times New Roman"/>
          <w:snapToGrid w:val="0"/>
          <w:color w:val="auto"/>
          <w:kern w:val="0"/>
          <w:sz w:val="24"/>
          <w:szCs w:val="21"/>
          <w:vertAlign w:val="superscript"/>
          <w:lang w:val="en-US" w:eastAsia="zh-CN" w:bidi="ar-SA"/>
        </w:rPr>
        <w:t>3</w:t>
      </w:r>
      <w:r>
        <w:rPr>
          <w:rFonts w:hint="default" w:ascii="Times New Roman" w:hAnsi="Times New Roman" w:eastAsia="宋体" w:cs="Times New Roman"/>
          <w:snapToGrid w:val="0"/>
          <w:color w:val="auto"/>
          <w:kern w:val="0"/>
          <w:sz w:val="24"/>
          <w:szCs w:val="21"/>
          <w:lang w:val="en-US" w:eastAsia="zh-CN" w:bidi="ar-SA"/>
        </w:rPr>
        <w:t>，以满足本项目最大事故水量要求。本评价同时要求建设单位应配套相应规模的备用柴油发电机组和污水提升泵，以便在事故发生时，确保及时的将应急池的事故废水由泵提升至污水处理站处理。</w:t>
      </w:r>
      <w:bookmarkEnd w:id="335"/>
    </w:p>
    <w:p>
      <w:pPr>
        <w:keepNext w:val="0"/>
        <w:keepLines w:val="0"/>
        <w:pageBreakBefore w:val="0"/>
        <w:widowControl w:val="0"/>
        <w:kinsoku/>
        <w:wordWrap/>
        <w:overflowPunct/>
        <w:topLinePunct w:val="0"/>
        <w:autoSpaceDE/>
        <w:autoSpaceDN/>
        <w:bidi w:val="0"/>
        <w:adjustRightInd w:val="0"/>
        <w:snapToGrid w:val="0"/>
        <w:spacing w:line="360" w:lineRule="auto"/>
        <w:ind w:firstLine="482"/>
        <w:jc w:val="both"/>
        <w:textAlignment w:val="baseline"/>
        <w:outlineLvl w:val="9"/>
        <w:rPr>
          <w:rFonts w:hint="default" w:ascii="Times New Roman" w:hAnsi="Times New Roman" w:eastAsia="宋体" w:cs="Times New Roman"/>
          <w:b/>
          <w:bCs/>
          <w:snapToGrid w:val="0"/>
          <w:color w:val="auto"/>
          <w:kern w:val="0"/>
          <w:sz w:val="24"/>
          <w:szCs w:val="21"/>
          <w:lang w:val="en-US" w:eastAsia="zh-CN" w:bidi="ar-SA"/>
        </w:rPr>
      </w:pPr>
      <w:r>
        <w:rPr>
          <w:rFonts w:hint="default" w:ascii="Times New Roman" w:hAnsi="Times New Roman" w:eastAsia="宋体" w:cs="Times New Roman"/>
          <w:b/>
          <w:bCs/>
          <w:snapToGrid w:val="0"/>
          <w:color w:val="auto"/>
          <w:kern w:val="0"/>
          <w:sz w:val="24"/>
          <w:szCs w:val="21"/>
          <w:lang w:val="en-US" w:eastAsia="zh-CN" w:bidi="ar-SA"/>
        </w:rPr>
        <w:t>（2）事故污水三级防控体系</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为了阻断事故泄漏液和消防水进入环境，立足工程配套设施，采取“收→调→输→储→处理”事故泄漏和事故消防水，参照中国石油天然气集团公司</w:t>
      </w:r>
      <w:r>
        <w:rPr>
          <w:rFonts w:hint="default" w:ascii="Times New Roman" w:hAnsi="Times New Roman" w:eastAsia="宋体" w:cs="Times New Roman"/>
          <w:snapToGrid w:val="0"/>
          <w:color w:val="auto"/>
          <w:kern w:val="0"/>
          <w:sz w:val="24"/>
          <w:szCs w:val="24"/>
          <w:lang w:val="zh-CN" w:eastAsia="zh-CN" w:bidi="ar"/>
        </w:rPr>
        <w:t>《事故状态下水体污染的预防与控制技术要求》（QSY</w:t>
      </w:r>
      <w:r>
        <w:rPr>
          <w:rFonts w:hint="default" w:ascii="Times New Roman" w:hAnsi="Times New Roman" w:eastAsia="宋体" w:cs="Times New Roman"/>
          <w:snapToGrid w:val="0"/>
          <w:color w:val="auto"/>
          <w:kern w:val="0"/>
          <w:sz w:val="24"/>
          <w:szCs w:val="24"/>
          <w:lang w:val="en-US" w:eastAsia="zh-CN" w:bidi="ar"/>
        </w:rPr>
        <w:t>08190</w:t>
      </w:r>
      <w:r>
        <w:rPr>
          <w:rFonts w:hint="default" w:ascii="Times New Roman" w:hAnsi="Times New Roman" w:eastAsia="宋体" w:cs="Times New Roman"/>
          <w:snapToGrid w:val="0"/>
          <w:color w:val="auto"/>
          <w:kern w:val="0"/>
          <w:sz w:val="24"/>
          <w:szCs w:val="24"/>
          <w:lang w:val="zh-CN" w:eastAsia="zh-CN" w:bidi="ar"/>
        </w:rPr>
        <w:t>-20</w:t>
      </w:r>
      <w:r>
        <w:rPr>
          <w:rFonts w:hint="default" w:ascii="Times New Roman" w:hAnsi="Times New Roman" w:eastAsia="宋体" w:cs="Times New Roman"/>
          <w:snapToGrid w:val="0"/>
          <w:color w:val="auto"/>
          <w:kern w:val="0"/>
          <w:sz w:val="24"/>
          <w:szCs w:val="24"/>
          <w:lang w:val="en-US" w:eastAsia="zh-CN" w:bidi="ar"/>
        </w:rPr>
        <w:t>19</w:t>
      </w:r>
      <w:r>
        <w:rPr>
          <w:rFonts w:hint="default" w:ascii="Times New Roman" w:hAnsi="Times New Roman" w:eastAsia="宋体" w:cs="Times New Roman"/>
          <w:snapToGrid w:val="0"/>
          <w:color w:val="auto"/>
          <w:kern w:val="0"/>
          <w:sz w:val="24"/>
          <w:szCs w:val="24"/>
          <w:lang w:val="zh-CN" w:eastAsia="zh-CN" w:bidi="ar"/>
        </w:rPr>
        <w:t>）</w:t>
      </w:r>
      <w:r>
        <w:rPr>
          <w:rFonts w:hint="default" w:ascii="Times New Roman" w:hAnsi="Times New Roman" w:eastAsia="宋体" w:cs="Times New Roman"/>
          <w:snapToGrid w:val="0"/>
          <w:color w:val="auto"/>
          <w:kern w:val="0"/>
          <w:sz w:val="24"/>
          <w:szCs w:val="21"/>
          <w:lang w:val="en-US" w:eastAsia="zh-CN" w:bidi="ar-SA"/>
        </w:rPr>
        <w:t>的有关要求，本次环境影响评价针对企业事故废水排放采取三级防控措施来杜绝环境风险事故废水排放对外环境造成的污染事件，将环境风险事故排水及污染物控制在储罐区、装置区，环境风险事故排水及污染物控制在排水系统事故池；以及事故废水分批次纳入园区污水处理厂，避免冲击园区污水处理厂。三级防控措施具体如下：</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（1）第一级防控措施：第一级防控措施是设置装置和罐区围堰及防火堤，构筑生产过程中环境安全的第一层防控网，是泄漏物料切换到处理系统，防止污染雨水和轻微事故泄漏造成的环境污染。</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a.装置和罐区按规范设围堰及防火堤，对事故情况泄漏物料及消防废水进行收集控制；</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b.装置和罐区均分别设置污水及雨水排放的切换闸门，正常及事故情况下针对不同物质实施分流排放控制；</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c.装置内凡在操作或检修过程中，可能有液化品等有毒物料泄漏污染的区域，设置不低于150mm 的围堰，围堰内设置排水设施，实施清污分流，控制污染范围。</w:t>
      </w:r>
    </w:p>
    <w:p>
      <w:pPr>
        <w:widowControl w:val="0"/>
        <w:spacing w:line="360" w:lineRule="auto"/>
        <w:ind w:firstLine="480"/>
        <w:jc w:val="both"/>
        <w:rPr>
          <w:rFonts w:hint="default" w:ascii="Times New Roman" w:hAnsi="Times New Roman" w:eastAsia="宋体" w:cs="Times New Roman"/>
          <w:snapToGrid w:val="0"/>
          <w:color w:val="000000"/>
          <w:kern w:val="0"/>
          <w:sz w:val="24"/>
          <w:szCs w:val="21"/>
          <w:lang w:val="en-US" w:eastAsia="zh-CN" w:bidi="ar-SA"/>
        </w:rPr>
      </w:pPr>
      <w:r>
        <w:rPr>
          <w:rFonts w:hint="default" w:ascii="Times New Roman" w:hAnsi="Times New Roman" w:eastAsia="宋体" w:cs="Times New Roman"/>
          <w:snapToGrid w:val="0"/>
          <w:color w:val="000000"/>
          <w:kern w:val="0"/>
          <w:sz w:val="24"/>
          <w:szCs w:val="21"/>
          <w:lang w:val="en-US" w:eastAsia="zh-CN" w:bidi="ar-SA"/>
        </w:rPr>
        <w:t>d.本项目硝酸</w:t>
      </w:r>
      <w:r>
        <w:rPr>
          <w:rFonts w:hint="eastAsia" w:ascii="Times New Roman" w:hAnsi="Times New Roman" w:eastAsia="宋体" w:cs="Times New Roman"/>
          <w:snapToGrid w:val="0"/>
          <w:color w:val="000000"/>
          <w:kern w:val="0"/>
          <w:sz w:val="24"/>
          <w:szCs w:val="21"/>
          <w:lang w:val="en-US" w:eastAsia="zh-CN" w:bidi="ar-SA"/>
        </w:rPr>
        <w:t>银</w:t>
      </w:r>
      <w:r>
        <w:rPr>
          <w:rFonts w:hint="default" w:ascii="Times New Roman" w:hAnsi="Times New Roman" w:eastAsia="宋体" w:cs="Times New Roman"/>
          <w:snapToGrid w:val="0"/>
          <w:color w:val="000000"/>
          <w:kern w:val="0"/>
          <w:sz w:val="24"/>
          <w:szCs w:val="21"/>
          <w:lang w:val="en-US" w:eastAsia="zh-CN" w:bidi="ar-SA"/>
        </w:rPr>
        <w:t>生产线蒸馏冷凝液及超细银粉洗涤废水涉及含银废水；事故状态下，含银废水未经处理直接进入市政污水管网，对江阴工业园区污水处理厂造成较大冲击。本项目采取了以下几个方面对含银废水进行严格防控。①本项目生产装置区设置围坎，高度建议不低于100mm；②对含银废水管道上设置阀门，一旦发生含银废水泄漏，马上关闭阀门，自控联锁装置启动紧急停车，立即将发生泄漏的含银废水泵入含银废水处理系统内。如有泄漏地面仍有少量液体物料，可以采用树脂进行吸附。</w:t>
      </w:r>
    </w:p>
    <w:p>
      <w:pPr>
        <w:widowControl w:val="0"/>
        <w:spacing w:line="360" w:lineRule="auto"/>
        <w:ind w:firstLine="480"/>
        <w:jc w:val="both"/>
        <w:rPr>
          <w:rFonts w:hint="default" w:ascii="Times New Roman" w:hAnsi="Times New Roman" w:eastAsia="宋体" w:cs="Times New Roman"/>
          <w:snapToGrid w:val="0"/>
          <w:color w:val="000000"/>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e.罐区分别设置污水及雨水阀门，且处于常闭状态，以使突发性泄漏的物料囤积在罐区内，不跑</w:t>
      </w:r>
      <w:r>
        <w:rPr>
          <w:rFonts w:hint="default" w:ascii="Times New Roman" w:hAnsi="Times New Roman" w:eastAsia="宋体" w:cs="Times New Roman"/>
          <w:snapToGrid w:val="0"/>
          <w:color w:val="000000"/>
          <w:kern w:val="0"/>
          <w:sz w:val="24"/>
          <w:szCs w:val="21"/>
          <w:lang w:val="en-US" w:eastAsia="zh-CN" w:bidi="ar-SA"/>
        </w:rPr>
        <w:t>到外围。</w:t>
      </w:r>
      <w:r>
        <w:rPr>
          <w:rFonts w:hint="eastAsia" w:ascii="Times New Roman" w:hAnsi="Times New Roman" w:eastAsia="宋体" w:cs="Times New Roman"/>
          <w:snapToGrid w:val="0"/>
          <w:color w:val="000000"/>
          <w:kern w:val="0"/>
          <w:sz w:val="24"/>
          <w:szCs w:val="21"/>
          <w:lang w:val="en-US" w:eastAsia="zh-CN" w:bidi="ar-SA"/>
        </w:rPr>
        <w:t>为了收集罐区的初期雨水，需</w:t>
      </w:r>
      <w:r>
        <w:rPr>
          <w:rFonts w:hint="default" w:ascii="Times New Roman" w:hAnsi="Times New Roman" w:eastAsia="宋体" w:cs="Times New Roman"/>
          <w:snapToGrid w:val="0"/>
          <w:color w:val="000000"/>
          <w:kern w:val="0"/>
          <w:sz w:val="24"/>
          <w:szCs w:val="21"/>
          <w:lang w:val="en-US" w:eastAsia="zh-CN" w:bidi="ar-SA"/>
        </w:rPr>
        <w:t>打开污水水封井阀门排污，下雨时后期，打开雨水阀门，罐区地面雨水通过雨水水封井阀门排入边沟水系统。消防事故情况下，打开污水阀门，通过污水系统收集消防废水。</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（2）第二级防控措施（企业级）：</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企业必须在各贮罐区、装置区单元外围设置连接污水总排放口、雨水排放口的专用事故池，设计相应的切换装置，一旦厂区内发生污染事故，立即启动切换装置，将雨水和污水引入事故池，切断污染物与外部的通道，将污染控制在厂区内，防止较大生产事故泄漏物和污染消防水造成的环境污染。</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本工程设置有1400m</w:t>
      </w:r>
      <w:r>
        <w:rPr>
          <w:rFonts w:hint="default" w:ascii="Times New Roman" w:hAnsi="Times New Roman" w:eastAsia="宋体" w:cs="Times New Roman"/>
          <w:snapToGrid w:val="0"/>
          <w:color w:val="auto"/>
          <w:kern w:val="0"/>
          <w:sz w:val="24"/>
          <w:szCs w:val="21"/>
          <w:vertAlign w:val="superscript"/>
          <w:lang w:val="en-US" w:eastAsia="zh-CN" w:bidi="ar-SA"/>
        </w:rPr>
        <w:t>3</w:t>
      </w:r>
      <w:r>
        <w:rPr>
          <w:rFonts w:hint="default" w:ascii="Times New Roman" w:hAnsi="Times New Roman" w:eastAsia="宋体" w:cs="Times New Roman"/>
          <w:snapToGrid w:val="0"/>
          <w:color w:val="auto"/>
          <w:kern w:val="0"/>
          <w:sz w:val="24"/>
          <w:szCs w:val="21"/>
          <w:lang w:val="en-US" w:eastAsia="zh-CN" w:bidi="ar-SA"/>
        </w:rPr>
        <w:t>的事故应急池，事故状态下首先将事故液拦在第一级防控措施的围堰内，溢流部分流入事故污水排水管或雨水管系统。在事故污水排水管和雨水管系统总出口设闸门，事故状态下闸门关闭，将事故污水切入事故池，事故池中的事故废水最后分批进入项目污水处理站处理，最后通过污水排水管网外排。本评价同时要求厂区应设有备用柴油发电机组和事故污水提升泵，以便在事故发生时，确保将事故废水由泵提升至污水处理站处理。</w:t>
      </w:r>
    </w:p>
    <w:p>
      <w:pPr>
        <w:widowControl w:val="0"/>
        <w:spacing w:line="360" w:lineRule="auto"/>
        <w:ind w:firstLine="480"/>
        <w:jc w:val="both"/>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厂区内的事故池装满事故污水时，事故污水进入雨水系统即将通过雨水总排水进入外环境，此时启动污水提升泵，将事故应急池内的消防事故废水紧急提升至厂内污水站的调节池内，进行预处理后排入园区污水管网，最后进入园区污水处理厂再次深度处理达标排放。此措施作为特别重大事故状态下，将污染物控制在厂区内的最后控制措施。</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（3）三级防控措施（园区级）</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bookmarkStart w:id="336" w:name="_Hlk14788684"/>
      <w:r>
        <w:rPr>
          <w:rFonts w:hint="default" w:ascii="Times New Roman" w:hAnsi="Times New Roman" w:eastAsia="宋体" w:cs="Times New Roman"/>
          <w:snapToGrid w:val="0"/>
          <w:color w:val="auto"/>
          <w:kern w:val="0"/>
          <w:sz w:val="24"/>
          <w:szCs w:val="21"/>
          <w:lang w:val="en-US" w:eastAsia="zh-CN" w:bidi="ar-SA"/>
        </w:rPr>
        <w:t>为防范于未然，将可能发生的环境风险事故的影响将到最低，以江阴工业园区的公共事故应急池、海堤和排洪闸作为本项目的第三级防线，防止事故废水流入兴化湾。</w:t>
      </w:r>
    </w:p>
    <w:p>
      <w:pPr>
        <w:adjustRightInd w:val="0"/>
        <w:snapToGrid w:val="0"/>
        <w:spacing w:line="360" w:lineRule="auto"/>
        <w:ind w:firstLine="482"/>
        <w:rPr>
          <w:rFonts w:ascii="Calibri" w:hAnsi="Calibri" w:eastAsia="宋体" w:cs="Times New Roman"/>
          <w:bCs/>
          <w:color w:val="auto"/>
          <w:kern w:val="2"/>
          <w:sz w:val="24"/>
          <w:szCs w:val="24"/>
          <w:lang w:val="en-US" w:eastAsia="zh-CN" w:bidi="ar-SA"/>
        </w:rPr>
      </w:pPr>
      <w:r>
        <w:rPr>
          <w:rFonts w:ascii="Calibri" w:hAnsi="Calibri" w:eastAsia="宋体" w:cs="Times New Roman"/>
          <w:b/>
          <w:bCs w:val="0"/>
          <w:color w:val="auto"/>
          <w:kern w:val="2"/>
          <w:sz w:val="24"/>
          <w:szCs w:val="24"/>
          <w:lang w:val="en-US" w:eastAsia="zh-CN" w:bidi="ar-SA"/>
        </w:rPr>
        <w:t>根据《福建省环保厅关于切实加强重点石化化工企业及园区环境应急池建设的通知》(闽环保应急〔2015〕13号)的要求，在同一个园区或者片区内的，或者彼此相邻的石化、化工生产企业和油库、罐区储运企业之间，要加强沟通联动，牢固树立“环保一家人”观念，打通彼此已建、在建、拟建应急池通道，配备能力足够的双向自流或者动力提升设施，实现应急池系统共用</w:t>
      </w:r>
      <w:r>
        <w:rPr>
          <w:rFonts w:hint="eastAsia" w:ascii="Calibri" w:hAnsi="Calibri" w:eastAsia="宋体" w:cs="Times New Roman"/>
          <w:b/>
          <w:bCs w:val="0"/>
          <w:color w:val="auto"/>
          <w:kern w:val="2"/>
          <w:sz w:val="24"/>
          <w:szCs w:val="24"/>
          <w:lang w:val="en-US" w:eastAsia="zh-CN" w:bidi="ar-SA"/>
        </w:rPr>
        <w:t>（园区已有的应急防控措施详见图6.5-3）</w:t>
      </w:r>
      <w:r>
        <w:rPr>
          <w:rFonts w:ascii="Calibri" w:hAnsi="Calibri" w:eastAsia="宋体" w:cs="Times New Roman"/>
          <w:b/>
          <w:bCs w:val="0"/>
          <w:color w:val="auto"/>
          <w:kern w:val="2"/>
          <w:sz w:val="24"/>
          <w:szCs w:val="24"/>
          <w:lang w:val="en-US" w:eastAsia="zh-CN" w:bidi="ar-SA"/>
        </w:rPr>
        <w:t>。</w:t>
      </w:r>
    </w:p>
    <w:p>
      <w:pPr>
        <w:adjustRightInd w:val="0"/>
        <w:snapToGrid w:val="0"/>
        <w:spacing w:line="360" w:lineRule="auto"/>
        <w:ind w:firstLine="480"/>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
        </w:rPr>
        <w:t>目前园区建有1个5万m</w:t>
      </w:r>
      <w:r>
        <w:rPr>
          <w:rFonts w:hint="default" w:ascii="Times New Roman" w:hAnsi="Times New Roman" w:eastAsia="宋体" w:cs="Times New Roman"/>
          <w:snapToGrid w:val="0"/>
          <w:color w:val="auto"/>
          <w:kern w:val="0"/>
          <w:sz w:val="24"/>
          <w:szCs w:val="24"/>
          <w:vertAlign w:val="superscript"/>
          <w:lang w:val="en-US" w:eastAsia="zh-CN" w:bidi="ar"/>
        </w:rPr>
        <w:t>3</w:t>
      </w:r>
      <w:r>
        <w:rPr>
          <w:rFonts w:hint="default" w:ascii="Times New Roman" w:hAnsi="Times New Roman" w:eastAsia="宋体" w:cs="Times New Roman"/>
          <w:snapToGrid w:val="0"/>
          <w:color w:val="auto"/>
          <w:kern w:val="0"/>
          <w:sz w:val="24"/>
          <w:szCs w:val="24"/>
          <w:lang w:val="en-US" w:eastAsia="zh-CN" w:bidi="ar"/>
        </w:rPr>
        <w:t>公共应急池及其切换装置、管道。项目与园区公共应急池相对位置见图6.5-1。同时本项目废水经收集后由厂内污水处理站处理达标，然后再进入园区污水处理厂进一步处理达标排放。因此，福州江阴港城经济区应急池和园区污水处理厂作为第三级防控。</w:t>
      </w:r>
      <w:r>
        <w:rPr>
          <w:rFonts w:hint="default" w:ascii="Times New Roman" w:hAnsi="Times New Roman" w:eastAsia="宋体" w:cs="Times New Roman"/>
          <w:bCs/>
          <w:color w:val="auto"/>
          <w:kern w:val="2"/>
          <w:sz w:val="24"/>
          <w:szCs w:val="24"/>
          <w:lang w:val="en-US" w:eastAsia="zh-CN" w:bidi="ar-SA"/>
        </w:rPr>
        <w:t>同时，本评价要求本项目事故应急池预留与园区公共事故应急池的接口，并配备专用事故水泵等相关应急器材。</w:t>
      </w:r>
    </w:p>
    <w:p>
      <w:pPr>
        <w:adjustRightInd w:val="0"/>
        <w:snapToGrid w:val="0"/>
        <w:spacing w:line="360" w:lineRule="auto"/>
        <w:ind w:firstLine="480"/>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bCs/>
          <w:color w:val="auto"/>
          <w:kern w:val="2"/>
          <w:sz w:val="24"/>
          <w:szCs w:val="28"/>
          <w:lang w:val="en-US" w:eastAsia="zh-CN" w:bidi="ar-SA"/>
        </w:rPr>
        <w:t>根据《福州市江阴工业集中区突发环境事件应急预案（JYGCJJQ[2019]-02版）》可知，</w:t>
      </w:r>
      <w:r>
        <w:rPr>
          <w:rFonts w:hint="eastAsia" w:ascii="Times New Roman" w:hAnsi="Times New Roman" w:eastAsia="宋体" w:cs="Times New Roman"/>
          <w:bCs/>
          <w:color w:val="auto"/>
          <w:kern w:val="2"/>
          <w:sz w:val="24"/>
          <w:szCs w:val="28"/>
          <w:lang w:val="en-US" w:eastAsia="zh-CN" w:bidi="ar-SA"/>
        </w:rPr>
        <w:t>江阴港城经济区沿内河共设置四个水闸，天辰耀隆东侧芝港河处设有三个水闸、入海口的东南电化西南侧设有一个水闸，水闸可以有效地控制水环境风险事故后，水环境风险物质在水环境中的扩散及对水环境风险受体的污染。</w:t>
      </w:r>
      <w:r>
        <w:rPr>
          <w:rFonts w:hint="default" w:ascii="Times New Roman" w:hAnsi="Times New Roman" w:eastAsia="宋体" w:cs="Times New Roman"/>
          <w:bCs/>
          <w:color w:val="auto"/>
          <w:kern w:val="2"/>
          <w:sz w:val="24"/>
          <w:szCs w:val="28"/>
          <w:lang w:val="en-US" w:eastAsia="zh-CN" w:bidi="ar-SA"/>
        </w:rPr>
        <w:t>另外园区与海域连接处建有防海堤和入海水闸，在最不利情况下，可关闭东、西部产业区入海水闸，将事故废水控制防海堤内渠道，防止外排污染兴化湾海域。</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企业三级防控体系示意图见图6.5-2。</w:t>
      </w:r>
    </w:p>
    <w:p>
      <w:pPr>
        <w:pStyle w:val="717"/>
        <w:ind w:firstLine="480"/>
        <w:rPr>
          <w:rFonts w:hint="default" w:ascii="Times New Roman" w:hAnsi="Times New Roman" w:cs="Times New Roman"/>
          <w:color w:val="auto"/>
        </w:rPr>
        <w:sectPr>
          <w:pgSz w:w="11906" w:h="16838"/>
          <w:pgMar w:top="1304" w:right="1418" w:bottom="1304" w:left="1418" w:header="851" w:footer="992" w:gutter="0"/>
          <w:pgBorders>
            <w:top w:val="none" w:sz="0" w:space="0"/>
            <w:left w:val="none" w:sz="0" w:space="0"/>
            <w:bottom w:val="none" w:sz="0" w:space="0"/>
            <w:right w:val="none" w:sz="0" w:space="0"/>
          </w:pgBorders>
          <w:pgNumType w:fmt="decimal"/>
          <w:cols w:space="720" w:num="1"/>
          <w:docGrid w:linePitch="380" w:charSpace="-5735"/>
        </w:sectPr>
      </w:pPr>
      <w:bookmarkStart w:id="337" w:name="_Ref42532901"/>
    </w:p>
    <w:p>
      <w:pPr>
        <w:pStyle w:val="717"/>
        <w:ind w:firstLine="480"/>
        <w:jc w:val="center"/>
        <w:rPr>
          <w:rFonts w:hint="eastAsia" w:ascii="Times New Roman" w:hAnsi="Times New Roman" w:eastAsia="黑体" w:cs="Times New Roman"/>
          <w:color w:val="auto"/>
          <w:lang w:eastAsia="zh-CN"/>
        </w:rPr>
      </w:pPr>
      <w:r>
        <w:drawing>
          <wp:inline distT="0" distB="0" distL="114300" distR="114300">
            <wp:extent cx="6641465" cy="5265420"/>
            <wp:effectExtent l="0" t="0" r="6985" b="11430"/>
            <wp:docPr id="115" name="图片 16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65" descr="图片1"/>
                    <pic:cNvPicPr>
                      <a:picLocks noChangeAspect="1"/>
                    </pic:cNvPicPr>
                  </pic:nvPicPr>
                  <pic:blipFill>
                    <a:blip r:embed="rId70"/>
                    <a:stretch>
                      <a:fillRect/>
                    </a:stretch>
                  </pic:blipFill>
                  <pic:spPr>
                    <a:xfrm>
                      <a:off x="0" y="0"/>
                      <a:ext cx="6641465" cy="5265420"/>
                    </a:xfrm>
                    <a:prstGeom prst="rect">
                      <a:avLst/>
                    </a:prstGeom>
                    <a:noFill/>
                    <a:ln>
                      <a:noFill/>
                    </a:ln>
                  </pic:spPr>
                </pic:pic>
              </a:graphicData>
            </a:graphic>
          </wp:inline>
        </w:drawing>
      </w:r>
    </w:p>
    <w:p>
      <w:pPr>
        <w:widowControl w:val="0"/>
        <w:spacing w:afterLines="0" w:line="360" w:lineRule="auto"/>
        <w:ind w:firstLine="0"/>
        <w:jc w:val="center"/>
        <w:outlineLvl w:val="4"/>
        <w:rPr>
          <w:rFonts w:hint="default" w:ascii="Times New Roman" w:hAnsi="Times New Roman" w:eastAsia="黑体" w:cs="Times New Roman"/>
          <w:b/>
          <w:color w:val="auto"/>
          <w:kern w:val="2"/>
          <w:sz w:val="24"/>
          <w:szCs w:val="24"/>
        </w:rPr>
        <w:sectPr>
          <w:pgSz w:w="16838" w:h="11906" w:orient="landscape"/>
          <w:pgMar w:top="1417" w:right="1304" w:bottom="1417" w:left="1304" w:header="851" w:footer="992" w:gutter="0"/>
          <w:pgBorders>
            <w:top w:val="none" w:sz="0" w:space="0"/>
            <w:left w:val="none" w:sz="0" w:space="0"/>
            <w:bottom w:val="none" w:sz="0" w:space="0"/>
            <w:right w:val="none" w:sz="0" w:space="0"/>
          </w:pgBorders>
          <w:pgNumType w:fmt="decimal"/>
          <w:cols w:space="720" w:num="1"/>
          <w:rtlGutter w:val="0"/>
          <w:docGrid w:linePitch="380" w:charSpace="0"/>
        </w:sectPr>
      </w:pPr>
      <w:r>
        <w:rPr>
          <w:rFonts w:hint="default" w:ascii="Times New Roman" w:hAnsi="Times New Roman" w:eastAsia="黑体" w:cs="Times New Roman"/>
          <w:b/>
          <w:color w:val="auto"/>
          <w:kern w:val="2"/>
          <w:sz w:val="24"/>
          <w:szCs w:val="24"/>
          <w:lang w:val="en-US" w:eastAsia="zh-CN" w:bidi="ar-SA"/>
        </w:rPr>
        <w:t>图</w:t>
      </w:r>
      <w:bookmarkEnd w:id="337"/>
      <w:r>
        <w:rPr>
          <w:rFonts w:hint="default" w:ascii="Times New Roman" w:hAnsi="Times New Roman" w:eastAsia="黑体" w:cs="Times New Roman"/>
          <w:b/>
          <w:color w:val="auto"/>
          <w:kern w:val="2"/>
          <w:sz w:val="24"/>
          <w:szCs w:val="24"/>
          <w:lang w:val="en-US" w:eastAsia="zh-CN" w:bidi="ar-SA"/>
        </w:rPr>
        <w:t>6.5-1  项目与园区公共事故应急池相对位置示意图</w:t>
      </w:r>
      <w:bookmarkEnd w:id="336"/>
    </w:p>
    <w:p>
      <w:pPr>
        <w:keepNext w:val="0"/>
        <w:keepLines w:val="0"/>
        <w:pageBreakBefore w:val="0"/>
        <w:widowControl w:val="0"/>
        <w:kinsoku/>
        <w:wordWrap/>
        <w:overflowPunct/>
        <w:topLinePunct w:val="0"/>
        <w:autoSpaceDE/>
        <w:autoSpaceDN/>
        <w:bidi w:val="0"/>
        <w:adjustRightInd/>
        <w:snapToGrid/>
        <w:ind w:firstLine="0"/>
        <w:jc w:val="center"/>
        <w:textAlignment w:val="auto"/>
        <w:outlineLvl w:val="4"/>
        <w:rPr>
          <w:rFonts w:hint="default" w:ascii="Times New Roman" w:hAnsi="Times New Roman" w:eastAsia="宋体" w:cs="Times New Roman"/>
        </w:rPr>
      </w:pPr>
      <w:r>
        <w:rPr>
          <w:rFonts w:hint="default" w:ascii="Times New Roman" w:hAnsi="Times New Roman" w:eastAsia="宋体" w:cs="Times New Roman"/>
        </w:rPr>
        <w:object>
          <v:shape id="_x0000_i1025" o:spt="75" type="#_x0000_t75" style="height:416.75pt;width:373.75pt;" o:ole="t" filled="f" o:preferrelative="t" stroked="f" coordsize="21600,21600">
            <v:path/>
            <v:fill on="f" focussize="0,0"/>
            <v:stroke on="f"/>
            <v:imagedata r:id="rId72" o:title=""/>
            <o:lock v:ext="edit" aspectratio="f"/>
            <w10:wrap type="none"/>
            <w10:anchorlock/>
          </v:shape>
          <o:OLEObject Type="Embed" ProgID="Visio.Drawing.11" ShapeID="_x0000_i1025" DrawAspect="Content" ObjectID="_1468075726" r:id="rId71">
            <o:LockedField>false</o:LockedField>
          </o:OLEObject>
        </w:object>
      </w:r>
    </w:p>
    <w:p>
      <w:pPr>
        <w:keepNext w:val="0"/>
        <w:keepLines w:val="0"/>
        <w:pageBreakBefore w:val="0"/>
        <w:widowControl w:val="0"/>
        <w:kinsoku/>
        <w:wordWrap/>
        <w:overflowPunct/>
        <w:topLinePunct w:val="0"/>
        <w:autoSpaceDE/>
        <w:autoSpaceDN/>
        <w:bidi w:val="0"/>
        <w:adjustRightInd/>
        <w:snapToGrid/>
        <w:ind w:firstLine="0"/>
        <w:jc w:val="center"/>
        <w:textAlignment w:val="auto"/>
        <w:outlineLvl w:val="4"/>
        <w:rPr>
          <w:rFonts w:hint="default" w:ascii="Times New Roman" w:hAnsi="Times New Roman" w:eastAsia="黑体" w:cs="Times New Roman"/>
          <w:b/>
          <w:snapToGrid/>
          <w:color w:val="auto"/>
          <w:kern w:val="2"/>
          <w:sz w:val="24"/>
          <w:szCs w:val="24"/>
          <w:lang w:val="en-US" w:eastAsia="zh-CN" w:bidi="ar-SA"/>
        </w:rPr>
      </w:pPr>
      <w:r>
        <w:rPr>
          <w:rFonts w:hint="default" w:ascii="Times New Roman" w:hAnsi="Times New Roman" w:eastAsia="黑体" w:cs="Times New Roman"/>
          <w:b/>
          <w:snapToGrid/>
          <w:color w:val="auto"/>
          <w:kern w:val="2"/>
          <w:sz w:val="24"/>
          <w:szCs w:val="24"/>
          <w:lang w:val="en-US" w:eastAsia="zh-CN" w:bidi="ar-SA"/>
        </w:rPr>
        <w:t>图6.5-2  项目环境风险三级防控系统图</w:t>
      </w:r>
    </w:p>
    <w:p>
      <w:pPr>
        <w:pStyle w:val="24"/>
        <w:rPr>
          <w:rFonts w:hint="default" w:ascii="Times New Roman" w:hAnsi="Times New Roman" w:eastAsia="黑体" w:cs="Times New Roman"/>
          <w:b/>
          <w:snapToGrid/>
          <w:color w:val="auto"/>
          <w:kern w:val="2"/>
          <w:sz w:val="24"/>
          <w:szCs w:val="24"/>
          <w:lang w:val="en-US" w:eastAsia="zh-CN" w:bidi="ar-SA"/>
        </w:rPr>
      </w:pPr>
    </w:p>
    <w:p>
      <w:pPr>
        <w:pStyle w:val="26"/>
        <w:rPr>
          <w:rFonts w:hint="default" w:ascii="Times New Roman" w:hAnsi="Times New Roman" w:eastAsia="黑体" w:cs="Times New Roman"/>
          <w:b/>
          <w:snapToGrid/>
          <w:color w:val="auto"/>
          <w:kern w:val="2"/>
          <w:sz w:val="24"/>
          <w:szCs w:val="24"/>
          <w:lang w:val="en-US" w:eastAsia="zh-CN" w:bidi="ar-SA"/>
        </w:rPr>
      </w:pPr>
    </w:p>
    <w:p>
      <w:pPr>
        <w:widowControl w:val="0"/>
        <w:spacing w:line="360" w:lineRule="auto"/>
        <w:ind w:firstLine="0"/>
        <w:jc w:val="both"/>
        <w:rPr>
          <w:rFonts w:hint="default" w:ascii="Times New Roman" w:hAnsi="Times New Roman" w:eastAsia="宋体" w:cs="Times New Roman"/>
          <w:b/>
          <w:snapToGrid/>
          <w:color w:val="auto"/>
          <w:kern w:val="0"/>
          <w:sz w:val="24"/>
          <w:szCs w:val="21"/>
          <w:highlight w:val="none"/>
          <w:u w:val="none"/>
          <w:lang w:val="en-US" w:eastAsia="zh-CN" w:bidi="ar-SA"/>
        </w:rPr>
        <w:sectPr>
          <w:pgSz w:w="11906" w:h="16838"/>
          <w:pgMar w:top="1304" w:right="1418" w:bottom="1304" w:left="1418" w:header="851" w:footer="992" w:gutter="0"/>
          <w:pgBorders>
            <w:top w:val="none" w:sz="0" w:space="0"/>
            <w:left w:val="none" w:sz="0" w:space="0"/>
            <w:bottom w:val="none" w:sz="0" w:space="0"/>
            <w:right w:val="none" w:sz="0" w:space="0"/>
          </w:pgBorders>
          <w:pgNumType w:fmt="decimal"/>
          <w:cols w:space="720" w:num="1"/>
          <w:docGrid w:linePitch="380" w:charSpace="-5735"/>
        </w:sectPr>
      </w:pPr>
    </w:p>
    <w:p>
      <w:pPr>
        <w:widowControl w:val="0"/>
        <w:spacing w:line="360" w:lineRule="auto"/>
        <w:ind w:firstLine="0"/>
        <w:jc w:val="center"/>
        <w:rPr>
          <w:rFonts w:hint="default" w:ascii="Times New Roman" w:hAnsi="Times New Roman" w:eastAsia="宋体" w:cs="Times New Roman"/>
          <w:b/>
          <w:bCs/>
          <w:snapToGrid w:val="0"/>
          <w:color w:val="auto"/>
          <w:kern w:val="0"/>
          <w:sz w:val="24"/>
          <w:szCs w:val="21"/>
          <w:highlight w:val="none"/>
          <w:u w:val="none"/>
          <w:lang w:val="en-US" w:eastAsia="zh-CN" w:bidi="ar-SA"/>
        </w:rPr>
      </w:pPr>
      <w:r>
        <mc:AlternateContent>
          <mc:Choice Requires="wps">
            <w:drawing>
              <wp:anchor distT="0" distB="0" distL="114300" distR="114300" simplePos="0" relativeHeight="251745280" behindDoc="0" locked="0" layoutInCell="1" allowOverlap="1">
                <wp:simplePos x="0" y="0"/>
                <wp:positionH relativeFrom="column">
                  <wp:posOffset>1697355</wp:posOffset>
                </wp:positionH>
                <wp:positionV relativeFrom="paragraph">
                  <wp:posOffset>1616710</wp:posOffset>
                </wp:positionV>
                <wp:extent cx="1238250" cy="342900"/>
                <wp:effectExtent l="7620" t="7620" r="544830" b="297180"/>
                <wp:wrapNone/>
                <wp:docPr id="65" name="圆角矩形标注 407"/>
                <wp:cNvGraphicFramePr/>
                <a:graphic xmlns:a="http://schemas.openxmlformats.org/drawingml/2006/main">
                  <a:graphicData uri="http://schemas.microsoft.com/office/word/2010/wordprocessingShape">
                    <wps:wsp>
                      <wps:cNvSpPr/>
                      <wps:spPr>
                        <a:xfrm>
                          <a:off x="0" y="0"/>
                          <a:ext cx="1238250" cy="342900"/>
                        </a:xfrm>
                        <a:prstGeom prst="wedgeRoundRectCallout">
                          <a:avLst>
                            <a:gd name="adj1" fmla="val 88819"/>
                            <a:gd name="adj2" fmla="val 125556"/>
                            <a:gd name="adj3" fmla="val 16667"/>
                          </a:avLst>
                        </a:prstGeom>
                        <a:noFill/>
                        <a:ln w="15875" cap="flat" cmpd="sng">
                          <a:solidFill>
                            <a:srgbClr val="C00000"/>
                          </a:solidFill>
                          <a:prstDash val="solid"/>
                          <a:miter/>
                          <a:headEnd type="none" w="med" len="med"/>
                          <a:tailEnd type="none" w="med" len="med"/>
                        </a:ln>
                      </wps:spPr>
                      <wps:txbx>
                        <w:txbxContent>
                          <w:p>
                            <w:pPr>
                              <w:ind w:left="0" w:leftChars="0" w:firstLine="0" w:firstLineChars="0"/>
                              <w:rPr>
                                <w:rFonts w:ascii="Times New Roman" w:hAnsi="Times New Roman" w:eastAsia="宋体" w:cs="Times New Roman"/>
                                <w:b/>
                                <w:color w:val="FF0000"/>
                                <w:szCs w:val="20"/>
                              </w:rPr>
                            </w:pPr>
                            <w:r>
                              <w:rPr>
                                <w:rFonts w:hint="eastAsia" w:ascii="Times New Roman" w:hAnsi="Times New Roman" w:eastAsia="宋体" w:cs="Times New Roman"/>
                                <w:b/>
                                <w:color w:val="FF0000"/>
                                <w:szCs w:val="20"/>
                              </w:rPr>
                              <w:t>本项目所在位置</w:t>
                            </w:r>
                          </w:p>
                        </w:txbxContent>
                      </wps:txbx>
                      <wps:bodyPr wrap="square" upright="1"/>
                    </wps:wsp>
                  </a:graphicData>
                </a:graphic>
              </wp:anchor>
            </w:drawing>
          </mc:Choice>
          <mc:Fallback>
            <w:pict>
              <v:shape id="圆角矩形标注 407" o:spid="_x0000_s1026" o:spt="62" type="#_x0000_t62" style="position:absolute;left:0pt;margin-left:133.65pt;margin-top:127.3pt;height:27pt;width:97.5pt;z-index:251745280;mso-width-relative:page;mso-height-relative:page;" filled="f" stroked="t" coordsize="21600,21600" o:gfxdata="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L1Y&#10;FsLbAAAACwEAAA8AAAAAAAAAAQAgAAAAIgAAAGRycy9kb3ducmV2LnhtbFBLAQIUABQAAAAIAIdO&#10;4kBKYvhHWQIAAKUEAAAOAAAAAAAAAAEAIAAAACoBAABkcnMvZTJvRG9jLnhtbFBLBQYAAAAABgAG&#10;AFkBAAD1BQAAAAA=&#10;" adj="29985,37920,14400">
                <v:fill on="f" focussize="0,0"/>
                <v:stroke weight="1.25pt" color="#C00000" joinstyle="miter"/>
                <v:imagedata o:title=""/>
                <o:lock v:ext="edit" aspectratio="f"/>
                <v:textbox>
                  <w:txbxContent>
                    <w:p>
                      <w:pPr>
                        <w:ind w:left="0" w:leftChars="0" w:firstLine="0" w:firstLineChars="0"/>
                        <w:rPr>
                          <w:rFonts w:ascii="Times New Roman" w:hAnsi="Times New Roman" w:eastAsia="宋体" w:cs="Times New Roman"/>
                          <w:b/>
                          <w:color w:val="FF0000"/>
                          <w:szCs w:val="20"/>
                        </w:rPr>
                      </w:pPr>
                      <w:r>
                        <w:rPr>
                          <w:rFonts w:hint="eastAsia" w:ascii="Times New Roman" w:hAnsi="Times New Roman" w:eastAsia="宋体" w:cs="Times New Roman"/>
                          <w:b/>
                          <w:color w:val="FF0000"/>
                          <w:szCs w:val="20"/>
                        </w:rPr>
                        <w:t>本项目所在位置</w:t>
                      </w:r>
                    </w:p>
                  </w:txbxContent>
                </v:textbox>
              </v:shape>
            </w:pict>
          </mc:Fallback>
        </mc:AlternateContent>
      </w:r>
      <w:r>
        <w:drawing>
          <wp:inline distT="0" distB="0" distL="114300" distR="114300">
            <wp:extent cx="7204075" cy="4962525"/>
            <wp:effectExtent l="0" t="0" r="15875" b="9525"/>
            <wp:docPr id="116" name="图片 293" descr="江阴应急池及应急管线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93" descr="江阴应急池及应急管线布置图"/>
                    <pic:cNvPicPr>
                      <a:picLocks noChangeAspect="1"/>
                    </pic:cNvPicPr>
                  </pic:nvPicPr>
                  <pic:blipFill>
                    <a:blip r:embed="rId73"/>
                    <a:stretch>
                      <a:fillRect/>
                    </a:stretch>
                  </pic:blipFill>
                  <pic:spPr>
                    <a:xfrm>
                      <a:off x="0" y="0"/>
                      <a:ext cx="7204075" cy="49625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after="0" w:afterLines="0" w:line="240" w:lineRule="auto"/>
        <w:ind w:firstLine="0"/>
        <w:jc w:val="center"/>
        <w:textAlignment w:val="auto"/>
        <w:outlineLvl w:val="4"/>
        <w:rPr>
          <w:rFonts w:hint="default" w:ascii="Times New Roman" w:hAnsi="Times New Roman" w:eastAsia="黑体" w:cs="Times New Roman"/>
          <w:b w:val="0"/>
          <w:bCs/>
          <w:color w:val="auto"/>
          <w:kern w:val="2"/>
          <w:sz w:val="24"/>
          <w:szCs w:val="24"/>
          <w:lang w:val="en-US" w:eastAsia="zh-CN" w:bidi="ar-SA"/>
        </w:rPr>
      </w:pPr>
      <w:r>
        <w:rPr>
          <w:rFonts w:hint="default" w:ascii="Times New Roman" w:hAnsi="Times New Roman" w:eastAsia="黑体" w:cs="Times New Roman"/>
          <w:b w:val="0"/>
          <w:bCs/>
          <w:color w:val="auto"/>
          <w:kern w:val="2"/>
          <w:sz w:val="24"/>
          <w:szCs w:val="24"/>
          <w:lang w:val="en-US" w:eastAsia="zh-CN" w:bidi="ar-SA"/>
        </w:rPr>
        <w:t>图</w:t>
      </w:r>
      <w:r>
        <w:rPr>
          <w:rFonts w:hint="eastAsia" w:ascii="Times New Roman" w:hAnsi="Times New Roman" w:eastAsia="黑体" w:cs="Times New Roman"/>
          <w:b w:val="0"/>
          <w:bCs/>
          <w:color w:val="auto"/>
          <w:kern w:val="2"/>
          <w:sz w:val="24"/>
          <w:szCs w:val="24"/>
          <w:lang w:val="en-US" w:eastAsia="zh-CN" w:bidi="ar-SA"/>
        </w:rPr>
        <w:t xml:space="preserve">6.5-3  </w:t>
      </w:r>
      <w:r>
        <w:rPr>
          <w:rFonts w:hint="default" w:ascii="Times New Roman" w:hAnsi="Times New Roman" w:eastAsia="黑体" w:cs="Times New Roman"/>
          <w:b w:val="0"/>
          <w:bCs/>
          <w:color w:val="auto"/>
          <w:kern w:val="2"/>
          <w:sz w:val="24"/>
          <w:szCs w:val="24"/>
          <w:lang w:val="en-US" w:eastAsia="zh-CN" w:bidi="ar-SA"/>
        </w:rPr>
        <w:t>江阴应急池及应急管线布置图</w:t>
      </w:r>
    </w:p>
    <w:p>
      <w:pPr>
        <w:pStyle w:val="24"/>
        <w:rPr>
          <w:rFonts w:hint="default"/>
          <w:color w:val="auto"/>
          <w:lang w:val="en-US" w:eastAsia="zh-CN"/>
        </w:rPr>
        <w:sectPr>
          <w:pgSz w:w="16838" w:h="11906" w:orient="landscape"/>
          <w:pgMar w:top="1417" w:right="1304" w:bottom="1417" w:left="1304" w:header="851" w:footer="992" w:gutter="0"/>
          <w:pgBorders>
            <w:top w:val="none" w:sz="0" w:space="0"/>
            <w:left w:val="none" w:sz="0" w:space="0"/>
            <w:bottom w:val="none" w:sz="0" w:space="0"/>
            <w:right w:val="none" w:sz="0" w:space="0"/>
          </w:pgBorders>
          <w:pgNumType w:fmt="decimal"/>
          <w:cols w:space="720" w:num="1"/>
          <w:rtlGutter w:val="0"/>
          <w:docGrid w:linePitch="380" w:charSpace="0"/>
        </w:sectPr>
      </w:pPr>
    </w:p>
    <w:p>
      <w:pPr>
        <w:widowControl w:val="0"/>
        <w:spacing w:line="360" w:lineRule="auto"/>
        <w:ind w:firstLine="482"/>
        <w:jc w:val="both"/>
        <w:rPr>
          <w:rFonts w:hint="default" w:ascii="Times New Roman" w:hAnsi="Times New Roman" w:eastAsia="宋体" w:cs="Times New Roman"/>
          <w:b/>
          <w:bCs/>
          <w:color w:val="auto"/>
          <w:kern w:val="2"/>
          <w:sz w:val="24"/>
          <w:szCs w:val="24"/>
          <w:highlight w:val="none"/>
          <w:lang w:val="en-US" w:eastAsia="zh-CN" w:bidi="ar-SA"/>
        </w:rPr>
      </w:pPr>
      <w:bookmarkStart w:id="338" w:name="_Toc186387927"/>
      <w:bookmarkStart w:id="339" w:name="_Toc183342932"/>
      <w:bookmarkStart w:id="340" w:name="_Toc184963990"/>
      <w:bookmarkStart w:id="341" w:name="_Toc186388026"/>
      <w:bookmarkStart w:id="342" w:name="_Toc153635815"/>
      <w:bookmarkStart w:id="343" w:name="_Toc153635254"/>
      <w:r>
        <w:rPr>
          <w:rFonts w:hint="eastAsia" w:ascii="Times New Roman" w:hAnsi="Times New Roman" w:eastAsia="宋体"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en-US" w:eastAsia="zh-CN" w:bidi="ar-SA"/>
        </w:rPr>
        <w:t>事故风险防范</w:t>
      </w:r>
      <w:bookmarkEnd w:id="338"/>
      <w:bookmarkEnd w:id="339"/>
      <w:bookmarkEnd w:id="340"/>
      <w:bookmarkEnd w:id="341"/>
      <w:bookmarkEnd w:id="342"/>
      <w:bookmarkEnd w:id="343"/>
      <w:r>
        <w:rPr>
          <w:rFonts w:hint="eastAsia" w:ascii="Times New Roman" w:hAnsi="Times New Roman" w:eastAsia="宋体" w:cs="Times New Roman"/>
          <w:b/>
          <w:bCs/>
          <w:color w:val="auto"/>
          <w:kern w:val="2"/>
          <w:sz w:val="24"/>
          <w:szCs w:val="24"/>
          <w:highlight w:val="none"/>
          <w:lang w:val="en-US" w:eastAsia="zh-CN" w:bidi="ar-SA"/>
        </w:rPr>
        <w:t>措施</w:t>
      </w:r>
    </w:p>
    <w:p>
      <w:pPr>
        <w:widowControl w:val="0"/>
        <w:spacing w:line="360" w:lineRule="auto"/>
        <w:ind w:firstLine="48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坚持“以人为本、预防为主”的指导思想，应针对主厂区的各生产装置、罐组等区域潜在的风险事故区或风险源采取相应的事故风险防范措施，制订应急计划。在设计、建设和运行过程中，科学规划、合理布置，采取必要的分隔及相应的防火、防爆等安全防护措施，建立严格的安全生产制度，提高操作人员的素质和水平，以减少事故的发生。应充分考虑各种防泄漏措施，特别是防止有毒有害物质进入外部环境的控制措施。</w:t>
      </w:r>
    </w:p>
    <w:p>
      <w:pPr>
        <w:widowControl w:val="0"/>
        <w:spacing w:line="360" w:lineRule="auto"/>
        <w:ind w:firstLine="48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项目设计、建设和运行管理中应重点做好以下环境风险防范与应急措施：</w:t>
      </w:r>
    </w:p>
    <w:p>
      <w:pPr>
        <w:widowControl w:val="0"/>
        <w:spacing w:line="360" w:lineRule="auto"/>
        <w:ind w:firstLine="48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①按规范设置装置区初期雨水围堰、储罐区防火堤，初期雨水池和雨水监控池，以及应急事故池的三级防控系统，设置1座</w:t>
      </w:r>
      <w:r>
        <w:rPr>
          <w:rFonts w:hint="eastAsia" w:ascii="Times New Roman" w:hAnsi="Times New Roman" w:eastAsia="宋体" w:cs="Times New Roman"/>
          <w:color w:val="auto"/>
          <w:kern w:val="2"/>
          <w:sz w:val="24"/>
          <w:szCs w:val="24"/>
          <w:highlight w:val="none"/>
          <w:lang w:val="en-US" w:eastAsia="zh-CN" w:bidi="ar-SA"/>
        </w:rPr>
        <w:t>14</w:t>
      </w:r>
      <w:r>
        <w:rPr>
          <w:rFonts w:hint="default" w:ascii="Times New Roman" w:hAnsi="Times New Roman" w:eastAsia="宋体" w:cs="Times New Roman"/>
          <w:color w:val="auto"/>
          <w:kern w:val="2"/>
          <w:sz w:val="24"/>
          <w:szCs w:val="24"/>
          <w:highlight w:val="none"/>
          <w:lang w:val="en-US" w:eastAsia="zh-CN" w:bidi="ar-SA"/>
        </w:rPr>
        <w:t>00m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 xml:space="preserve"> 事故池。规范建设自流式应急事故池和相应的导流设施，储罐围堰外应设置切换阀门，切换阀门操作宜设在地面，并设电动、手动双用闸阀，事故池配置双回路电源的大功率抽水泵站和柴油抽水泵等。确保未经处理废水和事故污水不出厂。</w:t>
      </w:r>
    </w:p>
    <w:p>
      <w:pPr>
        <w:widowControl w:val="0"/>
        <w:spacing w:line="360" w:lineRule="auto"/>
        <w:ind w:firstLine="480"/>
        <w:jc w:val="both"/>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②</w:t>
      </w:r>
      <w:r>
        <w:rPr>
          <w:rFonts w:hint="default" w:ascii="Times New Roman" w:hAnsi="Times New Roman" w:eastAsia="宋体" w:cs="Times New Roman"/>
          <w:color w:val="auto"/>
          <w:kern w:val="2"/>
          <w:sz w:val="24"/>
          <w:szCs w:val="24"/>
          <w:highlight w:val="none"/>
          <w:lang w:val="en-US" w:eastAsia="zh-CN" w:bidi="ar-SA"/>
        </w:rPr>
        <w:t>废水处理调节池等设施与事故三级防控设施应分别设计、建设，在非事故情况下不得混用。优化事故污水收集输送途径，严格雨污管道建设管理，坚决实施雨污分流，严防事故污水污染雨水收集系统。</w:t>
      </w:r>
    </w:p>
    <w:p>
      <w:pPr>
        <w:widowControl w:val="0"/>
        <w:adjustRightInd w:val="0"/>
        <w:snapToGrid w:val="0"/>
        <w:spacing w:line="360" w:lineRule="auto"/>
        <w:ind w:left="0" w:firstLine="0"/>
        <w:jc w:val="both"/>
        <w:textAlignment w:val="baseline"/>
        <w:outlineLvl w:val="3"/>
        <w:rPr>
          <w:rFonts w:hint="default" w:ascii="Times New Roman" w:hAnsi="Times New Roman" w:eastAsia="黑体" w:cs="Times New Roman"/>
          <w:b w:val="0"/>
          <w:color w:val="auto"/>
          <w:kern w:val="0"/>
          <w:sz w:val="28"/>
          <w:szCs w:val="22"/>
          <w:lang w:val="zh-CN" w:eastAsia="zh-CN" w:bidi="ar-SA"/>
        </w:rPr>
      </w:pPr>
      <w:r>
        <w:rPr>
          <w:rFonts w:hint="default" w:ascii="Times New Roman" w:hAnsi="Times New Roman" w:eastAsia="黑体" w:cs="Times New Roman"/>
          <w:b w:val="0"/>
          <w:color w:val="auto"/>
          <w:kern w:val="0"/>
          <w:sz w:val="28"/>
          <w:szCs w:val="22"/>
          <w:lang w:val="en-US" w:eastAsia="zh-CN" w:bidi="ar-SA"/>
        </w:rPr>
        <w:t>6.5.2.3</w:t>
      </w:r>
      <w:r>
        <w:rPr>
          <w:rFonts w:hint="default" w:ascii="Times New Roman" w:hAnsi="Times New Roman" w:eastAsia="黑体" w:cs="Times New Roman"/>
          <w:b w:val="0"/>
          <w:color w:val="auto"/>
          <w:kern w:val="0"/>
          <w:sz w:val="28"/>
          <w:szCs w:val="22"/>
          <w:lang w:val="zh-CN" w:eastAsia="zh-CN" w:bidi="ar-SA"/>
        </w:rPr>
        <w:t>地下水环境风险防范措施</w:t>
      </w:r>
    </w:p>
    <w:p>
      <w:pPr>
        <w:spacing w:line="360" w:lineRule="auto"/>
        <w:ind w:firstLine="480"/>
        <w:rPr>
          <w:rFonts w:hint="default" w:ascii="Times New Roman" w:hAnsi="Times New Roman" w:eastAsia="宋体" w:cs="Times New Roman"/>
          <w:color w:val="auto"/>
          <w:sz w:val="24"/>
          <w:szCs w:val="24"/>
          <w:lang w:val="zh-CN" w:bidi="ar"/>
        </w:rPr>
      </w:pPr>
      <w:r>
        <w:rPr>
          <w:rFonts w:hint="default" w:ascii="Times New Roman" w:hAnsi="Times New Roman" w:eastAsia="宋体" w:cs="Times New Roman"/>
          <w:color w:val="auto"/>
          <w:sz w:val="24"/>
          <w:szCs w:val="24"/>
          <w:lang w:val="zh-CN" w:bidi="ar"/>
        </w:rPr>
        <w:t>地下水环境风险防范采取源头控制和分区防渗措施，详见地下水污染防治措施章节。加强地下水环境的监控、预警，厂区设置地下水监控井</w:t>
      </w:r>
      <w:r>
        <w:rPr>
          <w:rFonts w:hint="default" w:ascii="Times New Roman" w:hAnsi="Times New Roman" w:eastAsia="宋体" w:cs="Times New Roman"/>
          <w:color w:val="auto"/>
          <w:sz w:val="24"/>
          <w:szCs w:val="24"/>
          <w:lang w:val="en-US" w:eastAsia="zh-CN" w:bidi="ar"/>
        </w:rPr>
        <w:t>3</w:t>
      </w:r>
      <w:r>
        <w:rPr>
          <w:rFonts w:hint="default" w:ascii="Times New Roman" w:hAnsi="Times New Roman" w:eastAsia="宋体" w:cs="Times New Roman"/>
          <w:color w:val="auto"/>
          <w:sz w:val="24"/>
          <w:szCs w:val="24"/>
          <w:lang w:val="zh-CN" w:bidi="ar"/>
        </w:rPr>
        <w:t>眼，定期对厂区的地下水监控井进行监测，实时监控厂区内的地下水环境污染水平。</w:t>
      </w:r>
    </w:p>
    <w:p>
      <w:pPr>
        <w:widowControl w:val="0"/>
        <w:adjustRightInd w:val="0"/>
        <w:snapToGrid w:val="0"/>
        <w:spacing w:line="360" w:lineRule="auto"/>
        <w:ind w:left="0" w:firstLine="0"/>
        <w:jc w:val="both"/>
        <w:textAlignment w:val="baseline"/>
        <w:outlineLvl w:val="3"/>
        <w:rPr>
          <w:rFonts w:hint="default" w:ascii="Times New Roman" w:hAnsi="Times New Roman" w:eastAsia="黑体" w:cs="Times New Roman"/>
          <w:b w:val="0"/>
          <w:color w:val="auto"/>
          <w:kern w:val="0"/>
          <w:sz w:val="28"/>
          <w:szCs w:val="22"/>
          <w:lang w:val="en-US" w:eastAsia="zh-CN" w:bidi="ar-SA"/>
        </w:rPr>
      </w:pPr>
      <w:bookmarkStart w:id="344" w:name="_Hlk30085872"/>
      <w:r>
        <w:rPr>
          <w:rFonts w:hint="default" w:ascii="Times New Roman" w:hAnsi="Times New Roman" w:eastAsia="黑体" w:cs="Times New Roman"/>
          <w:b w:val="0"/>
          <w:color w:val="auto"/>
          <w:kern w:val="0"/>
          <w:sz w:val="28"/>
          <w:szCs w:val="22"/>
          <w:lang w:val="en-US" w:eastAsia="zh-CN" w:bidi="ar-SA"/>
        </w:rPr>
        <w:t>6.5.2.4一般火灾防范措施</w:t>
      </w:r>
    </w:p>
    <w:bookmarkEnd w:id="344"/>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（1）在建筑设计上凡建筑面积大于3000m</w:t>
      </w:r>
      <w:r>
        <w:rPr>
          <w:rFonts w:hint="default" w:ascii="Times New Roman" w:hAnsi="Times New Roman" w:eastAsia="宋体" w:cs="Times New Roman"/>
          <w:snapToGrid w:val="0"/>
          <w:color w:val="auto"/>
          <w:kern w:val="0"/>
          <w:sz w:val="24"/>
          <w:szCs w:val="21"/>
          <w:vertAlign w:val="superscript"/>
          <w:lang w:val="en-US" w:eastAsia="zh-CN" w:bidi="ar-SA"/>
        </w:rPr>
        <w:t>2</w:t>
      </w:r>
      <w:r>
        <w:rPr>
          <w:rFonts w:hint="default" w:ascii="Times New Roman" w:hAnsi="Times New Roman" w:eastAsia="宋体" w:cs="Times New Roman"/>
          <w:snapToGrid w:val="0"/>
          <w:color w:val="auto"/>
          <w:kern w:val="0"/>
          <w:sz w:val="24"/>
          <w:szCs w:val="21"/>
          <w:lang w:val="en-US" w:eastAsia="zh-CN" w:bidi="ar-SA"/>
        </w:rPr>
        <w:t>的丙类生产车间四周均设环形消防车道。车间内部按《建筑设计防火规范》要求设置疏散口及划分防火分区。根据规范在室内外配置消火栓和灭火器。</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（2）室外消防给水采用低压给水系统，发生火灾时由消防车加压供水灭火。设计采用生产、消防合并的给水系统，消防给水采用低压制。消防管理由现有的管理系统负责管辖。</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（3）对使用易燃易爆物料设备、输送管道应采用严格的防泄漏措施，如采取双套管输送，泵、阀全密封等措施；金属管道应按规定设置防静电措施；加强工艺控制与设备的维护维修管理；</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（4）所有易损动力设备应设置备用设备及双回路电源，防止因设备故障或突发性停电引起的有害物质泄漏。</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（5）各生产单元除采取上述防范措施外，应针对各自的反应特性，分别采取有效的风险管理与防范措施。</w:t>
      </w:r>
    </w:p>
    <w:p>
      <w:pPr>
        <w:widowControl w:val="0"/>
        <w:adjustRightInd w:val="0"/>
        <w:snapToGrid w:val="0"/>
        <w:spacing w:line="360" w:lineRule="auto"/>
        <w:ind w:left="0" w:firstLine="0"/>
        <w:jc w:val="both"/>
        <w:textAlignment w:val="baseline"/>
        <w:outlineLvl w:val="3"/>
        <w:rPr>
          <w:rFonts w:hint="default" w:ascii="Times New Roman" w:hAnsi="Times New Roman" w:eastAsia="黑体" w:cs="Times New Roman"/>
          <w:b w:val="0"/>
          <w:color w:val="auto"/>
          <w:kern w:val="0"/>
          <w:sz w:val="28"/>
          <w:szCs w:val="22"/>
          <w:lang w:val="en-US" w:eastAsia="zh-CN" w:bidi="ar-SA"/>
        </w:rPr>
      </w:pPr>
      <w:bookmarkStart w:id="345" w:name="_Hlk30085617"/>
      <w:r>
        <w:rPr>
          <w:rFonts w:hint="default" w:ascii="Times New Roman" w:hAnsi="Times New Roman" w:eastAsia="黑体" w:cs="Times New Roman"/>
          <w:b w:val="0"/>
          <w:color w:val="auto"/>
          <w:kern w:val="0"/>
          <w:sz w:val="28"/>
          <w:szCs w:val="22"/>
          <w:lang w:val="en-US" w:eastAsia="zh-CN" w:bidi="ar-SA"/>
        </w:rPr>
        <w:t>6.5.2.5运输过程风险防范措施</w:t>
      </w:r>
    </w:p>
    <w:bookmarkEnd w:id="345"/>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1）根据《道路危险货物运输管理规定》，从事营业性道路危险货物运输的单位，必须具有十辆以上专用车辆的经营规模，五年以上从事运输经营的管理经验，配有相应的专业技术管理人员，并已建立健全安全操作规程、岗位责任制、车辆设备保养维修和安全质量教育等规章制度。危险品运输单位必须取得《道路危险货物非营业运输证》，方可进行运输作业，有关人员必须取得《道路危险货物运输操作证》和有关专业培训考核后，方可上岗作业。运输单位和有关人员应定期组织学习、考核。因此，本项目的危险品运输应委托有资质的危险品运输企业进行运输。</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2）危险物品运输车辆必须符合国家标准《道路运输危险货物车辆标志》的规定，悬挂明显的危险货物运输标志。严禁用三轮机动车、全挂汽车列车、人力三轮车、自行车和摩托车等不符合规定、无安全措施的车辆来运输危险物品。禁止将危险物品混入非危险物品中贮存。危险物品运输车辆严禁混装水果、蔬菜等其他货物，保证危险物品运输车辆”专车专用”。车辆需按规定定期检修、维修，压力容器须符合国家强制性标准。危险物品的包装标志必须符合国家标准《危险货物包装标志》和《包装储运图示标志》及有关补充规定。</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（3）收集、贮存危险物品，必须按照危险物品特性分类进行。禁止混合收集、贮存、运输、处置性质不相容而未经安全性处置的危险物品。</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4）运输危险物品时，必须严格遵守交通、消防、治安等法规。车辆运行应控制车速，保持与前车的距离，严禁违章超车，确保行车安全。对在夏季高温期间限运的危险货物，应按当地公安部门规定进行运输。运输路线、运输方式、运输时间需报公路沿线交通管理部门审批。</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5）装载危险物品运输路线应避开邵武市城区，其车辆不得在生活饮用水地表水源保护区、居民聚居点、行人稠密地段、政府机关、大桥等敏感目标停车。如必须在上述地区进行装卸作业或临时停车，应事先报经当地县、市公安部门批准，按照指定的路线、时间行驶。</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（6）对装载本项目危险物品车辆，应采取相应的控温、防爆、防火、防震、防水、防撒漏等措施。</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7）危险物品装卸现场的道路、灯光、标志、消防设施等必须符合安全装卸的条件。建设单位应要求危险物品产生单位在装卸地点的应标有明显的货名牌，储槽注入、排放口的高度、容量和路面坡度应能适合运输车辆装卸的要求。</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（8）在发生如台风、大雾、龙卷风等天气时应特别注意行车安全甚至不出车，尽量减少事故发生率。</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（9）建议运输车队制定一些诸如”安全行车标兵”、”安全行车十万公里无事故”等激励制度，不能制定司机跟业务量直接挂钩的激励制度，严防司机为拉业务为出现超载、超速和疲劳行车现象。</w:t>
      </w:r>
    </w:p>
    <w:p>
      <w:pPr>
        <w:widowControl w:val="0"/>
        <w:adjustRightInd w:val="0"/>
        <w:snapToGrid w:val="0"/>
        <w:spacing w:line="360" w:lineRule="auto"/>
        <w:ind w:left="0" w:firstLine="0"/>
        <w:jc w:val="both"/>
        <w:textAlignment w:val="baseline"/>
        <w:outlineLvl w:val="3"/>
        <w:rPr>
          <w:rFonts w:hint="default" w:ascii="Times New Roman" w:hAnsi="Times New Roman" w:eastAsia="黑体" w:cs="Times New Roman"/>
          <w:b w:val="0"/>
          <w:color w:val="auto"/>
          <w:kern w:val="0"/>
          <w:sz w:val="28"/>
          <w:szCs w:val="22"/>
          <w:lang w:val="en-US" w:eastAsia="zh-CN" w:bidi="ar-SA"/>
        </w:rPr>
      </w:pPr>
      <w:r>
        <w:rPr>
          <w:rFonts w:hint="eastAsia" w:ascii="Times New Roman" w:hAnsi="Times New Roman" w:eastAsia="黑体" w:cs="Times New Roman"/>
          <w:b w:val="0"/>
          <w:color w:val="auto"/>
          <w:kern w:val="0"/>
          <w:sz w:val="28"/>
          <w:szCs w:val="22"/>
          <w:lang w:val="en-US" w:eastAsia="zh-CN" w:bidi="ar-SA"/>
        </w:rPr>
        <w:t>6.5.2.6</w:t>
      </w:r>
      <w:r>
        <w:rPr>
          <w:rFonts w:hint="default" w:ascii="Times New Roman" w:hAnsi="Times New Roman" w:eastAsia="黑体" w:cs="Times New Roman"/>
          <w:b w:val="0"/>
          <w:color w:val="auto"/>
          <w:kern w:val="0"/>
          <w:sz w:val="28"/>
          <w:szCs w:val="22"/>
          <w:lang w:val="en-US" w:eastAsia="zh-CN" w:bidi="ar-SA"/>
        </w:rPr>
        <w:t>报警监控措施</w:t>
      </w:r>
    </w:p>
    <w:p>
      <w:pPr>
        <w:pStyle w:val="321"/>
        <w:bidi w:val="0"/>
        <w:rPr>
          <w:rFonts w:hint="default"/>
          <w:color w:val="auto"/>
          <w:highlight w:val="none"/>
          <w:lang w:val="en-US" w:eastAsia="zh-CN"/>
        </w:rPr>
      </w:pPr>
      <w:r>
        <w:rPr>
          <w:rFonts w:hint="default"/>
          <w:color w:val="auto"/>
          <w:highlight w:val="none"/>
          <w:lang w:val="en-US" w:eastAsia="zh-CN"/>
        </w:rPr>
        <w:t>本项目应参照《石油化工企业可燃气体和有毒气体检测报警设计规范》(GB/T50493-2019)、《重大危险源（储罐区、库区和生产场所）安全监控通用技术规范（征求意见稿）》要求，在危险物料生产、储存场所(如罐区)和主反应装置区设置有毒物质泄漏检测探头，检测探头应与报警系统、应急处理系统等联动，以便一旦发生有毒物质泄漏，及时迅速启动事故应急救援预案，如启动泄漏物质收集吸收系统等，将事故损失减轻到最低限度。</w:t>
      </w:r>
    </w:p>
    <w:p>
      <w:pPr>
        <w:widowControl w:val="0"/>
        <w:adjustRightInd w:val="0"/>
        <w:snapToGrid w:val="0"/>
        <w:spacing w:line="360" w:lineRule="auto"/>
        <w:ind w:left="0" w:firstLine="0"/>
        <w:jc w:val="both"/>
        <w:textAlignment w:val="baseline"/>
        <w:outlineLvl w:val="3"/>
        <w:rPr>
          <w:rFonts w:hint="default" w:ascii="Times New Roman" w:hAnsi="Times New Roman" w:eastAsia="黑体" w:cs="Times New Roman"/>
          <w:b w:val="0"/>
          <w:color w:val="auto"/>
          <w:kern w:val="0"/>
          <w:sz w:val="28"/>
          <w:szCs w:val="22"/>
          <w:lang w:val="en-US" w:eastAsia="zh-CN" w:bidi="ar-SA"/>
        </w:rPr>
      </w:pPr>
      <w:r>
        <w:rPr>
          <w:rFonts w:hint="eastAsia" w:ascii="Times New Roman" w:hAnsi="Times New Roman" w:eastAsia="黑体" w:cs="Times New Roman"/>
          <w:b w:val="0"/>
          <w:color w:val="auto"/>
          <w:kern w:val="0"/>
          <w:sz w:val="28"/>
          <w:szCs w:val="22"/>
          <w:lang w:val="en-US" w:eastAsia="zh-CN" w:bidi="ar-SA"/>
        </w:rPr>
        <w:t>6.2.2.7</w:t>
      </w:r>
      <w:r>
        <w:rPr>
          <w:rFonts w:hint="default" w:ascii="Times New Roman" w:hAnsi="Times New Roman" w:eastAsia="黑体" w:cs="Times New Roman"/>
          <w:b w:val="0"/>
          <w:color w:val="auto"/>
          <w:kern w:val="0"/>
          <w:sz w:val="28"/>
          <w:szCs w:val="22"/>
          <w:lang w:val="en-US" w:eastAsia="zh-CN" w:bidi="ar-SA"/>
        </w:rPr>
        <w:t>其他风险防范措施</w:t>
      </w:r>
    </w:p>
    <w:p>
      <w:pPr>
        <w:widowControl w:val="0"/>
        <w:spacing w:line="360" w:lineRule="auto"/>
        <w:ind w:firstLine="480"/>
        <w:jc w:val="both"/>
        <w:rPr>
          <w:rFonts w:hint="default" w:ascii="Times New Roman" w:hAnsi="Times New Roman" w:eastAsia="宋体" w:cs="Times New Roman"/>
          <w:snapToGrid w:val="0"/>
          <w:color w:val="auto"/>
          <w:kern w:val="0"/>
          <w:sz w:val="24"/>
          <w:szCs w:val="21"/>
          <w:highlight w:val="none"/>
          <w:u w:val="none"/>
          <w:lang w:val="en-US" w:eastAsia="zh-CN" w:bidi="ar-SA"/>
        </w:rPr>
      </w:pPr>
      <w:r>
        <w:rPr>
          <w:rFonts w:hint="default" w:ascii="Times New Roman" w:hAnsi="Times New Roman" w:eastAsia="宋体" w:cs="Times New Roman"/>
          <w:snapToGrid w:val="0"/>
          <w:color w:val="auto"/>
          <w:kern w:val="0"/>
          <w:sz w:val="24"/>
          <w:szCs w:val="21"/>
          <w:highlight w:val="none"/>
          <w:u w:val="none"/>
          <w:lang w:val="en-US" w:eastAsia="zh-CN" w:bidi="ar-SA"/>
        </w:rPr>
        <w:t>（1）岗位操作严格穿戴劳保用品，制定安全操作规程，严格执行，保证严格依照公安、交警部门的管理进行运输、组织生产。</w:t>
      </w:r>
    </w:p>
    <w:p>
      <w:pPr>
        <w:widowControl w:val="0"/>
        <w:spacing w:line="360" w:lineRule="auto"/>
        <w:ind w:firstLine="480"/>
        <w:jc w:val="both"/>
        <w:rPr>
          <w:rFonts w:hint="default" w:ascii="Times New Roman" w:hAnsi="Times New Roman" w:eastAsia="宋体" w:cs="Times New Roman"/>
          <w:snapToGrid w:val="0"/>
          <w:color w:val="auto"/>
          <w:kern w:val="0"/>
          <w:sz w:val="24"/>
          <w:szCs w:val="21"/>
          <w:highlight w:val="none"/>
          <w:u w:val="none"/>
          <w:lang w:val="en-US" w:eastAsia="zh-CN" w:bidi="ar-SA"/>
        </w:rPr>
      </w:pPr>
      <w:r>
        <w:rPr>
          <w:rFonts w:hint="default" w:ascii="Times New Roman" w:hAnsi="Times New Roman" w:eastAsia="宋体" w:cs="Times New Roman"/>
          <w:snapToGrid w:val="0"/>
          <w:color w:val="auto"/>
          <w:kern w:val="0"/>
          <w:sz w:val="24"/>
          <w:szCs w:val="21"/>
          <w:highlight w:val="none"/>
          <w:u w:val="none"/>
          <w:lang w:val="en-US" w:eastAsia="zh-CN" w:bidi="ar-SA"/>
        </w:rPr>
        <w:t>（2）安全教育等纳入企业经营管理范畴，完善安全组织结构。</w:t>
      </w:r>
    </w:p>
    <w:p>
      <w:pPr>
        <w:widowControl w:val="0"/>
        <w:spacing w:line="360" w:lineRule="auto"/>
        <w:ind w:firstLine="480"/>
        <w:jc w:val="both"/>
        <w:rPr>
          <w:rFonts w:hint="default" w:ascii="Times New Roman" w:hAnsi="Times New Roman" w:eastAsia="宋体" w:cs="Times New Roman"/>
          <w:snapToGrid w:val="0"/>
          <w:color w:val="auto"/>
          <w:kern w:val="0"/>
          <w:sz w:val="24"/>
          <w:szCs w:val="21"/>
          <w:highlight w:val="none"/>
          <w:u w:val="none"/>
          <w:lang w:val="en-US" w:eastAsia="zh-CN" w:bidi="ar-SA"/>
        </w:rPr>
      </w:pPr>
      <w:r>
        <w:rPr>
          <w:rFonts w:hint="default" w:ascii="Times New Roman" w:hAnsi="Times New Roman" w:eastAsia="宋体" w:cs="Times New Roman"/>
          <w:snapToGrid w:val="0"/>
          <w:color w:val="auto"/>
          <w:kern w:val="0"/>
          <w:sz w:val="24"/>
          <w:szCs w:val="21"/>
          <w:highlight w:val="none"/>
          <w:u w:val="none"/>
          <w:lang w:val="en-US" w:eastAsia="zh-CN" w:bidi="ar-SA"/>
        </w:rPr>
        <w:t>（3）加强安全卫生培训，掌握处理事故的技能，加强技术防范，杜绝安全和危害职工健康事故的发生；在所有职工中普及对</w:t>
      </w:r>
      <w:r>
        <w:rPr>
          <w:rFonts w:hint="eastAsia" w:ascii="Times New Roman" w:hAnsi="Times New Roman" w:eastAsia="宋体" w:cs="Times New Roman"/>
          <w:snapToGrid w:val="0"/>
          <w:color w:val="auto"/>
          <w:kern w:val="0"/>
          <w:sz w:val="24"/>
          <w:szCs w:val="21"/>
          <w:highlight w:val="none"/>
          <w:u w:val="none"/>
          <w:lang w:val="en-US" w:eastAsia="zh-CN" w:bidi="ar-SA"/>
        </w:rPr>
        <w:t>氨</w:t>
      </w:r>
      <w:r>
        <w:rPr>
          <w:rFonts w:hint="default" w:ascii="Times New Roman" w:hAnsi="Times New Roman" w:eastAsia="宋体" w:cs="Times New Roman"/>
          <w:snapToGrid w:val="0"/>
          <w:color w:val="auto"/>
          <w:kern w:val="0"/>
          <w:sz w:val="24"/>
          <w:szCs w:val="21"/>
          <w:highlight w:val="none"/>
          <w:u w:val="none"/>
          <w:lang w:val="en-US" w:eastAsia="zh-CN" w:bidi="ar-SA"/>
        </w:rPr>
        <w:t>、</w:t>
      </w:r>
      <w:r>
        <w:rPr>
          <w:rFonts w:hint="eastAsia" w:ascii="Times New Roman" w:hAnsi="Times New Roman" w:eastAsia="宋体" w:cs="Times New Roman"/>
          <w:snapToGrid w:val="0"/>
          <w:color w:val="auto"/>
          <w:kern w:val="0"/>
          <w:sz w:val="24"/>
          <w:szCs w:val="21"/>
          <w:highlight w:val="none"/>
          <w:u w:val="none"/>
          <w:lang w:val="en-US" w:eastAsia="zh-CN" w:bidi="ar-SA"/>
        </w:rPr>
        <w:t>次氯酸钠</w:t>
      </w:r>
      <w:r>
        <w:rPr>
          <w:rFonts w:hint="default" w:ascii="Times New Roman" w:hAnsi="Times New Roman" w:eastAsia="宋体" w:cs="Times New Roman"/>
          <w:snapToGrid w:val="0"/>
          <w:color w:val="auto"/>
          <w:kern w:val="0"/>
          <w:sz w:val="24"/>
          <w:szCs w:val="21"/>
          <w:highlight w:val="none"/>
          <w:u w:val="none"/>
          <w:lang w:val="en-US" w:eastAsia="zh-CN" w:bidi="ar-SA"/>
        </w:rPr>
        <w:t>、</w:t>
      </w:r>
      <w:r>
        <w:rPr>
          <w:rFonts w:hint="eastAsia" w:ascii="Times New Roman" w:hAnsi="Times New Roman" w:eastAsia="宋体" w:cs="Times New Roman"/>
          <w:snapToGrid w:val="0"/>
          <w:color w:val="auto"/>
          <w:kern w:val="0"/>
          <w:sz w:val="24"/>
          <w:szCs w:val="21"/>
          <w:highlight w:val="none"/>
          <w:u w:val="none"/>
          <w:lang w:val="en-US" w:eastAsia="zh-CN" w:bidi="ar-SA"/>
        </w:rPr>
        <w:t>硝酸银、</w:t>
      </w:r>
      <w:r>
        <w:rPr>
          <w:rFonts w:hint="default" w:ascii="Times New Roman" w:hAnsi="Times New Roman" w:eastAsia="宋体" w:cs="Times New Roman"/>
          <w:snapToGrid w:val="0"/>
          <w:color w:val="auto"/>
          <w:kern w:val="0"/>
          <w:sz w:val="24"/>
          <w:szCs w:val="21"/>
          <w:highlight w:val="none"/>
          <w:u w:val="none"/>
          <w:lang w:val="en-US" w:eastAsia="zh-CN" w:bidi="ar-SA"/>
        </w:rPr>
        <w:t>一氧化碳等有毒有害物质有害意识及对中毒者的急救措施。</w:t>
      </w:r>
    </w:p>
    <w:p>
      <w:pPr>
        <w:widowControl w:val="0"/>
        <w:spacing w:line="360" w:lineRule="auto"/>
        <w:ind w:firstLine="480"/>
        <w:jc w:val="both"/>
        <w:rPr>
          <w:rFonts w:hint="default" w:ascii="Times New Roman" w:hAnsi="Times New Roman" w:eastAsia="宋体" w:cs="Times New Roman"/>
          <w:snapToGrid w:val="0"/>
          <w:color w:val="auto"/>
          <w:kern w:val="0"/>
          <w:sz w:val="24"/>
          <w:szCs w:val="21"/>
          <w:highlight w:val="none"/>
          <w:u w:val="none"/>
          <w:lang w:val="en-US" w:eastAsia="zh-CN" w:bidi="ar-SA"/>
        </w:rPr>
      </w:pPr>
      <w:r>
        <w:rPr>
          <w:rFonts w:hint="default" w:ascii="Times New Roman" w:hAnsi="Times New Roman" w:eastAsia="宋体" w:cs="Times New Roman"/>
          <w:snapToGrid w:val="0"/>
          <w:color w:val="auto"/>
          <w:kern w:val="0"/>
          <w:sz w:val="24"/>
          <w:szCs w:val="21"/>
          <w:highlight w:val="none"/>
          <w:u w:val="none"/>
          <w:lang w:val="en-US" w:eastAsia="zh-CN" w:bidi="ar-SA"/>
        </w:rPr>
        <w:t>（</w:t>
      </w:r>
      <w:r>
        <w:rPr>
          <w:rFonts w:hint="eastAsia" w:ascii="Times New Roman" w:hAnsi="Times New Roman" w:eastAsia="宋体" w:cs="Times New Roman"/>
          <w:snapToGrid w:val="0"/>
          <w:color w:val="auto"/>
          <w:kern w:val="0"/>
          <w:sz w:val="24"/>
          <w:szCs w:val="21"/>
          <w:highlight w:val="none"/>
          <w:u w:val="none"/>
          <w:lang w:val="en-US" w:eastAsia="zh-CN" w:bidi="ar-SA"/>
        </w:rPr>
        <w:t>4</w:t>
      </w:r>
      <w:r>
        <w:rPr>
          <w:rFonts w:hint="default" w:ascii="Times New Roman" w:hAnsi="Times New Roman" w:eastAsia="宋体" w:cs="Times New Roman"/>
          <w:snapToGrid w:val="0"/>
          <w:color w:val="auto"/>
          <w:kern w:val="0"/>
          <w:sz w:val="24"/>
          <w:szCs w:val="21"/>
          <w:highlight w:val="none"/>
          <w:u w:val="none"/>
          <w:lang w:val="en-US" w:eastAsia="zh-CN" w:bidi="ar-SA"/>
        </w:rPr>
        <w:t>）生产区内严禁烟火。</w:t>
      </w:r>
    </w:p>
    <w:p>
      <w:pPr>
        <w:widowControl w:val="0"/>
        <w:spacing w:line="360" w:lineRule="auto"/>
        <w:ind w:firstLine="480"/>
        <w:jc w:val="both"/>
        <w:rPr>
          <w:rFonts w:hint="default" w:ascii="Times New Roman" w:hAnsi="Times New Roman" w:eastAsia="宋体" w:cs="Times New Roman"/>
          <w:snapToGrid w:val="0"/>
          <w:color w:val="auto"/>
          <w:kern w:val="0"/>
          <w:sz w:val="24"/>
          <w:szCs w:val="21"/>
          <w:highlight w:val="none"/>
          <w:u w:val="none"/>
          <w:lang w:val="en-US" w:eastAsia="zh-CN" w:bidi="ar-SA"/>
        </w:rPr>
      </w:pPr>
      <w:r>
        <w:rPr>
          <w:rFonts w:hint="default" w:ascii="Times New Roman" w:hAnsi="Times New Roman" w:eastAsia="宋体" w:cs="Times New Roman"/>
          <w:snapToGrid w:val="0"/>
          <w:color w:val="auto"/>
          <w:kern w:val="0"/>
          <w:sz w:val="24"/>
          <w:szCs w:val="21"/>
          <w:highlight w:val="none"/>
          <w:u w:val="none"/>
          <w:lang w:val="en-US" w:eastAsia="zh-CN" w:bidi="ar-SA"/>
        </w:rPr>
        <w:t>（</w:t>
      </w:r>
      <w:r>
        <w:rPr>
          <w:rFonts w:hint="eastAsia" w:ascii="Times New Roman" w:hAnsi="Times New Roman" w:eastAsia="宋体" w:cs="Times New Roman"/>
          <w:snapToGrid w:val="0"/>
          <w:color w:val="auto"/>
          <w:kern w:val="0"/>
          <w:sz w:val="24"/>
          <w:szCs w:val="21"/>
          <w:highlight w:val="none"/>
          <w:u w:val="none"/>
          <w:lang w:val="en-US" w:eastAsia="zh-CN" w:bidi="ar-SA"/>
        </w:rPr>
        <w:t>5</w:t>
      </w:r>
      <w:r>
        <w:rPr>
          <w:rFonts w:hint="default" w:ascii="Times New Roman" w:hAnsi="Times New Roman" w:eastAsia="宋体" w:cs="Times New Roman"/>
          <w:snapToGrid w:val="0"/>
          <w:color w:val="auto"/>
          <w:kern w:val="0"/>
          <w:sz w:val="24"/>
          <w:szCs w:val="21"/>
          <w:highlight w:val="none"/>
          <w:u w:val="none"/>
          <w:lang w:val="en-US" w:eastAsia="zh-CN" w:bidi="ar-SA"/>
        </w:rPr>
        <w:t>）项目建设和营运期，应对厂区周围居民分发防范毒物泄漏危害常识的宣传手册，并宣传内容在厂内外显著位置上墙公示。</w:t>
      </w:r>
    </w:p>
    <w:p>
      <w:pPr>
        <w:pStyle w:val="24"/>
        <w:rPr>
          <w:rFonts w:hint="default" w:ascii="Times New Roman" w:hAnsi="Times New Roman" w:eastAsia="宋体" w:cs="Times New Roman"/>
          <w:snapToGrid w:val="0"/>
          <w:color w:val="auto"/>
          <w:kern w:val="0"/>
          <w:sz w:val="24"/>
          <w:szCs w:val="21"/>
          <w:lang w:val="en-US" w:eastAsia="zh-CN" w:bidi="ar-SA"/>
        </w:rPr>
      </w:pPr>
    </w:p>
    <w:p>
      <w:pPr>
        <w:pStyle w:val="26"/>
        <w:rPr>
          <w:rFonts w:hint="default" w:ascii="Times New Roman" w:hAnsi="Times New Roman" w:eastAsia="宋体" w:cs="Times New Roman"/>
          <w:snapToGrid w:val="0"/>
          <w:color w:val="auto"/>
          <w:kern w:val="0"/>
          <w:sz w:val="24"/>
          <w:szCs w:val="21"/>
          <w:lang w:val="en-US" w:eastAsia="zh-CN" w:bidi="ar-SA"/>
        </w:rPr>
      </w:pPr>
    </w:p>
    <w:p>
      <w:pPr>
        <w:rPr>
          <w:rFonts w:hint="default"/>
          <w:color w:val="auto"/>
          <w:lang w:val="en-US" w:eastAsia="zh-CN"/>
        </w:rPr>
      </w:pPr>
    </w:p>
    <w:p>
      <w:pPr>
        <w:pStyle w:val="26"/>
        <w:rPr>
          <w:rFonts w:hint="default" w:ascii="Times New Roman" w:hAnsi="Times New Roman" w:eastAsia="宋体" w:cs="Times New Roman"/>
          <w:snapToGrid w:val="0"/>
          <w:color w:val="auto"/>
          <w:kern w:val="0"/>
          <w:sz w:val="24"/>
          <w:szCs w:val="21"/>
          <w:lang w:val="en-US" w:eastAsia="zh-CN" w:bidi="ar-SA"/>
        </w:rPr>
      </w:pPr>
    </w:p>
    <w:p>
      <w:pPr>
        <w:rPr>
          <w:rFonts w:hint="default"/>
          <w:color w:val="auto"/>
          <w:lang w:val="en-US" w:eastAsia="zh-CN"/>
        </w:rPr>
      </w:pPr>
    </w:p>
    <w:p>
      <w:pPr>
        <w:keepNext w:val="0"/>
        <w:keepLines w:val="0"/>
        <w:pageBreakBefore w:val="0"/>
        <w:widowControl w:val="0"/>
        <w:kinsoku/>
        <w:wordWrap/>
        <w:overflowPunct/>
        <w:topLinePunct w:val="0"/>
        <w:autoSpaceDE/>
        <w:autoSpaceDN/>
        <w:bidi w:val="0"/>
        <w:adjustRightInd/>
        <w:snapToGrid/>
        <w:spacing w:afterLines="0" w:line="360" w:lineRule="auto"/>
        <w:ind w:firstLine="0"/>
        <w:jc w:val="center"/>
        <w:textAlignment w:val="auto"/>
        <w:outlineLvl w:val="4"/>
        <w:rPr>
          <w:rFonts w:hint="default" w:ascii="Times New Roman" w:hAnsi="Times New Roman" w:eastAsia="黑体" w:cs="Times New Roman"/>
          <w:b/>
          <w:color w:val="auto"/>
          <w:kern w:val="2"/>
          <w:sz w:val="24"/>
          <w:szCs w:val="24"/>
          <w:lang w:val="en-US" w:eastAsia="zh-CN" w:bidi="ar-SA"/>
        </w:rPr>
      </w:pPr>
      <w:r>
        <w:rPr>
          <w:rFonts w:hint="default" w:ascii="Times New Roman" w:hAnsi="Times New Roman" w:eastAsia="黑体" w:cs="Times New Roman"/>
          <w:b/>
          <w:color w:val="auto"/>
          <w:kern w:val="2"/>
          <w:sz w:val="24"/>
          <w:szCs w:val="24"/>
          <w:lang w:val="en-US" w:eastAsia="zh-CN" w:bidi="ar-SA"/>
        </w:rPr>
        <w:t>表6.5-3 本项目风险防控措施一览表</w:t>
      </w:r>
    </w:p>
    <w:tbl>
      <w:tblPr>
        <w:tblStyle w:val="9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10"/>
        <w:gridCol w:w="1584"/>
        <w:gridCol w:w="659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4" w:type="dxa"/>
            <w:gridSpan w:val="2"/>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防控措施</w:t>
            </w:r>
          </w:p>
        </w:tc>
        <w:tc>
          <w:tcPr>
            <w:tcW w:w="6592"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风险防控措施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6" w:hRule="atLeast"/>
        </w:trPr>
        <w:tc>
          <w:tcPr>
            <w:tcW w:w="1110" w:type="dxa"/>
            <w:vMerge w:val="restar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储罐区</w:t>
            </w:r>
          </w:p>
        </w:tc>
        <w:tc>
          <w:tcPr>
            <w:tcW w:w="1584"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报警仪</w:t>
            </w:r>
          </w:p>
        </w:tc>
        <w:tc>
          <w:tcPr>
            <w:tcW w:w="6592"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储罐上部安装有</w:t>
            </w:r>
            <w:r>
              <w:rPr>
                <w:rFonts w:hint="default" w:ascii="Times New Roman" w:hAnsi="Times New Roman" w:eastAsia="宋体" w:cs="Times New Roman"/>
                <w:color w:val="auto"/>
                <w:sz w:val="21"/>
                <w:szCs w:val="21"/>
                <w:lang w:val="en-US" w:eastAsia="zh-CN"/>
              </w:rPr>
              <w:t>有毒气体</w:t>
            </w:r>
            <w:r>
              <w:rPr>
                <w:rFonts w:hint="default" w:ascii="Times New Roman" w:hAnsi="Times New Roman" w:eastAsia="宋体" w:cs="Times New Roman"/>
                <w:color w:val="auto"/>
                <w:sz w:val="21"/>
                <w:szCs w:val="21"/>
              </w:rPr>
              <w:t>报警仪</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可燃气体探测器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vMerge w:val="continue"/>
            <w:tcBorders>
              <w:left w:val="single" w:color="auto" w:sz="4" w:space="0"/>
            </w:tcBorders>
            <w:noWrap w:val="0"/>
          </w:tcPr>
          <w:p/>
        </w:tc>
        <w:tc>
          <w:tcPr>
            <w:tcW w:w="1584"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控制系统</w:t>
            </w:r>
          </w:p>
        </w:tc>
        <w:tc>
          <w:tcPr>
            <w:tcW w:w="6592"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储罐出口管道及卸车管道设置紧急切断阀；各污染防治区按要求防渗</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vMerge w:val="continue"/>
            <w:tcBorders>
              <w:left w:val="single" w:color="auto" w:sz="4" w:space="0"/>
            </w:tcBorders>
            <w:noWrap w:val="0"/>
          </w:tcPr>
          <w:p/>
        </w:tc>
        <w:tc>
          <w:tcPr>
            <w:tcW w:w="1584"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储罐设计</w:t>
            </w:r>
          </w:p>
        </w:tc>
        <w:tc>
          <w:tcPr>
            <w:tcW w:w="6592"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储罐区设置围堰，每个储罐设计高低液位报警控制系统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4" w:type="dxa"/>
            <w:gridSpan w:val="2"/>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综合</w:t>
            </w:r>
            <w:r>
              <w:rPr>
                <w:rFonts w:hint="default" w:ascii="Times New Roman" w:hAnsi="Times New Roman" w:eastAsia="宋体" w:cs="Times New Roman"/>
                <w:color w:val="auto"/>
                <w:sz w:val="21"/>
                <w:szCs w:val="21"/>
              </w:rPr>
              <w:t>仓库</w:t>
            </w:r>
          </w:p>
        </w:tc>
        <w:tc>
          <w:tcPr>
            <w:tcW w:w="6592"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安装可燃气体探测器</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有毒报警器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4" w:type="dxa"/>
            <w:gridSpan w:val="2"/>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生产装置区</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车间二</w:t>
            </w:r>
            <w:r>
              <w:rPr>
                <w:rFonts w:hint="default" w:ascii="Times New Roman" w:hAnsi="Times New Roman" w:eastAsia="宋体" w:cs="Times New Roman"/>
                <w:color w:val="auto"/>
                <w:sz w:val="21"/>
                <w:szCs w:val="21"/>
                <w:lang w:eastAsia="zh-CN"/>
              </w:rPr>
              <w:t>）</w:t>
            </w:r>
          </w:p>
        </w:tc>
        <w:tc>
          <w:tcPr>
            <w:tcW w:w="6592"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装置区设置视频监视系统，各类设备、管道采用防腐蚀材料。输送管道使用无缝钢管或铸铁管，管道连接使用法兰连接，法兰连接使用垫片材质应为防腐蚀材料；车间内设</w:t>
            </w:r>
            <w:r>
              <w:rPr>
                <w:rFonts w:hint="default" w:ascii="Times New Roman" w:hAnsi="Times New Roman" w:eastAsia="宋体" w:cs="Times New Roman"/>
                <w:color w:val="auto"/>
                <w:sz w:val="21"/>
                <w:szCs w:val="21"/>
                <w:lang w:val="en-US" w:eastAsia="zh-CN"/>
              </w:rPr>
              <w:t>有毒气体</w:t>
            </w:r>
            <w:r>
              <w:rPr>
                <w:rFonts w:hint="default" w:ascii="Times New Roman" w:hAnsi="Times New Roman" w:eastAsia="宋体" w:cs="Times New Roman"/>
                <w:color w:val="auto"/>
                <w:sz w:val="21"/>
                <w:szCs w:val="21"/>
              </w:rPr>
              <w:t>报警器、可燃气体报警器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4" w:type="dxa"/>
            <w:gridSpan w:val="2"/>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管理制度</w:t>
            </w:r>
          </w:p>
        </w:tc>
        <w:tc>
          <w:tcPr>
            <w:tcW w:w="6592"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24h值班监控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4" w:type="dxa"/>
            <w:gridSpan w:val="2"/>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消防</w:t>
            </w:r>
          </w:p>
        </w:tc>
        <w:tc>
          <w:tcPr>
            <w:tcW w:w="6592"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本项目设置有灭火器，</w:t>
            </w:r>
            <w:r>
              <w:rPr>
                <w:rFonts w:hint="default" w:ascii="Times New Roman" w:hAnsi="Times New Roman" w:eastAsia="宋体" w:cs="Times New Roman"/>
                <w:color w:val="auto"/>
                <w:sz w:val="21"/>
                <w:szCs w:val="21"/>
                <w:lang w:val="en-US" w:eastAsia="zh-CN"/>
              </w:rPr>
              <w:t>设置10</w:t>
            </w:r>
            <w:r>
              <w:rPr>
                <w:rFonts w:hint="default" w:ascii="Times New Roman" w:hAnsi="Times New Roman" w:eastAsia="宋体" w:cs="Times New Roman"/>
                <w:color w:val="auto"/>
                <w:sz w:val="21"/>
                <w:szCs w:val="21"/>
              </w:rPr>
              <w:t>0</w:t>
            </w:r>
            <w:r>
              <w:rPr>
                <w:rFonts w:hint="default" w:ascii="Times New Roman" w:hAnsi="Times New Roman" w:eastAsia="宋体" w:cs="Times New Roman"/>
                <w:color w:val="auto"/>
                <w:sz w:val="21"/>
                <w:szCs w:val="21"/>
                <w:lang w:val="en-US" w:eastAsia="zh-CN"/>
              </w:rPr>
              <w:t>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消防</w:t>
            </w:r>
            <w:r>
              <w:rPr>
                <w:rFonts w:hint="default" w:ascii="Times New Roman" w:hAnsi="Times New Roman" w:eastAsia="宋体" w:cs="Times New Roman"/>
                <w:color w:val="auto"/>
                <w:sz w:val="21"/>
                <w:szCs w:val="21"/>
                <w:u w:val="dotted"/>
                <w:lang w:val="en-US" w:eastAsia="zh-CN"/>
              </w:rPr>
              <w:t>水罐</w:t>
            </w:r>
            <w:r>
              <w:rPr>
                <w:rFonts w:hint="default" w:ascii="Times New Roman" w:hAnsi="Times New Roman" w:eastAsia="宋体" w:cs="Times New Roman"/>
                <w:color w:val="auto"/>
                <w:sz w:val="21"/>
                <w:szCs w:val="21"/>
              </w:rPr>
              <w:t>及消防设施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4" w:type="dxa"/>
            <w:gridSpan w:val="2"/>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应急事故池</w:t>
            </w:r>
          </w:p>
        </w:tc>
        <w:tc>
          <w:tcPr>
            <w:tcW w:w="6592"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设置1</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00m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事故池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4" w:type="dxa"/>
            <w:gridSpan w:val="2"/>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初期雨水</w:t>
            </w:r>
          </w:p>
        </w:tc>
        <w:tc>
          <w:tcPr>
            <w:tcW w:w="6592"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设置</w:t>
            </w:r>
            <w:r>
              <w:rPr>
                <w:rFonts w:hint="eastAsia"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00m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初期雨水池</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500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雨水</w:t>
            </w:r>
            <w:r>
              <w:rPr>
                <w:rFonts w:hint="default" w:ascii="Times New Roman" w:hAnsi="Times New Roman" w:eastAsia="宋体" w:cs="Times New Roman"/>
                <w:color w:val="auto"/>
                <w:sz w:val="21"/>
                <w:szCs w:val="21"/>
                <w:lang w:val="en-US" w:eastAsia="zh-CN"/>
              </w:rPr>
              <w:t>监控</w:t>
            </w:r>
            <w:r>
              <w:rPr>
                <w:rFonts w:hint="default" w:ascii="Times New Roman" w:hAnsi="Times New Roman" w:eastAsia="宋体" w:cs="Times New Roman"/>
                <w:color w:val="auto"/>
                <w:sz w:val="21"/>
                <w:szCs w:val="21"/>
              </w:rPr>
              <w:t>池</w:t>
            </w:r>
          </w:p>
        </w:tc>
      </w:tr>
    </w:tbl>
    <w:p>
      <w:pPr>
        <w:widowControl w:val="0"/>
        <w:adjustRightInd w:val="0"/>
        <w:snapToGrid w:val="0"/>
        <w:spacing w:line="360" w:lineRule="auto"/>
        <w:ind w:left="0" w:firstLine="0"/>
        <w:jc w:val="both"/>
        <w:textAlignment w:val="baseline"/>
        <w:outlineLvl w:val="3"/>
        <w:rPr>
          <w:rFonts w:hint="default" w:ascii="Times New Roman" w:hAnsi="Times New Roman" w:eastAsia="黑体" w:cs="Times New Roman"/>
          <w:b w:val="0"/>
          <w:color w:val="auto"/>
          <w:kern w:val="0"/>
          <w:sz w:val="28"/>
          <w:szCs w:val="22"/>
          <w:lang w:val="en-US" w:eastAsia="zh-CN" w:bidi="ar-SA"/>
        </w:rPr>
      </w:pPr>
      <w:r>
        <w:rPr>
          <w:rFonts w:hint="default" w:ascii="Times New Roman" w:hAnsi="Times New Roman" w:eastAsia="黑体" w:cs="Times New Roman"/>
          <w:b w:val="0"/>
          <w:color w:val="auto"/>
          <w:kern w:val="0"/>
          <w:sz w:val="28"/>
          <w:szCs w:val="22"/>
          <w:lang w:val="en-US" w:eastAsia="zh-CN" w:bidi="ar-SA"/>
        </w:rPr>
        <w:t>6.5.2.</w:t>
      </w:r>
      <w:r>
        <w:rPr>
          <w:rFonts w:hint="eastAsia" w:ascii="Times New Roman" w:hAnsi="Times New Roman" w:eastAsia="黑体" w:cs="Times New Roman"/>
          <w:b w:val="0"/>
          <w:color w:val="auto"/>
          <w:kern w:val="0"/>
          <w:sz w:val="28"/>
          <w:szCs w:val="22"/>
          <w:lang w:val="en-US" w:eastAsia="zh-CN" w:bidi="ar-SA"/>
        </w:rPr>
        <w:t>8</w:t>
      </w:r>
      <w:r>
        <w:rPr>
          <w:rFonts w:hint="default" w:ascii="Times New Roman" w:hAnsi="Times New Roman" w:eastAsia="黑体" w:cs="Times New Roman"/>
          <w:b w:val="0"/>
          <w:color w:val="auto"/>
          <w:kern w:val="0"/>
          <w:sz w:val="28"/>
          <w:szCs w:val="22"/>
          <w:lang w:val="en-US" w:eastAsia="zh-CN" w:bidi="ar-SA"/>
        </w:rPr>
        <w:t>主要危险物质泄漏的应急处理处置方法</w:t>
      </w:r>
    </w:p>
    <w:p>
      <w:pPr>
        <w:keepNext w:val="0"/>
        <w:keepLines w:val="0"/>
        <w:pageBreakBefore w:val="0"/>
        <w:widowControl w:val="0"/>
        <w:kinsoku/>
        <w:wordWrap/>
        <w:overflowPunct/>
        <w:topLinePunct w:val="0"/>
        <w:autoSpaceDE/>
        <w:autoSpaceDN/>
        <w:bidi w:val="0"/>
        <w:adjustRightInd/>
        <w:snapToGrid/>
        <w:spacing w:line="360" w:lineRule="auto"/>
        <w:ind w:firstLine="480"/>
        <w:jc w:val="both"/>
        <w:textAlignment w:val="auto"/>
        <w:outlineLvl w:val="9"/>
        <w:rPr>
          <w:rFonts w:hint="default" w:ascii="Times New Roman" w:hAnsi="Times New Roman" w:eastAsia="宋体" w:cs="Times New Roman"/>
          <w:b w:val="0"/>
          <w:bCs w:val="0"/>
          <w:snapToGrid w:val="0"/>
          <w:color w:val="auto"/>
          <w:kern w:val="0"/>
          <w:sz w:val="24"/>
          <w:szCs w:val="21"/>
          <w:lang w:val="en-US" w:eastAsia="zh-CN" w:bidi="ar-SA"/>
        </w:rPr>
      </w:pPr>
      <w:r>
        <w:rPr>
          <w:rFonts w:hint="default" w:ascii="Times New Roman" w:hAnsi="Times New Roman" w:eastAsia="宋体" w:cs="Times New Roman"/>
          <w:b w:val="0"/>
          <w:bCs w:val="0"/>
          <w:snapToGrid w:val="0"/>
          <w:color w:val="auto"/>
          <w:kern w:val="0"/>
          <w:sz w:val="24"/>
          <w:szCs w:val="21"/>
          <w:lang w:val="en-US" w:eastAsia="zh-CN" w:bidi="ar-SA"/>
        </w:rPr>
        <w:t>本项目主要危险物质泄漏的应急处理处置方法详见6.5-4。</w:t>
      </w:r>
    </w:p>
    <w:p>
      <w:pPr>
        <w:keepNext w:val="0"/>
        <w:keepLines w:val="0"/>
        <w:pageBreakBefore w:val="0"/>
        <w:widowControl w:val="0"/>
        <w:kinsoku/>
        <w:wordWrap/>
        <w:overflowPunct/>
        <w:topLinePunct w:val="0"/>
        <w:autoSpaceDE/>
        <w:autoSpaceDN/>
        <w:bidi w:val="0"/>
        <w:adjustRightInd/>
        <w:snapToGrid/>
        <w:spacing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en-US" w:eastAsia="zh-CN" w:bidi="ar-SA"/>
        </w:rPr>
      </w:pPr>
      <w:r>
        <w:rPr>
          <w:rFonts w:hint="default" w:ascii="Times New Roman" w:hAnsi="Times New Roman" w:eastAsia="黑体" w:cs="Times New Roman"/>
          <w:b w:val="0"/>
          <w:bCs/>
          <w:color w:val="auto"/>
          <w:kern w:val="2"/>
          <w:sz w:val="24"/>
          <w:szCs w:val="24"/>
          <w:lang w:val="en-US" w:eastAsia="zh-CN" w:bidi="ar-SA"/>
        </w:rPr>
        <w:t>表6.5-4  项目主要危险物质泄漏的应急处理处置方法一览表</w:t>
      </w:r>
    </w:p>
    <w:tbl>
      <w:tblPr>
        <w:tblStyle w:val="90"/>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7"/>
        <w:gridCol w:w="1454"/>
        <w:gridCol w:w="729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7" w:type="dxa"/>
            <w:tcBorders>
              <w:lef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序号</w:t>
            </w:r>
          </w:p>
        </w:tc>
        <w:tc>
          <w:tcPr>
            <w:tcW w:w="1454" w:type="dxa"/>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名称</w:t>
            </w:r>
          </w:p>
        </w:tc>
        <w:tc>
          <w:tcPr>
            <w:tcW w:w="7295" w:type="dxa"/>
            <w:tcBorders>
              <w:righ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应急处理处置方法</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7" w:type="dxa"/>
            <w:tcBorders>
              <w:lef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w:t>
            </w:r>
          </w:p>
        </w:tc>
        <w:tc>
          <w:tcPr>
            <w:tcW w:w="1454" w:type="dxa"/>
            <w:noWrap w:val="0"/>
            <w:vAlign w:val="center"/>
          </w:tcPr>
          <w:p>
            <w:pPr>
              <w:pageBreakBefore w:val="0"/>
              <w:widowControl w:val="0"/>
              <w:kinsoku/>
              <w:wordWrap/>
              <w:overflowPunct/>
              <w:topLinePunct w:val="0"/>
              <w:bidi w:val="0"/>
              <w:spacing w:line="300" w:lineRule="exact"/>
              <w:ind w:left="0" w:firstLine="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氨</w:t>
            </w:r>
          </w:p>
        </w:tc>
        <w:tc>
          <w:tcPr>
            <w:tcW w:w="7295" w:type="dxa"/>
            <w:tcBorders>
              <w:righ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一、泄漏应急处理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应急处理：迅速撤离泄漏污染区人员至上风处，并立即隔离150m，严格限制出入。切断火源。建议应急处理人员戴自给正压式呼吸器，穿防静电工作服。尽可能切断泄漏源。合理通风，加速扩散。高浓度泄漏区，喷含盐酸的雾状水中和、稀释、溶解。构筑围堤或挖坑收容产生的大量废水。如有可能，将残余气或漏出气用排风机送至水洗塔或与塔相连的通风橱内。储罐区最好设稀酸喷洒设施。漏气容器要妥善处理，修复、检验后再用。</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二、防护措施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呼吸系统防护：空气中浓度超标时，建议佩戴过滤式防毒面具（半面罩）。紧急事态抢救或撤离时，必须佩戴空气呼吸器。</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眼睛防护：戴化学安全防护眼镜。</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身体防护：穿防静电工作服。</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手防护：戴橡胶手套。</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其他防护：工作现场禁止吸烟、进食和饮水。工作完毕，淋浴更衣。保持良好的卫生习惯。</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三、急救措施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皮肤接触：立即脱去污染的衣着，应用2%硼酸液或大量清水彻底冲洗。就医。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眼睛接触：立即提起眼睑，用大量流动清水或生理盐水彻底冲洗至少15分钟。就医。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吸入：迅速脱离现场至空气新鲜处。保持呼吸道通畅。如呼吸困难，给输氧。如呼吸停止，立即进行人工呼吸。就医。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灭火方法：消防人员必须穿全身防火防毒服，在上风向灭火。切断气源。若不能切断气源，则不允许熄灭泄漏处的火焰。喷水冷却容器，可能的话将容器从火场移至空旷处。灭火剂：雾状水、抗溶性泡沫、二氧化碳、砂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7" w:type="dxa"/>
            <w:tcBorders>
              <w:lef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w:t>
            </w:r>
          </w:p>
        </w:tc>
        <w:tc>
          <w:tcPr>
            <w:tcW w:w="1454" w:type="dxa"/>
            <w:noWrap w:val="0"/>
            <w:vAlign w:val="center"/>
          </w:tcPr>
          <w:p>
            <w:pPr>
              <w:pageBreakBefore w:val="0"/>
              <w:widowControl w:val="0"/>
              <w:kinsoku/>
              <w:wordWrap/>
              <w:overflowPunct/>
              <w:topLinePunct w:val="0"/>
              <w:bidi w:val="0"/>
              <w:spacing w:line="300" w:lineRule="exact"/>
              <w:ind w:left="0" w:firstLine="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硝酸</w:t>
            </w:r>
          </w:p>
        </w:tc>
        <w:tc>
          <w:tcPr>
            <w:tcW w:w="7295" w:type="dxa"/>
            <w:tcBorders>
              <w:righ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一、泄漏应急处理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迅速撤离泄漏污染区人员至安全区，并进行隔离，严格限制出入。建议应急处理人员戴自给正压式呼吸器，穿防酸碱工作服。从上风处进入现场。尽可能切断泄漏源。防止流入下水道、排洪沟等限制性空间。小量泄漏:将地面洒上苏打灰，然后用大量水冲洗，洗水稀释后放入废水系统。大量泄漏:构筑围堤或挖坑收容。喷雾状水冷却和稀释蒸汽、保护现场人员、把泄漏物稀释成不燃物。用泵转移至槽车或专用收集器内。</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二、防护措施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"https://www.wiki8.com/huxixitong_48371/" \o "医学百科：呼吸系统"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呼吸系统</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防护：接触其烟雾时，佩戴防毒面具。</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眼睛防护：呼吸系统防护中已作防护。</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身体防护：穿橡胶耐酸碱服。</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手防护：戴橡胶耐酸碱手套。</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其它：工作现场禁止吸烟、进食和饮水。工作完毕，淋浴更衣。单独存放被毒物污染的衣服，洗后备用。保持良好的卫生习惯。</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三、急救措施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"https://www.wiki8.com/pifu_40706/" \o "医学百科：皮肤"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皮肤</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接触：立即脱去污染的衣着，用大量流动清水冲洗至少15分钟。就医。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眼睛接触：立即提起眼睑，用大量流动清水或生理盐水彻底冲洗至少15分钟。就医。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吸入：迅速脱离现场至空气新鲜处。保持呼吸道通畅。如呼吸困难，给输氧。如呼吸停止，立即进行人工呼吸。就医。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食入：用水漱口，给饮牛奶或蛋清。就医。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灭火方法：消防人员必须穿全身耐酸碱消防服。灭火剂:雾状水、二氧化碳、砂土。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7" w:type="dxa"/>
            <w:tcBorders>
              <w:lef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w:t>
            </w:r>
          </w:p>
        </w:tc>
        <w:tc>
          <w:tcPr>
            <w:tcW w:w="1454" w:type="dxa"/>
            <w:noWrap w:val="0"/>
            <w:vAlign w:val="center"/>
          </w:tcPr>
          <w:p>
            <w:pPr>
              <w:pageBreakBefore w:val="0"/>
              <w:widowControl w:val="0"/>
              <w:kinsoku/>
              <w:wordWrap/>
              <w:overflowPunct/>
              <w:topLinePunct w:val="0"/>
              <w:bidi w:val="0"/>
              <w:spacing w:line="300" w:lineRule="exact"/>
              <w:ind w:left="0" w:firstLine="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次氯酸钠</w:t>
            </w:r>
          </w:p>
        </w:tc>
        <w:tc>
          <w:tcPr>
            <w:tcW w:w="7295" w:type="dxa"/>
            <w:tcBorders>
              <w:righ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一、泄漏应急处理</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应急处理:蔬散泄漏污染区人员至安全区，禁止无关人员进入污染区，建议应急处理人员戴好防毒面具，穿相应的工作服。不要直接接触泄漏物，在确保安全情况下堵漏。用大砂土、蛭石或其它惰性材料吸收，然后转移至安全场所。</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消除方法:立即切断泄漏源，小屋泄漏用大量水冲洗。如大量泄漏，利用围堤收容，然后收集、转移、回收或无害处理后废弃。</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二、防护措施</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呼吸系统防护</w:t>
            </w:r>
            <w:r>
              <w:rPr>
                <w:rFonts w:hint="eastAsia"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高浓度环境中，应佩带防毒口罩。紧急事态抢救或逃生时，建议佩带自给式呼吸器。</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眼睛防护</w:t>
            </w:r>
            <w:r>
              <w:rPr>
                <w:rFonts w:hint="eastAsia"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戴化学安全防护眼镜。身体防护:穿工作服饰防腐材料制作)。</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手防护</w:t>
            </w:r>
            <w:r>
              <w:rPr>
                <w:rFonts w:hint="eastAsia"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戴橡皮手套。</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其它防护</w:t>
            </w:r>
            <w:r>
              <w:rPr>
                <w:rFonts w:hint="eastAsia"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工作后，淋浴更衣。注意个人卫生。</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三、急救措施</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皮肤接触</w:t>
            </w:r>
            <w:r>
              <w:rPr>
                <w:rFonts w:hint="eastAsia"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立即脱去污染的衣服，用大量流动清水彻底冲洗。</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眼睛接触</w:t>
            </w:r>
            <w:r>
              <w:rPr>
                <w:rFonts w:hint="eastAsia"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立即提起眼睑，用流动清水或生理盐水冲洗，就医。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吸入</w:t>
            </w:r>
            <w:r>
              <w:rPr>
                <w:rFonts w:hint="eastAsia"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立即脱离现场至空气新鲜处，必要时进行人工呼吸。就医。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食入</w:t>
            </w:r>
            <w:r>
              <w:rPr>
                <w:rFonts w:hint="eastAsia"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立即就医。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灭火方法及灭火剂</w:t>
            </w:r>
            <w:r>
              <w:rPr>
                <w:rFonts w:hint="eastAsia"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消防人员必须穿全身耐酸碱消防服，灭火剂:雾状水、泡沫、二氧化碳。灭火注意事项:消防人员必须穿全身耐酸碱消防服，上风方向灭火。</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7" w:type="dxa"/>
            <w:tcBorders>
              <w:lef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w:t>
            </w:r>
          </w:p>
        </w:tc>
        <w:tc>
          <w:tcPr>
            <w:tcW w:w="1454" w:type="dxa"/>
            <w:noWrap w:val="0"/>
            <w:vAlign w:val="center"/>
          </w:tcPr>
          <w:p>
            <w:pPr>
              <w:pageBreakBefore w:val="0"/>
              <w:widowControl w:val="0"/>
              <w:kinsoku/>
              <w:wordWrap/>
              <w:overflowPunct/>
              <w:topLinePunct w:val="0"/>
              <w:bidi w:val="0"/>
              <w:spacing w:line="300" w:lineRule="exact"/>
              <w:ind w:left="0" w:firstLine="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氢氧化钠</w:t>
            </w:r>
          </w:p>
        </w:tc>
        <w:tc>
          <w:tcPr>
            <w:tcW w:w="7295" w:type="dxa"/>
            <w:tcBorders>
              <w:righ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一、泄漏应急处理</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隔离泄漏污染区，限制出入。建议应急处理人员戴防尘面具（全面罩），穿防酸碱工作服。不要直接接触泄漏物。小量泄漏：避免扬尘，用洁净的铲子收集于干燥、洁净、有盖的容器中。也可以用大量水冲洗，洗水稀释后放入废水系统。大量泄漏：收集回收或运至废物处理场所处置。</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二、防护措施</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呼吸防护系统：可能接触其粉尘时，必须佩戴头罩型电动送风过滤式防尘呼吸器。必要时，佩戴空气呼吸器。</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眼睛防护：呼吸系统防护中已作防护。</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身体防护：穿橡胶耐酸碱服。</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手防护：戴橡胶耐酸碱手套。</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其他防护：工作场所禁止吸烟、进食和饮水，饭前要洗手。工作完毕，淋浴更衣。注意个人清洁卫生。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三、急救措施</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皮肤接触：立即脱去污染的衣着，用大量流动清水冲洗至少15分钟。就医。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眼睛接触：立即提起眼睑，用大量流动清水或生理盐水彻底冲洗至少15分钟。就医。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吸入：迅速脱离现场至空气新鲜处。保持呼吸道通畅。如呼吸困难，给输氧。如呼吸停止，立即进行人工呼吸。就医。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食入：用水漱口，给饮牛奶或蛋清。就医。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灭火方法与灭火剂：干粉、二氧化碳或耐醇泡沫。避免用太强烈的水汽灭火，因为它可能会使火苗蔓延分散。灭火时，应佩戴呼吸面具并穿上全身防护服。在安全距离处、有充足防的情况下灭火。防止消防水污染地表和地下水系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7" w:type="dxa"/>
            <w:tcBorders>
              <w:lef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w:t>
            </w:r>
          </w:p>
        </w:tc>
        <w:tc>
          <w:tcPr>
            <w:tcW w:w="1454" w:type="dxa"/>
            <w:noWrap w:val="0"/>
            <w:vAlign w:val="center"/>
          </w:tcPr>
          <w:p>
            <w:pPr>
              <w:pageBreakBefore w:val="0"/>
              <w:widowControl w:val="0"/>
              <w:kinsoku/>
              <w:wordWrap/>
              <w:overflowPunct/>
              <w:topLinePunct w:val="0"/>
              <w:bidi w:val="0"/>
              <w:spacing w:line="300" w:lineRule="exact"/>
              <w:ind w:left="0" w:firstLine="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乙醇</w:t>
            </w:r>
          </w:p>
        </w:tc>
        <w:tc>
          <w:tcPr>
            <w:tcW w:w="7295" w:type="dxa"/>
            <w:tcBorders>
              <w:righ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一、泄漏应急处理</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迅速撤离泄漏污染区人员至安全区，并进行隔离，严格限制出入。切断火源。建议应急处理人员戴自给正压式呼吸器，穿防静电工作服。尽可能切断泄漏源。防止流入下水道、排洪沟等限制性空间。小量泄漏：用砂土或其它不燃材料吸附或吸收。也可以用大量水冲洗，洗水稀释后放入废水系统。大量泄漏：构筑围堤或挖坑收容。用泡沫覆盖，降低蒸气灾害。用防爆泵转移至槽车或专用收集器内，回收或运至废物处理场所处置。</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二、防护措施</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工程控制：生产过程密闭，全面通风。提供安全淋浴和洗眼设备。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呼吸系统防护：一般不需要特殊防护，高浓度接触时可佩戴过滤式防毒面具（半面罩）。眼睛防护：一般不需特殊防护。</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身体防护：穿防静电工作服。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手防护：戴一般作业防护手套。</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其它：工作现场禁止吸烟。</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三、急救措施</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皮肤接触：脱去污染的衣着，用流动清水冲洗。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眼睛接触：提起眼睑，用流动清水或生理盐水冲洗。就医。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吸入：迅速脱离现场至空气新鲜处。就医。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食入：饮足量温水，催吐，就医。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灭火方法：尽可能将容器从火场移至空旷处。喷水保持火场容器冷却，直至灭火结束。灭火剂采用抗溶性泡沫、干粉、二氧化碳、砂土。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7" w:type="dxa"/>
            <w:tcBorders>
              <w:lef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w:t>
            </w:r>
          </w:p>
        </w:tc>
        <w:tc>
          <w:tcPr>
            <w:tcW w:w="1454" w:type="dxa"/>
            <w:noWrap w:val="0"/>
            <w:vAlign w:val="center"/>
          </w:tcPr>
          <w:p>
            <w:pPr>
              <w:pageBreakBefore w:val="0"/>
              <w:widowControl w:val="0"/>
              <w:kinsoku/>
              <w:wordWrap/>
              <w:overflowPunct/>
              <w:topLinePunct w:val="0"/>
              <w:bidi w:val="0"/>
              <w:spacing w:line="300" w:lineRule="exact"/>
              <w:ind w:left="0" w:firstLine="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双氧水</w:t>
            </w:r>
          </w:p>
        </w:tc>
        <w:tc>
          <w:tcPr>
            <w:tcW w:w="7295" w:type="dxa"/>
            <w:tcBorders>
              <w:righ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一、泄漏应急处理</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保证充分的通风。清除所有点火源。迅速将人员撤离到安全区域，远离泄露区域并处于上风方向。使用个人防护装备。避免吸入蒸气、烟雾、气体或风尘。</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在确保安全的情况下，采取措施防止进一步的泄露或溢出。避免排放到周围环境中。</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少量泄漏时，可采用干砂或惰性吸附材料吸收泄漏物，大量泄漏时需筑堤控制。附着物或收集物应存放在合适的密闭容器中，并根据当地相关法律法规废弃处置。清除所有点火源，并采用防火花工具和防暴设备。</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二、防护措施</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工程控制：保持充分的通风，特别在封闭区内。确保在工作场所附近有洗眼和淋浴设施。使用防爆电器、通风、照明等设备。设置应急撤离通道和必要的泄险区。</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呼吸系统防护：如果蒸气浓度超过职业接触限值或发生刺激等症状时，请使用全面罩式多功能防毒面具或防毒面具筒。</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眼睛防护：佩戴化学护目镜。</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皮肤和身体防护：穿阻燃防静电防护服和抗静电的防护靴。</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手防护：戴化学防护手套（例如丁基橡胶手套）。</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其他防护：工作现场禁止吸烟、进食和饮水。工作完毕，淋浴更衣。保持良好的卫生习惯。</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三、急救措施</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皮肤接触： 立即脱去污染的衣物。用大量肥皂水和清水冲洗皮肤。如有不适，就医。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眼睛接触： 用大量水彻底冲洗至少 15 分钟。如有不适，就医。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吸入： 立即将患者移到新鲜空气处，保持呼吸畅通。如果呼吸困难，给于吸氧。如患者食入或吸入本物质，不得进行口对口人工呼吸。如果呼吸停止，立即进行心肺复苏术。立即就医。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食入： 禁止催吐，切勿给失去知觉者从嘴里喂食任何东西。立即呼叫医生或中毒控制中心。</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灭火方法与灭火剂：合适的灭火介质: 水。不合适的灭火介质: 干粉、二氧化碳或泡沫。灭火时，应佩戴呼吸面具并穿上全身防护服。在安全距离处、有充足防的情况下灭火。防止消防水污染地表和地下水系统。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7" w:type="dxa"/>
            <w:tcBorders>
              <w:lef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w:t>
            </w:r>
          </w:p>
        </w:tc>
        <w:tc>
          <w:tcPr>
            <w:tcW w:w="1454" w:type="dxa"/>
            <w:noWrap w:val="0"/>
            <w:vAlign w:val="center"/>
          </w:tcPr>
          <w:p>
            <w:pPr>
              <w:pageBreakBefore w:val="0"/>
              <w:widowControl w:val="0"/>
              <w:kinsoku/>
              <w:wordWrap/>
              <w:overflowPunct/>
              <w:topLinePunct w:val="0"/>
              <w:bidi w:val="0"/>
              <w:spacing w:line="300" w:lineRule="exact"/>
              <w:ind w:left="0" w:firstLine="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甲醛</w:t>
            </w:r>
          </w:p>
        </w:tc>
        <w:tc>
          <w:tcPr>
            <w:tcW w:w="7295" w:type="dxa"/>
            <w:tcBorders>
              <w:righ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一、泄漏应急处理</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迅速撤离泄漏污染区人员至安全区，并进行隔离，严格限制出入。切断火源。建议应急处理人员戴自给正压式呼吸器，穿防酸碱工作服。从上风处进入现场。尽可能切断泄漏源。防止流入下水道、排洪沟等限制性空间。小量泄漏：用砂土或其它不燃材料吸附或吸收。也可以用大量水冲洗，洗水稀释后放入废水系统。大量泄漏：构筑围堤或挖坑收容。用泡沫覆盖，降低蒸气灾害。喷雾状水冷却和稀释蒸汽、保护现场人员、把泄漏物稀释成不燃物。用泵转移至槽车或专用收集器内，回收或运至废物处理场所处置。</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二、防护措施</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工程控制：严加密闭，提供充分的局部排风。提供安全淋浴和洗眼设备。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呼吸系统防护：可能接触其蒸气时，建议佩戴自吸过滤式防毒面具（全面罩）。紧急事态抢救或撤离时，佩戴隔离式呼吸器。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眼睛防护：呼吸系统防护中已作防护。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身体防护：穿橡胶耐酸碱服。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手防护：戴橡胶手套。</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其它：工作现场禁止吸烟、进食和饮水。工作完毕，彻底清洗。注意个人清洁卫生。实行就业前和定期的体检。进入罐、限制性空间或其它高浓度区作业，须有人监护。</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三、急救措施</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皮肤接触：立即脱去污染的衣着，用大量流动清水冲洗至少15分钟。就医。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眼睛接触：立即提起眼睑，用大量流动清水或生理盐水彻底冲洗至少15分钟。就医。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吸入：迅速脱离现场至空气新鲜处。保持呼吸道通畅。如呼吸困难，给输氧。如呼吸停止，立即进行人工呼吸。就医。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食入：用1%碘化钾60mL灌胃。常规洗胃。就医。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灭火方法：用水喷射逸出液体，使其稀释成不燃性混合物，并用雾状水保护消防人员。灭火剂：雾状水、抗溶性泡沫、干粉、二氧化碳、砂土。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7" w:type="dxa"/>
            <w:tcBorders>
              <w:lef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8</w:t>
            </w:r>
          </w:p>
        </w:tc>
        <w:tc>
          <w:tcPr>
            <w:tcW w:w="1454" w:type="dxa"/>
            <w:noWrap w:val="0"/>
            <w:vAlign w:val="center"/>
          </w:tcPr>
          <w:p>
            <w:pPr>
              <w:pageBreakBefore w:val="0"/>
              <w:widowControl w:val="0"/>
              <w:kinsoku/>
              <w:wordWrap/>
              <w:overflowPunct/>
              <w:topLinePunct w:val="0"/>
              <w:bidi w:val="0"/>
              <w:spacing w:line="300" w:lineRule="exact"/>
              <w:ind w:left="0" w:firstLine="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硝酸银</w:t>
            </w:r>
          </w:p>
        </w:tc>
        <w:tc>
          <w:tcPr>
            <w:tcW w:w="7295" w:type="dxa"/>
            <w:tcBorders>
              <w:righ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一、泄漏应急处理</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隔离泄漏污染区﹐限制出入。建议应急处理人员戴防尘面具(全面罩)，穿防毒服。不要直接接触泄漏物。勿使泄漏物与还原剂、有机物、易燃物或金属粉末接触。小量泄漏用洁净的铲子收集于干燥、洁净、有盖的容器中。也可以用大量水冲洗，洗水稀释后放入废水系统。</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二、防护措施</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呼吸系统防护：接触其粉尘时，建议佩戴防尘呼吸器。</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眼睛防护：戴化学安全防护眼镜。</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 xml:space="preserve">身体防护：穿橡胶耐酸碱服。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手防护：戴橡胶手套。</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其它：工作现场禁止吸烟、进食和饮水。工作完毕，彻底清洗。注意个人清洁卫生。实行就业前和定期的体检。进入罐、限制性空间或其它高浓度区作业，须有人监护。</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三、急救措施</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皮肤接触：脱去污染的衣着，用肥皂水和清水彻底冲洗皮肤。</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眼睛接触：提起眼睑，用流动清水或生理盐水冲洗。就医。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吸入：迅速脱离现场至空气新鲜处。保持呼吸道通畅。如呼吸困难，给输氧。如呼吸停止，立即进行人工呼吸。就医。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食入：用水漱口，给饮牛奶或蛋清。就医。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灭火方法：采用水、雾状水、砂土、二氧化碳灭火。</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7" w:type="dxa"/>
            <w:tcBorders>
              <w:lef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7</w:t>
            </w:r>
          </w:p>
        </w:tc>
        <w:tc>
          <w:tcPr>
            <w:tcW w:w="1454" w:type="dxa"/>
            <w:noWrap w:val="0"/>
            <w:vAlign w:val="center"/>
          </w:tcPr>
          <w:p>
            <w:pPr>
              <w:pageBreakBefore w:val="0"/>
              <w:widowControl w:val="0"/>
              <w:kinsoku/>
              <w:wordWrap/>
              <w:overflowPunct/>
              <w:topLinePunct w:val="0"/>
              <w:bidi w:val="0"/>
              <w:spacing w:line="300" w:lineRule="exact"/>
              <w:ind w:left="0" w:firstLine="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一氧化氮</w:t>
            </w:r>
          </w:p>
        </w:tc>
        <w:tc>
          <w:tcPr>
            <w:tcW w:w="7295" w:type="dxa"/>
            <w:tcBorders>
              <w:righ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一、泄漏应急处理</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迅速撤离泄漏污染区人员至上风处，并立即进行隔离，小泄漏时隔离150m，大泄漏时隔离450m，严格限制出入。建议应急处理人员戴自给正压式呼吸器，穿防毒服。从上风处进入现场。尽可能切断泄漏源。合理通风，加速扩散。喷雾状水稀释、溶解，产生的大量废水放入废水系统。</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二、防护措施</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呼吸系统防护：空气中浓度超标时，建议佩戴正压自给式呼吸器。</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眼睛防护：呼吸系统防护中已作防护。。</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 xml:space="preserve">身体防护：穿防酸碱工作服。 </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手防护：戴橡胶手套。</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三、急救措施</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吸入：迅速脱离现场至空气新鲜处，必要时到公司医务室作进一步处理。</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灭火方法：消防人员必须穿全身防火防毒服，在上风向灭火。切断气源。</w:t>
            </w:r>
            <w:r>
              <w:rPr>
                <w:rFonts w:hint="eastAsia" w:ascii="Times New Roman" w:hAnsi="Times New Roman" w:eastAsia="宋体" w:cs="Times New Roman"/>
                <w:color w:val="000000"/>
                <w:kern w:val="2"/>
                <w:sz w:val="21"/>
                <w:szCs w:val="21"/>
                <w:lang w:val="en-US" w:eastAsia="zh-CN" w:bidi="ar-SA"/>
              </w:rPr>
              <w:t>采用雾状水灭火。</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7" w:type="dxa"/>
            <w:tcBorders>
              <w:lef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8</w:t>
            </w:r>
          </w:p>
        </w:tc>
        <w:tc>
          <w:tcPr>
            <w:tcW w:w="1454" w:type="dxa"/>
            <w:noWrap w:val="0"/>
            <w:vAlign w:val="center"/>
          </w:tcPr>
          <w:p>
            <w:pPr>
              <w:pageBreakBefore w:val="0"/>
              <w:widowControl w:val="0"/>
              <w:kinsoku/>
              <w:wordWrap/>
              <w:overflowPunct/>
              <w:topLinePunct w:val="0"/>
              <w:bidi w:val="0"/>
              <w:spacing w:line="300" w:lineRule="exact"/>
              <w:ind w:left="0" w:firstLine="0"/>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二氧化氮</w:t>
            </w:r>
          </w:p>
        </w:tc>
        <w:tc>
          <w:tcPr>
            <w:tcW w:w="7295" w:type="dxa"/>
            <w:tcBorders>
              <w:right w:val="single" w:color="auto" w:sz="4" w:space="0"/>
            </w:tcBorders>
            <w:noWrap w:val="0"/>
            <w:vAlign w:val="center"/>
          </w:tcPr>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一、泄漏应急处理</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迅速撤离泄漏污染区人员至上风处，并进行隔离，严格限制出入。建议应急处理人员戴自给正压式呼吸器，穿防毒服。尽可能切断泄漏源。若是气体，合理通风，加速扩散。喷雾状水稀释、溶解。构筑围堤或挖坑收容产生的大量废水。漏气容器要妥善处理，修复、检验后再用。若是液体，用大量水冲洗，洗水稀释后放入废水系统。若大量泄漏，构筑围堤或挖坑收容。喷雾状水冷却和稀释蒸汽。用防爆泵转移至槽车或专用收集器内，回收或运至废物处理场所处置。二、防护措施</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呼吸系统防护：空气中浓度超标时，佩戴自吸过滤式防毒面具（全面罩)。紧急事态抢救或撤离时，建议佩戴空气呼吸器。</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眼睛防护：呼吸系统防护中已作防护。。</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身体防护：穿胶布防毒衣。</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手防护：戴橡胶手套。</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其它：工作现场禁止吸烟、进食和饮水。保持良好的卫生习惯。进入罐、限制性空间或其它高浓度区作业，须有人监护。</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三、急救措施</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吸入：迅速脱离现场至空气新鲜处。保持呼吸道通畅。如呼吸困难，给输氧。如呼吸停止，立即进行人工呼吸。就医。</w:t>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 xml:space="preserve">灭火方法： </w:t>
            </w:r>
            <w:r>
              <w:rPr>
                <w:rFonts w:hint="default" w:ascii="Times New Roman" w:hAnsi="Times New Roman" w:eastAsia="宋体" w:cs="Times New Roman"/>
                <w:color w:val="000000"/>
                <w:kern w:val="2"/>
                <w:sz w:val="21"/>
                <w:szCs w:val="21"/>
                <w:lang w:val="en-US" w:eastAsia="zh-CN" w:bidi="ar-SA"/>
              </w:rPr>
              <w:tab/>
            </w:r>
          </w:p>
          <w:p>
            <w:pPr>
              <w:pageBreakBefore w:val="0"/>
              <w:widowControl w:val="0"/>
              <w:kinsoku/>
              <w:wordWrap/>
              <w:overflowPunct/>
              <w:topLinePunct w:val="0"/>
              <w:bidi w:val="0"/>
              <w:spacing w:line="300" w:lineRule="exact"/>
              <w:ind w:left="0" w:firstLine="0"/>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本品不燃。消防人员必须佩戴过滤式防毒面具 ( 全面罩 ) 或隔离式呼吸器、穿全身防火防毒服，在上风向灭火。切断气源。喷水冷却容器，可能的话将容器从火场移至空旷处。灭火剂：干粉、二氧化碳。禁止用水、卤代烃灭火剂灭火。</w:t>
            </w:r>
          </w:p>
        </w:tc>
      </w:tr>
    </w:tbl>
    <w:p>
      <w:pPr>
        <w:widowControl w:val="0"/>
        <w:adjustRightInd w:val="0"/>
        <w:snapToGrid w:val="0"/>
        <w:spacing w:line="360" w:lineRule="auto"/>
        <w:ind w:left="0" w:firstLine="0"/>
        <w:jc w:val="both"/>
        <w:textAlignment w:val="baseline"/>
        <w:outlineLvl w:val="3"/>
        <w:rPr>
          <w:rFonts w:hint="default" w:ascii="Times New Roman" w:hAnsi="Times New Roman" w:eastAsia="黑体" w:cs="Times New Roman"/>
          <w:b w:val="0"/>
          <w:color w:val="auto"/>
          <w:kern w:val="0"/>
          <w:sz w:val="28"/>
          <w:szCs w:val="22"/>
          <w:lang w:val="en-US" w:eastAsia="zh-CN" w:bidi="ar-SA"/>
        </w:rPr>
      </w:pPr>
      <w:r>
        <w:rPr>
          <w:rFonts w:hint="default" w:ascii="Times New Roman" w:hAnsi="Times New Roman" w:eastAsia="黑体" w:cs="Times New Roman"/>
          <w:b w:val="0"/>
          <w:color w:val="000000"/>
          <w:kern w:val="0"/>
          <w:sz w:val="28"/>
          <w:szCs w:val="22"/>
          <w:lang w:val="en-US" w:eastAsia="zh-CN" w:bidi="ar-SA"/>
        </w:rPr>
        <w:t>6.5.2.</w:t>
      </w:r>
      <w:r>
        <w:rPr>
          <w:rFonts w:hint="eastAsia" w:ascii="Times New Roman" w:hAnsi="Times New Roman" w:eastAsia="黑体" w:cs="Times New Roman"/>
          <w:b w:val="0"/>
          <w:color w:val="000000"/>
          <w:kern w:val="0"/>
          <w:sz w:val="28"/>
          <w:szCs w:val="22"/>
          <w:lang w:val="en-US" w:eastAsia="zh-CN" w:bidi="ar-SA"/>
        </w:rPr>
        <w:t>9</w:t>
      </w:r>
      <w:r>
        <w:rPr>
          <w:rFonts w:hint="default" w:ascii="Times New Roman" w:hAnsi="Times New Roman" w:eastAsia="黑体" w:cs="Times New Roman"/>
          <w:b w:val="0"/>
          <w:color w:val="000000"/>
          <w:kern w:val="0"/>
          <w:sz w:val="28"/>
          <w:szCs w:val="22"/>
          <w:lang w:val="en-US" w:eastAsia="zh-CN" w:bidi="ar-SA"/>
        </w:rPr>
        <w:t>事故污染物进入环境后</w:t>
      </w:r>
      <w:r>
        <w:rPr>
          <w:rFonts w:hint="default" w:ascii="Times New Roman" w:hAnsi="Times New Roman" w:eastAsia="黑体" w:cs="Times New Roman"/>
          <w:b w:val="0"/>
          <w:color w:val="auto"/>
          <w:kern w:val="0"/>
          <w:sz w:val="28"/>
          <w:szCs w:val="22"/>
          <w:lang w:val="en-US" w:eastAsia="zh-CN" w:bidi="ar-SA"/>
        </w:rPr>
        <w:t>的消除措施</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（1）事故气态污染物进入环境后的消除措施</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针对出现事故，需要及时关闭进料阀门，对泄漏出的物料需要回收处理，尽可能减少对大气环境的污染量。</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事故气态污染物进入环境后，针对当时的气象条件等因素，对受污染区域采取喷淋吸附、消毒等措施；对居民及时发布信息采取关窗、隐蔽、个人防护、撤离等措施。</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（2）事故液态污染物进入水环境后的消除措施</w:t>
      </w:r>
    </w:p>
    <w:p>
      <w:pPr>
        <w:keepNext w:val="0"/>
        <w:keepLines w:val="0"/>
        <w:pageBreakBefore w:val="0"/>
        <w:widowControl w:val="0"/>
        <w:kinsoku/>
        <w:wordWrap/>
        <w:overflowPunct/>
        <w:topLinePunct w:val="0"/>
        <w:autoSpaceDE/>
        <w:autoSpaceDN/>
        <w:bidi w:val="0"/>
        <w:adjustRightInd/>
        <w:snapToGrid/>
        <w:spacing w:line="360" w:lineRule="auto"/>
        <w:ind w:left="0" w:firstLine="500"/>
        <w:textAlignment w:val="auto"/>
        <w:outlineLvl w:val="9"/>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在火灾爆炸救灾过程中，消防水将带有大量的有毒有害物质，这些消防水如果不能及时切换至事故应急池，而泄漏至雨水管道，将有可能引起雨水的继发性的污染事故，如果没有采取紧急切断措施，这些被污染的雨水一旦进入到环境水体，将引起环境水体继发性的污染事故。液态污染物进入环境可能去向是排洪渠和海域。如果一旦出现这种情况，需要采取减少和消除污染物对水体环境造成污染的应对方案。</w:t>
      </w:r>
    </w:p>
    <w:p>
      <w:pPr>
        <w:keepNext w:val="0"/>
        <w:keepLines w:val="0"/>
        <w:pageBreakBefore w:val="0"/>
        <w:widowControl w:val="0"/>
        <w:kinsoku/>
        <w:wordWrap/>
        <w:overflowPunct/>
        <w:topLinePunct w:val="0"/>
        <w:autoSpaceDE/>
        <w:autoSpaceDN/>
        <w:bidi w:val="0"/>
        <w:adjustRightInd/>
        <w:snapToGrid/>
        <w:spacing w:line="360" w:lineRule="auto"/>
        <w:ind w:left="0" w:firstLine="500"/>
        <w:textAlignment w:val="auto"/>
        <w:outlineLvl w:val="9"/>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为防止事故状态时的污水排放污染水体，危及地表、地下水以及渔业、生态安全，公司需编制重大环境污染突发事件应急预案，明确应急指挥部组织机构、职责分工及应急响应程序；对环境污染的事故进行等级划分，根据储存物料的特点，编写相应的环境污染事故处理应急预案，保证一旦发生环境污染事故，能够立即启动事故应急预案，进行先期的事故应急响应，及时控制事故的扩大，最大限度地控制环境污染。</w:t>
      </w:r>
    </w:p>
    <w:p>
      <w:pPr>
        <w:keepNext w:val="0"/>
        <w:keepLines w:val="0"/>
        <w:pageBreakBefore w:val="0"/>
        <w:widowControl w:val="0"/>
        <w:kinsoku/>
        <w:wordWrap/>
        <w:overflowPunct/>
        <w:topLinePunct w:val="0"/>
        <w:autoSpaceDE/>
        <w:autoSpaceDN/>
        <w:bidi w:val="0"/>
        <w:adjustRightInd/>
        <w:snapToGrid/>
        <w:spacing w:line="360" w:lineRule="auto"/>
        <w:ind w:left="0" w:firstLine="500"/>
        <w:textAlignment w:val="auto"/>
        <w:outlineLvl w:val="9"/>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①</w:t>
      </w:r>
      <w:r>
        <w:rPr>
          <w:rFonts w:hint="eastAsia" w:ascii="宋体" w:hAnsi="宋体" w:eastAsia="宋体" w:cs="宋体"/>
          <w:color w:val="auto"/>
          <w:sz w:val="24"/>
          <w:szCs w:val="24"/>
          <w:lang w:eastAsia="zh-CN"/>
        </w:rPr>
        <w:t>尽快确定突发环境污染事件发生的时间、地点、原因突发环境污染事故的污染物或危险化学品的名称（或种类）、数量、性质，污染范围、影响程度等基本情况；</w:t>
      </w:r>
    </w:p>
    <w:p>
      <w:pPr>
        <w:keepNext w:val="0"/>
        <w:keepLines w:val="0"/>
        <w:pageBreakBefore w:val="0"/>
        <w:widowControl w:val="0"/>
        <w:kinsoku/>
        <w:wordWrap/>
        <w:overflowPunct/>
        <w:topLinePunct w:val="0"/>
        <w:autoSpaceDE/>
        <w:autoSpaceDN/>
        <w:bidi w:val="0"/>
        <w:adjustRightInd/>
        <w:snapToGrid/>
        <w:spacing w:line="360" w:lineRule="auto"/>
        <w:ind w:left="0" w:firstLine="500"/>
        <w:textAlignment w:val="auto"/>
        <w:outlineLvl w:val="9"/>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②对泄漏物料进行吸附收集，加入消除毒物剂，降解毒性。需备有一定数量的防控水污染应急物资，如沙包、吸油棉等，对泄漏物料进行收集。物料液体泄漏到土壤中，用沙土、干燥石灰或苏打灰混合，送至废物处理场所处臵。大量泄漏，收集回收或无害处理后废弃。</w:t>
      </w:r>
    </w:p>
    <w:p>
      <w:pPr>
        <w:keepNext w:val="0"/>
        <w:keepLines w:val="0"/>
        <w:pageBreakBefore w:val="0"/>
        <w:widowControl w:val="0"/>
        <w:kinsoku/>
        <w:wordWrap/>
        <w:overflowPunct/>
        <w:topLinePunct w:val="0"/>
        <w:autoSpaceDE/>
        <w:autoSpaceDN/>
        <w:bidi w:val="0"/>
        <w:adjustRightInd/>
        <w:snapToGrid/>
        <w:spacing w:line="360" w:lineRule="auto"/>
        <w:ind w:left="0" w:firstLine="500"/>
        <w:textAlignment w:val="auto"/>
        <w:outlineLvl w:val="9"/>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③根据</w:t>
      </w:r>
      <w:r>
        <w:rPr>
          <w:rFonts w:hint="eastAsia" w:ascii="宋体" w:hAnsi="宋体" w:eastAsia="宋体" w:cs="宋体"/>
          <w:color w:val="auto"/>
          <w:sz w:val="24"/>
          <w:szCs w:val="24"/>
          <w:lang w:eastAsia="zh-CN"/>
        </w:rPr>
        <w:t>制定现场监测方案，负责采样及分析化验工作；</w:t>
      </w:r>
    </w:p>
    <w:p>
      <w:pPr>
        <w:keepNext w:val="0"/>
        <w:keepLines w:val="0"/>
        <w:pageBreakBefore w:val="0"/>
        <w:widowControl w:val="0"/>
        <w:kinsoku/>
        <w:wordWrap/>
        <w:overflowPunct/>
        <w:topLinePunct w:val="0"/>
        <w:autoSpaceDE/>
        <w:autoSpaceDN/>
        <w:bidi w:val="0"/>
        <w:adjustRightInd/>
        <w:snapToGrid/>
        <w:spacing w:line="360" w:lineRule="auto"/>
        <w:ind w:left="0" w:firstLine="500"/>
        <w:textAlignment w:val="auto"/>
        <w:outlineLvl w:val="9"/>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④</w:t>
      </w:r>
      <w:r>
        <w:rPr>
          <w:rFonts w:hint="eastAsia" w:ascii="宋体" w:hAnsi="宋体" w:eastAsia="宋体" w:cs="宋体"/>
          <w:color w:val="auto"/>
          <w:sz w:val="24"/>
          <w:szCs w:val="24"/>
          <w:lang w:eastAsia="zh-CN"/>
        </w:rPr>
        <w:t>监测数据及时报告应急处置小组和应急现场指挥组。将剧毒、有毒、有害的危险化学品尽可能处理成无毒、无害或毒性较低、危害较小的物质，或将剧毒、有毒、有害的危险化学品收集、转移至安全地方，尽可能减少和降低危险化学品事故所造成的危害和损失，同时注意避免造成二次污染。</w:t>
      </w:r>
    </w:p>
    <w:p>
      <w:pPr>
        <w:keepNext w:val="0"/>
        <w:keepLines w:val="0"/>
        <w:pageBreakBefore w:val="0"/>
        <w:widowControl w:val="0"/>
        <w:kinsoku/>
        <w:wordWrap/>
        <w:overflowPunct/>
        <w:topLinePunct w:val="0"/>
        <w:autoSpaceDE/>
        <w:autoSpaceDN/>
        <w:bidi w:val="0"/>
        <w:adjustRightInd/>
        <w:snapToGrid/>
        <w:spacing w:line="360" w:lineRule="auto"/>
        <w:ind w:left="0" w:firstLine="500"/>
        <w:textAlignment w:val="auto"/>
        <w:outlineLvl w:val="9"/>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⑤对进入事故池的污染水体进行处理，由于本项目污染水体主要污染因子为COD、氨氮，可在应急池内采取如中和沉淀措施等，经处理达标后的废水再排入江阴污水处理厂，处理措施可行。</w:t>
      </w:r>
    </w:p>
    <w:p>
      <w:pPr>
        <w:widowControl w:val="0"/>
        <w:adjustRightInd w:val="0"/>
        <w:snapToGrid w:val="0"/>
        <w:spacing w:line="360" w:lineRule="auto"/>
        <w:ind w:left="0" w:firstLine="0"/>
        <w:jc w:val="both"/>
        <w:textAlignment w:val="baseline"/>
        <w:outlineLvl w:val="3"/>
        <w:rPr>
          <w:rFonts w:hint="default" w:ascii="Times New Roman" w:hAnsi="Times New Roman" w:eastAsia="黑体" w:cs="Times New Roman"/>
          <w:b w:val="0"/>
          <w:color w:val="auto"/>
          <w:kern w:val="0"/>
          <w:sz w:val="28"/>
          <w:szCs w:val="22"/>
          <w:lang w:val="en-US" w:eastAsia="zh-CN" w:bidi="ar-SA"/>
        </w:rPr>
      </w:pPr>
      <w:r>
        <w:rPr>
          <w:rFonts w:hint="default" w:ascii="Times New Roman" w:hAnsi="Times New Roman" w:eastAsia="黑体" w:cs="Times New Roman"/>
          <w:b w:val="0"/>
          <w:color w:val="auto"/>
          <w:kern w:val="0"/>
          <w:sz w:val="28"/>
          <w:szCs w:val="22"/>
          <w:lang w:val="en-US" w:eastAsia="zh-CN" w:bidi="ar-SA"/>
        </w:rPr>
        <w:t>6.5.2.</w:t>
      </w:r>
      <w:r>
        <w:rPr>
          <w:rFonts w:hint="eastAsia" w:ascii="Times New Roman" w:hAnsi="Times New Roman" w:eastAsia="黑体" w:cs="Times New Roman"/>
          <w:b w:val="0"/>
          <w:color w:val="auto"/>
          <w:kern w:val="0"/>
          <w:sz w:val="28"/>
          <w:szCs w:val="22"/>
          <w:lang w:val="en-US" w:eastAsia="zh-CN" w:bidi="ar-SA"/>
        </w:rPr>
        <w:t>10</w:t>
      </w:r>
      <w:r>
        <w:rPr>
          <w:rFonts w:hint="default" w:ascii="Times New Roman" w:hAnsi="Times New Roman" w:eastAsia="黑体" w:cs="Times New Roman"/>
          <w:b w:val="0"/>
          <w:color w:val="auto"/>
          <w:kern w:val="0"/>
          <w:sz w:val="28"/>
          <w:szCs w:val="22"/>
          <w:lang w:val="en-US" w:eastAsia="zh-CN" w:bidi="ar-SA"/>
        </w:rPr>
        <w:t>职业健康安全的环境风险防控措施</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zh-CN" w:eastAsia="zh-CN" w:bidi="ar-SA"/>
        </w:rPr>
      </w:pPr>
      <w:r>
        <w:rPr>
          <w:rFonts w:hint="default" w:ascii="Times New Roman" w:hAnsi="Times New Roman" w:eastAsia="宋体" w:cs="Times New Roman"/>
          <w:snapToGrid w:val="0"/>
          <w:color w:val="auto"/>
          <w:kern w:val="0"/>
          <w:sz w:val="24"/>
          <w:szCs w:val="21"/>
          <w:lang w:val="zh-CN" w:eastAsia="zh-CN" w:bidi="ar-SA"/>
        </w:rPr>
        <w:t>建议建设单位按照相应要求做好相应职业健康安全的环境风险防控措施，如建立相应管理制度、建立职业卫生档案和劳动者健康监护档案、定期组织职业卫生知识培训等：</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1、组织制度管理落实：设置或者指定职业卫生管理机构或者组织，配备专职或者兼职的职业卫生专业人员，负责本单位的职业病防治工作；建立、健全职业卫生管理制度和操作规程等。</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2、建立、健全职业卫生档案和劳动者健康监护档案。建设单位应当按照相关规定对有关人员组织上岗前、在岗期间和离岗时的职业健康检查，并将检查结果如实告知劳动者。职业健康检查工作应当由省级以上人民政府卫生行政部门批准的医疗卫生机构承担。对劳动者建立的职业健康监护档案，应按规定的期限妥善保存。</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3、定期进行职业卫生知识培训。建设单位应当对劳动者进行上岗前的职业卫生培训和在岗期间的定期职业卫生培训，普及职业卫生知识，督促劳动者遵守职业病防治法律、法规、规章和操作规程，指导劳动者正确使用防护设备和防护用品。</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4、工作场所预防措施：易燃易爆和有害有毒等危险作业场所应设置相应的防护措施、报警装置、通讯装置、安全标识及在紧急情况下的抢救和安全疏散设备。易燃易爆物质的存储需符合相应防爆要求。</w:t>
      </w:r>
    </w:p>
    <w:p>
      <w:pPr>
        <w:widowControl w:val="0"/>
        <w:adjustRightInd w:val="0"/>
        <w:snapToGrid w:val="0"/>
        <w:spacing w:line="360" w:lineRule="auto"/>
        <w:ind w:left="0" w:firstLine="0"/>
        <w:jc w:val="both"/>
        <w:textAlignment w:val="baseline"/>
        <w:outlineLvl w:val="3"/>
        <w:rPr>
          <w:rFonts w:hint="default" w:ascii="Times New Roman" w:hAnsi="Times New Roman" w:eastAsia="黑体" w:cs="Times New Roman"/>
          <w:b w:val="0"/>
          <w:color w:val="auto"/>
          <w:kern w:val="0"/>
          <w:sz w:val="28"/>
          <w:szCs w:val="22"/>
          <w:lang w:val="en-US" w:eastAsia="zh-CN" w:bidi="ar-SA"/>
        </w:rPr>
      </w:pPr>
      <w:r>
        <w:rPr>
          <w:rFonts w:hint="default" w:ascii="Times New Roman" w:hAnsi="Times New Roman" w:eastAsia="黑体" w:cs="Times New Roman"/>
          <w:b w:val="0"/>
          <w:color w:val="auto"/>
          <w:kern w:val="0"/>
          <w:sz w:val="28"/>
          <w:szCs w:val="22"/>
          <w:lang w:val="en-US" w:eastAsia="zh-CN" w:bidi="ar-SA"/>
        </w:rPr>
        <w:t>6.5.2.</w:t>
      </w:r>
      <w:r>
        <w:rPr>
          <w:rFonts w:hint="eastAsia" w:ascii="Times New Roman" w:hAnsi="Times New Roman" w:eastAsia="黑体" w:cs="Times New Roman"/>
          <w:b w:val="0"/>
          <w:color w:val="auto"/>
          <w:kern w:val="0"/>
          <w:sz w:val="28"/>
          <w:szCs w:val="22"/>
          <w:lang w:val="en-US" w:eastAsia="zh-CN" w:bidi="ar-SA"/>
        </w:rPr>
        <w:t>11</w:t>
      </w:r>
      <w:r>
        <w:rPr>
          <w:rFonts w:hint="default" w:ascii="Times New Roman" w:hAnsi="Times New Roman" w:eastAsia="黑体" w:cs="Times New Roman"/>
          <w:b w:val="0"/>
          <w:color w:val="auto"/>
          <w:kern w:val="0"/>
          <w:sz w:val="28"/>
          <w:szCs w:val="22"/>
          <w:lang w:val="en-US" w:eastAsia="zh-CN" w:bidi="ar-SA"/>
        </w:rPr>
        <w:t>人员紧急撤离、疏散</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为防止发生重大风险事故，对影响范围内人员的影响，对于人员的疏散和撤离，要求如下：</w:t>
      </w:r>
    </w:p>
    <w:p>
      <w:pPr>
        <w:widowControl w:val="0"/>
        <w:numPr>
          <w:ilvl w:val="0"/>
          <w:numId w:val="0"/>
        </w:numPr>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（1）疏散、撤离负责人</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事故发生后，由各生产班组安全员作为疏散、撤离组织负责人。</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（2）事故现场人员清点、撤离方式、方法</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当发生重大泄漏和火灾事故时，由应急指挥部实施紧急疏散、撤离计划。事故区域所有员工必须执行紧急疏散、撤离命令。侦检抢救队员应立即到达事故现场，设立警戒区域，在疏散和撤离的路线上可设立指示牌，指明方向，指导警戒区内的员工有序的离开。警戒区域内的各生产班组安全员应清点撤离人员，检查确认区域内确无任何人滞留后，向指挥组汇报撤离人数，进行最后撤离。人员不要在低洼处滞留；要查清是否有人留在泄漏区或污染区。如有没有及时撤离人员，应由配戴适宜防护装备的抢险队员两人进入现场搜寻，并实施救助。</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当员工接到紧急撤离命令后，应对生产装置进行紧急停车，并对物料进行安全处置无危险后，方可撤离岗位到指定地点进行集合。员工在撤离过程中，应戴好岗位上所配备的防毒面具，在无防毒面具的情况下，不能剧烈奔跑和碰撞容易产生火花的铁器或石块，应憋住呼吸，用湿毛巾捂住口、鼻部位，缓缓地朝逆风方向，或指定的集中地点走去。</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（3）疏散范围</w:t>
      </w:r>
    </w:p>
    <w:p>
      <w:pPr>
        <w:widowControl w:val="0"/>
        <w:spacing w:line="360" w:lineRule="auto"/>
        <w:ind w:firstLine="480"/>
        <w:jc w:val="both"/>
        <w:rPr>
          <w:rFonts w:hint="eastAsia" w:ascii="Times New Roman" w:hAnsi="Times New Roman" w:eastAsia="宋体" w:cs="Times New Roman"/>
          <w:snapToGrid w:val="0"/>
          <w:color w:val="000000"/>
          <w:kern w:val="0"/>
          <w:sz w:val="24"/>
          <w:szCs w:val="24"/>
          <w:lang w:val="en-US" w:eastAsia="zh-CN" w:bidi="ar-SA"/>
        </w:rPr>
      </w:pPr>
      <w:r>
        <w:rPr>
          <w:rFonts w:hint="default" w:ascii="Times New Roman" w:hAnsi="Times New Roman" w:eastAsia="宋体" w:cs="Times New Roman"/>
          <w:snapToGrid w:val="0"/>
          <w:color w:val="000000"/>
          <w:kern w:val="0"/>
          <w:sz w:val="24"/>
          <w:szCs w:val="24"/>
          <w:lang w:val="en-US" w:eastAsia="zh-CN" w:bidi="ar-SA"/>
        </w:rPr>
        <w:t>根据事故环境风险事故的影响预测结果可知，</w:t>
      </w:r>
      <w:r>
        <w:rPr>
          <w:rFonts w:hint="default" w:ascii="Times New Roman" w:hAnsi="Times New Roman" w:eastAsia="宋体" w:cs="Times New Roman"/>
          <w:bCs/>
          <w:snapToGrid w:val="0"/>
          <w:color w:val="000000"/>
          <w:kern w:val="0"/>
          <w:sz w:val="24"/>
          <w:szCs w:val="24"/>
          <w:lang w:val="en-US" w:eastAsia="zh-CN" w:bidi="ar-SA"/>
        </w:rPr>
        <w:t>在本评价预设条件下发生气相毒物风险事故时，装置区、罐区中各风险物质毒性终点浓度-1出现的距离</w:t>
      </w:r>
      <w:r>
        <w:rPr>
          <w:rFonts w:hint="eastAsia" w:ascii="Times New Roman" w:hAnsi="Times New Roman" w:eastAsia="宋体" w:cs="Times New Roman"/>
          <w:bCs/>
          <w:snapToGrid w:val="0"/>
          <w:color w:val="000000"/>
          <w:kern w:val="0"/>
          <w:sz w:val="24"/>
          <w:szCs w:val="24"/>
          <w:lang w:val="en-US" w:eastAsia="zh-CN" w:bidi="ar-SA"/>
        </w:rPr>
        <w:t>最远</w:t>
      </w:r>
      <w:r>
        <w:rPr>
          <w:rFonts w:hint="default" w:ascii="Times New Roman" w:hAnsi="Times New Roman" w:eastAsia="宋体" w:cs="Times New Roman"/>
          <w:bCs/>
          <w:snapToGrid w:val="0"/>
          <w:color w:val="000000"/>
          <w:kern w:val="0"/>
          <w:sz w:val="24"/>
          <w:szCs w:val="24"/>
          <w:lang w:val="en-US" w:eastAsia="zh-CN" w:bidi="ar-SA"/>
        </w:rPr>
        <w:t>在96m内，毒性终点浓度-2出现的距离在312m内</w:t>
      </w:r>
      <w:r>
        <w:rPr>
          <w:rFonts w:hint="eastAsia" w:ascii="Times New Roman" w:hAnsi="Times New Roman" w:eastAsia="宋体" w:cs="Times New Roman"/>
          <w:bCs/>
          <w:snapToGrid w:val="0"/>
          <w:color w:val="000000"/>
          <w:kern w:val="0"/>
          <w:sz w:val="24"/>
          <w:szCs w:val="24"/>
          <w:lang w:val="en-US" w:eastAsia="zh-CN" w:bidi="ar-SA"/>
        </w:rPr>
        <w:t>；根据化学品处理处置方案要求氨水泄漏最远疏散距离达</w:t>
      </w:r>
      <w:r>
        <w:rPr>
          <w:rFonts w:hint="default" w:ascii="Times New Roman" w:hAnsi="Times New Roman" w:eastAsia="宋体" w:cs="Times New Roman"/>
          <w:bCs/>
          <w:snapToGrid w:val="0"/>
          <w:color w:val="000000"/>
          <w:kern w:val="0"/>
          <w:sz w:val="24"/>
          <w:szCs w:val="24"/>
          <w:lang w:val="en-US" w:eastAsia="zh-CN" w:bidi="ar-SA"/>
        </w:rPr>
        <w:t>白天800m</w:t>
      </w:r>
      <w:r>
        <w:rPr>
          <w:rFonts w:hint="eastAsia" w:ascii="Times New Roman" w:hAnsi="Times New Roman" w:eastAsia="宋体" w:cs="Times New Roman"/>
          <w:bCs/>
          <w:snapToGrid w:val="0"/>
          <w:color w:val="000000"/>
          <w:kern w:val="0"/>
          <w:sz w:val="24"/>
          <w:szCs w:val="24"/>
          <w:lang w:val="en-US" w:eastAsia="zh-CN" w:bidi="ar-SA"/>
        </w:rPr>
        <w:t>、</w:t>
      </w:r>
      <w:r>
        <w:rPr>
          <w:rFonts w:hint="default" w:ascii="Times New Roman" w:hAnsi="Times New Roman" w:eastAsia="宋体" w:cs="Times New Roman"/>
          <w:bCs/>
          <w:snapToGrid w:val="0"/>
          <w:color w:val="000000"/>
          <w:kern w:val="0"/>
          <w:sz w:val="24"/>
          <w:szCs w:val="24"/>
          <w:lang w:val="en-US" w:eastAsia="zh-CN" w:bidi="ar-SA"/>
        </w:rPr>
        <w:t>夜间2000m</w:t>
      </w:r>
      <w:r>
        <w:rPr>
          <w:rFonts w:hint="eastAsia" w:ascii="Times New Roman" w:hAnsi="Times New Roman" w:eastAsia="宋体" w:cs="Times New Roman"/>
          <w:bCs/>
          <w:snapToGrid w:val="0"/>
          <w:color w:val="000000"/>
          <w:kern w:val="0"/>
          <w:sz w:val="24"/>
          <w:szCs w:val="24"/>
          <w:lang w:val="en-US" w:eastAsia="zh-CN" w:bidi="ar-SA"/>
        </w:rPr>
        <w:t>；乙醇泄漏最远疏散距离为500m</w:t>
      </w:r>
      <w:r>
        <w:rPr>
          <w:rFonts w:hint="default" w:ascii="Times New Roman" w:hAnsi="Times New Roman" w:eastAsia="宋体" w:cs="Times New Roman"/>
          <w:bCs/>
          <w:snapToGrid w:val="0"/>
          <w:color w:val="000000"/>
          <w:kern w:val="0"/>
          <w:sz w:val="24"/>
          <w:szCs w:val="24"/>
          <w:lang w:val="en-US" w:eastAsia="zh-CN" w:bidi="ar-SA"/>
        </w:rPr>
        <w:t>。</w:t>
      </w:r>
      <w:r>
        <w:rPr>
          <w:rFonts w:hint="eastAsia" w:ascii="Times New Roman" w:hAnsi="Times New Roman" w:eastAsia="宋体" w:cs="Times New Roman"/>
          <w:snapToGrid w:val="0"/>
          <w:color w:val="000000"/>
          <w:kern w:val="0"/>
          <w:sz w:val="24"/>
          <w:szCs w:val="24"/>
          <w:lang w:val="en-US" w:eastAsia="zh-CN" w:bidi="ar-SA"/>
        </w:rPr>
        <w:t>详见表6.5-5。</w:t>
      </w:r>
    </w:p>
    <w:p>
      <w:pPr>
        <w:pStyle w:val="2"/>
        <w:rPr>
          <w:rFonts w:hint="eastAsia" w:ascii="Times New Roman" w:hAnsi="Times New Roman" w:eastAsia="宋体" w:cs="Times New Roman"/>
          <w:snapToGrid w:val="0"/>
          <w:color w:val="000000"/>
          <w:kern w:val="0"/>
          <w:sz w:val="24"/>
          <w:szCs w:val="24"/>
          <w:lang w:val="en-US" w:eastAsia="zh-CN" w:bidi="ar-SA"/>
        </w:rPr>
      </w:pPr>
    </w:p>
    <w:p>
      <w:pPr>
        <w:pStyle w:val="2"/>
        <w:rPr>
          <w:rFonts w:hint="eastAsia" w:ascii="Times New Roman" w:hAnsi="Times New Roman" w:eastAsia="宋体" w:cs="Times New Roman"/>
          <w:snapToGrid w:val="0"/>
          <w:color w:val="000000"/>
          <w:kern w:val="0"/>
          <w:sz w:val="24"/>
          <w:szCs w:val="24"/>
          <w:lang w:val="en-US" w:eastAsia="zh-CN" w:bidi="ar-SA"/>
        </w:rPr>
      </w:pPr>
    </w:p>
    <w:p>
      <w:pPr>
        <w:pStyle w:val="2"/>
        <w:rPr>
          <w:rFonts w:hint="eastAsia" w:ascii="Times New Roman" w:hAnsi="Times New Roman" w:eastAsia="宋体" w:cs="Times New Roman"/>
          <w:snapToGrid w:val="0"/>
          <w:color w:val="000000"/>
          <w:kern w:val="0"/>
          <w:sz w:val="24"/>
          <w:szCs w:val="24"/>
          <w:lang w:val="en-US" w:eastAsia="zh-CN" w:bidi="ar-SA"/>
        </w:rPr>
      </w:pPr>
    </w:p>
    <w:p>
      <w:pPr>
        <w:pStyle w:val="2"/>
        <w:rPr>
          <w:rFonts w:hint="eastAsia" w:ascii="Times New Roman" w:hAnsi="Times New Roman" w:eastAsia="宋体" w:cs="Times New Roman"/>
          <w:snapToGrid w:val="0"/>
          <w:color w:val="000000"/>
          <w:kern w:val="0"/>
          <w:sz w:val="24"/>
          <w:szCs w:val="24"/>
          <w:lang w:val="en-US" w:eastAsia="zh-CN" w:bidi="ar-SA"/>
        </w:rPr>
      </w:pPr>
    </w:p>
    <w:p>
      <w:pPr>
        <w:pStyle w:val="2"/>
        <w:rPr>
          <w:rFonts w:hint="eastAsia" w:ascii="Times New Roman" w:hAnsi="Times New Roman" w:eastAsia="宋体" w:cs="Times New Roman"/>
          <w:snapToGrid w:val="0"/>
          <w:color w:val="000000"/>
          <w:kern w:val="0"/>
          <w:sz w:val="24"/>
          <w:szCs w:val="24"/>
          <w:lang w:val="en-US" w:eastAsia="zh-CN" w:bidi="ar-SA"/>
        </w:rPr>
      </w:pPr>
    </w:p>
    <w:p>
      <w:pPr>
        <w:pStyle w:val="2"/>
        <w:rPr>
          <w:rFonts w:hint="eastAsia" w:ascii="Times New Roman" w:hAnsi="Times New Roman" w:eastAsia="宋体" w:cs="Times New Roman"/>
          <w:snapToGrid w:val="0"/>
          <w:color w:val="000000"/>
          <w:kern w:val="0"/>
          <w:sz w:val="24"/>
          <w:szCs w:val="24"/>
          <w:lang w:val="en-US" w:eastAsia="zh-CN" w:bidi="ar-SA"/>
        </w:rPr>
      </w:pPr>
    </w:p>
    <w:p>
      <w:pPr>
        <w:pStyle w:val="2"/>
        <w:rPr>
          <w:rFonts w:hint="eastAsia" w:ascii="Times New Roman" w:hAnsi="Times New Roman" w:eastAsia="宋体" w:cs="Times New Roman"/>
          <w:snapToGrid w:val="0"/>
          <w:color w:val="000000"/>
          <w:kern w:val="0"/>
          <w:sz w:val="24"/>
          <w:szCs w:val="24"/>
          <w:lang w:val="en-US" w:eastAsia="zh-CN" w:bidi="ar-SA"/>
        </w:rPr>
      </w:pPr>
    </w:p>
    <w:p>
      <w:pPr>
        <w:pStyle w:val="2"/>
        <w:rPr>
          <w:rFonts w:hint="default" w:ascii="Times New Roman" w:hAnsi="Times New Roman" w:eastAsia="宋体" w:cs="Times New Roman"/>
          <w:snapToGrid w:val="0"/>
          <w:color w:val="000000"/>
          <w:kern w:val="0"/>
          <w:sz w:val="24"/>
          <w:szCs w:val="24"/>
          <w:lang w:val="en-US" w:eastAsia="zh-CN" w:bidi="ar-SA"/>
        </w:rPr>
      </w:pPr>
    </w:p>
    <w:p>
      <w:pPr>
        <w:keepNext w:val="0"/>
        <w:keepLines w:val="0"/>
        <w:pageBreakBefore w:val="0"/>
        <w:widowControl w:val="0"/>
        <w:kinsoku/>
        <w:wordWrap/>
        <w:overflowPunct/>
        <w:topLinePunct w:val="0"/>
        <w:autoSpaceDE/>
        <w:autoSpaceDN/>
        <w:bidi w:val="0"/>
        <w:adjustRightInd/>
        <w:snapToGrid/>
        <w:spacing w:afterLines="0" w:line="360" w:lineRule="auto"/>
        <w:ind w:firstLine="0"/>
        <w:jc w:val="center"/>
        <w:textAlignment w:val="auto"/>
        <w:outlineLvl w:val="4"/>
        <w:rPr>
          <w:rFonts w:hint="default" w:ascii="Times New Roman" w:hAnsi="Times New Roman" w:eastAsia="黑体" w:cs="Times New Roman"/>
          <w:b w:val="0"/>
          <w:bCs/>
          <w:color w:val="000000"/>
          <w:kern w:val="2"/>
          <w:sz w:val="24"/>
          <w:szCs w:val="24"/>
          <w:lang w:val="en-US" w:eastAsia="zh-CN" w:bidi="ar-SA"/>
        </w:rPr>
      </w:pPr>
      <w:r>
        <w:rPr>
          <w:rFonts w:hint="default" w:ascii="Times New Roman" w:hAnsi="Times New Roman" w:eastAsia="黑体" w:cs="Times New Roman"/>
          <w:b w:val="0"/>
          <w:bCs/>
          <w:color w:val="000000"/>
          <w:kern w:val="2"/>
          <w:sz w:val="24"/>
          <w:szCs w:val="24"/>
          <w:lang w:val="en-US" w:eastAsia="zh-CN" w:bidi="ar-SA"/>
        </w:rPr>
        <w:t>表6.5-</w:t>
      </w:r>
      <w:r>
        <w:rPr>
          <w:rFonts w:hint="eastAsia" w:ascii="Times New Roman" w:hAnsi="Times New Roman" w:eastAsia="黑体" w:cs="Times New Roman"/>
          <w:b w:val="0"/>
          <w:bCs/>
          <w:color w:val="000000"/>
          <w:kern w:val="2"/>
          <w:sz w:val="24"/>
          <w:szCs w:val="24"/>
          <w:lang w:val="en-US" w:eastAsia="zh-CN" w:bidi="ar-SA"/>
        </w:rPr>
        <w:t>5</w:t>
      </w:r>
      <w:r>
        <w:rPr>
          <w:rFonts w:hint="default" w:ascii="Times New Roman" w:hAnsi="Times New Roman" w:eastAsia="黑体" w:cs="Times New Roman"/>
          <w:b w:val="0"/>
          <w:bCs/>
          <w:color w:val="000000"/>
          <w:kern w:val="2"/>
          <w:sz w:val="24"/>
          <w:szCs w:val="24"/>
          <w:lang w:val="en-US" w:eastAsia="zh-CN" w:bidi="ar-SA"/>
        </w:rPr>
        <w:t xml:space="preserve">  项目主要危险物质泄漏的应急处理处置方法一览表</w:t>
      </w:r>
    </w:p>
    <w:tbl>
      <w:tblPr>
        <w:tblStyle w:val="90"/>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8"/>
        <w:gridCol w:w="3535"/>
        <w:gridCol w:w="3289"/>
        <w:gridCol w:w="132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风险类型</w:t>
            </w:r>
          </w:p>
        </w:tc>
        <w:tc>
          <w:tcPr>
            <w:tcW w:w="35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预测疏散最远距离</w:t>
            </w:r>
          </w:p>
        </w:tc>
        <w:tc>
          <w:tcPr>
            <w:tcW w:w="4614" w:type="dxa"/>
            <w:gridSpan w:val="2"/>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bCs/>
                <w:snapToGrid w:val="0"/>
                <w:color w:val="000000"/>
                <w:kern w:val="0"/>
                <w:sz w:val="21"/>
                <w:szCs w:val="21"/>
                <w:lang w:val="en-US" w:eastAsia="zh-CN" w:bidi="ar-SA"/>
              </w:rPr>
            </w:pPr>
            <w:r>
              <w:rPr>
                <w:rFonts w:hint="default" w:ascii="Times New Roman" w:hAnsi="Times New Roman" w:eastAsia="宋体" w:cs="Times New Roman"/>
                <w:bCs/>
                <w:snapToGrid w:val="0"/>
                <w:color w:val="000000"/>
                <w:kern w:val="0"/>
                <w:sz w:val="21"/>
                <w:szCs w:val="21"/>
                <w:lang w:val="en-US" w:eastAsia="zh-CN" w:bidi="ar-SA"/>
              </w:rPr>
              <w:t>化学品处理处置方案要求疏散距离*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1088"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硝酸储罐泄漏</w:t>
            </w:r>
          </w:p>
        </w:tc>
        <w:tc>
          <w:tcPr>
            <w:tcW w:w="35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color w:val="000000"/>
                <w:kern w:val="1"/>
                <w:sz w:val="21"/>
                <w:szCs w:val="21"/>
                <w:lang w:val="zh-CN" w:eastAsia="zh-CN" w:bidi="ar"/>
              </w:rPr>
            </w:pPr>
            <w:r>
              <w:rPr>
                <w:rFonts w:hint="default" w:ascii="Times New Roman" w:hAnsi="Times New Roman" w:eastAsia="宋体" w:cs="Times New Roman"/>
                <w:color w:val="000000"/>
                <w:kern w:val="1"/>
                <w:sz w:val="21"/>
                <w:szCs w:val="21"/>
                <w:lang w:val="zh-CN" w:eastAsia="zh-CN" w:bidi="ar"/>
              </w:rPr>
              <w:t>毒性终点浓度-1（</w:t>
            </w:r>
            <w:r>
              <w:rPr>
                <w:rFonts w:hint="default" w:ascii="Times New Roman" w:hAnsi="Times New Roman" w:eastAsia="宋体" w:cs="Times New Roman"/>
                <w:color w:val="000000"/>
                <w:kern w:val="0"/>
                <w:sz w:val="21"/>
                <w:szCs w:val="21"/>
                <w:lang w:val="en-US" w:eastAsia="zh-CN" w:bidi="ar-SA"/>
              </w:rPr>
              <w:t>240</w:t>
            </w:r>
            <w:r>
              <w:rPr>
                <w:rFonts w:hint="default" w:ascii="Times New Roman" w:hAnsi="Times New Roman" w:eastAsia="宋体" w:cs="Times New Roman"/>
                <w:color w:val="000000"/>
                <w:kern w:val="0"/>
                <w:sz w:val="21"/>
                <w:szCs w:val="21"/>
                <w:lang w:val="zh-CN" w:eastAsia="zh-CN" w:bidi="ar-SA"/>
              </w:rPr>
              <w:t xml:space="preserve"> </w:t>
            </w:r>
            <w:r>
              <w:rPr>
                <w:rFonts w:hint="default" w:ascii="Times New Roman" w:hAnsi="Times New Roman" w:eastAsia="宋体" w:cs="Times New Roman"/>
                <w:color w:val="000000"/>
                <w:kern w:val="1"/>
                <w:sz w:val="21"/>
                <w:szCs w:val="21"/>
                <w:lang w:val="zh-CN" w:eastAsia="zh-CN" w:bidi="ar"/>
              </w:rPr>
              <w:t>mg/m</w:t>
            </w:r>
            <w:r>
              <w:rPr>
                <w:rFonts w:hint="default" w:ascii="Times New Roman" w:hAnsi="Times New Roman" w:eastAsia="宋体" w:cs="Times New Roman"/>
                <w:color w:val="000000"/>
                <w:kern w:val="1"/>
                <w:sz w:val="21"/>
                <w:szCs w:val="21"/>
                <w:vertAlign w:val="superscript"/>
                <w:lang w:val="zh-CN" w:eastAsia="zh-CN" w:bidi="ar"/>
              </w:rPr>
              <w:t>3</w:t>
            </w:r>
            <w:r>
              <w:rPr>
                <w:rFonts w:hint="default" w:ascii="Times New Roman" w:hAnsi="Times New Roman" w:eastAsia="宋体" w:cs="Times New Roman"/>
                <w:color w:val="000000"/>
                <w:kern w:val="1"/>
                <w:sz w:val="21"/>
                <w:szCs w:val="21"/>
                <w:lang w:val="zh-CN" w:eastAsia="zh-CN" w:bidi="ar"/>
              </w:rPr>
              <w:t>）：</w:t>
            </w:r>
            <w:r>
              <w:rPr>
                <w:rFonts w:hint="default" w:ascii="Times New Roman" w:hAnsi="Times New Roman" w:eastAsia="宋体" w:cs="Times New Roman"/>
                <w:color w:val="000000"/>
                <w:kern w:val="1"/>
                <w:sz w:val="21"/>
                <w:szCs w:val="21"/>
                <w:lang w:val="en-US" w:eastAsia="zh-CN" w:bidi="ar"/>
              </w:rPr>
              <w:t>95m</w:t>
            </w:r>
          </w:p>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1"/>
                <w:sz w:val="21"/>
                <w:szCs w:val="21"/>
                <w:lang w:val="zh-CN" w:eastAsia="zh-CN" w:bidi="ar"/>
              </w:rPr>
              <w:t>毒性终点浓度-2（</w:t>
            </w:r>
            <w:r>
              <w:rPr>
                <w:rFonts w:hint="default" w:ascii="Times New Roman" w:hAnsi="Times New Roman" w:eastAsia="宋体" w:cs="Times New Roman"/>
                <w:color w:val="000000"/>
                <w:kern w:val="0"/>
                <w:sz w:val="21"/>
                <w:szCs w:val="21"/>
                <w:lang w:val="en-US" w:eastAsia="zh-CN" w:bidi="ar-SA"/>
              </w:rPr>
              <w:t>62</w:t>
            </w:r>
            <w:r>
              <w:rPr>
                <w:rFonts w:hint="default" w:ascii="Times New Roman" w:hAnsi="Times New Roman" w:eastAsia="宋体" w:cs="Times New Roman"/>
                <w:color w:val="000000"/>
                <w:kern w:val="0"/>
                <w:sz w:val="21"/>
                <w:szCs w:val="21"/>
                <w:lang w:val="zh-CN" w:eastAsia="zh-CN" w:bidi="ar-SA"/>
              </w:rPr>
              <w:t xml:space="preserve"> </w:t>
            </w:r>
            <w:r>
              <w:rPr>
                <w:rFonts w:hint="default" w:ascii="Times New Roman" w:hAnsi="Times New Roman" w:eastAsia="宋体" w:cs="Times New Roman"/>
                <w:color w:val="000000"/>
                <w:kern w:val="1"/>
                <w:sz w:val="21"/>
                <w:szCs w:val="21"/>
                <w:lang w:val="zh-CN" w:eastAsia="zh-CN" w:bidi="ar"/>
              </w:rPr>
              <w:t>mg/m</w:t>
            </w:r>
            <w:r>
              <w:rPr>
                <w:rFonts w:hint="default" w:ascii="Times New Roman" w:hAnsi="Times New Roman" w:eastAsia="宋体" w:cs="Times New Roman"/>
                <w:color w:val="000000"/>
                <w:kern w:val="1"/>
                <w:sz w:val="21"/>
                <w:szCs w:val="21"/>
                <w:vertAlign w:val="superscript"/>
                <w:lang w:val="zh-CN" w:eastAsia="zh-CN" w:bidi="ar"/>
              </w:rPr>
              <w:t>3</w:t>
            </w:r>
            <w:r>
              <w:rPr>
                <w:rFonts w:hint="default" w:ascii="Times New Roman" w:hAnsi="Times New Roman" w:eastAsia="宋体" w:cs="Times New Roman"/>
                <w:color w:val="000000"/>
                <w:kern w:val="1"/>
                <w:sz w:val="21"/>
                <w:szCs w:val="21"/>
                <w:lang w:val="zh-CN" w:eastAsia="zh-CN" w:bidi="ar"/>
              </w:rPr>
              <w:t>）：</w:t>
            </w:r>
            <w:r>
              <w:rPr>
                <w:rFonts w:hint="default" w:ascii="Times New Roman" w:hAnsi="Times New Roman" w:eastAsia="宋体" w:cs="Times New Roman"/>
                <w:color w:val="000000"/>
                <w:kern w:val="1"/>
                <w:sz w:val="21"/>
                <w:szCs w:val="21"/>
                <w:lang w:val="en-US" w:eastAsia="zh-CN" w:bidi="ar"/>
              </w:rPr>
              <w:t>245m</w:t>
            </w:r>
          </w:p>
        </w:tc>
        <w:tc>
          <w:tcPr>
            <w:tcW w:w="3289"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w:t>
            </w:r>
          </w:p>
        </w:tc>
        <w:tc>
          <w:tcPr>
            <w:tcW w:w="1325"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1"/>
                <w:sz w:val="21"/>
                <w:szCs w:val="21"/>
                <w:lang w:val="en-US" w:eastAsia="zh-CN" w:bidi="ar"/>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氨水储罐泄漏</w:t>
            </w:r>
          </w:p>
        </w:tc>
        <w:tc>
          <w:tcPr>
            <w:tcW w:w="35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bCs/>
                <w:snapToGrid w:val="0"/>
                <w:color w:val="000000"/>
                <w:kern w:val="0"/>
                <w:sz w:val="21"/>
                <w:szCs w:val="21"/>
                <w:lang w:val="en-US" w:eastAsia="zh-CN" w:bidi="ar-SA"/>
              </w:rPr>
            </w:pPr>
            <w:r>
              <w:rPr>
                <w:rFonts w:hint="default" w:ascii="Times New Roman" w:hAnsi="Times New Roman" w:eastAsia="宋体" w:cs="Times New Roman"/>
                <w:bCs/>
                <w:snapToGrid w:val="0"/>
                <w:color w:val="000000"/>
                <w:kern w:val="0"/>
                <w:sz w:val="21"/>
                <w:szCs w:val="21"/>
                <w:lang w:val="en-US" w:eastAsia="zh-CN" w:bidi="ar-SA"/>
              </w:rPr>
              <w:t>毒性终点浓度-1(770mg/m</w:t>
            </w:r>
            <w:r>
              <w:rPr>
                <w:rFonts w:hint="default" w:ascii="Times New Roman" w:hAnsi="Times New Roman" w:eastAsia="宋体" w:cs="Times New Roman"/>
                <w:bCs/>
                <w:snapToGrid w:val="0"/>
                <w:color w:val="000000"/>
                <w:kern w:val="0"/>
                <w:sz w:val="21"/>
                <w:szCs w:val="21"/>
                <w:vertAlign w:val="superscript"/>
                <w:lang w:val="en-US" w:eastAsia="zh-CN" w:bidi="ar-SA"/>
              </w:rPr>
              <w:t>3</w:t>
            </w:r>
            <w:r>
              <w:rPr>
                <w:rFonts w:hint="default" w:ascii="Times New Roman" w:hAnsi="Times New Roman" w:eastAsia="宋体" w:cs="Times New Roman"/>
                <w:bCs/>
                <w:snapToGrid w:val="0"/>
                <w:color w:val="000000"/>
                <w:kern w:val="0"/>
                <w:sz w:val="21"/>
                <w:szCs w:val="21"/>
                <w:lang w:val="en-US" w:eastAsia="zh-CN" w:bidi="ar-SA"/>
              </w:rPr>
              <w:t>)：79m</w:t>
            </w:r>
          </w:p>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color w:val="000000"/>
                <w:kern w:val="1"/>
                <w:sz w:val="21"/>
                <w:szCs w:val="21"/>
                <w:lang w:val="en-US" w:eastAsia="zh-CN" w:bidi="ar"/>
              </w:rPr>
            </w:pPr>
            <w:r>
              <w:rPr>
                <w:rFonts w:hint="default" w:ascii="Times New Roman" w:hAnsi="Times New Roman" w:eastAsia="宋体" w:cs="Times New Roman"/>
                <w:bCs/>
                <w:snapToGrid w:val="0"/>
                <w:color w:val="000000"/>
                <w:kern w:val="0"/>
                <w:sz w:val="21"/>
                <w:szCs w:val="21"/>
                <w:lang w:val="en-US" w:eastAsia="zh-CN" w:bidi="ar-SA"/>
              </w:rPr>
              <w:t>毒性终点浓度-2(110mg/m</w:t>
            </w:r>
            <w:r>
              <w:rPr>
                <w:rFonts w:hint="default" w:ascii="Times New Roman" w:hAnsi="Times New Roman" w:eastAsia="宋体" w:cs="Times New Roman"/>
                <w:bCs/>
                <w:snapToGrid w:val="0"/>
                <w:color w:val="000000"/>
                <w:kern w:val="0"/>
                <w:sz w:val="21"/>
                <w:szCs w:val="21"/>
                <w:vertAlign w:val="superscript"/>
                <w:lang w:val="en-US" w:eastAsia="zh-CN" w:bidi="ar-SA"/>
              </w:rPr>
              <w:t>3</w:t>
            </w:r>
            <w:r>
              <w:rPr>
                <w:rFonts w:hint="default" w:ascii="Times New Roman" w:hAnsi="Times New Roman" w:eastAsia="宋体" w:cs="Times New Roman"/>
                <w:bCs/>
                <w:snapToGrid w:val="0"/>
                <w:color w:val="000000"/>
                <w:kern w:val="0"/>
                <w:sz w:val="21"/>
                <w:szCs w:val="21"/>
                <w:lang w:val="en-US" w:eastAsia="zh-CN" w:bidi="ar-SA"/>
              </w:rPr>
              <w:t>）：312m</w:t>
            </w:r>
          </w:p>
        </w:tc>
        <w:tc>
          <w:tcPr>
            <w:tcW w:w="3289"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bCs/>
                <w:snapToGrid w:val="0"/>
                <w:color w:val="000000"/>
                <w:kern w:val="0"/>
                <w:sz w:val="21"/>
                <w:szCs w:val="21"/>
                <w:lang w:val="en-US" w:eastAsia="zh-CN" w:bidi="ar-SA"/>
              </w:rPr>
              <w:t>泄漏储罐泄漏是初始隔离距离为150m，下风向疏散距离为白天800m，夜间2000m。</w:t>
            </w:r>
          </w:p>
        </w:tc>
        <w:tc>
          <w:tcPr>
            <w:tcW w:w="1325"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bCs/>
                <w:snapToGrid w:val="0"/>
                <w:color w:val="000000"/>
                <w:kern w:val="0"/>
                <w:sz w:val="21"/>
                <w:szCs w:val="21"/>
                <w:lang w:val="en-US" w:eastAsia="zh-CN" w:bidi="ar-SA"/>
              </w:rPr>
            </w:pPr>
            <w:r>
              <w:rPr>
                <w:rFonts w:hint="default" w:ascii="Times New Roman" w:hAnsi="Times New Roman" w:eastAsia="宋体" w:cs="Times New Roman"/>
                <w:bCs/>
                <w:snapToGrid w:val="0"/>
                <w:color w:val="000000"/>
                <w:kern w:val="0"/>
                <w:sz w:val="21"/>
                <w:szCs w:val="21"/>
                <w:lang w:val="en-US" w:eastAsia="zh-CN" w:bidi="ar-SA"/>
              </w:rPr>
              <w:t>摘自《液氨泄漏的处理处置方案》（HG/T4686-2014）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8"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bCs/>
                <w:snapToGrid w:val="0"/>
                <w:color w:val="000000"/>
                <w:kern w:val="0"/>
                <w:sz w:val="21"/>
                <w:szCs w:val="21"/>
                <w:lang w:val="en-US" w:eastAsia="zh-CN" w:bidi="ar-SA"/>
              </w:rPr>
            </w:pPr>
            <w:r>
              <w:rPr>
                <w:rFonts w:hint="default" w:ascii="Times New Roman" w:hAnsi="Times New Roman" w:eastAsia="宋体" w:cs="Times New Roman"/>
                <w:bCs/>
                <w:snapToGrid w:val="0"/>
                <w:color w:val="000000"/>
                <w:kern w:val="0"/>
                <w:sz w:val="21"/>
                <w:szCs w:val="21"/>
                <w:lang w:val="en-US" w:eastAsia="zh-CN" w:bidi="ar-SA"/>
              </w:rPr>
              <w:t>福尔马林吨桶泄漏</w:t>
            </w:r>
          </w:p>
        </w:tc>
        <w:tc>
          <w:tcPr>
            <w:tcW w:w="35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bCs/>
                <w:snapToGrid w:val="0"/>
                <w:color w:val="000000"/>
                <w:kern w:val="0"/>
                <w:sz w:val="21"/>
                <w:szCs w:val="21"/>
                <w:lang w:val="en-US" w:eastAsia="zh-CN" w:bidi="ar-SA"/>
              </w:rPr>
            </w:pPr>
            <w:r>
              <w:rPr>
                <w:rFonts w:hint="default" w:ascii="Times New Roman" w:hAnsi="Times New Roman" w:eastAsia="宋体" w:cs="Times New Roman"/>
                <w:bCs/>
                <w:snapToGrid w:val="0"/>
                <w:color w:val="000000"/>
                <w:kern w:val="0"/>
                <w:sz w:val="21"/>
                <w:szCs w:val="21"/>
                <w:lang w:val="en-US" w:eastAsia="zh-CN" w:bidi="ar-SA"/>
              </w:rPr>
              <w:t>毒性终点浓度-1(69mg/m</w:t>
            </w:r>
            <w:r>
              <w:rPr>
                <w:rFonts w:hint="default" w:ascii="Times New Roman" w:hAnsi="Times New Roman" w:eastAsia="宋体" w:cs="Times New Roman"/>
                <w:bCs/>
                <w:snapToGrid w:val="0"/>
                <w:color w:val="000000"/>
                <w:kern w:val="0"/>
                <w:sz w:val="21"/>
                <w:szCs w:val="21"/>
                <w:vertAlign w:val="superscript"/>
                <w:lang w:val="en-US" w:eastAsia="zh-CN" w:bidi="ar-SA"/>
              </w:rPr>
              <w:t>3</w:t>
            </w:r>
            <w:r>
              <w:rPr>
                <w:rFonts w:hint="default" w:ascii="Times New Roman" w:hAnsi="Times New Roman" w:eastAsia="宋体" w:cs="Times New Roman"/>
                <w:bCs/>
                <w:snapToGrid w:val="0"/>
                <w:color w:val="000000"/>
                <w:kern w:val="0"/>
                <w:sz w:val="21"/>
                <w:szCs w:val="21"/>
                <w:lang w:val="en-US" w:eastAsia="zh-CN" w:bidi="ar-SA"/>
              </w:rPr>
              <w:t>)：96m</w:t>
            </w:r>
          </w:p>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bCs/>
                <w:snapToGrid w:val="0"/>
                <w:color w:val="000000"/>
                <w:kern w:val="0"/>
                <w:sz w:val="21"/>
                <w:szCs w:val="21"/>
                <w:lang w:val="en-US" w:eastAsia="zh-CN" w:bidi="ar-SA"/>
              </w:rPr>
            </w:pPr>
            <w:r>
              <w:rPr>
                <w:rFonts w:hint="default" w:ascii="Times New Roman" w:hAnsi="Times New Roman" w:eastAsia="宋体" w:cs="Times New Roman"/>
                <w:bCs/>
                <w:snapToGrid w:val="0"/>
                <w:color w:val="000000"/>
                <w:kern w:val="0"/>
                <w:sz w:val="21"/>
                <w:szCs w:val="21"/>
                <w:lang w:val="en-US" w:eastAsia="zh-CN" w:bidi="ar-SA"/>
              </w:rPr>
              <w:t>毒性终点浓度-2(17mg/m</w:t>
            </w:r>
            <w:r>
              <w:rPr>
                <w:rFonts w:hint="default" w:ascii="Times New Roman" w:hAnsi="Times New Roman" w:eastAsia="宋体" w:cs="Times New Roman"/>
                <w:bCs/>
                <w:snapToGrid w:val="0"/>
                <w:color w:val="000000"/>
                <w:kern w:val="0"/>
                <w:sz w:val="21"/>
                <w:szCs w:val="21"/>
                <w:vertAlign w:val="superscript"/>
                <w:lang w:val="en-US" w:eastAsia="zh-CN" w:bidi="ar-SA"/>
              </w:rPr>
              <w:t>3</w:t>
            </w:r>
            <w:r>
              <w:rPr>
                <w:rFonts w:hint="default" w:ascii="Times New Roman" w:hAnsi="Times New Roman" w:eastAsia="宋体" w:cs="Times New Roman"/>
                <w:bCs/>
                <w:snapToGrid w:val="0"/>
                <w:color w:val="000000"/>
                <w:kern w:val="0"/>
                <w:sz w:val="21"/>
                <w:szCs w:val="21"/>
                <w:lang w:val="en-US" w:eastAsia="zh-CN" w:bidi="ar-SA"/>
              </w:rPr>
              <w:t>）：181m</w:t>
            </w:r>
          </w:p>
        </w:tc>
        <w:tc>
          <w:tcPr>
            <w:tcW w:w="3289"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both"/>
              <w:textAlignment w:val="auto"/>
              <w:outlineLvl w:val="9"/>
              <w:rPr>
                <w:rFonts w:hint="default" w:ascii="Times New Roman" w:hAnsi="Times New Roman" w:eastAsia="宋体" w:cs="Times New Roman"/>
                <w:bCs/>
                <w:snapToGrid w:val="0"/>
                <w:color w:val="000000"/>
                <w:kern w:val="0"/>
                <w:sz w:val="21"/>
                <w:szCs w:val="21"/>
                <w:lang w:val="en-US" w:eastAsia="zh-CN" w:bidi="ar-SA"/>
              </w:rPr>
            </w:pPr>
            <w:r>
              <w:rPr>
                <w:rFonts w:hint="default" w:ascii="Times New Roman" w:hAnsi="Times New Roman" w:eastAsia="宋体" w:cs="Times New Roman"/>
                <w:bCs/>
                <w:snapToGrid w:val="0"/>
                <w:color w:val="000000"/>
                <w:kern w:val="0"/>
                <w:sz w:val="21"/>
                <w:szCs w:val="21"/>
                <w:lang w:val="en-US" w:eastAsia="zh-CN" w:bidi="ar-SA"/>
              </w:rPr>
              <w:t>泄漏隔离距离至少为50 m。如果为大量泄漏，在初始隔离距离的基础上加大下风向的疏散距离。</w:t>
            </w:r>
          </w:p>
        </w:tc>
        <w:tc>
          <w:tcPr>
            <w:tcW w:w="1325"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both"/>
              <w:textAlignment w:val="auto"/>
              <w:outlineLvl w:val="9"/>
              <w:rPr>
                <w:rFonts w:hint="default" w:ascii="Times New Roman" w:hAnsi="Times New Roman" w:eastAsia="宋体" w:cs="Times New Roman"/>
                <w:bCs/>
                <w:snapToGrid w:val="0"/>
                <w:color w:val="000000"/>
                <w:kern w:val="0"/>
                <w:sz w:val="21"/>
                <w:szCs w:val="21"/>
                <w:lang w:val="en-US" w:eastAsia="zh-CN" w:bidi="ar-SA"/>
              </w:rPr>
            </w:pPr>
            <w:r>
              <w:rPr>
                <w:rFonts w:hint="default" w:ascii="Times New Roman" w:hAnsi="Times New Roman" w:eastAsia="宋体" w:cs="Times New Roman"/>
                <w:bCs/>
                <w:snapToGrid w:val="0"/>
                <w:color w:val="000000"/>
                <w:kern w:val="0"/>
                <w:sz w:val="21"/>
                <w:szCs w:val="21"/>
                <w:lang w:val="en-US" w:eastAsia="zh-CN" w:bidi="ar-SA"/>
              </w:rPr>
              <w:t>《醛类物质泄漏的处理处置方法》（HG/T4689-2014）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bCs/>
                <w:snapToGrid w:val="0"/>
                <w:color w:val="000000"/>
                <w:kern w:val="0"/>
                <w:sz w:val="21"/>
                <w:szCs w:val="21"/>
                <w:lang w:val="en-US" w:eastAsia="zh-CN" w:bidi="ar-SA"/>
              </w:rPr>
            </w:pPr>
            <w:r>
              <w:rPr>
                <w:rFonts w:hint="default" w:ascii="Times New Roman" w:hAnsi="Times New Roman" w:eastAsia="宋体" w:cs="Times New Roman"/>
                <w:bCs/>
                <w:snapToGrid w:val="0"/>
                <w:color w:val="000000"/>
                <w:kern w:val="0"/>
                <w:sz w:val="21"/>
                <w:szCs w:val="21"/>
                <w:lang w:val="en-US" w:eastAsia="zh-CN" w:bidi="ar-SA"/>
              </w:rPr>
              <w:t>乙醇泄漏产生次生污染物CO</w:t>
            </w:r>
          </w:p>
        </w:tc>
        <w:tc>
          <w:tcPr>
            <w:tcW w:w="35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bCs/>
                <w:snapToGrid w:val="0"/>
                <w:color w:val="000000"/>
                <w:kern w:val="0"/>
                <w:sz w:val="21"/>
                <w:szCs w:val="21"/>
                <w:lang w:val="en-US" w:eastAsia="zh-CN" w:bidi="ar-SA"/>
              </w:rPr>
            </w:pPr>
            <w:r>
              <w:rPr>
                <w:rFonts w:hint="default" w:ascii="Times New Roman" w:hAnsi="Times New Roman" w:eastAsia="宋体" w:cs="Times New Roman"/>
                <w:bCs/>
                <w:snapToGrid w:val="0"/>
                <w:color w:val="000000"/>
                <w:kern w:val="0"/>
                <w:sz w:val="21"/>
                <w:szCs w:val="21"/>
                <w:lang w:val="en-US" w:eastAsia="zh-CN" w:bidi="ar-SA"/>
              </w:rPr>
              <w:t>毒性终点浓度-1（380mg/m</w:t>
            </w:r>
            <w:r>
              <w:rPr>
                <w:rFonts w:hint="default" w:ascii="Times New Roman" w:hAnsi="Times New Roman" w:eastAsia="宋体" w:cs="Times New Roman"/>
                <w:bCs/>
                <w:snapToGrid w:val="0"/>
                <w:color w:val="000000"/>
                <w:kern w:val="0"/>
                <w:sz w:val="21"/>
                <w:szCs w:val="21"/>
                <w:vertAlign w:val="superscript"/>
                <w:lang w:val="en-US" w:eastAsia="zh-CN" w:bidi="ar-SA"/>
              </w:rPr>
              <w:t>3</w:t>
            </w:r>
            <w:r>
              <w:rPr>
                <w:rFonts w:hint="default" w:ascii="Times New Roman" w:hAnsi="Times New Roman" w:eastAsia="宋体" w:cs="Times New Roman"/>
                <w:bCs/>
                <w:snapToGrid w:val="0"/>
                <w:color w:val="000000"/>
                <w:kern w:val="0"/>
                <w:sz w:val="21"/>
                <w:szCs w:val="21"/>
                <w:lang w:val="en-US" w:eastAsia="zh-CN" w:bidi="ar-SA"/>
              </w:rPr>
              <w:t>），36m</w:t>
            </w:r>
          </w:p>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bCs/>
                <w:snapToGrid w:val="0"/>
                <w:color w:val="000000"/>
                <w:kern w:val="0"/>
                <w:sz w:val="21"/>
                <w:szCs w:val="21"/>
                <w:lang w:val="en-US" w:eastAsia="zh-CN" w:bidi="ar-SA"/>
              </w:rPr>
            </w:pPr>
            <w:r>
              <w:rPr>
                <w:rFonts w:hint="default" w:ascii="Times New Roman" w:hAnsi="Times New Roman" w:eastAsia="宋体" w:cs="Times New Roman"/>
                <w:bCs/>
                <w:snapToGrid w:val="0"/>
                <w:color w:val="000000"/>
                <w:kern w:val="0"/>
                <w:sz w:val="21"/>
                <w:szCs w:val="21"/>
                <w:lang w:val="en-US" w:eastAsia="zh-CN" w:bidi="ar-SA"/>
              </w:rPr>
              <w:t>毒性终点浓度-2（95mg/m</w:t>
            </w:r>
            <w:r>
              <w:rPr>
                <w:rFonts w:hint="default" w:ascii="Times New Roman" w:hAnsi="Times New Roman" w:eastAsia="宋体" w:cs="Times New Roman"/>
                <w:bCs/>
                <w:snapToGrid w:val="0"/>
                <w:color w:val="000000"/>
                <w:kern w:val="0"/>
                <w:sz w:val="21"/>
                <w:szCs w:val="21"/>
                <w:vertAlign w:val="superscript"/>
                <w:lang w:val="en-US" w:eastAsia="zh-CN" w:bidi="ar-SA"/>
              </w:rPr>
              <w:t>3</w:t>
            </w:r>
            <w:r>
              <w:rPr>
                <w:rFonts w:hint="default" w:ascii="Times New Roman" w:hAnsi="Times New Roman" w:eastAsia="宋体" w:cs="Times New Roman"/>
                <w:bCs/>
                <w:snapToGrid w:val="0"/>
                <w:color w:val="000000"/>
                <w:kern w:val="0"/>
                <w:sz w:val="21"/>
                <w:szCs w:val="21"/>
                <w:lang w:val="en-US" w:eastAsia="zh-CN" w:bidi="ar-SA"/>
              </w:rPr>
              <w:t>），116m</w:t>
            </w:r>
          </w:p>
        </w:tc>
        <w:tc>
          <w:tcPr>
            <w:tcW w:w="3289"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bCs/>
                <w:snapToGrid w:val="0"/>
                <w:color w:val="000000"/>
                <w:kern w:val="0"/>
                <w:sz w:val="21"/>
                <w:szCs w:val="21"/>
                <w:lang w:val="en-US" w:eastAsia="zh-CN" w:bidi="ar-SA"/>
              </w:rPr>
            </w:pPr>
            <w:r>
              <w:rPr>
                <w:rFonts w:hint="default" w:ascii="Times New Roman" w:hAnsi="Times New Roman" w:eastAsia="宋体" w:cs="Times New Roman"/>
                <w:bCs/>
                <w:snapToGrid w:val="0"/>
                <w:color w:val="000000"/>
                <w:kern w:val="0"/>
                <w:sz w:val="21"/>
                <w:szCs w:val="21"/>
                <w:lang w:val="en-US" w:eastAsia="zh-CN" w:bidi="ar-SA"/>
              </w:rPr>
              <w:t>醇类物质发生泄漏的初始隔离距离及下风向疏散距离符合下列规定，乙醇初始隔离距离为100m，下风向疏散距离为500m。</w:t>
            </w:r>
          </w:p>
        </w:tc>
        <w:tc>
          <w:tcPr>
            <w:tcW w:w="1325"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bCs/>
                <w:snapToGrid w:val="0"/>
                <w:color w:val="000000"/>
                <w:kern w:val="0"/>
                <w:sz w:val="21"/>
                <w:szCs w:val="21"/>
                <w:lang w:val="en-US" w:eastAsia="zh-CN" w:bidi="ar-SA"/>
              </w:rPr>
            </w:pPr>
            <w:r>
              <w:rPr>
                <w:rFonts w:hint="default" w:ascii="Times New Roman" w:hAnsi="Times New Roman" w:eastAsia="宋体" w:cs="Times New Roman"/>
                <w:color w:val="000000"/>
                <w:kern w:val="1"/>
                <w:sz w:val="21"/>
                <w:szCs w:val="21"/>
                <w:highlight w:val="none"/>
                <w:u w:val="none" w:color="auto"/>
                <w:lang w:val="en-US" w:eastAsia="zh-CN" w:bidi="ar"/>
              </w:rPr>
              <w:t>《醇类物质泄漏的处理处置方法</w:t>
            </w:r>
            <w:r>
              <w:rPr>
                <w:rFonts w:hint="default" w:ascii="Times New Roman" w:hAnsi="Times New Roman" w:eastAsia="宋体" w:cs="Times New Roman"/>
                <w:bCs/>
                <w:snapToGrid w:val="0"/>
                <w:color w:val="000000"/>
                <w:kern w:val="0"/>
                <w:sz w:val="21"/>
                <w:szCs w:val="21"/>
                <w:lang w:val="en-US" w:eastAsia="zh-CN" w:bidi="ar-SA"/>
              </w:rPr>
              <w:t>》（HG/T4686-2014）</w:t>
            </w:r>
          </w:p>
        </w:tc>
      </w:tr>
    </w:tbl>
    <w:p>
      <w:pPr>
        <w:widowControl w:val="0"/>
        <w:spacing w:line="360" w:lineRule="auto"/>
        <w:ind w:firstLine="480"/>
        <w:jc w:val="both"/>
        <w:rPr>
          <w:rFonts w:hint="default" w:ascii="Times New Roman" w:hAnsi="Times New Roman" w:eastAsia="宋体" w:cs="Times New Roman"/>
          <w:snapToGrid w:val="0"/>
          <w:color w:val="000000"/>
          <w:kern w:val="0"/>
          <w:sz w:val="24"/>
          <w:szCs w:val="21"/>
          <w:lang w:val="en-US" w:eastAsia="zh-CN" w:bidi="ar-SA"/>
        </w:rPr>
      </w:pPr>
      <w:r>
        <w:rPr>
          <w:rFonts w:hint="default" w:ascii="Times New Roman" w:hAnsi="Times New Roman" w:eastAsia="宋体" w:cs="Times New Roman"/>
          <w:snapToGrid w:val="0"/>
          <w:color w:val="000000"/>
          <w:kern w:val="0"/>
          <w:sz w:val="24"/>
          <w:szCs w:val="21"/>
          <w:lang w:val="en-US" w:eastAsia="zh-CN" w:bidi="ar-SA"/>
        </w:rPr>
        <w:t>（4）撤离路线</w:t>
      </w:r>
    </w:p>
    <w:p>
      <w:pPr>
        <w:widowControl w:val="0"/>
        <w:spacing w:line="360" w:lineRule="auto"/>
        <w:ind w:firstLine="480"/>
        <w:jc w:val="both"/>
        <w:rPr>
          <w:rFonts w:hint="default" w:ascii="Times New Roman" w:hAnsi="Times New Roman" w:eastAsia="宋体" w:cs="Times New Roman"/>
          <w:snapToGrid w:val="0"/>
          <w:color w:val="000000"/>
          <w:kern w:val="0"/>
          <w:sz w:val="24"/>
          <w:szCs w:val="21"/>
          <w:lang w:val="en-US" w:eastAsia="zh-CN" w:bidi="ar-SA"/>
        </w:rPr>
      </w:pPr>
      <w:r>
        <w:rPr>
          <w:rFonts w:hint="default" w:ascii="Times New Roman" w:hAnsi="Times New Roman" w:eastAsia="宋体" w:cs="Times New Roman"/>
          <w:snapToGrid w:val="0"/>
          <w:color w:val="000000"/>
          <w:kern w:val="0"/>
          <w:sz w:val="24"/>
          <w:szCs w:val="21"/>
          <w:lang w:val="en-US" w:eastAsia="zh-CN" w:bidi="ar-SA"/>
        </w:rPr>
        <w:t>建设单位应按照《建设项目环境风险评价技术导则》、《国家突发环境事件应急预案》、《企业事业单位突发环境应急预案备案管理办法（试行）》（环发[2015]4号）、福建省人民政府“关于印发福建省突发环境事件应急预案的通知”（闽政办〔2015〕102号）等文件，编制应急预案，制订项目环境风险紧急撤离方案，划定紧急疏散人群集中点和撤离路线，相应负责人应将发生事故的场所，设施及周围情况、化学品的性质和危害程度，以及当时的风向(根据设立的风向标)等气象情况向应急指挥部作详细报告后确定疏散、撤离路线，撤离过程中，受影响人员应配备防毒面具等必要防护装备。</w:t>
      </w:r>
    </w:p>
    <w:p>
      <w:pPr>
        <w:widowControl w:val="0"/>
        <w:spacing w:line="360" w:lineRule="auto"/>
        <w:ind w:firstLine="480"/>
        <w:jc w:val="both"/>
        <w:rPr>
          <w:rFonts w:hint="default" w:ascii="Times New Roman" w:hAnsi="Times New Roman" w:eastAsia="宋体" w:cs="Times New Roman"/>
          <w:snapToGrid w:val="0"/>
          <w:color w:val="000000"/>
          <w:kern w:val="0"/>
          <w:sz w:val="24"/>
          <w:szCs w:val="21"/>
          <w:lang w:val="en-US" w:eastAsia="zh-CN" w:bidi="ar-SA"/>
        </w:rPr>
      </w:pPr>
      <w:r>
        <w:rPr>
          <w:rFonts w:hint="default" w:ascii="Times New Roman" w:hAnsi="Times New Roman" w:eastAsia="宋体" w:cs="Times New Roman"/>
          <w:snapToGrid w:val="0"/>
          <w:color w:val="000000"/>
          <w:kern w:val="0"/>
          <w:sz w:val="24"/>
          <w:szCs w:val="21"/>
          <w:lang w:val="en-US" w:eastAsia="zh-CN" w:bidi="ar-SA"/>
        </w:rPr>
        <w:t>疏散警报响起，首先判断风向，原则上往上风处疏散，若气体泄漏源为上风处时，宜向与风向垂直之方向疏散(以宽度疏散)。</w:t>
      </w:r>
    </w:p>
    <w:p>
      <w:pPr>
        <w:widowControl w:val="0"/>
        <w:spacing w:line="360" w:lineRule="auto"/>
        <w:ind w:firstLine="480"/>
        <w:jc w:val="both"/>
        <w:rPr>
          <w:rFonts w:hint="default" w:ascii="Times New Roman" w:hAnsi="Times New Roman" w:eastAsia="宋体" w:cs="Times New Roman"/>
          <w:snapToGrid w:val="0"/>
          <w:color w:val="000000"/>
          <w:kern w:val="0"/>
          <w:sz w:val="24"/>
          <w:szCs w:val="21"/>
          <w:lang w:val="en-US" w:eastAsia="zh-CN" w:bidi="ar-SA"/>
        </w:rPr>
      </w:pPr>
      <w:r>
        <w:rPr>
          <w:rFonts w:hint="default" w:ascii="Times New Roman" w:hAnsi="Times New Roman" w:eastAsia="宋体" w:cs="Times New Roman"/>
          <w:snapToGrid w:val="0"/>
          <w:color w:val="000000"/>
          <w:kern w:val="0"/>
          <w:sz w:val="24"/>
          <w:szCs w:val="21"/>
          <w:lang w:val="en-US" w:eastAsia="zh-CN" w:bidi="ar-SA"/>
        </w:rPr>
        <w:t>为使疏散计划执行期间厂内员工能从容撤离灾区，要随时了解员工状况，采取必要之应变措施，根据厂内疏散路线，员工按照指示迅速撤离、疏散至集合地点大门口，各生产班组安全员负责人清点人数。</w:t>
      </w:r>
    </w:p>
    <w:p>
      <w:pPr>
        <w:widowControl w:val="0"/>
        <w:spacing w:line="360" w:lineRule="auto"/>
        <w:ind w:firstLine="480"/>
        <w:jc w:val="both"/>
        <w:rPr>
          <w:rFonts w:hint="default" w:ascii="Times New Roman" w:hAnsi="Times New Roman" w:eastAsia="宋体" w:cs="Times New Roman"/>
          <w:snapToGrid w:val="0"/>
          <w:color w:val="000000"/>
          <w:kern w:val="0"/>
          <w:sz w:val="24"/>
          <w:szCs w:val="21"/>
          <w:lang w:val="en-US" w:eastAsia="zh-CN" w:bidi="ar-SA"/>
        </w:rPr>
      </w:pPr>
      <w:r>
        <w:rPr>
          <w:rFonts w:hint="default" w:ascii="Times New Roman" w:hAnsi="Times New Roman" w:eastAsia="宋体" w:cs="Times New Roman"/>
          <w:snapToGrid w:val="0"/>
          <w:color w:val="000000"/>
          <w:kern w:val="0"/>
          <w:sz w:val="24"/>
          <w:szCs w:val="21"/>
          <w:lang w:val="en-US" w:eastAsia="zh-CN" w:bidi="ar-SA"/>
        </w:rPr>
        <w:t>（5）非事故原发点/非现场人员的紧急疏散</w:t>
      </w:r>
    </w:p>
    <w:p>
      <w:pPr>
        <w:widowControl w:val="0"/>
        <w:spacing w:line="360" w:lineRule="auto"/>
        <w:ind w:firstLine="480"/>
        <w:jc w:val="both"/>
        <w:rPr>
          <w:rFonts w:hint="default" w:ascii="Times New Roman" w:hAnsi="Times New Roman" w:eastAsia="宋体" w:cs="Times New Roman"/>
          <w:snapToGrid w:val="0"/>
          <w:color w:val="000000"/>
          <w:kern w:val="0"/>
          <w:sz w:val="24"/>
          <w:szCs w:val="21"/>
          <w:lang w:val="en-US" w:eastAsia="zh-CN" w:bidi="ar-SA"/>
        </w:rPr>
      </w:pPr>
      <w:r>
        <w:rPr>
          <w:rFonts w:hint="default" w:ascii="Times New Roman" w:hAnsi="Times New Roman" w:eastAsia="宋体" w:cs="Times New Roman"/>
          <w:snapToGrid w:val="0"/>
          <w:color w:val="000000"/>
          <w:kern w:val="0"/>
          <w:sz w:val="24"/>
          <w:szCs w:val="21"/>
          <w:lang w:val="en-US" w:eastAsia="zh-CN" w:bidi="ar-SA"/>
        </w:rPr>
        <w:t>事故警戒区域外为非事故现场。当发生重大泄漏事故时，应急指挥部根据事故可能扩大的范围和当时气象条件，抢险进展情况及预计延展趋势，综合分析判断，对可能涉及的生产装置决定是否紧急停车和疏散人员，并向他们通报这一决定。防止引起恐慌或引发派生事故。</w:t>
      </w:r>
    </w:p>
    <w:p>
      <w:pPr>
        <w:widowControl w:val="0"/>
        <w:spacing w:line="360" w:lineRule="auto"/>
        <w:ind w:firstLine="480"/>
        <w:jc w:val="both"/>
        <w:rPr>
          <w:rFonts w:hint="default" w:ascii="Times New Roman" w:hAnsi="Times New Roman" w:eastAsia="宋体" w:cs="Times New Roman"/>
          <w:snapToGrid w:val="0"/>
          <w:color w:val="000000"/>
          <w:kern w:val="0"/>
          <w:sz w:val="24"/>
          <w:szCs w:val="21"/>
          <w:lang w:val="en-US" w:eastAsia="zh-CN" w:bidi="ar-SA"/>
        </w:rPr>
      </w:pPr>
      <w:r>
        <w:rPr>
          <w:rFonts w:hint="default" w:ascii="Times New Roman" w:hAnsi="Times New Roman" w:eastAsia="宋体" w:cs="Times New Roman"/>
          <w:snapToGrid w:val="0"/>
          <w:color w:val="000000"/>
          <w:kern w:val="0"/>
          <w:sz w:val="24"/>
          <w:szCs w:val="21"/>
          <w:lang w:val="en-US" w:eastAsia="zh-CN" w:bidi="ar-SA"/>
        </w:rPr>
        <w:t>（6）周边区域的工厂、社区人员的疏散</w:t>
      </w:r>
    </w:p>
    <w:p>
      <w:pPr>
        <w:widowControl w:val="0"/>
        <w:spacing w:line="360" w:lineRule="auto"/>
        <w:ind w:firstLine="480"/>
        <w:jc w:val="both"/>
        <w:rPr>
          <w:rFonts w:hint="default" w:ascii="Times New Roman" w:hAnsi="Times New Roman" w:eastAsia="宋体" w:cs="Times New Roman"/>
          <w:snapToGrid w:val="0"/>
          <w:color w:val="000000"/>
          <w:kern w:val="0"/>
          <w:sz w:val="24"/>
          <w:szCs w:val="21"/>
          <w:lang w:val="en-US" w:eastAsia="zh-CN" w:bidi="ar-SA"/>
        </w:rPr>
      </w:pPr>
      <w:r>
        <w:rPr>
          <w:rFonts w:hint="default" w:ascii="Times New Roman" w:hAnsi="Times New Roman" w:eastAsia="宋体" w:cs="Times New Roman"/>
          <w:snapToGrid w:val="0"/>
          <w:color w:val="000000"/>
          <w:kern w:val="0"/>
          <w:sz w:val="24"/>
          <w:szCs w:val="21"/>
          <w:lang w:val="en-US" w:eastAsia="zh-CN" w:bidi="ar-SA"/>
        </w:rPr>
        <w:t>发生重大事故时，可能危及周边区域的单位、社区安全时，根据当时的气象条件、污染物可能扩散的区域和污染物的性质，由应急指挥部决定是否需要向周边地区发布信息，并与政府有关部门联系。</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政府部门根据实际需要对周边区域的工厂，社区和村落的人员进行疏散时，由公安、民政部门、街道组织抽调力量负责组织实施，立即组织广播车辆和专业人员协助公安及其他政府有关部门的人员进行动员和疏导，使周边区域的人员安全疏散。</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（7）人员在撤离、疏散后的报告</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事故现场、非事故现场和周边区域的人员按指挥组命令撤离、疏散至安全地点集中后，由相关负责人清点、统计人数后，及时向指挥组报告。</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（8）事故紧急撤离避难场所</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项目在办公用地设紧急撤离集结点，配备防毒面具、防化服、正压式呼吸器、疏散车辆等必要设施，并由事故应急指挥中心根据事故影响情况，决定是否进行远距离疏散。</w:t>
      </w:r>
    </w:p>
    <w:p>
      <w:pPr>
        <w:widowControl w:val="0"/>
        <w:adjustRightInd w:val="0"/>
        <w:snapToGrid w:val="0"/>
        <w:spacing w:line="360" w:lineRule="auto"/>
        <w:ind w:left="0" w:firstLine="0"/>
        <w:jc w:val="both"/>
        <w:textAlignment w:val="baseline"/>
        <w:outlineLvl w:val="3"/>
        <w:rPr>
          <w:rFonts w:hint="default" w:ascii="Times New Roman" w:hAnsi="Times New Roman" w:eastAsia="黑体" w:cs="Times New Roman"/>
          <w:b w:val="0"/>
          <w:color w:val="auto"/>
          <w:kern w:val="0"/>
          <w:sz w:val="28"/>
          <w:szCs w:val="22"/>
          <w:lang w:val="en-US" w:eastAsia="zh-CN" w:bidi="ar-SA"/>
        </w:rPr>
      </w:pPr>
      <w:r>
        <w:rPr>
          <w:rFonts w:hint="default" w:ascii="Times New Roman" w:hAnsi="Times New Roman" w:eastAsia="黑体" w:cs="Times New Roman"/>
          <w:b w:val="0"/>
          <w:color w:val="auto"/>
          <w:kern w:val="0"/>
          <w:sz w:val="28"/>
          <w:szCs w:val="22"/>
          <w:lang w:val="en-US" w:eastAsia="zh-CN" w:bidi="ar-SA"/>
        </w:rPr>
        <w:t>6.5.2.1</w:t>
      </w:r>
      <w:r>
        <w:rPr>
          <w:rFonts w:hint="eastAsia" w:ascii="Times New Roman" w:hAnsi="Times New Roman" w:eastAsia="黑体" w:cs="Times New Roman"/>
          <w:b w:val="0"/>
          <w:color w:val="auto"/>
          <w:kern w:val="0"/>
          <w:sz w:val="28"/>
          <w:szCs w:val="22"/>
          <w:lang w:val="en-US" w:eastAsia="zh-CN" w:bidi="ar-SA"/>
        </w:rPr>
        <w:t>2</w:t>
      </w:r>
      <w:r>
        <w:rPr>
          <w:rFonts w:hint="default" w:ascii="Times New Roman" w:hAnsi="Times New Roman" w:eastAsia="黑体" w:cs="Times New Roman"/>
          <w:b w:val="0"/>
          <w:color w:val="auto"/>
          <w:kern w:val="0"/>
          <w:sz w:val="28"/>
          <w:szCs w:val="22"/>
          <w:lang w:val="en-US" w:eastAsia="zh-CN" w:bidi="ar-SA"/>
        </w:rPr>
        <w:t xml:space="preserve">应急监测 </w:t>
      </w:r>
    </w:p>
    <w:p>
      <w:pPr>
        <w:spacing w:line="360" w:lineRule="auto"/>
        <w:ind w:firstLine="480"/>
        <w:rPr>
          <w:rFonts w:hint="default" w:ascii="Times New Roman" w:hAnsi="Times New Roman" w:eastAsia="宋体" w:cs="Times New Roman"/>
          <w:color w:val="auto"/>
          <w:sz w:val="24"/>
          <w:szCs w:val="24"/>
          <w:lang w:eastAsia="zh-CN" w:bidi="ar"/>
        </w:rPr>
      </w:pPr>
      <w:r>
        <w:rPr>
          <w:rFonts w:hint="default" w:ascii="Times New Roman" w:hAnsi="Times New Roman" w:eastAsia="宋体" w:cs="Times New Roman"/>
          <w:color w:val="auto"/>
          <w:sz w:val="24"/>
          <w:szCs w:val="24"/>
          <w:lang w:bidi="ar"/>
        </w:rPr>
        <w:t>建设单位在物料容易泄漏处安装气体监测报警装置，当有物料泄漏时能及时报警，以便在第一时间及时处理。一旦发生事故，建设单位将启动环境污染应急预案，成立环境保护组，组织对事故现场污染区域进行应急监测</w:t>
      </w:r>
      <w:r>
        <w:rPr>
          <w:rFonts w:hint="default" w:ascii="Times New Roman" w:hAnsi="Times New Roman" w:eastAsia="宋体" w:cs="Times New Roman"/>
          <w:color w:val="auto"/>
          <w:sz w:val="24"/>
          <w:szCs w:val="24"/>
          <w:lang w:eastAsia="zh-CN" w:bidi="ar"/>
        </w:rPr>
        <w:t>。</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①大气监测</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根据优化项目发生污染物事故的地点、泄漏物的种类及时安排监测点。</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监测点设置：通常在事故现场及下风向一定范围内设置监测点。</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监测项目：根据泄漏物的种类确定，可能包括：</w:t>
      </w:r>
      <w:r>
        <w:rPr>
          <w:rFonts w:hint="default" w:ascii="Times New Roman" w:hAnsi="Times New Roman" w:eastAsia="宋体" w:cs="Times New Roman"/>
          <w:color w:val="auto"/>
          <w:sz w:val="24"/>
          <w:szCs w:val="24"/>
        </w:rPr>
        <w:t>氮氧化物</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bidi="ar"/>
        </w:rPr>
        <w:t>氨</w:t>
      </w:r>
      <w:r>
        <w:rPr>
          <w:rFonts w:hint="default" w:ascii="Times New Roman" w:hAnsi="Times New Roman" w:eastAsia="宋体" w:cs="Times New Roman"/>
          <w:color w:val="auto"/>
          <w:sz w:val="24"/>
          <w:szCs w:val="24"/>
          <w:lang w:eastAsia="zh-CN" w:bidi="ar"/>
        </w:rPr>
        <w:t>、</w:t>
      </w:r>
      <w:r>
        <w:rPr>
          <w:rFonts w:hint="default" w:ascii="Times New Roman" w:hAnsi="Times New Roman" w:eastAsia="宋体" w:cs="Times New Roman"/>
          <w:color w:val="auto"/>
          <w:sz w:val="24"/>
          <w:szCs w:val="24"/>
          <w:lang w:bidi="ar"/>
        </w:rPr>
        <w:t>甲醛</w:t>
      </w:r>
      <w:r>
        <w:rPr>
          <w:rFonts w:hint="default" w:ascii="Times New Roman" w:hAnsi="Times New Roman" w:eastAsia="宋体" w:cs="Times New Roman"/>
          <w:color w:val="auto"/>
          <w:sz w:val="24"/>
          <w:szCs w:val="24"/>
          <w:lang w:eastAsia="zh-CN" w:bidi="ar"/>
        </w:rPr>
        <w:t>、</w:t>
      </w:r>
      <w:r>
        <w:rPr>
          <w:rFonts w:hint="default" w:ascii="Times New Roman" w:hAnsi="Times New Roman" w:eastAsia="宋体" w:cs="Times New Roman"/>
          <w:color w:val="auto"/>
          <w:sz w:val="24"/>
          <w:szCs w:val="24"/>
          <w:lang w:bidi="ar"/>
        </w:rPr>
        <w:t>非甲烷总烃</w:t>
      </w:r>
      <w:r>
        <w:rPr>
          <w:rFonts w:hint="default" w:ascii="Times New Roman" w:hAnsi="Times New Roman" w:eastAsia="宋体" w:cs="Times New Roman"/>
          <w:color w:val="auto"/>
          <w:sz w:val="24"/>
          <w:szCs w:val="24"/>
          <w:lang w:eastAsia="zh-CN" w:bidi="ar"/>
        </w:rPr>
        <w:t>、</w:t>
      </w:r>
      <w:r>
        <w:rPr>
          <w:rFonts w:hint="default" w:ascii="Times New Roman" w:hAnsi="Times New Roman" w:eastAsia="宋体" w:cs="Times New Roman"/>
          <w:color w:val="auto"/>
          <w:sz w:val="24"/>
          <w:szCs w:val="24"/>
          <w:lang w:bidi="ar"/>
        </w:rPr>
        <w:t>颗粒物等。</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监测频次：按事故级别制定监测频次，对大型事故或毒物泄漏事故应对相关地点进行紧急高频次监测（至少1 次/小时），并随着事故的处理及污染物浓度的降低，逐步降低监测频次，直至环境空气质量恢复正常水平。</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②水污染监测</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当发生火灾爆炸或物料泄漏至排水系统后，立即启动水质应急监测。</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监测点设置：在事故现场或泄漏现场周围排水系统汇水处增设临时监测点，增加污水处理站监测点的监测频次。</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监测项目：根据事故泄漏情况监测pH、氨氮、COD、</w:t>
      </w:r>
      <w:r>
        <w:rPr>
          <w:rFonts w:hint="default" w:ascii="Times New Roman" w:hAnsi="Times New Roman" w:eastAsia="宋体" w:cs="Times New Roman"/>
          <w:color w:val="auto"/>
          <w:sz w:val="24"/>
          <w:szCs w:val="24"/>
          <w:lang w:val="en-US" w:eastAsia="zh-CN" w:bidi="ar"/>
        </w:rPr>
        <w:t>SS、</w:t>
      </w:r>
      <w:r>
        <w:rPr>
          <w:rFonts w:hint="eastAsia" w:ascii="Times New Roman" w:hAnsi="Times New Roman" w:eastAsia="宋体" w:cs="Times New Roman"/>
          <w:color w:val="auto"/>
          <w:sz w:val="24"/>
          <w:szCs w:val="24"/>
          <w:lang w:val="en-US" w:eastAsia="zh-CN" w:bidi="ar"/>
        </w:rPr>
        <w:t>氨氮、</w:t>
      </w:r>
      <w:r>
        <w:rPr>
          <w:rFonts w:hint="default" w:ascii="Times New Roman" w:hAnsi="Times New Roman" w:eastAsia="宋体" w:cs="Times New Roman"/>
          <w:color w:val="auto"/>
          <w:sz w:val="24"/>
          <w:szCs w:val="24"/>
          <w:lang w:bidi="ar"/>
        </w:rPr>
        <w:t>总银等。</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监测频次：自动监测点连续监测，临时增设的监测点采取高频次监测（至少1次/小时），及时掌握污染物的流向，采取必要措施防止污染物排放至外环境。</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③地下水及土壤监测</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如果物料或事故污水泄漏到厂外</w:t>
      </w:r>
      <w:r>
        <w:rPr>
          <w:rFonts w:hint="default" w:ascii="Times New Roman" w:hAnsi="Times New Roman" w:eastAsia="宋体" w:cs="Times New Roman"/>
          <w:color w:val="auto"/>
          <w:sz w:val="24"/>
          <w:szCs w:val="24"/>
          <w:lang w:val="en-US" w:eastAsia="zh-CN" w:bidi="ar"/>
        </w:rPr>
        <w:t>排洪渠</w:t>
      </w:r>
      <w:r>
        <w:rPr>
          <w:rFonts w:hint="default" w:ascii="Times New Roman" w:hAnsi="Times New Roman" w:eastAsia="宋体" w:cs="Times New Roman"/>
          <w:color w:val="auto"/>
          <w:sz w:val="24"/>
          <w:szCs w:val="24"/>
          <w:lang w:bidi="ar"/>
        </w:rPr>
        <w:t>，需要根据泄漏情况进行地下水和土壤监测。</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监测点：根据情况设置在</w:t>
      </w:r>
      <w:r>
        <w:rPr>
          <w:rFonts w:hint="default" w:ascii="Times New Roman" w:hAnsi="Times New Roman" w:eastAsia="宋体" w:cs="Times New Roman"/>
          <w:color w:val="auto"/>
          <w:sz w:val="24"/>
          <w:szCs w:val="24"/>
          <w:lang w:val="en-US" w:eastAsia="zh-CN" w:bidi="ar"/>
        </w:rPr>
        <w:t>排洪渠</w:t>
      </w:r>
      <w:r>
        <w:rPr>
          <w:rFonts w:hint="default" w:ascii="Times New Roman" w:hAnsi="Times New Roman" w:eastAsia="宋体" w:cs="Times New Roman"/>
          <w:color w:val="auto"/>
          <w:sz w:val="24"/>
          <w:szCs w:val="24"/>
          <w:lang w:bidi="ar"/>
        </w:rPr>
        <w:t>两侧及下游地区。</w:t>
      </w:r>
    </w:p>
    <w:p>
      <w:pPr>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监测项目：根据事故泄漏的物料决定。</w:t>
      </w:r>
    </w:p>
    <w:p>
      <w:pPr>
        <w:widowControl w:val="0"/>
        <w:spacing w:line="360" w:lineRule="auto"/>
        <w:ind w:firstLine="480"/>
        <w:jc w:val="both"/>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监测周期：需要从事故发生至其后的半年至一年的时间内定期监测地下水及土壤相关污染物含量，了解事故对地下水及土壤的污染情况。</w:t>
      </w:r>
    </w:p>
    <w:p>
      <w:pPr>
        <w:keepNext w:val="0"/>
        <w:keepLines w:val="0"/>
        <w:pageBreakBefore w:val="0"/>
        <w:widowControl w:val="0"/>
        <w:kinsoku/>
        <w:wordWrap/>
        <w:overflowPunct/>
        <w:topLinePunct w:val="0"/>
        <w:autoSpaceDE/>
        <w:autoSpaceDN/>
        <w:bidi w:val="0"/>
        <w:adjustRightInd/>
        <w:snapToGrid/>
        <w:spacing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zh-CN" w:eastAsia="zh-CN" w:bidi="ar-SA"/>
        </w:rPr>
      </w:pPr>
      <w:r>
        <w:rPr>
          <w:rFonts w:hint="default" w:ascii="Times New Roman" w:hAnsi="Times New Roman" w:eastAsia="黑体" w:cs="Times New Roman"/>
          <w:b w:val="0"/>
          <w:bCs/>
          <w:color w:val="auto"/>
          <w:kern w:val="2"/>
          <w:sz w:val="24"/>
          <w:szCs w:val="24"/>
          <w:lang w:val="zh-CN" w:eastAsia="zh-CN" w:bidi="ar-SA"/>
        </w:rPr>
        <w:t>表</w:t>
      </w:r>
      <w:r>
        <w:rPr>
          <w:rFonts w:hint="default" w:ascii="Times New Roman" w:hAnsi="Times New Roman" w:eastAsia="黑体" w:cs="Times New Roman"/>
          <w:b w:val="0"/>
          <w:bCs/>
          <w:color w:val="auto"/>
          <w:kern w:val="2"/>
          <w:sz w:val="24"/>
          <w:szCs w:val="24"/>
          <w:lang w:val="en-US" w:eastAsia="zh-CN" w:bidi="ar-SA"/>
        </w:rPr>
        <w:t>6.5-</w:t>
      </w:r>
      <w:r>
        <w:rPr>
          <w:rFonts w:hint="eastAsia" w:ascii="Times New Roman" w:hAnsi="Times New Roman" w:eastAsia="黑体" w:cs="Times New Roman"/>
          <w:b w:val="0"/>
          <w:bCs/>
          <w:color w:val="auto"/>
          <w:kern w:val="2"/>
          <w:sz w:val="24"/>
          <w:szCs w:val="24"/>
          <w:lang w:val="en-US" w:eastAsia="zh-CN" w:bidi="ar-SA"/>
        </w:rPr>
        <w:t xml:space="preserve">6 </w:t>
      </w:r>
      <w:r>
        <w:rPr>
          <w:rFonts w:hint="default" w:ascii="Times New Roman" w:hAnsi="Times New Roman" w:eastAsia="黑体" w:cs="Times New Roman"/>
          <w:b w:val="0"/>
          <w:bCs/>
          <w:color w:val="auto"/>
          <w:kern w:val="2"/>
          <w:sz w:val="24"/>
          <w:szCs w:val="24"/>
          <w:lang w:val="zh-CN" w:eastAsia="zh-CN" w:bidi="ar-SA"/>
        </w:rPr>
        <w:t>事故应急监测计划一览表</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4"/>
        <w:gridCol w:w="2140"/>
        <w:gridCol w:w="2875"/>
        <w:gridCol w:w="21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74"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事故类型</w:t>
            </w:r>
          </w:p>
        </w:tc>
        <w:tc>
          <w:tcPr>
            <w:tcW w:w="2140"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监测点位</w:t>
            </w:r>
          </w:p>
        </w:tc>
        <w:tc>
          <w:tcPr>
            <w:tcW w:w="2875"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应急监测</w:t>
            </w:r>
          </w:p>
        </w:tc>
        <w:tc>
          <w:tcPr>
            <w:tcW w:w="2197"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监测项目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74" w:type="dxa"/>
            <w:vMerge w:val="restart"/>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环境空气污染事故</w:t>
            </w:r>
          </w:p>
        </w:tc>
        <w:tc>
          <w:tcPr>
            <w:tcW w:w="2140"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事故发生地</w:t>
            </w:r>
          </w:p>
        </w:tc>
        <w:tc>
          <w:tcPr>
            <w:tcW w:w="2875"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初始加密（6次/天）监测，随着污染物浓度的下降逐渐降低频次</w:t>
            </w:r>
          </w:p>
        </w:tc>
        <w:tc>
          <w:tcPr>
            <w:tcW w:w="2197" w:type="dxa"/>
            <w:vMerge w:val="restart"/>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氮氧化物、</w:t>
            </w:r>
            <w:r>
              <w:rPr>
                <w:rFonts w:hint="default" w:ascii="Times New Roman" w:hAnsi="Times New Roman" w:eastAsia="宋体" w:cs="Times New Roman"/>
                <w:color w:val="auto"/>
                <w:kern w:val="2"/>
                <w:sz w:val="21"/>
                <w:szCs w:val="21"/>
                <w:lang w:val="en-US" w:eastAsia="zh-CN" w:bidi="ar"/>
              </w:rPr>
              <w:t>氨、甲醛、非甲烷总烃、颗粒物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vMerge w:val="continue"/>
            <w:noWrap w:val="0"/>
          </w:tcPr>
          <w:p/>
        </w:tc>
        <w:tc>
          <w:tcPr>
            <w:tcW w:w="2140"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事故发生地周围居民区等敏感区域</w:t>
            </w:r>
          </w:p>
        </w:tc>
        <w:tc>
          <w:tcPr>
            <w:tcW w:w="2875"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初始加密（6次/天）监测，随着污染物浓度的下降逐渐降低频次</w:t>
            </w:r>
          </w:p>
        </w:tc>
        <w:tc>
          <w:tcPr>
            <w:vMerge w:val="continue"/>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vMerge w:val="continue"/>
            <w:noWrap w:val="0"/>
          </w:tcPr>
          <w:p/>
        </w:tc>
        <w:tc>
          <w:tcPr>
            <w:tcW w:w="2140"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事故发生地下风向</w:t>
            </w:r>
          </w:p>
        </w:tc>
        <w:tc>
          <w:tcPr>
            <w:tcW w:w="2875"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4次/天或与事故发生地同时频次（应急期间）</w:t>
            </w:r>
          </w:p>
        </w:tc>
        <w:tc>
          <w:tcPr>
            <w:vMerge w:val="continue"/>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vMerge w:val="continue"/>
            <w:noWrap w:val="0"/>
          </w:tcPr>
          <w:p/>
        </w:tc>
        <w:tc>
          <w:tcPr>
            <w:tcW w:w="2140"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事故发生地上风向对照</w:t>
            </w:r>
          </w:p>
        </w:tc>
        <w:tc>
          <w:tcPr>
            <w:tcW w:w="2875"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3次/天（应急期间）</w:t>
            </w:r>
          </w:p>
        </w:tc>
        <w:tc>
          <w:tcPr>
            <w:vMerge w:val="continue"/>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74"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地表水环境事件</w:t>
            </w:r>
          </w:p>
        </w:tc>
        <w:tc>
          <w:tcPr>
            <w:tcW w:w="2140"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雨水排放口、距离泄漏源最近的雨水井</w:t>
            </w:r>
          </w:p>
        </w:tc>
        <w:tc>
          <w:tcPr>
            <w:tcW w:w="2875"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初始加密（4次/天）监测，随着污染物浓度的下降逐渐降低频次</w:t>
            </w:r>
          </w:p>
        </w:tc>
        <w:tc>
          <w:tcPr>
            <w:tcW w:w="2197"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pH、氨氮、COD、</w:t>
            </w:r>
            <w:r>
              <w:rPr>
                <w:rFonts w:hint="eastAsia" w:ascii="Times New Roman" w:hAnsi="Times New Roman" w:eastAsia="宋体" w:cs="Times New Roman"/>
                <w:color w:val="auto"/>
                <w:kern w:val="2"/>
                <w:sz w:val="21"/>
                <w:szCs w:val="21"/>
                <w:lang w:val="en-US" w:eastAsia="zh-CN" w:bidi="ar"/>
              </w:rPr>
              <w:t>氨氮、</w:t>
            </w:r>
            <w:r>
              <w:rPr>
                <w:rFonts w:hint="default" w:ascii="Times New Roman" w:hAnsi="Times New Roman" w:eastAsia="宋体" w:cs="Times New Roman"/>
                <w:color w:val="auto"/>
                <w:kern w:val="2"/>
                <w:sz w:val="21"/>
                <w:szCs w:val="21"/>
                <w:lang w:val="en-US" w:eastAsia="zh-CN" w:bidi="ar"/>
              </w:rPr>
              <w:t>SS、总银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74" w:type="dxa"/>
            <w:vMerge w:val="restart"/>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地下水环境事件</w:t>
            </w:r>
          </w:p>
        </w:tc>
        <w:tc>
          <w:tcPr>
            <w:tcW w:w="2140"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污染物流经地区的地下水井</w:t>
            </w:r>
          </w:p>
        </w:tc>
        <w:tc>
          <w:tcPr>
            <w:tcW w:w="2875"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初始加密监测，视污染物浓度递减；两次监测浓度均低于同等级地表水标准值或已接近可忽略水平为止</w:t>
            </w:r>
          </w:p>
        </w:tc>
        <w:tc>
          <w:tcPr>
            <w:tcW w:w="2197" w:type="dxa"/>
            <w:vMerge w:val="restart"/>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pH、氨氮、</w:t>
            </w:r>
            <w:r>
              <w:rPr>
                <w:rFonts w:hint="default" w:ascii="Times New Roman" w:hAnsi="Times New Roman" w:eastAsia="宋体" w:cs="Times New Roman"/>
                <w:color w:val="auto"/>
                <w:kern w:val="2"/>
                <w:sz w:val="21"/>
                <w:szCs w:val="21"/>
                <w:highlight w:val="none"/>
                <w:lang w:val="en-US" w:eastAsia="zh-CN" w:bidi="ar-SA"/>
              </w:rPr>
              <w:t>耗氧量</w:t>
            </w:r>
            <w:r>
              <w:rPr>
                <w:rFonts w:hint="default" w:ascii="Times New Roman" w:hAnsi="Times New Roman" w:eastAsia="宋体" w:cs="Times New Roman"/>
                <w:color w:val="auto"/>
                <w:kern w:val="2"/>
                <w:sz w:val="21"/>
                <w:szCs w:val="21"/>
                <w:lang w:val="en-US" w:eastAsia="zh-CN" w:bidi="ar"/>
              </w:rPr>
              <w:t>、银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vMerge w:val="continue"/>
            <w:noWrap w:val="0"/>
          </w:tcPr>
          <w:p/>
        </w:tc>
        <w:tc>
          <w:tcPr>
            <w:tcW w:w="2140"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江、河事故发生地上游的对照点</w:t>
            </w:r>
          </w:p>
        </w:tc>
        <w:tc>
          <w:tcPr>
            <w:tcW w:w="2875"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1次/天，连续2天</w:t>
            </w:r>
          </w:p>
        </w:tc>
        <w:tc>
          <w:tcPr>
            <w:vMerge w:val="continue"/>
            <w:noWrap w:val="0"/>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74"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土壤环境事件</w:t>
            </w:r>
          </w:p>
        </w:tc>
        <w:tc>
          <w:tcPr>
            <w:tcW w:w="2140"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厂区</w:t>
            </w:r>
          </w:p>
        </w:tc>
        <w:tc>
          <w:tcPr>
            <w:tcW w:w="2875"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1次/应急期间，清理后、送填埋场处理</w:t>
            </w:r>
          </w:p>
        </w:tc>
        <w:tc>
          <w:tcPr>
            <w:tcW w:w="2197" w:type="dxa"/>
            <w:noWrap w:val="0"/>
            <w:vAlign w:val="center"/>
          </w:tcPr>
          <w:p>
            <w:pPr>
              <w:keepNext w:val="0"/>
              <w:keepLines w:val="0"/>
              <w:pageBreakBefore w:val="0"/>
              <w:widowControl w:val="0"/>
              <w:suppressAutoHyphens/>
              <w:kinsoku/>
              <w:wordWrap/>
              <w:overflowPunct/>
              <w:topLinePunct w:val="0"/>
              <w:autoSpaceDE/>
              <w:autoSpaceDN/>
              <w:bidi w:val="0"/>
              <w:adjustRightInd/>
              <w:snapToGrid w:val="0"/>
              <w:spacing w:line="300" w:lineRule="exact"/>
              <w:ind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按《土壤环境质量 建设用地土壤污染风险管控标准（试行）(GB 36600-2018) 》确定</w:t>
            </w:r>
          </w:p>
        </w:tc>
      </w:tr>
    </w:tbl>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bCs w:val="0"/>
          <w:color w:val="auto"/>
          <w:kern w:val="0"/>
          <w:sz w:val="30"/>
          <w:szCs w:val="30"/>
          <w:lang w:val="en-US" w:eastAsia="zh-CN" w:bidi="ar-SA"/>
        </w:rPr>
      </w:pPr>
      <w:r>
        <w:rPr>
          <w:rFonts w:hint="default" w:ascii="Times New Roman" w:hAnsi="Times New Roman" w:eastAsia="黑体" w:cs="Times New Roman"/>
          <w:b/>
          <w:bCs w:val="0"/>
          <w:color w:val="auto"/>
          <w:kern w:val="0"/>
          <w:sz w:val="30"/>
          <w:szCs w:val="30"/>
          <w:lang w:val="en-US" w:eastAsia="zh-CN" w:bidi="ar-SA"/>
        </w:rPr>
        <w:t>6.5.3环境影响后评价要求</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根据前文环境风险评价等级判定，本项目环境风险需开展二级评价。根据《建设项目环境风险评价技术导则》（HJ169-2018）“11.4 环境风险评价结论与建议”中的要求——对存在较大环境风险的建设项目，须提出环境影响后评价的要求。本项目在通过环境保护设施竣工验收且稳定运行一定时期后，应对其实际产生的环境影响以及污染防治、生态保护和风险防范措施的有效性进行跟踪监测和验证评价，并提出补救方案或者改进措施，以提高环境影响评价有效性。</w:t>
      </w:r>
    </w:p>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bCs w:val="0"/>
          <w:color w:val="auto"/>
          <w:kern w:val="0"/>
          <w:sz w:val="30"/>
          <w:szCs w:val="30"/>
          <w:lang w:val="en-US" w:eastAsia="zh-CN" w:bidi="ar-SA"/>
        </w:rPr>
      </w:pPr>
      <w:r>
        <w:rPr>
          <w:rFonts w:hint="default" w:ascii="Times New Roman" w:hAnsi="Times New Roman" w:eastAsia="黑体" w:cs="Times New Roman"/>
          <w:b/>
          <w:bCs w:val="0"/>
          <w:color w:val="auto"/>
          <w:kern w:val="0"/>
          <w:sz w:val="30"/>
          <w:szCs w:val="30"/>
          <w:lang w:val="en-US" w:eastAsia="zh-CN" w:bidi="ar-SA"/>
        </w:rPr>
        <w:t>6.5.4环境风险事故应急预案</w:t>
      </w:r>
    </w:p>
    <w:p>
      <w:pPr>
        <w:widowControl w:val="0"/>
        <w:adjustRightInd w:val="0"/>
        <w:snapToGrid w:val="0"/>
        <w:spacing w:line="360" w:lineRule="auto"/>
        <w:ind w:left="0" w:firstLine="0"/>
        <w:jc w:val="both"/>
        <w:textAlignment w:val="baseline"/>
        <w:outlineLvl w:val="3"/>
        <w:rPr>
          <w:rFonts w:hint="default" w:ascii="Times New Roman" w:hAnsi="Times New Roman" w:eastAsia="黑体" w:cs="Times New Roman"/>
          <w:b w:val="0"/>
          <w:color w:val="auto"/>
          <w:kern w:val="0"/>
          <w:sz w:val="28"/>
          <w:szCs w:val="22"/>
          <w:lang w:val="en-US" w:eastAsia="zh-CN" w:bidi="ar-SA"/>
        </w:rPr>
      </w:pPr>
      <w:r>
        <w:rPr>
          <w:rFonts w:hint="default" w:ascii="Times New Roman" w:hAnsi="Times New Roman" w:eastAsia="黑体" w:cs="Times New Roman"/>
          <w:b w:val="0"/>
          <w:color w:val="auto"/>
          <w:kern w:val="0"/>
          <w:sz w:val="28"/>
          <w:szCs w:val="22"/>
          <w:lang w:val="en-US" w:eastAsia="zh-CN" w:bidi="ar-SA"/>
        </w:rPr>
        <w:t>6.5.4.1应急预案编制要求</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企业应根据《突发公共卫生事件应急条例》的要求编制详细的应急预案，并按照福建省环保厅转发环保部关于印发《企业事业单位突发环境事件应急预案备案管理办法（试行）》的通知(闽环保应急〔2015〕2号)要求经评审后报地方政府管理部门评审、备案。在项目一旦发生重、特大风险事故发生，应立即启动应急预案。根据《企业突发环境事件风险分级方法》（HJ941-2018）要求对环境风险进行分级，根据《建设项目环境风险评价技术导则》（HJ 169-2018）要求，环境风险应急预案应包括表6.5-</w:t>
      </w:r>
      <w:r>
        <w:rPr>
          <w:rFonts w:hint="eastAsia" w:ascii="Times New Roman" w:hAnsi="Times New Roman" w:eastAsia="宋体" w:cs="Times New Roman"/>
          <w:snapToGrid w:val="0"/>
          <w:color w:val="auto"/>
          <w:kern w:val="0"/>
          <w:sz w:val="24"/>
          <w:szCs w:val="21"/>
          <w:lang w:val="en-US" w:eastAsia="zh-CN" w:bidi="ar-SA"/>
        </w:rPr>
        <w:t>7</w:t>
      </w:r>
      <w:r>
        <w:rPr>
          <w:rFonts w:hint="default" w:ascii="Times New Roman" w:hAnsi="Times New Roman" w:eastAsia="宋体" w:cs="Times New Roman"/>
          <w:snapToGrid w:val="0"/>
          <w:color w:val="auto"/>
          <w:kern w:val="0"/>
          <w:sz w:val="24"/>
          <w:szCs w:val="21"/>
          <w:lang w:val="en-US" w:eastAsia="zh-CN" w:bidi="ar-SA"/>
        </w:rPr>
        <w:t>内容。</w:t>
      </w:r>
    </w:p>
    <w:p>
      <w:pPr>
        <w:keepNext w:val="0"/>
        <w:keepLines w:val="0"/>
        <w:pageBreakBefore w:val="0"/>
        <w:widowControl w:val="0"/>
        <w:kinsoku/>
        <w:wordWrap/>
        <w:overflowPunct/>
        <w:topLinePunct w:val="0"/>
        <w:autoSpaceDE/>
        <w:autoSpaceDN/>
        <w:bidi w:val="0"/>
        <w:adjustRightInd/>
        <w:snapToGrid/>
        <w:spacing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zh-CN" w:eastAsia="zh-CN" w:bidi="ar-SA"/>
        </w:rPr>
      </w:pPr>
      <w:r>
        <w:rPr>
          <w:rFonts w:hint="default" w:ascii="Times New Roman" w:hAnsi="Times New Roman" w:eastAsia="黑体" w:cs="Times New Roman"/>
          <w:b w:val="0"/>
          <w:bCs/>
          <w:color w:val="auto"/>
          <w:kern w:val="2"/>
          <w:sz w:val="24"/>
          <w:szCs w:val="24"/>
          <w:lang w:val="zh-CN" w:eastAsia="zh-CN" w:bidi="ar-SA"/>
        </w:rPr>
        <w:t>表</w:t>
      </w:r>
      <w:r>
        <w:rPr>
          <w:rFonts w:hint="default" w:ascii="Times New Roman" w:hAnsi="Times New Roman" w:eastAsia="黑体" w:cs="Times New Roman"/>
          <w:b w:val="0"/>
          <w:bCs/>
          <w:color w:val="auto"/>
          <w:kern w:val="2"/>
          <w:sz w:val="24"/>
          <w:szCs w:val="24"/>
          <w:lang w:val="en-US" w:eastAsia="zh-CN" w:bidi="ar-SA"/>
        </w:rPr>
        <w:t>6.5-</w:t>
      </w:r>
      <w:r>
        <w:rPr>
          <w:rFonts w:hint="eastAsia" w:ascii="Times New Roman" w:hAnsi="Times New Roman" w:eastAsia="黑体" w:cs="Times New Roman"/>
          <w:b w:val="0"/>
          <w:bCs/>
          <w:color w:val="auto"/>
          <w:kern w:val="2"/>
          <w:sz w:val="24"/>
          <w:szCs w:val="24"/>
          <w:lang w:val="en-US" w:eastAsia="zh-CN" w:bidi="ar-SA"/>
        </w:rPr>
        <w:t>7</w:t>
      </w:r>
      <w:r>
        <w:rPr>
          <w:rFonts w:hint="default" w:ascii="Times New Roman" w:hAnsi="Times New Roman" w:eastAsia="黑体" w:cs="Times New Roman"/>
          <w:b w:val="0"/>
          <w:bCs/>
          <w:color w:val="auto"/>
          <w:kern w:val="2"/>
          <w:sz w:val="24"/>
          <w:szCs w:val="24"/>
          <w:lang w:val="en-US" w:eastAsia="zh-CN" w:bidi="ar-SA"/>
        </w:rPr>
        <w:t xml:space="preserve">  </w:t>
      </w:r>
      <w:r>
        <w:rPr>
          <w:rFonts w:hint="default" w:ascii="Times New Roman" w:hAnsi="Times New Roman" w:eastAsia="黑体" w:cs="Times New Roman"/>
          <w:b w:val="0"/>
          <w:bCs/>
          <w:color w:val="auto"/>
          <w:kern w:val="2"/>
          <w:sz w:val="24"/>
          <w:szCs w:val="24"/>
          <w:lang w:val="zh-CN" w:eastAsia="zh-CN" w:bidi="ar-SA"/>
        </w:rPr>
        <w:t>应急预案框架</w:t>
      </w:r>
    </w:p>
    <w:tbl>
      <w:tblPr>
        <w:tblStyle w:val="90"/>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5"/>
        <w:gridCol w:w="1524"/>
        <w:gridCol w:w="701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dxa"/>
            <w:tcBorders>
              <w:lef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序号</w:t>
            </w:r>
          </w:p>
        </w:tc>
        <w:tc>
          <w:tcPr>
            <w:tcW w:w="1524" w:type="dxa"/>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项    目</w:t>
            </w:r>
          </w:p>
        </w:tc>
        <w:tc>
          <w:tcPr>
            <w:tcW w:w="7017" w:type="dxa"/>
            <w:tcBorders>
              <w:righ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内    容    及    要    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dxa"/>
            <w:tcBorders>
              <w:lef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1</w:t>
            </w:r>
          </w:p>
        </w:tc>
        <w:tc>
          <w:tcPr>
            <w:tcW w:w="1524" w:type="dxa"/>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总则</w:t>
            </w:r>
          </w:p>
        </w:tc>
        <w:tc>
          <w:tcPr>
            <w:tcW w:w="7017" w:type="dxa"/>
            <w:tcBorders>
              <w:righ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简述应急预案编制目的、依据、事件分级、适用范围、工作原则及应急预案关系说明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dxa"/>
            <w:tcBorders>
              <w:lef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2</w:t>
            </w:r>
          </w:p>
        </w:tc>
        <w:tc>
          <w:tcPr>
            <w:tcW w:w="1524" w:type="dxa"/>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应急组织指挥体系与职责</w:t>
            </w:r>
          </w:p>
        </w:tc>
        <w:tc>
          <w:tcPr>
            <w:tcW w:w="7017" w:type="dxa"/>
            <w:tcBorders>
              <w:righ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内部应急组织机构与职责、外部指挥与协调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dxa"/>
            <w:tcBorders>
              <w:lef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3</w:t>
            </w:r>
          </w:p>
        </w:tc>
        <w:tc>
          <w:tcPr>
            <w:tcW w:w="1524" w:type="dxa"/>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预防与预警</w:t>
            </w:r>
          </w:p>
        </w:tc>
        <w:tc>
          <w:tcPr>
            <w:tcW w:w="7017" w:type="dxa"/>
            <w:tcBorders>
              <w:righ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提出预防、预警措施及预警的解除</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dxa"/>
            <w:tcBorders>
              <w:lef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4</w:t>
            </w:r>
          </w:p>
        </w:tc>
        <w:tc>
          <w:tcPr>
            <w:tcW w:w="1524" w:type="dxa"/>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应急处置</w:t>
            </w:r>
          </w:p>
        </w:tc>
        <w:tc>
          <w:tcPr>
            <w:tcW w:w="7017" w:type="dxa"/>
            <w:tcBorders>
              <w:righ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先期处置措施(发生突发环境事件时，企业应当立即采取有效先期措施来防止污染物的扩散，如明确切断污染源的基本方案、明确污水排放口和雨水排放口的应急阀门开合等。)响应分级、应急响应程序(发生《突发环境事件信息报告办法》中列为重大或特别重大突发环境事件时，企业应在1小时内向当地政府和环保部门报告。)应急处置、受伤人员现场救护、救治与医院救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dxa"/>
            <w:tcBorders>
              <w:lef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5</w:t>
            </w:r>
          </w:p>
        </w:tc>
        <w:tc>
          <w:tcPr>
            <w:tcW w:w="1524" w:type="dxa"/>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应急终止</w:t>
            </w:r>
          </w:p>
        </w:tc>
        <w:tc>
          <w:tcPr>
            <w:tcW w:w="7017" w:type="dxa"/>
            <w:tcBorders>
              <w:righ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明确应急终止的条件、程序。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dxa"/>
            <w:tcBorders>
              <w:lef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6</w:t>
            </w:r>
          </w:p>
        </w:tc>
        <w:tc>
          <w:tcPr>
            <w:tcW w:w="1524" w:type="dxa"/>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后期处置</w:t>
            </w:r>
          </w:p>
        </w:tc>
        <w:tc>
          <w:tcPr>
            <w:tcW w:w="7017" w:type="dxa"/>
            <w:tcBorders>
              <w:righ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善后处置，评估与总结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dxa"/>
            <w:tcBorders>
              <w:lef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7</w:t>
            </w:r>
          </w:p>
        </w:tc>
        <w:tc>
          <w:tcPr>
            <w:tcW w:w="1524" w:type="dxa"/>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应急保障</w:t>
            </w:r>
          </w:p>
        </w:tc>
        <w:tc>
          <w:tcPr>
            <w:tcW w:w="7017" w:type="dxa"/>
            <w:tcBorders>
              <w:righ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人力资源保障，资金保障，物资保障，医疗卫生保障，交通运输保障，通信与信息保障，科学技术保障，其他保障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dxa"/>
            <w:tcBorders>
              <w:lef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8</w:t>
            </w:r>
          </w:p>
        </w:tc>
        <w:tc>
          <w:tcPr>
            <w:tcW w:w="1524" w:type="dxa"/>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监督管理</w:t>
            </w:r>
          </w:p>
        </w:tc>
        <w:tc>
          <w:tcPr>
            <w:tcW w:w="7017" w:type="dxa"/>
            <w:tcBorders>
              <w:righ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应急预案演练，宣教培训，责任与奖惩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dxa"/>
            <w:tcBorders>
              <w:lef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9</w:t>
            </w:r>
          </w:p>
        </w:tc>
        <w:tc>
          <w:tcPr>
            <w:tcW w:w="1524" w:type="dxa"/>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附则</w:t>
            </w:r>
          </w:p>
        </w:tc>
        <w:tc>
          <w:tcPr>
            <w:tcW w:w="7017" w:type="dxa"/>
            <w:tcBorders>
              <w:righ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名词术语、预案解释，修订情况，实施日期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dxa"/>
            <w:tcBorders>
              <w:lef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10</w:t>
            </w:r>
          </w:p>
        </w:tc>
        <w:tc>
          <w:tcPr>
            <w:tcW w:w="1524" w:type="dxa"/>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附件</w:t>
            </w:r>
          </w:p>
        </w:tc>
        <w:tc>
          <w:tcPr>
            <w:tcW w:w="7017" w:type="dxa"/>
            <w:tcBorders>
              <w:righ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00" w:lineRule="exact"/>
              <w:ind w:firstLine="0"/>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突发环境事件风险评估报告，根据本单位实际，按照《建设项目环境风险评价技术导则》(HJ 169-2018)和其他突发环境事件风险评估指南的要求，委托有资质的咨询机构进行环境风险评估，明确本单位环境危险源、周边环境状况及环境敏感点的情况，编制本企业的“突发环境事件风险评估报告”。</w:t>
            </w:r>
          </w:p>
        </w:tc>
      </w:tr>
    </w:tbl>
    <w:p>
      <w:pPr>
        <w:widowControl w:val="0"/>
        <w:adjustRightInd w:val="0"/>
        <w:snapToGrid w:val="0"/>
        <w:spacing w:line="360" w:lineRule="auto"/>
        <w:ind w:left="0" w:firstLine="0"/>
        <w:jc w:val="both"/>
        <w:textAlignment w:val="baseline"/>
        <w:outlineLvl w:val="3"/>
        <w:rPr>
          <w:rFonts w:hint="default" w:ascii="Times New Roman" w:hAnsi="Times New Roman" w:eastAsia="黑体" w:cs="Times New Roman"/>
          <w:b w:val="0"/>
          <w:color w:val="auto"/>
          <w:kern w:val="0"/>
          <w:sz w:val="28"/>
          <w:szCs w:val="22"/>
          <w:lang w:val="en-US" w:eastAsia="zh-CN" w:bidi="ar-SA"/>
        </w:rPr>
      </w:pPr>
      <w:r>
        <w:rPr>
          <w:rFonts w:hint="default" w:ascii="Times New Roman" w:hAnsi="Times New Roman" w:eastAsia="黑体" w:cs="Times New Roman"/>
          <w:b w:val="0"/>
          <w:color w:val="auto"/>
          <w:kern w:val="0"/>
          <w:sz w:val="28"/>
          <w:szCs w:val="22"/>
          <w:lang w:val="en-US" w:eastAsia="zh-CN" w:bidi="ar-SA"/>
        </w:rPr>
        <w:t>6.5.4.2应急预案联动要求</w:t>
      </w:r>
    </w:p>
    <w:p>
      <w:pPr>
        <w:widowControl w:val="0"/>
        <w:spacing w:line="360" w:lineRule="auto"/>
        <w:ind w:firstLine="480"/>
        <w:jc w:val="both"/>
        <w:rPr>
          <w:rFonts w:hint="default" w:ascii="Times New Roman" w:hAnsi="Times New Roman" w:eastAsia="宋体" w:cs="Times New Roman"/>
          <w:color w:val="auto"/>
          <w:kern w:val="2"/>
          <w:sz w:val="24"/>
          <w:lang w:val="en-US" w:eastAsia="zh-CN" w:bidi="ar-SA"/>
        </w:rPr>
      </w:pPr>
      <w:r>
        <w:rPr>
          <w:rFonts w:hint="default" w:ascii="Times New Roman" w:hAnsi="Times New Roman" w:eastAsia="宋体" w:cs="Times New Roman"/>
          <w:color w:val="auto"/>
          <w:kern w:val="2"/>
          <w:sz w:val="24"/>
          <w:lang w:val="en-US" w:eastAsia="zh-CN" w:bidi="ar-SA"/>
        </w:rPr>
        <w:t>应急预案共分四级，为公司应急预案、园区应急预案、市级应急预案（福清市）、省级应急预案（福建省），事故发生后根据事故的级分别启动相应的应急预案联动方案，具体见图6.5-</w:t>
      </w:r>
      <w:r>
        <w:rPr>
          <w:rFonts w:hint="eastAsia" w:ascii="Times New Roman" w:hAnsi="Times New Roman" w:eastAsia="宋体" w:cs="Times New Roman"/>
          <w:color w:val="auto"/>
          <w:kern w:val="2"/>
          <w:sz w:val="24"/>
          <w:lang w:val="en-US" w:eastAsia="zh-CN" w:bidi="ar-SA"/>
        </w:rPr>
        <w:t>4</w:t>
      </w:r>
      <w:r>
        <w:rPr>
          <w:rFonts w:hint="default" w:ascii="Times New Roman" w:hAnsi="Times New Roman" w:eastAsia="宋体" w:cs="Times New Roman"/>
          <w:color w:val="auto"/>
          <w:kern w:val="2"/>
          <w:sz w:val="24"/>
          <w:lang w:val="en-US" w:eastAsia="zh-CN" w:bidi="ar-SA"/>
        </w:rPr>
        <w:t>。建设项目设立紧急应变联络流程，各级人员及主管应熟知该作业流程，以能随时应对。</w:t>
      </w:r>
    </w:p>
    <w:p>
      <w:pPr>
        <w:widowControl w:val="0"/>
        <w:spacing w:line="360" w:lineRule="auto"/>
        <w:ind w:firstLine="480"/>
        <w:jc w:val="both"/>
        <w:rPr>
          <w:rFonts w:hint="default" w:ascii="Times New Roman" w:hAnsi="Times New Roman" w:eastAsia="宋体" w:cs="Times New Roman"/>
          <w:color w:val="auto"/>
          <w:kern w:val="0"/>
          <w:sz w:val="24"/>
          <w:lang w:val="en-US" w:eastAsia="zh-CN" w:bidi="ar-SA"/>
        </w:rPr>
      </w:pPr>
      <w:r>
        <mc:AlternateContent>
          <mc:Choice Requires="wpg">
            <w:drawing>
              <wp:anchor distT="0" distB="0" distL="114300" distR="114300" simplePos="0" relativeHeight="251742208" behindDoc="0" locked="0" layoutInCell="1" allowOverlap="1">
                <wp:simplePos x="0" y="0"/>
                <wp:positionH relativeFrom="column">
                  <wp:posOffset>-167005</wp:posOffset>
                </wp:positionH>
                <wp:positionV relativeFrom="paragraph">
                  <wp:posOffset>127000</wp:posOffset>
                </wp:positionV>
                <wp:extent cx="5772150" cy="2362200"/>
                <wp:effectExtent l="5080" t="5080" r="13970" b="13970"/>
                <wp:wrapNone/>
                <wp:docPr id="6973" name="组合 6973"/>
                <wp:cNvGraphicFramePr/>
                <a:graphic xmlns:a="http://schemas.openxmlformats.org/drawingml/2006/main">
                  <a:graphicData uri="http://schemas.microsoft.com/office/word/2010/wordprocessingGroup">
                    <wpg:wgp>
                      <wpg:cNvGrpSpPr/>
                      <wpg:grpSpPr>
                        <a:xfrm>
                          <a:off x="0" y="0"/>
                          <a:ext cx="5772150" cy="2362200"/>
                          <a:chOff x="1273" y="7970"/>
                          <a:chExt cx="9657" cy="4746"/>
                        </a:xfrm>
                        <a:effectLst/>
                      </wpg:grpSpPr>
                      <wps:wsp>
                        <wps:cNvPr id="6974" name="Text Box 9"/>
                        <wps:cNvSpPr txBox="1">
                          <a:spLocks noChangeArrowheads="1"/>
                        </wps:cNvSpPr>
                        <wps:spPr bwMode="auto">
                          <a:xfrm>
                            <a:off x="1273" y="7970"/>
                            <a:ext cx="1928" cy="555"/>
                          </a:xfrm>
                          <a:prstGeom prst="rect">
                            <a:avLst/>
                          </a:prstGeom>
                          <a:solidFill>
                            <a:srgbClr val="FFFFFF"/>
                          </a:solidFill>
                          <a:ln w="9525">
                            <a:solidFill>
                              <a:srgbClr val="000000"/>
                            </a:solidFill>
                            <a:miter lim="800000"/>
                          </a:ln>
                          <a:effectLst/>
                        </wps:spPr>
                        <wps:txbx>
                          <w:txbxContent>
                            <w:p>
                              <w:pPr>
                                <w:spacing w:line="240" w:lineRule="auto"/>
                                <w:ind w:firstLine="0"/>
                                <w:jc w:val="center"/>
                                <w:rPr>
                                  <w:rFonts w:ascii="宋体" w:hAnsi="宋体" w:eastAsia="宋体" w:cs="Times New Roman"/>
                                  <w:sz w:val="21"/>
                                  <w:szCs w:val="21"/>
                                </w:rPr>
                              </w:pPr>
                              <w:r>
                                <w:rPr>
                                  <w:rFonts w:hint="eastAsia" w:ascii="宋体" w:hAnsi="宋体" w:eastAsia="宋体" w:cs="Times New Roman"/>
                                  <w:sz w:val="18"/>
                                  <w:szCs w:val="18"/>
                                </w:rPr>
                                <w:t>Ⅳ级（一般事故）</w:t>
                              </w:r>
                            </w:p>
                          </w:txbxContent>
                        </wps:txbx>
                        <wps:bodyPr rot="0" vert="horz" wrap="square" lIns="91440" tIns="45720" rIns="91440" bIns="45720" anchor="t" anchorCtr="0" upright="1">
                          <a:noAutofit/>
                        </wps:bodyPr>
                      </wps:wsp>
                      <wps:wsp>
                        <wps:cNvPr id="6975" name="Text Box 10"/>
                        <wps:cNvSpPr txBox="1">
                          <a:spLocks noChangeArrowheads="1"/>
                        </wps:cNvSpPr>
                        <wps:spPr bwMode="auto">
                          <a:xfrm>
                            <a:off x="3793" y="7970"/>
                            <a:ext cx="1974" cy="555"/>
                          </a:xfrm>
                          <a:prstGeom prst="rect">
                            <a:avLst/>
                          </a:prstGeom>
                          <a:solidFill>
                            <a:srgbClr val="FFFFFF"/>
                          </a:solidFill>
                          <a:ln w="9525">
                            <a:solidFill>
                              <a:srgbClr val="000000"/>
                            </a:solidFill>
                            <a:miter lim="800000"/>
                          </a:ln>
                          <a:effectLst/>
                        </wps:spPr>
                        <wps:txbx>
                          <w:txbxContent>
                            <w:p>
                              <w:pPr>
                                <w:spacing w:line="240" w:lineRule="auto"/>
                                <w:ind w:firstLine="0"/>
                                <w:jc w:val="center"/>
                                <w:rPr>
                                  <w:rFonts w:ascii="宋体" w:hAnsi="宋体" w:eastAsia="宋体" w:cs="Times New Roman"/>
                                  <w:sz w:val="18"/>
                                  <w:szCs w:val="18"/>
                                </w:rPr>
                              </w:pPr>
                              <w:r>
                                <w:rPr>
                                  <w:rFonts w:hint="eastAsia" w:ascii="宋体" w:hAnsi="宋体" w:eastAsia="宋体" w:cs="Times New Roman"/>
                                  <w:sz w:val="18"/>
                                  <w:szCs w:val="18"/>
                                </w:rPr>
                                <w:t>Ⅲ级（较大事故）</w:t>
                              </w:r>
                            </w:p>
                          </w:txbxContent>
                        </wps:txbx>
                        <wps:bodyPr rot="0" vert="horz" wrap="square" lIns="91440" tIns="45720" rIns="91440" bIns="45720" anchor="t" anchorCtr="0" upright="1">
                          <a:noAutofit/>
                        </wps:bodyPr>
                      </wps:wsp>
                      <wps:wsp>
                        <wps:cNvPr id="448" name="Text Box 11"/>
                        <wps:cNvSpPr txBox="1">
                          <a:spLocks noChangeArrowheads="1"/>
                        </wps:cNvSpPr>
                        <wps:spPr bwMode="auto">
                          <a:xfrm>
                            <a:off x="6313" y="7970"/>
                            <a:ext cx="2084" cy="593"/>
                          </a:xfrm>
                          <a:prstGeom prst="rect">
                            <a:avLst/>
                          </a:prstGeom>
                          <a:solidFill>
                            <a:srgbClr val="FFFFFF"/>
                          </a:solidFill>
                          <a:ln w="9525">
                            <a:solidFill>
                              <a:srgbClr val="000000"/>
                            </a:solidFill>
                            <a:miter lim="800000"/>
                          </a:ln>
                          <a:effectLst/>
                        </wps:spPr>
                        <wps:txbx>
                          <w:txbxContent>
                            <w:p>
                              <w:pPr>
                                <w:spacing w:line="240" w:lineRule="auto"/>
                                <w:ind w:firstLine="0"/>
                                <w:jc w:val="center"/>
                                <w:rPr>
                                  <w:rFonts w:ascii="宋体" w:hAnsi="宋体" w:eastAsia="宋体" w:cs="Times New Roman"/>
                                  <w:sz w:val="18"/>
                                  <w:szCs w:val="18"/>
                                </w:rPr>
                              </w:pPr>
                              <w:r>
                                <w:rPr>
                                  <w:rFonts w:hint="eastAsia" w:ascii="宋体" w:hAnsi="宋体" w:eastAsia="宋体" w:cs="Times New Roman"/>
                                  <w:sz w:val="18"/>
                                  <w:szCs w:val="18"/>
                                </w:rPr>
                                <w:t>Ⅱ级（重大事故）</w:t>
                              </w:r>
                            </w:p>
                          </w:txbxContent>
                        </wps:txbx>
                        <wps:bodyPr rot="0" vert="horz" wrap="square" lIns="91440" tIns="45720" rIns="91440" bIns="45720" anchor="t" anchorCtr="0" upright="1">
                          <a:noAutofit/>
                        </wps:bodyPr>
                      </wps:wsp>
                      <wps:wsp>
                        <wps:cNvPr id="453" name="Text Box 12"/>
                        <wps:cNvSpPr txBox="1">
                          <a:spLocks noChangeArrowheads="1"/>
                        </wps:cNvSpPr>
                        <wps:spPr bwMode="auto">
                          <a:xfrm>
                            <a:off x="8833" y="7970"/>
                            <a:ext cx="2097" cy="555"/>
                          </a:xfrm>
                          <a:prstGeom prst="rect">
                            <a:avLst/>
                          </a:prstGeom>
                          <a:solidFill>
                            <a:srgbClr val="FFFFFF"/>
                          </a:solidFill>
                          <a:ln w="9525">
                            <a:solidFill>
                              <a:srgbClr val="000000"/>
                            </a:solidFill>
                            <a:miter lim="800000"/>
                          </a:ln>
                          <a:effectLst/>
                        </wps:spPr>
                        <wps:txbx>
                          <w:txbxContent>
                            <w:p>
                              <w:pPr>
                                <w:spacing w:line="240" w:lineRule="auto"/>
                                <w:ind w:firstLine="0"/>
                                <w:jc w:val="center"/>
                                <w:rPr>
                                  <w:rFonts w:ascii="宋体" w:hAnsi="宋体" w:eastAsia="宋体" w:cs="Times New Roman"/>
                                  <w:sz w:val="18"/>
                                  <w:szCs w:val="18"/>
                                </w:rPr>
                              </w:pPr>
                              <w:r>
                                <w:rPr>
                                  <w:rFonts w:hint="eastAsia" w:ascii="宋体" w:hAnsi="宋体" w:eastAsia="宋体" w:cs="Times New Roman"/>
                                  <w:sz w:val="18"/>
                                  <w:szCs w:val="18"/>
                                </w:rPr>
                                <w:t>Ⅰ级（特大事故）</w:t>
                              </w:r>
                            </w:p>
                          </w:txbxContent>
                        </wps:txbx>
                        <wps:bodyPr rot="0" vert="horz" wrap="square" lIns="91440" tIns="45720" rIns="91440" bIns="45720" anchor="t" anchorCtr="0" upright="1">
                          <a:noAutofit/>
                        </wps:bodyPr>
                      </wps:wsp>
                      <wps:wsp>
                        <wps:cNvPr id="465" name="Text Box 13"/>
                        <wps:cNvSpPr txBox="1">
                          <a:spLocks noChangeArrowheads="1"/>
                        </wps:cNvSpPr>
                        <wps:spPr bwMode="auto">
                          <a:xfrm>
                            <a:off x="1273" y="10154"/>
                            <a:ext cx="1620" cy="591"/>
                          </a:xfrm>
                          <a:prstGeom prst="rect">
                            <a:avLst/>
                          </a:prstGeom>
                          <a:solidFill>
                            <a:srgbClr val="FFFFFF"/>
                          </a:solidFill>
                          <a:ln w="9525">
                            <a:solidFill>
                              <a:srgbClr val="000000"/>
                            </a:solidFill>
                            <a:miter lim="800000"/>
                          </a:ln>
                          <a:effectLst/>
                        </wps:spPr>
                        <wps:txbx>
                          <w:txbxContent>
                            <w:p>
                              <w:pPr>
                                <w:spacing w:line="240" w:lineRule="auto"/>
                                <w:ind w:firstLine="0"/>
                                <w:jc w:val="center"/>
                                <w:rPr>
                                  <w:rFonts w:ascii="宋体" w:hAnsi="宋体" w:eastAsia="宋体" w:cs="Times New Roman"/>
                                  <w:sz w:val="21"/>
                                  <w:szCs w:val="21"/>
                                </w:rPr>
                              </w:pPr>
                              <w:r>
                                <w:rPr>
                                  <w:rFonts w:hint="eastAsia" w:ascii="宋体" w:hAnsi="宋体" w:eastAsia="宋体" w:cs="Times New Roman"/>
                                  <w:sz w:val="18"/>
                                  <w:szCs w:val="18"/>
                                </w:rPr>
                                <w:t>公司应急预案</w:t>
                              </w:r>
                            </w:p>
                          </w:txbxContent>
                        </wps:txbx>
                        <wps:bodyPr rot="0" vert="horz" wrap="square" lIns="91440" tIns="45720" rIns="91440" bIns="45720" anchor="t" anchorCtr="0" upright="1">
                          <a:noAutofit/>
                        </wps:bodyPr>
                      </wps:wsp>
                      <wps:wsp>
                        <wps:cNvPr id="466" name="Text Box 14"/>
                        <wps:cNvSpPr txBox="1">
                          <a:spLocks noChangeArrowheads="1"/>
                        </wps:cNvSpPr>
                        <wps:spPr bwMode="auto">
                          <a:xfrm>
                            <a:off x="3426" y="10466"/>
                            <a:ext cx="2259" cy="468"/>
                          </a:xfrm>
                          <a:prstGeom prst="rect">
                            <a:avLst/>
                          </a:prstGeom>
                          <a:solidFill>
                            <a:srgbClr val="FFFFFF"/>
                          </a:solidFill>
                          <a:ln w="9525">
                            <a:solidFill>
                              <a:srgbClr val="000000"/>
                            </a:solidFill>
                            <a:miter lim="800000"/>
                          </a:ln>
                          <a:effectLst/>
                        </wps:spPr>
                        <wps:txbx>
                          <w:txbxContent>
                            <w:p>
                              <w:pPr>
                                <w:spacing w:line="240" w:lineRule="auto"/>
                                <w:ind w:firstLine="0"/>
                                <w:rPr>
                                  <w:rFonts w:ascii="宋体" w:hAnsi="宋体" w:eastAsia="宋体" w:cs="Times New Roman"/>
                                  <w:sz w:val="21"/>
                                  <w:szCs w:val="21"/>
                                </w:rPr>
                              </w:pPr>
                              <w:r>
                                <w:rPr>
                                  <w:rFonts w:hint="eastAsia" w:ascii="宋体" w:hAnsi="宋体" w:eastAsia="宋体" w:cs="Times New Roman"/>
                                  <w:sz w:val="18"/>
                                  <w:szCs w:val="18"/>
                                </w:rPr>
                                <w:t>园区、</w:t>
                              </w:r>
                              <w:r>
                                <w:rPr>
                                  <w:rFonts w:hint="eastAsia" w:ascii="宋体" w:hAnsi="宋体" w:eastAsia="宋体" w:cs="Times New Roman"/>
                                  <w:sz w:val="18"/>
                                  <w:szCs w:val="18"/>
                                  <w:lang w:val="en-US" w:eastAsia="zh-CN"/>
                                </w:rPr>
                                <w:t>江阴镇</w:t>
                              </w:r>
                              <w:r>
                                <w:rPr>
                                  <w:rFonts w:hint="eastAsia" w:ascii="宋体" w:hAnsi="宋体" w:eastAsia="宋体" w:cs="Times New Roman"/>
                                  <w:sz w:val="18"/>
                                  <w:szCs w:val="18"/>
                                </w:rPr>
                                <w:t>应急预案</w:t>
                              </w:r>
                            </w:p>
                          </w:txbxContent>
                        </wps:txbx>
                        <wps:bodyPr rot="0" vert="horz" wrap="square" lIns="91440" tIns="45720" rIns="91440" bIns="45720" anchor="t" anchorCtr="0" upright="1">
                          <a:noAutofit/>
                        </wps:bodyPr>
                      </wps:wsp>
                      <wps:wsp>
                        <wps:cNvPr id="467" name="Text Box 15"/>
                        <wps:cNvSpPr txBox="1">
                          <a:spLocks noChangeArrowheads="1"/>
                        </wps:cNvSpPr>
                        <wps:spPr bwMode="auto">
                          <a:xfrm>
                            <a:off x="6133" y="10918"/>
                            <a:ext cx="2340" cy="554"/>
                          </a:xfrm>
                          <a:prstGeom prst="rect">
                            <a:avLst/>
                          </a:prstGeom>
                          <a:solidFill>
                            <a:srgbClr val="FFFFFF"/>
                          </a:solidFill>
                          <a:ln w="9525">
                            <a:solidFill>
                              <a:srgbClr val="000000"/>
                            </a:solidFill>
                            <a:miter lim="800000"/>
                          </a:ln>
                          <a:effectLst/>
                        </wps:spPr>
                        <wps:txbx>
                          <w:txbxContent>
                            <w:p>
                              <w:pPr>
                                <w:spacing w:line="240" w:lineRule="auto"/>
                                <w:ind w:firstLine="0"/>
                                <w:jc w:val="center"/>
                                <w:rPr>
                                  <w:rFonts w:ascii="宋体" w:hAnsi="宋体" w:eastAsia="宋体" w:cs="Times New Roman"/>
                                  <w:sz w:val="18"/>
                                  <w:szCs w:val="18"/>
                                </w:rPr>
                              </w:pPr>
                              <w:r>
                                <w:rPr>
                                  <w:rFonts w:hint="eastAsia" w:ascii="宋体" w:hAnsi="宋体" w:eastAsia="宋体" w:cs="Times New Roman"/>
                                  <w:sz w:val="18"/>
                                  <w:szCs w:val="18"/>
                                  <w:lang w:val="en-US" w:eastAsia="zh-CN"/>
                                </w:rPr>
                                <w:t>福清市</w:t>
                              </w:r>
                              <w:r>
                                <w:rPr>
                                  <w:rFonts w:hint="eastAsia" w:ascii="宋体" w:hAnsi="宋体" w:eastAsia="宋体" w:cs="Times New Roman"/>
                                  <w:sz w:val="18"/>
                                  <w:szCs w:val="18"/>
                                </w:rPr>
                                <w:t>应急预案</w:t>
                              </w:r>
                            </w:p>
                          </w:txbxContent>
                        </wps:txbx>
                        <wps:bodyPr rot="0" vert="horz" wrap="square" lIns="91440" tIns="45720" rIns="91440" bIns="45720" anchor="t" anchorCtr="0" upright="1">
                          <a:noAutofit/>
                        </wps:bodyPr>
                      </wps:wsp>
                      <wps:wsp>
                        <wps:cNvPr id="468" name="Text Box 16"/>
                        <wps:cNvSpPr txBox="1">
                          <a:spLocks noChangeArrowheads="1"/>
                        </wps:cNvSpPr>
                        <wps:spPr bwMode="auto">
                          <a:xfrm>
                            <a:off x="8833" y="12182"/>
                            <a:ext cx="1800" cy="534"/>
                          </a:xfrm>
                          <a:prstGeom prst="rect">
                            <a:avLst/>
                          </a:prstGeom>
                          <a:solidFill>
                            <a:srgbClr val="FFFFFF"/>
                          </a:solidFill>
                          <a:ln w="9525">
                            <a:solidFill>
                              <a:srgbClr val="000000"/>
                            </a:solidFill>
                            <a:miter lim="800000"/>
                          </a:ln>
                          <a:effectLst/>
                        </wps:spPr>
                        <wps:txbx>
                          <w:txbxContent>
                            <w:p>
                              <w:pPr>
                                <w:spacing w:line="240" w:lineRule="auto"/>
                                <w:ind w:firstLine="0"/>
                                <w:jc w:val="center"/>
                                <w:rPr>
                                  <w:rFonts w:ascii="宋体" w:hAnsi="宋体" w:eastAsia="宋体" w:cs="Times New Roman"/>
                                  <w:sz w:val="18"/>
                                  <w:szCs w:val="18"/>
                                </w:rPr>
                              </w:pPr>
                              <w:r>
                                <w:rPr>
                                  <w:rFonts w:hint="eastAsia" w:ascii="宋体" w:hAnsi="宋体" w:eastAsia="宋体" w:cs="Times New Roman"/>
                                  <w:sz w:val="18"/>
                                  <w:szCs w:val="18"/>
                                </w:rPr>
                                <w:t>省级应急预案</w:t>
                              </w:r>
                            </w:p>
                          </w:txbxContent>
                        </wps:txbx>
                        <wps:bodyPr rot="0" vert="horz" wrap="square" lIns="91440" tIns="45720" rIns="91440" bIns="45720" anchor="t" anchorCtr="0" upright="1">
                          <a:noAutofit/>
                        </wps:bodyPr>
                      </wps:wsp>
                      <wps:wsp>
                        <wps:cNvPr id="469" name="Text Box 17"/>
                        <wps:cNvSpPr txBox="1">
                          <a:spLocks noChangeArrowheads="1"/>
                        </wps:cNvSpPr>
                        <wps:spPr bwMode="auto">
                          <a:xfrm>
                            <a:off x="1273" y="8906"/>
                            <a:ext cx="1620" cy="468"/>
                          </a:xfrm>
                          <a:prstGeom prst="rect">
                            <a:avLst/>
                          </a:prstGeom>
                          <a:solidFill>
                            <a:srgbClr val="FFFFFF"/>
                          </a:solidFill>
                          <a:ln w="9525">
                            <a:solidFill>
                              <a:srgbClr val="000000"/>
                            </a:solidFill>
                            <a:miter lim="800000"/>
                          </a:ln>
                          <a:effectLst/>
                        </wps:spPr>
                        <wps:txbx>
                          <w:txbxContent>
                            <w:p>
                              <w:pPr>
                                <w:spacing w:line="240" w:lineRule="auto"/>
                                <w:ind w:firstLine="0"/>
                                <w:jc w:val="center"/>
                                <w:rPr>
                                  <w:rFonts w:ascii="宋体" w:hAnsi="宋体" w:eastAsia="宋体" w:cs="Times New Roman"/>
                                  <w:sz w:val="21"/>
                                  <w:szCs w:val="21"/>
                                </w:rPr>
                              </w:pPr>
                              <w:r>
                                <w:rPr>
                                  <w:rFonts w:hint="eastAsia" w:ascii="宋体" w:hAnsi="宋体" w:eastAsia="宋体" w:cs="Times New Roman"/>
                                  <w:sz w:val="18"/>
                                  <w:szCs w:val="18"/>
                                </w:rPr>
                                <w:t>一级预案响应</w:t>
                              </w:r>
                            </w:p>
                          </w:txbxContent>
                        </wps:txbx>
                        <wps:bodyPr rot="0" vert="horz" wrap="square" lIns="91440" tIns="45720" rIns="91440" bIns="45720" anchor="t" anchorCtr="0" upright="1">
                          <a:noAutofit/>
                        </wps:bodyPr>
                      </wps:wsp>
                      <wps:wsp>
                        <wps:cNvPr id="470" name="Text Box 18"/>
                        <wps:cNvSpPr txBox="1">
                          <a:spLocks noChangeArrowheads="1"/>
                        </wps:cNvSpPr>
                        <wps:spPr bwMode="auto">
                          <a:xfrm>
                            <a:off x="3793" y="9062"/>
                            <a:ext cx="1620" cy="516"/>
                          </a:xfrm>
                          <a:prstGeom prst="rect">
                            <a:avLst/>
                          </a:prstGeom>
                          <a:solidFill>
                            <a:srgbClr val="FFFFFF"/>
                          </a:solidFill>
                          <a:ln w="9525">
                            <a:solidFill>
                              <a:srgbClr val="000000"/>
                            </a:solidFill>
                            <a:miter lim="800000"/>
                          </a:ln>
                          <a:effectLst/>
                        </wps:spPr>
                        <wps:txbx>
                          <w:txbxContent>
                            <w:p>
                              <w:pPr>
                                <w:spacing w:line="240" w:lineRule="auto"/>
                                <w:ind w:firstLine="0"/>
                                <w:jc w:val="center"/>
                                <w:rPr>
                                  <w:rFonts w:ascii="宋体" w:hAnsi="宋体" w:eastAsia="宋体" w:cs="Times New Roman"/>
                                  <w:sz w:val="18"/>
                                  <w:szCs w:val="18"/>
                                </w:rPr>
                              </w:pPr>
                              <w:r>
                                <w:rPr>
                                  <w:rFonts w:hint="eastAsia" w:ascii="宋体" w:hAnsi="宋体" w:eastAsia="宋体" w:cs="Times New Roman"/>
                                  <w:sz w:val="18"/>
                                  <w:szCs w:val="18"/>
                                </w:rPr>
                                <w:t>二级预案响应</w:t>
                              </w:r>
                            </w:p>
                            <w:p>
                              <w:pPr>
                                <w:spacing w:line="240" w:lineRule="auto"/>
                                <w:ind w:firstLine="0"/>
                                <w:rPr>
                                  <w:rFonts w:ascii="Calibri" w:hAnsi="Calibri" w:eastAsia="宋体" w:cs="Times New Roman"/>
                                  <w:sz w:val="21"/>
                                  <w:szCs w:val="21"/>
                                </w:rPr>
                              </w:pPr>
                            </w:p>
                          </w:txbxContent>
                        </wps:txbx>
                        <wps:bodyPr rot="0" vert="horz" wrap="square" lIns="91440" tIns="45720" rIns="91440" bIns="45720" anchor="t" anchorCtr="0" upright="1">
                          <a:noAutofit/>
                        </wps:bodyPr>
                      </wps:wsp>
                      <wps:wsp>
                        <wps:cNvPr id="471" name="Text Box 19"/>
                        <wps:cNvSpPr txBox="1">
                          <a:spLocks noChangeArrowheads="1"/>
                        </wps:cNvSpPr>
                        <wps:spPr bwMode="auto">
                          <a:xfrm>
                            <a:off x="6493" y="9501"/>
                            <a:ext cx="1620" cy="497"/>
                          </a:xfrm>
                          <a:prstGeom prst="rect">
                            <a:avLst/>
                          </a:prstGeom>
                          <a:solidFill>
                            <a:srgbClr val="FFFFFF"/>
                          </a:solidFill>
                          <a:ln w="9525">
                            <a:solidFill>
                              <a:srgbClr val="000000"/>
                            </a:solidFill>
                            <a:miter lim="800000"/>
                          </a:ln>
                          <a:effectLst/>
                        </wps:spPr>
                        <wps:txbx>
                          <w:txbxContent>
                            <w:p>
                              <w:pPr>
                                <w:spacing w:line="240" w:lineRule="auto"/>
                                <w:ind w:firstLine="0"/>
                                <w:jc w:val="center"/>
                                <w:rPr>
                                  <w:rFonts w:ascii="宋体" w:hAnsi="宋体" w:eastAsia="宋体" w:cs="Times New Roman"/>
                                  <w:sz w:val="21"/>
                                  <w:szCs w:val="21"/>
                                </w:rPr>
                              </w:pPr>
                              <w:r>
                                <w:rPr>
                                  <w:rFonts w:hint="eastAsia" w:ascii="宋体" w:hAnsi="宋体" w:eastAsia="宋体" w:cs="Times New Roman"/>
                                  <w:sz w:val="18"/>
                                  <w:szCs w:val="18"/>
                                </w:rPr>
                                <w:t>三级预案响应</w:t>
                              </w:r>
                            </w:p>
                            <w:p>
                              <w:pPr>
                                <w:spacing w:line="240" w:lineRule="auto"/>
                                <w:ind w:firstLine="0"/>
                                <w:rPr>
                                  <w:rFonts w:ascii="Calibri" w:hAnsi="Calibri" w:eastAsia="宋体" w:cs="Times New Roman"/>
                                  <w:sz w:val="21"/>
                                  <w:szCs w:val="21"/>
                                </w:rPr>
                              </w:pPr>
                            </w:p>
                          </w:txbxContent>
                        </wps:txbx>
                        <wps:bodyPr rot="0" vert="horz" wrap="square" lIns="91440" tIns="45720" rIns="91440" bIns="45720" anchor="t" anchorCtr="0" upright="1">
                          <a:noAutofit/>
                        </wps:bodyPr>
                      </wps:wsp>
                      <wps:wsp>
                        <wps:cNvPr id="472" name="Text Box 20"/>
                        <wps:cNvSpPr txBox="1">
                          <a:spLocks noChangeArrowheads="1"/>
                        </wps:cNvSpPr>
                        <wps:spPr bwMode="auto">
                          <a:xfrm>
                            <a:off x="8893" y="9686"/>
                            <a:ext cx="1620" cy="468"/>
                          </a:xfrm>
                          <a:prstGeom prst="rect">
                            <a:avLst/>
                          </a:prstGeom>
                          <a:solidFill>
                            <a:srgbClr val="FFFFFF"/>
                          </a:solidFill>
                          <a:ln w="9525">
                            <a:solidFill>
                              <a:srgbClr val="000000"/>
                            </a:solidFill>
                            <a:miter lim="800000"/>
                          </a:ln>
                          <a:effectLst/>
                        </wps:spPr>
                        <wps:txbx>
                          <w:txbxContent>
                            <w:p>
                              <w:pPr>
                                <w:spacing w:line="240" w:lineRule="auto"/>
                                <w:ind w:firstLine="0"/>
                                <w:jc w:val="center"/>
                                <w:rPr>
                                  <w:rFonts w:ascii="宋体" w:hAnsi="宋体" w:eastAsia="宋体" w:cs="Times New Roman"/>
                                  <w:sz w:val="18"/>
                                  <w:szCs w:val="18"/>
                                </w:rPr>
                              </w:pPr>
                              <w:r>
                                <w:rPr>
                                  <w:rFonts w:hint="eastAsia" w:ascii="宋体" w:hAnsi="宋体" w:eastAsia="宋体" w:cs="Times New Roman"/>
                                  <w:sz w:val="18"/>
                                  <w:szCs w:val="18"/>
                                </w:rPr>
                                <w:t>四级预案响应</w:t>
                              </w:r>
                            </w:p>
                            <w:p>
                              <w:pPr>
                                <w:spacing w:line="240" w:lineRule="auto"/>
                                <w:ind w:firstLine="0"/>
                                <w:rPr>
                                  <w:rFonts w:ascii="Calibri" w:hAnsi="Calibri" w:eastAsia="宋体" w:cs="Times New Roman"/>
                                  <w:sz w:val="21"/>
                                  <w:szCs w:val="21"/>
                                </w:rPr>
                              </w:pPr>
                            </w:p>
                          </w:txbxContent>
                        </wps:txbx>
                        <wps:bodyPr rot="0" vert="horz" wrap="square" lIns="91440" tIns="45720" rIns="91440" bIns="45720" anchor="t" anchorCtr="0" upright="1">
                          <a:noAutofit/>
                        </wps:bodyPr>
                      </wps:wsp>
                      <wps:wsp>
                        <wps:cNvPr id="473" name="Line 21"/>
                        <wps:cNvCnPr/>
                        <wps:spPr bwMode="auto">
                          <a:xfrm>
                            <a:off x="2173" y="8438"/>
                            <a:ext cx="0" cy="468"/>
                          </a:xfrm>
                          <a:prstGeom prst="line">
                            <a:avLst/>
                          </a:prstGeom>
                          <a:noFill/>
                          <a:ln w="9525">
                            <a:solidFill>
                              <a:srgbClr val="000000"/>
                            </a:solidFill>
                            <a:round/>
                            <a:tailEnd type="triangle" w="med" len="med"/>
                          </a:ln>
                          <a:effectLst/>
                        </wps:spPr>
                        <wps:bodyPr/>
                      </wps:wsp>
                      <wps:wsp>
                        <wps:cNvPr id="474" name="Line 22"/>
                        <wps:cNvCnPr/>
                        <wps:spPr bwMode="auto">
                          <a:xfrm>
                            <a:off x="4633" y="8438"/>
                            <a:ext cx="0" cy="624"/>
                          </a:xfrm>
                          <a:prstGeom prst="line">
                            <a:avLst/>
                          </a:prstGeom>
                          <a:noFill/>
                          <a:ln w="9525">
                            <a:solidFill>
                              <a:srgbClr val="000000"/>
                            </a:solidFill>
                            <a:round/>
                            <a:tailEnd type="triangle" w="med" len="med"/>
                          </a:ln>
                          <a:effectLst/>
                        </wps:spPr>
                        <wps:bodyPr/>
                      </wps:wsp>
                      <wps:wsp>
                        <wps:cNvPr id="475" name="Line 23"/>
                        <wps:cNvCnPr/>
                        <wps:spPr bwMode="auto">
                          <a:xfrm>
                            <a:off x="7213" y="8438"/>
                            <a:ext cx="0" cy="1092"/>
                          </a:xfrm>
                          <a:prstGeom prst="line">
                            <a:avLst/>
                          </a:prstGeom>
                          <a:noFill/>
                          <a:ln w="9525">
                            <a:solidFill>
                              <a:srgbClr val="000000"/>
                            </a:solidFill>
                            <a:round/>
                            <a:tailEnd type="triangle" w="med" len="med"/>
                          </a:ln>
                          <a:effectLst/>
                        </wps:spPr>
                        <wps:bodyPr/>
                      </wps:wsp>
                      <wps:wsp>
                        <wps:cNvPr id="476" name="Line 24"/>
                        <wps:cNvCnPr/>
                        <wps:spPr bwMode="auto">
                          <a:xfrm>
                            <a:off x="9733" y="8438"/>
                            <a:ext cx="0" cy="1248"/>
                          </a:xfrm>
                          <a:prstGeom prst="line">
                            <a:avLst/>
                          </a:prstGeom>
                          <a:noFill/>
                          <a:ln w="9525">
                            <a:solidFill>
                              <a:srgbClr val="000000"/>
                            </a:solidFill>
                            <a:round/>
                            <a:tailEnd type="triangle" w="med" len="med"/>
                          </a:ln>
                          <a:effectLst/>
                        </wps:spPr>
                        <wps:bodyPr/>
                      </wps:wsp>
                      <wps:wsp>
                        <wps:cNvPr id="477" name="Line 25"/>
                        <wps:cNvCnPr/>
                        <wps:spPr bwMode="auto">
                          <a:xfrm>
                            <a:off x="3073" y="8186"/>
                            <a:ext cx="720" cy="0"/>
                          </a:xfrm>
                          <a:prstGeom prst="line">
                            <a:avLst/>
                          </a:prstGeom>
                          <a:noFill/>
                          <a:ln w="9525">
                            <a:solidFill>
                              <a:srgbClr val="000000"/>
                            </a:solidFill>
                            <a:round/>
                            <a:tailEnd type="triangle" w="med" len="med"/>
                          </a:ln>
                          <a:effectLst/>
                        </wps:spPr>
                        <wps:bodyPr/>
                      </wps:wsp>
                      <wps:wsp>
                        <wps:cNvPr id="478" name="Line 26"/>
                        <wps:cNvCnPr/>
                        <wps:spPr bwMode="auto">
                          <a:xfrm>
                            <a:off x="5593" y="8222"/>
                            <a:ext cx="720" cy="0"/>
                          </a:xfrm>
                          <a:prstGeom prst="line">
                            <a:avLst/>
                          </a:prstGeom>
                          <a:noFill/>
                          <a:ln w="9525">
                            <a:solidFill>
                              <a:srgbClr val="000000"/>
                            </a:solidFill>
                            <a:round/>
                            <a:tailEnd type="triangle" w="med" len="med"/>
                          </a:ln>
                          <a:effectLst/>
                        </wps:spPr>
                        <wps:bodyPr/>
                      </wps:wsp>
                      <wps:wsp>
                        <wps:cNvPr id="479" name="Line 27"/>
                        <wps:cNvCnPr/>
                        <wps:spPr bwMode="auto">
                          <a:xfrm>
                            <a:off x="8113" y="8237"/>
                            <a:ext cx="720" cy="0"/>
                          </a:xfrm>
                          <a:prstGeom prst="line">
                            <a:avLst/>
                          </a:prstGeom>
                          <a:noFill/>
                          <a:ln w="9525">
                            <a:solidFill>
                              <a:srgbClr val="000000"/>
                            </a:solidFill>
                            <a:round/>
                            <a:tailEnd type="triangle" w="med" len="med"/>
                          </a:ln>
                          <a:effectLst/>
                        </wps:spPr>
                        <wps:bodyPr/>
                      </wps:wsp>
                      <wps:wsp>
                        <wps:cNvPr id="6976" name="Line 28"/>
                        <wps:cNvCnPr/>
                        <wps:spPr bwMode="auto">
                          <a:xfrm flipV="1">
                            <a:off x="2173" y="9374"/>
                            <a:ext cx="0" cy="780"/>
                          </a:xfrm>
                          <a:prstGeom prst="line">
                            <a:avLst/>
                          </a:prstGeom>
                          <a:noFill/>
                          <a:ln w="9525">
                            <a:solidFill>
                              <a:srgbClr val="000000"/>
                            </a:solidFill>
                            <a:round/>
                            <a:tailEnd type="triangle" w="med" len="med"/>
                          </a:ln>
                          <a:effectLst/>
                        </wps:spPr>
                        <wps:bodyPr/>
                      </wps:wsp>
                      <wps:wsp>
                        <wps:cNvPr id="6977" name="Line 29"/>
                        <wps:cNvCnPr/>
                        <wps:spPr bwMode="auto">
                          <a:xfrm flipV="1">
                            <a:off x="4513" y="9530"/>
                            <a:ext cx="0" cy="936"/>
                          </a:xfrm>
                          <a:prstGeom prst="line">
                            <a:avLst/>
                          </a:prstGeom>
                          <a:noFill/>
                          <a:ln w="9525">
                            <a:solidFill>
                              <a:srgbClr val="000000"/>
                            </a:solidFill>
                            <a:round/>
                            <a:tailEnd type="triangle" w="med" len="med"/>
                          </a:ln>
                          <a:effectLst/>
                        </wps:spPr>
                        <wps:bodyPr/>
                      </wps:wsp>
                      <wps:wsp>
                        <wps:cNvPr id="6978" name="Line 30"/>
                        <wps:cNvCnPr/>
                        <wps:spPr bwMode="auto">
                          <a:xfrm flipV="1">
                            <a:off x="9733" y="10154"/>
                            <a:ext cx="0" cy="2028"/>
                          </a:xfrm>
                          <a:prstGeom prst="line">
                            <a:avLst/>
                          </a:prstGeom>
                          <a:noFill/>
                          <a:ln w="9525">
                            <a:solidFill>
                              <a:srgbClr val="000000"/>
                            </a:solidFill>
                            <a:round/>
                            <a:tailEnd type="triangle" w="med" len="med"/>
                          </a:ln>
                          <a:effectLst/>
                        </wps:spPr>
                        <wps:bodyPr/>
                      </wps:wsp>
                      <wps:wsp>
                        <wps:cNvPr id="6979" name="Line 31"/>
                        <wps:cNvCnPr/>
                        <wps:spPr bwMode="auto">
                          <a:xfrm flipH="1">
                            <a:off x="2173" y="9833"/>
                            <a:ext cx="2340" cy="0"/>
                          </a:xfrm>
                          <a:prstGeom prst="line">
                            <a:avLst/>
                          </a:prstGeom>
                          <a:noFill/>
                          <a:ln w="9525">
                            <a:solidFill>
                              <a:srgbClr val="000000"/>
                            </a:solidFill>
                            <a:prstDash val="dash"/>
                            <a:round/>
                            <a:tailEnd type="triangle" w="med" len="med"/>
                          </a:ln>
                          <a:effectLst/>
                        </wps:spPr>
                        <wps:bodyPr/>
                      </wps:wsp>
                      <wps:wsp>
                        <wps:cNvPr id="6980" name="Line 32"/>
                        <wps:cNvCnPr/>
                        <wps:spPr bwMode="auto">
                          <a:xfrm flipH="1" flipV="1">
                            <a:off x="4513" y="10310"/>
                            <a:ext cx="2700" cy="0"/>
                          </a:xfrm>
                          <a:prstGeom prst="line">
                            <a:avLst/>
                          </a:prstGeom>
                          <a:noFill/>
                          <a:ln w="9525">
                            <a:solidFill>
                              <a:srgbClr val="000000"/>
                            </a:solidFill>
                            <a:prstDash val="dash"/>
                            <a:round/>
                            <a:tailEnd type="triangle" w="med" len="med"/>
                          </a:ln>
                          <a:effectLst/>
                        </wps:spPr>
                        <wps:bodyPr/>
                      </wps:wsp>
                      <wps:wsp>
                        <wps:cNvPr id="6981" name="Line 33"/>
                        <wps:cNvCnPr/>
                        <wps:spPr bwMode="auto">
                          <a:xfrm flipH="1">
                            <a:off x="7213" y="10622"/>
                            <a:ext cx="2520" cy="0"/>
                          </a:xfrm>
                          <a:prstGeom prst="line">
                            <a:avLst/>
                          </a:prstGeom>
                          <a:noFill/>
                          <a:ln w="9525">
                            <a:solidFill>
                              <a:srgbClr val="000000"/>
                            </a:solidFill>
                            <a:prstDash val="dashDot"/>
                            <a:round/>
                            <a:tailEnd type="triangle" w="med" len="med"/>
                          </a:ln>
                          <a:effectLst/>
                        </wps:spPr>
                        <wps:bodyPr/>
                      </wps:wsp>
                      <wps:wsp>
                        <wps:cNvPr id="6982" name="Text Box 34"/>
                        <wps:cNvSpPr txBox="1">
                          <a:spLocks noChangeArrowheads="1"/>
                        </wps:cNvSpPr>
                        <wps:spPr bwMode="auto">
                          <a:xfrm>
                            <a:off x="6493" y="11618"/>
                            <a:ext cx="1800" cy="601"/>
                          </a:xfrm>
                          <a:prstGeom prst="rect">
                            <a:avLst/>
                          </a:prstGeom>
                          <a:solidFill>
                            <a:srgbClr val="FFFFFF"/>
                          </a:solidFill>
                          <a:ln w="9525">
                            <a:solidFill>
                              <a:srgbClr val="000000"/>
                            </a:solidFill>
                            <a:miter lim="800000"/>
                          </a:ln>
                          <a:effectLst/>
                        </wps:spPr>
                        <wps:txbx>
                          <w:txbxContent>
                            <w:p>
                              <w:pPr>
                                <w:spacing w:line="240" w:lineRule="auto"/>
                                <w:ind w:firstLine="0"/>
                                <w:jc w:val="center"/>
                                <w:rPr>
                                  <w:rFonts w:ascii="宋体" w:hAnsi="宋体" w:eastAsia="宋体" w:cs="Times New Roman"/>
                                  <w:sz w:val="21"/>
                                  <w:szCs w:val="21"/>
                                </w:rPr>
                              </w:pPr>
                              <w:r>
                                <w:rPr>
                                  <w:rFonts w:hint="eastAsia" w:ascii="宋体" w:hAnsi="宋体" w:eastAsia="宋体" w:cs="Times New Roman"/>
                                  <w:sz w:val="18"/>
                                  <w:szCs w:val="18"/>
                                </w:rPr>
                                <w:t>国家级应急预案</w:t>
                              </w:r>
                            </w:p>
                          </w:txbxContent>
                        </wps:txbx>
                        <wps:bodyPr rot="0" vert="horz" wrap="square" lIns="91440" tIns="45720" rIns="91440" bIns="45720" anchor="t" anchorCtr="0" upright="1">
                          <a:noAutofit/>
                        </wps:bodyPr>
                      </wps:wsp>
                      <wps:wsp>
                        <wps:cNvPr id="6983" name="Line 35"/>
                        <wps:cNvCnPr/>
                        <wps:spPr bwMode="auto">
                          <a:xfrm>
                            <a:off x="8293" y="11849"/>
                            <a:ext cx="1440" cy="0"/>
                          </a:xfrm>
                          <a:prstGeom prst="line">
                            <a:avLst/>
                          </a:prstGeom>
                          <a:noFill/>
                          <a:ln w="9525">
                            <a:solidFill>
                              <a:srgbClr val="000000"/>
                            </a:solidFill>
                            <a:prstDash val="dash"/>
                            <a:round/>
                            <a:tailEnd type="triangle" w="med" len="med"/>
                          </a:ln>
                          <a:effectLst/>
                        </wps:spPr>
                        <wps:bodyPr/>
                      </wps:wsp>
                      <wps:wsp>
                        <wps:cNvPr id="6984" name="Line 36"/>
                        <wps:cNvCnPr/>
                        <wps:spPr bwMode="auto">
                          <a:xfrm flipV="1">
                            <a:off x="7213" y="9983"/>
                            <a:ext cx="0" cy="936"/>
                          </a:xfrm>
                          <a:prstGeom prst="line">
                            <a:avLst/>
                          </a:prstGeom>
                          <a:noFill/>
                          <a:ln w="9525">
                            <a:solidFill>
                              <a:srgbClr val="000000"/>
                            </a:solidFill>
                            <a:round/>
                            <a:tailEnd type="triangle" w="med" len="med"/>
                          </a:ln>
                          <a:effectLst/>
                        </wps:spPr>
                        <wps:bodyPr/>
                      </wps:wsp>
                    </wpg:wgp>
                  </a:graphicData>
                </a:graphic>
              </wp:anchor>
            </w:drawing>
          </mc:Choice>
          <mc:Fallback>
            <w:pict>
              <v:group id="_x0000_s1026" o:spid="_x0000_s1026" o:spt="203" style="position:absolute;left:0pt;margin-left:-13.15pt;margin-top:10pt;height:186pt;width:454.5pt;z-index:251742208;mso-width-relative:page;mso-height-relative:page;" coordorigin="1273,7970" coordsize="9657,4746" o:gfxdata="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">
                <o:lock v:ext="edit" aspectratio="f"/>
                <v:shape id="Text Box 9" o:spid="_x0000_s1026" o:spt="202" type="#_x0000_t202" style="position:absolute;left:1273;top:7970;height:555;width:1928;" fillcolor="#FFFFFF" filled="t" stroked="t" coordsize="21600,21600" o:gfxdata="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JEr8U&#10;wAAAAN0AAAAPAAAAAAAAAAEAIAAAACIAAABkcnMvZG93bnJldi54bWxQSwECFAAUAAAACACHTuJA&#10;My8FnjsAAAA5AAAAEAAAAAAAAAABACAAAAAPAQAAZHJzL3NoYXBleG1sLnhtbFBLBQYAAAAABgAG&#10;AFsBAAC5AwAAAAA=&#10;">
                  <v:fill on="t" focussize="0,0"/>
                  <v:stroke color="#000000" miterlimit="8" joinstyle="miter"/>
                  <v:imagedata o:title=""/>
                  <o:lock v:ext="edit" aspectratio="f"/>
                  <v:textbox>
                    <w:txbxContent>
                      <w:p>
                        <w:pPr>
                          <w:spacing w:line="240" w:lineRule="auto"/>
                          <w:ind w:firstLine="0"/>
                          <w:jc w:val="center"/>
                          <w:rPr>
                            <w:rFonts w:ascii="宋体" w:hAnsi="宋体" w:eastAsia="宋体" w:cs="Times New Roman"/>
                            <w:sz w:val="21"/>
                            <w:szCs w:val="21"/>
                          </w:rPr>
                        </w:pPr>
                        <w:r>
                          <w:rPr>
                            <w:rFonts w:hint="eastAsia" w:ascii="宋体" w:hAnsi="宋体" w:eastAsia="宋体" w:cs="Times New Roman"/>
                            <w:sz w:val="18"/>
                            <w:szCs w:val="18"/>
                          </w:rPr>
                          <w:t>Ⅳ级（一般事故）</w:t>
                        </w:r>
                      </w:p>
                    </w:txbxContent>
                  </v:textbox>
                </v:shape>
                <v:shape id="Text Box 10" o:spid="_x0000_s1026" o:spt="202" type="#_x0000_t202" style="position:absolute;left:3793;top:7970;height:555;width:1974;" fillcolor="#FFFFFF" filled="t" stroked="t" coordsize="21600,21600" o:gfxdata="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XhqP&#10;wAAAAN0AAAAPAAAAAAAAAAEAIAAAACIAAABkcnMvZG93bnJldi54bWxQSwECFAAUAAAACACHTuJA&#10;My8FnjsAAAA5AAAAEAAAAAAAAAABACAAAAAPAQAAZHJzL3NoYXBleG1sLnhtbFBLBQYAAAAABgAG&#10;AFsBAAC5AwAAAAA=&#10;">
                  <v:fill on="t" focussize="0,0"/>
                  <v:stroke color="#000000" miterlimit="8" joinstyle="miter"/>
                  <v:imagedata o:title=""/>
                  <o:lock v:ext="edit" aspectratio="f"/>
                  <v:textbox>
                    <w:txbxContent>
                      <w:p>
                        <w:pPr>
                          <w:spacing w:line="240" w:lineRule="auto"/>
                          <w:ind w:firstLine="0"/>
                          <w:jc w:val="center"/>
                          <w:rPr>
                            <w:rFonts w:ascii="宋体" w:hAnsi="宋体" w:eastAsia="宋体" w:cs="Times New Roman"/>
                            <w:sz w:val="18"/>
                            <w:szCs w:val="18"/>
                          </w:rPr>
                        </w:pPr>
                        <w:r>
                          <w:rPr>
                            <w:rFonts w:hint="eastAsia" w:ascii="宋体" w:hAnsi="宋体" w:eastAsia="宋体" w:cs="Times New Roman"/>
                            <w:sz w:val="18"/>
                            <w:szCs w:val="18"/>
                          </w:rPr>
                          <w:t>Ⅲ级（较大事故）</w:t>
                        </w:r>
                      </w:p>
                    </w:txbxContent>
                  </v:textbox>
                </v:shape>
                <v:shape id="Text Box 11" o:spid="_x0000_s1026" o:spt="202" type="#_x0000_t202" style="position:absolute;left:6313;top:7970;height:593;width:2084;" fillcolor="#FFFFFF" filled="t" stroked="t" coordsize="21600,21600" o:gfxdata="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vwt6bsAAADc&#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w:txbxContent>
                      <w:p>
                        <w:pPr>
                          <w:spacing w:line="240" w:lineRule="auto"/>
                          <w:ind w:firstLine="0"/>
                          <w:jc w:val="center"/>
                          <w:rPr>
                            <w:rFonts w:ascii="宋体" w:hAnsi="宋体" w:eastAsia="宋体" w:cs="Times New Roman"/>
                            <w:sz w:val="18"/>
                            <w:szCs w:val="18"/>
                          </w:rPr>
                        </w:pPr>
                        <w:r>
                          <w:rPr>
                            <w:rFonts w:hint="eastAsia" w:ascii="宋体" w:hAnsi="宋体" w:eastAsia="宋体" w:cs="Times New Roman"/>
                            <w:sz w:val="18"/>
                            <w:szCs w:val="18"/>
                          </w:rPr>
                          <w:t>Ⅱ级（重大事故）</w:t>
                        </w:r>
                      </w:p>
                    </w:txbxContent>
                  </v:textbox>
                </v:shape>
                <v:shape id="Text Box 12" o:spid="_x0000_s1026" o:spt="202" type="#_x0000_t202" style="position:absolute;left:8833;top:7970;height:555;width:2097;" fillcolor="#FFFFFF" filled="t" stroked="t" coordsize="21600,21600" o:gfxdata="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YEpRb4A&#10;AADc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textbox>
                    <w:txbxContent>
                      <w:p>
                        <w:pPr>
                          <w:spacing w:line="240" w:lineRule="auto"/>
                          <w:ind w:firstLine="0"/>
                          <w:jc w:val="center"/>
                          <w:rPr>
                            <w:rFonts w:ascii="宋体" w:hAnsi="宋体" w:eastAsia="宋体" w:cs="Times New Roman"/>
                            <w:sz w:val="18"/>
                            <w:szCs w:val="18"/>
                          </w:rPr>
                        </w:pPr>
                        <w:r>
                          <w:rPr>
                            <w:rFonts w:hint="eastAsia" w:ascii="宋体" w:hAnsi="宋体" w:eastAsia="宋体" w:cs="Times New Roman"/>
                            <w:sz w:val="18"/>
                            <w:szCs w:val="18"/>
                          </w:rPr>
                          <w:t>Ⅰ级（特大事故）</w:t>
                        </w:r>
                      </w:p>
                    </w:txbxContent>
                  </v:textbox>
                </v:shape>
                <v:shape id="Text Box 13" o:spid="_x0000_s1026" o:spt="202" type="#_x0000_t202" style="position:absolute;left:1273;top:10154;height:591;width:1620;" fillcolor="#FFFFFF" filled="t" stroked="t" coordsize="21600,21600" o:gfxdata="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0jeF74A&#10;AADc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textbox>
                    <w:txbxContent>
                      <w:p>
                        <w:pPr>
                          <w:spacing w:line="240" w:lineRule="auto"/>
                          <w:ind w:firstLine="0"/>
                          <w:jc w:val="center"/>
                          <w:rPr>
                            <w:rFonts w:ascii="宋体" w:hAnsi="宋体" w:eastAsia="宋体" w:cs="Times New Roman"/>
                            <w:sz w:val="21"/>
                            <w:szCs w:val="21"/>
                          </w:rPr>
                        </w:pPr>
                        <w:r>
                          <w:rPr>
                            <w:rFonts w:hint="eastAsia" w:ascii="宋体" w:hAnsi="宋体" w:eastAsia="宋体" w:cs="Times New Roman"/>
                            <w:sz w:val="18"/>
                            <w:szCs w:val="18"/>
                          </w:rPr>
                          <w:t>公司应急预案</w:t>
                        </w:r>
                      </w:p>
                    </w:txbxContent>
                  </v:textbox>
                </v:shape>
                <v:shape id="Text Box 14" o:spid="_x0000_s1026" o:spt="202" type="#_x0000_t202" style="position:absolute;left:3426;top:10466;height:468;width:2259;" fillcolor="#FFFFFF" filled="t" stroked="t" coordsize="21600,21600" o:gfxdata="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5pAYL4A&#10;AADc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textbox>
                    <w:txbxContent>
                      <w:p>
                        <w:pPr>
                          <w:spacing w:line="240" w:lineRule="auto"/>
                          <w:ind w:firstLine="0"/>
                          <w:rPr>
                            <w:rFonts w:ascii="宋体" w:hAnsi="宋体" w:eastAsia="宋体" w:cs="Times New Roman"/>
                            <w:sz w:val="21"/>
                            <w:szCs w:val="21"/>
                          </w:rPr>
                        </w:pPr>
                        <w:r>
                          <w:rPr>
                            <w:rFonts w:hint="eastAsia" w:ascii="宋体" w:hAnsi="宋体" w:eastAsia="宋体" w:cs="Times New Roman"/>
                            <w:sz w:val="18"/>
                            <w:szCs w:val="18"/>
                          </w:rPr>
                          <w:t>园区、</w:t>
                        </w:r>
                        <w:r>
                          <w:rPr>
                            <w:rFonts w:hint="eastAsia" w:ascii="宋体" w:hAnsi="宋体" w:eastAsia="宋体" w:cs="Times New Roman"/>
                            <w:sz w:val="18"/>
                            <w:szCs w:val="18"/>
                            <w:lang w:val="en-US" w:eastAsia="zh-CN"/>
                          </w:rPr>
                          <w:t>江阴镇</w:t>
                        </w:r>
                        <w:r>
                          <w:rPr>
                            <w:rFonts w:hint="eastAsia" w:ascii="宋体" w:hAnsi="宋体" w:eastAsia="宋体" w:cs="Times New Roman"/>
                            <w:sz w:val="18"/>
                            <w:szCs w:val="18"/>
                          </w:rPr>
                          <w:t>应急预案</w:t>
                        </w:r>
                      </w:p>
                    </w:txbxContent>
                  </v:textbox>
                </v:shape>
                <v:shape id="Text Box 15" o:spid="_x0000_s1026" o:spt="202" type="#_x0000_t202" style="position:absolute;left:6133;top:10918;height:554;width:2340;" fillcolor="#FFFFFF" filled="t" stroked="t" coordsize="21600,21600" o:gfxdata="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Nbl+74A&#10;AADc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textbox>
                    <w:txbxContent>
                      <w:p>
                        <w:pPr>
                          <w:spacing w:line="240" w:lineRule="auto"/>
                          <w:ind w:firstLine="0"/>
                          <w:jc w:val="center"/>
                          <w:rPr>
                            <w:rFonts w:ascii="宋体" w:hAnsi="宋体" w:eastAsia="宋体" w:cs="Times New Roman"/>
                            <w:sz w:val="18"/>
                            <w:szCs w:val="18"/>
                          </w:rPr>
                        </w:pPr>
                        <w:r>
                          <w:rPr>
                            <w:rFonts w:hint="eastAsia" w:ascii="宋体" w:hAnsi="宋体" w:eastAsia="宋体" w:cs="Times New Roman"/>
                            <w:sz w:val="18"/>
                            <w:szCs w:val="18"/>
                            <w:lang w:val="en-US" w:eastAsia="zh-CN"/>
                          </w:rPr>
                          <w:t>福清市</w:t>
                        </w:r>
                        <w:r>
                          <w:rPr>
                            <w:rFonts w:hint="eastAsia" w:ascii="宋体" w:hAnsi="宋体" w:eastAsia="宋体" w:cs="Times New Roman"/>
                            <w:sz w:val="18"/>
                            <w:szCs w:val="18"/>
                          </w:rPr>
                          <w:t>应急预案</w:t>
                        </w:r>
                      </w:p>
                    </w:txbxContent>
                  </v:textbox>
                </v:shape>
                <v:shape id="Text Box 16" o:spid="_x0000_s1026" o:spt="202" type="#_x0000_t202" style="position:absolute;left:8833;top:12182;height:534;width:1800;" fillcolor="#FFFFFF" filled="t" stroked="t" coordsize="21600,21600" o:gfxdata="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UlxibsAAADc&#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w:txbxContent>
                      <w:p>
                        <w:pPr>
                          <w:spacing w:line="240" w:lineRule="auto"/>
                          <w:ind w:firstLine="0"/>
                          <w:jc w:val="center"/>
                          <w:rPr>
                            <w:rFonts w:ascii="宋体" w:hAnsi="宋体" w:eastAsia="宋体" w:cs="Times New Roman"/>
                            <w:sz w:val="18"/>
                            <w:szCs w:val="18"/>
                          </w:rPr>
                        </w:pPr>
                        <w:r>
                          <w:rPr>
                            <w:rFonts w:hint="eastAsia" w:ascii="宋体" w:hAnsi="宋体" w:eastAsia="宋体" w:cs="Times New Roman"/>
                            <w:sz w:val="18"/>
                            <w:szCs w:val="18"/>
                          </w:rPr>
                          <w:t>省级应急预案</w:t>
                        </w:r>
                      </w:p>
                    </w:txbxContent>
                  </v:textbox>
                </v:shape>
                <v:shape id="Text Box 17" o:spid="_x0000_s1026" o:spt="202" type="#_x0000_t202" style="position:absolute;left:1273;top:8906;height:468;width:1620;" fillcolor="#FFFFFF" filled="t" stroked="t" coordsize="21600,21600" o:gfxdata="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gXUEr4A&#10;AADc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textbox>
                    <w:txbxContent>
                      <w:p>
                        <w:pPr>
                          <w:spacing w:line="240" w:lineRule="auto"/>
                          <w:ind w:firstLine="0"/>
                          <w:jc w:val="center"/>
                          <w:rPr>
                            <w:rFonts w:ascii="宋体" w:hAnsi="宋体" w:eastAsia="宋体" w:cs="Times New Roman"/>
                            <w:sz w:val="21"/>
                            <w:szCs w:val="21"/>
                          </w:rPr>
                        </w:pPr>
                        <w:r>
                          <w:rPr>
                            <w:rFonts w:hint="eastAsia" w:ascii="宋体" w:hAnsi="宋体" w:eastAsia="宋体" w:cs="Times New Roman"/>
                            <w:sz w:val="18"/>
                            <w:szCs w:val="18"/>
                          </w:rPr>
                          <w:t>一级预案响应</w:t>
                        </w:r>
                      </w:p>
                    </w:txbxContent>
                  </v:textbox>
                </v:shape>
                <v:shape id="Text Box 18" o:spid="_x0000_s1026" o:spt="202" type="#_x0000_t202" style="position:absolute;left:3793;top:9062;height:516;width:1620;" fillcolor="#FFFFFF" filled="t" stroked="t" coordsize="21600,21600" o:gfxdata="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ubrUrsAAADc&#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w:txbxContent>
                      <w:p>
                        <w:pPr>
                          <w:spacing w:line="240" w:lineRule="auto"/>
                          <w:ind w:firstLine="0"/>
                          <w:jc w:val="center"/>
                          <w:rPr>
                            <w:rFonts w:ascii="宋体" w:hAnsi="宋体" w:eastAsia="宋体" w:cs="Times New Roman"/>
                            <w:sz w:val="18"/>
                            <w:szCs w:val="18"/>
                          </w:rPr>
                        </w:pPr>
                        <w:r>
                          <w:rPr>
                            <w:rFonts w:hint="eastAsia" w:ascii="宋体" w:hAnsi="宋体" w:eastAsia="宋体" w:cs="Times New Roman"/>
                            <w:sz w:val="18"/>
                            <w:szCs w:val="18"/>
                          </w:rPr>
                          <w:t>二级预案响应</w:t>
                        </w:r>
                      </w:p>
                      <w:p>
                        <w:pPr>
                          <w:spacing w:line="240" w:lineRule="auto"/>
                          <w:ind w:firstLine="0"/>
                          <w:rPr>
                            <w:rFonts w:ascii="Calibri" w:hAnsi="Calibri" w:eastAsia="宋体" w:cs="Times New Roman"/>
                            <w:sz w:val="21"/>
                            <w:szCs w:val="21"/>
                          </w:rPr>
                        </w:pPr>
                      </w:p>
                    </w:txbxContent>
                  </v:textbox>
                </v:shape>
                <v:shape id="Text Box 19" o:spid="_x0000_s1026" o:spt="202" type="#_x0000_t202" style="position:absolute;left:6493;top:9501;height:497;width:1620;" fillcolor="#FFFFFF" filled="t" stroked="t" coordsize="21600,21600" o:gfxdata="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1qk7J&#10;wAAAANwAAAAPAAAAAAAAAAEAIAAAACIAAABkcnMvZG93bnJldi54bWxQSwECFAAUAAAACACHTuJA&#10;My8FnjsAAAA5AAAAEAAAAAAAAAABACAAAAAPAQAAZHJzL3NoYXBleG1sLnhtbFBLBQYAAAAABgAG&#10;AFsBAAC5AwAAAAA=&#10;">
                  <v:fill on="t" focussize="0,0"/>
                  <v:stroke color="#000000" miterlimit="8" joinstyle="miter"/>
                  <v:imagedata o:title=""/>
                  <o:lock v:ext="edit" aspectratio="f"/>
                  <v:textbox>
                    <w:txbxContent>
                      <w:p>
                        <w:pPr>
                          <w:spacing w:line="240" w:lineRule="auto"/>
                          <w:ind w:firstLine="0"/>
                          <w:jc w:val="center"/>
                          <w:rPr>
                            <w:rFonts w:ascii="宋体" w:hAnsi="宋体" w:eastAsia="宋体" w:cs="Times New Roman"/>
                            <w:sz w:val="21"/>
                            <w:szCs w:val="21"/>
                          </w:rPr>
                        </w:pPr>
                        <w:r>
                          <w:rPr>
                            <w:rFonts w:hint="eastAsia" w:ascii="宋体" w:hAnsi="宋体" w:eastAsia="宋体" w:cs="Times New Roman"/>
                            <w:sz w:val="18"/>
                            <w:szCs w:val="18"/>
                          </w:rPr>
                          <w:t>三级预案响应</w:t>
                        </w:r>
                      </w:p>
                      <w:p>
                        <w:pPr>
                          <w:spacing w:line="240" w:lineRule="auto"/>
                          <w:ind w:firstLine="0"/>
                          <w:rPr>
                            <w:rFonts w:ascii="Calibri" w:hAnsi="Calibri" w:eastAsia="宋体" w:cs="Times New Roman"/>
                            <w:sz w:val="21"/>
                            <w:szCs w:val="21"/>
                          </w:rPr>
                        </w:pPr>
                      </w:p>
                    </w:txbxContent>
                  </v:textbox>
                </v:shape>
                <v:shape id="Text Box 20" o:spid="_x0000_s1026" o:spt="202" type="#_x0000_t202" style="position:absolute;left:8893;top:9686;height:468;width:1620;" fillcolor="#FFFFFF" filled="t" stroked="t" coordsize="21600,21600" o:gfxdata="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XjQvr4A&#10;AADc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textbox>
                    <w:txbxContent>
                      <w:p>
                        <w:pPr>
                          <w:spacing w:line="240" w:lineRule="auto"/>
                          <w:ind w:firstLine="0"/>
                          <w:jc w:val="center"/>
                          <w:rPr>
                            <w:rFonts w:ascii="宋体" w:hAnsi="宋体" w:eastAsia="宋体" w:cs="Times New Roman"/>
                            <w:sz w:val="18"/>
                            <w:szCs w:val="18"/>
                          </w:rPr>
                        </w:pPr>
                        <w:r>
                          <w:rPr>
                            <w:rFonts w:hint="eastAsia" w:ascii="宋体" w:hAnsi="宋体" w:eastAsia="宋体" w:cs="Times New Roman"/>
                            <w:sz w:val="18"/>
                            <w:szCs w:val="18"/>
                          </w:rPr>
                          <w:t>四级预案响应</w:t>
                        </w:r>
                      </w:p>
                      <w:p>
                        <w:pPr>
                          <w:spacing w:line="240" w:lineRule="auto"/>
                          <w:ind w:firstLine="0"/>
                          <w:rPr>
                            <w:rFonts w:ascii="Calibri" w:hAnsi="Calibri" w:eastAsia="宋体" w:cs="Times New Roman"/>
                            <w:sz w:val="21"/>
                            <w:szCs w:val="21"/>
                          </w:rPr>
                        </w:pPr>
                      </w:p>
                    </w:txbxContent>
                  </v:textbox>
                </v:shape>
                <v:line id="Line 21" o:spid="_x0000_s1026" o:spt="20" style="position:absolute;left:2173;top:8438;height:468;width:0;" filled="f" stroked="t" coordsize="21600,21600" o:gfxdata="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jB7A4&#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Line 22" o:spid="_x0000_s1026" o:spt="20" style="position:absolute;left:4633;top:8438;height:624;width:0;" filled="f" stroked="t" coordsize="21600,21600" o:gfxdata="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uKEy/&#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23" o:spid="_x0000_s1026" o:spt="20" style="position:absolute;left:7213;top:8438;height:1092;width:0;" filled="f" stroked="t" coordsize="21600,21600" o:gfxdata="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oo3X&#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Line 24" o:spid="_x0000_s1026" o:spt="20" style="position:absolute;left:9733;top:8438;height:1248;width:0;" filled="f" stroked="t" coordsize="21600,21600" o:gfxdata="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NwE6C/&#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25" o:spid="_x0000_s1026" o:spt="20" style="position:absolute;left:3073;top:8186;height:0;width:720;" filled="f" stroked="t" coordsize="21600,21600" o:gfxdata="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w8tju/&#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26" o:spid="_x0000_s1026" o:spt="20" style="position:absolute;left:5593;top:8222;height:0;width:720;" filled="f" stroked="t" coordsize="21600,21600" o:gfxdata="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oyJJ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Line 27" o:spid="_x0000_s1026" o:spt="20" style="position:absolute;left:8113;top:8237;height:0;width:720;" filled="f" stroked="t" coordsize="21600,21600" o:gfxdata="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C74fS&#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Line 28" o:spid="_x0000_s1026" o:spt="20" style="position:absolute;left:2173;top:9374;flip:y;height:780;width:0;" filled="f" stroked="t" coordsize="21600,21600" o:gfxdata="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zQs&#10;qMEAAADdAAAADwAAAAAAAAABACAAAAAiAAAAZHJzL2Rvd25yZXYueG1sUEsBAhQAFAAAAAgAh07i&#10;QDMvBZ47AAAAOQAAABAAAAAAAAAAAQAgAAAAEAEAAGRycy9zaGFwZXhtbC54bWxQSwUGAAAAAAYA&#10;BgBbAQAAugMAAAAA&#10;">
                  <v:fill on="f" focussize="0,0"/>
                  <v:stroke color="#000000" joinstyle="round" endarrow="block"/>
                  <v:imagedata o:title=""/>
                  <o:lock v:ext="edit" aspectratio="f"/>
                </v:line>
                <v:line id="Line 29" o:spid="_x0000_s1026" o:spt="20" style="position:absolute;left:4513;top:9530;flip:y;height:936;width:0;" filled="f" stroked="t" coordsize="21600,21600" o:gfxdata="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IeIkz&#10;wAAAAN0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Line 30" o:spid="_x0000_s1026" o:spt="20" style="position:absolute;left:9733;top:10154;flip:y;height:2028;width:0;" filled="f" stroked="t" coordsize="21600,21600" o:gfxdata="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5x1BvQAA&#10;AN0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Line 31" o:spid="_x0000_s1026" o:spt="20" style="position:absolute;left:2173;top:9833;flip:x;height:0;width:2340;" filled="f" stroked="t" coordsize="21600,21600" o:gfxdata="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OXzQvQAA&#10;AN0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line>
                <v:line id="Line 32" o:spid="_x0000_s1026" o:spt="20" style="position:absolute;left:4513;top:10310;flip:x y;height:0;width:2700;" filled="f" stroked="t" coordsize="21600,21600" o:gfxdata="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3tZBugAAAN0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line>
                <v:line id="Line 33" o:spid="_x0000_s1026" o:spt="20" style="position:absolute;left:7213;top:10622;flip:x;height:0;width:2520;" filled="f" stroked="t" coordsize="21600,21600" o:gfxdata="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XtH/vQAA&#10;AN0AAAAPAAAAAAAAAAEAIAAAACIAAABkcnMvZG93bnJldi54bWxQSwECFAAUAAAACACHTuJAMy8F&#10;njsAAAA5AAAAEAAAAAAAAAABACAAAAAMAQAAZHJzL3NoYXBleG1sLnhtbFBLBQYAAAAABgAGAFsB&#10;AAC2AwAAAAA=&#10;">
                  <v:fill on="f" focussize="0,0"/>
                  <v:stroke color="#000000" joinstyle="round" dashstyle="dashDot" endarrow="block"/>
                  <v:imagedata o:title=""/>
                  <o:lock v:ext="edit" aspectratio="f"/>
                </v:line>
                <v:shape id="Text Box 34" o:spid="_x0000_s1026" o:spt="202" type="#_x0000_t202" style="position:absolute;left:6493;top:11618;height:601;width:1800;" fillcolor="#FFFFFF" filled="t" stroked="t" coordsize="21600,21600" o:gfxdata="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xi8ty/&#10;AAAA3QAAAA8AAAAAAAAAAQAgAAAAIgAAAGRycy9kb3ducmV2LnhtbFBLAQIUABQAAAAIAIdO4kAz&#10;LwWeOwAAADkAAAAQAAAAAAAAAAEAIAAAAA4BAABkcnMvc2hhcGV4bWwueG1sUEsFBgAAAAAGAAYA&#10;WwEAALgDAAAAAA==&#10;">
                  <v:fill on="t" focussize="0,0"/>
                  <v:stroke color="#000000" miterlimit="8" joinstyle="miter"/>
                  <v:imagedata o:title=""/>
                  <o:lock v:ext="edit" aspectratio="f"/>
                  <v:textbox>
                    <w:txbxContent>
                      <w:p>
                        <w:pPr>
                          <w:spacing w:line="240" w:lineRule="auto"/>
                          <w:ind w:firstLine="0"/>
                          <w:jc w:val="center"/>
                          <w:rPr>
                            <w:rFonts w:ascii="宋体" w:hAnsi="宋体" w:eastAsia="宋体" w:cs="Times New Roman"/>
                            <w:sz w:val="21"/>
                            <w:szCs w:val="21"/>
                          </w:rPr>
                        </w:pPr>
                        <w:r>
                          <w:rPr>
                            <w:rFonts w:hint="eastAsia" w:ascii="宋体" w:hAnsi="宋体" w:eastAsia="宋体" w:cs="Times New Roman"/>
                            <w:sz w:val="18"/>
                            <w:szCs w:val="18"/>
                          </w:rPr>
                          <w:t>国家级应急预案</w:t>
                        </w:r>
                      </w:p>
                    </w:txbxContent>
                  </v:textbox>
                </v:shape>
                <v:line id="Line 35" o:spid="_x0000_s1026" o:spt="20" style="position:absolute;left:8293;top:11849;height:0;width:1440;" filled="f" stroked="t" coordsize="21600,21600" o:gfxdata="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Nofjf&#10;wAAAAN0AAAAPAAAAAAAAAAEAIAAAACIAAABkcnMvZG93bnJldi54bWxQSwECFAAUAAAACACHTuJA&#10;My8FnjsAAAA5AAAAEAAAAAAAAAABACAAAAAPAQAAZHJzL3NoYXBleG1sLnhtbFBLBQYAAAAABgAG&#10;AFsBAAC5AwAAAAA=&#10;">
                  <v:fill on="f" focussize="0,0"/>
                  <v:stroke color="#000000" joinstyle="round" dashstyle="dash" endarrow="block"/>
                  <v:imagedata o:title=""/>
                  <o:lock v:ext="edit" aspectratio="f"/>
                </v:line>
                <v:line id="Line 36" o:spid="_x0000_s1026" o:spt="20" style="position:absolute;left:7213;top:9983;flip:y;height:936;width:0;" filled="f" stroked="t" coordsize="21600,21600" o:gfxdata="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Nf2dj&#10;wAAAAN0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group>
            </w:pict>
          </mc:Fallback>
        </mc:AlternateContent>
      </w:r>
    </w:p>
    <w:p>
      <w:pPr>
        <w:widowControl w:val="0"/>
        <w:spacing w:line="360" w:lineRule="auto"/>
        <w:ind w:firstLine="480"/>
        <w:jc w:val="both"/>
        <w:rPr>
          <w:rFonts w:hint="default" w:ascii="Times New Roman" w:hAnsi="Times New Roman" w:eastAsia="宋体" w:cs="Times New Roman"/>
          <w:color w:val="auto"/>
          <w:kern w:val="0"/>
          <w:sz w:val="24"/>
          <w:lang w:val="en-US" w:eastAsia="zh-CN" w:bidi="ar-SA"/>
        </w:rPr>
      </w:pPr>
    </w:p>
    <w:p>
      <w:pPr>
        <w:widowControl w:val="0"/>
        <w:spacing w:line="360" w:lineRule="auto"/>
        <w:ind w:firstLine="480"/>
        <w:jc w:val="both"/>
        <w:rPr>
          <w:rFonts w:hint="default" w:ascii="Times New Roman" w:hAnsi="Times New Roman" w:eastAsia="宋体" w:cs="Times New Roman"/>
          <w:color w:val="auto"/>
          <w:kern w:val="0"/>
          <w:sz w:val="24"/>
          <w:lang w:val="en-US" w:eastAsia="zh-CN" w:bidi="ar-SA"/>
        </w:rPr>
      </w:pPr>
    </w:p>
    <w:p>
      <w:pPr>
        <w:widowControl w:val="0"/>
        <w:spacing w:line="360" w:lineRule="auto"/>
        <w:ind w:firstLine="480"/>
        <w:jc w:val="both"/>
        <w:rPr>
          <w:rFonts w:hint="default" w:ascii="Times New Roman" w:hAnsi="Times New Roman" w:eastAsia="宋体" w:cs="Times New Roman"/>
          <w:color w:val="auto"/>
          <w:kern w:val="0"/>
          <w:sz w:val="24"/>
          <w:lang w:val="en-US" w:eastAsia="zh-CN" w:bidi="ar-SA"/>
        </w:rPr>
      </w:pPr>
    </w:p>
    <w:p>
      <w:pPr>
        <w:widowControl w:val="0"/>
        <w:spacing w:line="360" w:lineRule="auto"/>
        <w:ind w:firstLine="480"/>
        <w:jc w:val="both"/>
        <w:rPr>
          <w:rFonts w:hint="default" w:ascii="Times New Roman" w:hAnsi="Times New Roman" w:eastAsia="宋体" w:cs="Times New Roman"/>
          <w:color w:val="auto"/>
          <w:kern w:val="0"/>
          <w:sz w:val="24"/>
          <w:lang w:val="en-US" w:eastAsia="zh-CN" w:bidi="ar-SA"/>
        </w:rPr>
      </w:pPr>
    </w:p>
    <w:p>
      <w:pPr>
        <w:widowControl w:val="0"/>
        <w:spacing w:line="360" w:lineRule="auto"/>
        <w:ind w:firstLine="480"/>
        <w:jc w:val="both"/>
        <w:rPr>
          <w:rFonts w:hint="default" w:ascii="Times New Roman" w:hAnsi="Times New Roman" w:eastAsia="宋体" w:cs="Times New Roman"/>
          <w:color w:val="auto"/>
          <w:kern w:val="0"/>
          <w:sz w:val="24"/>
          <w:lang w:val="en-US" w:eastAsia="zh-CN" w:bidi="ar-SA"/>
        </w:rPr>
      </w:pPr>
    </w:p>
    <w:p>
      <w:pPr>
        <w:widowControl w:val="0"/>
        <w:spacing w:line="360" w:lineRule="auto"/>
        <w:ind w:firstLine="480"/>
        <w:jc w:val="both"/>
        <w:rPr>
          <w:rFonts w:hint="default" w:ascii="Times New Roman" w:hAnsi="Times New Roman" w:eastAsia="宋体" w:cs="Times New Roman"/>
          <w:color w:val="auto"/>
          <w:kern w:val="0"/>
          <w:sz w:val="24"/>
          <w:lang w:val="en-US" w:eastAsia="zh-CN" w:bidi="ar-SA"/>
        </w:rPr>
      </w:pPr>
    </w:p>
    <w:p>
      <w:pPr>
        <w:widowControl w:val="0"/>
        <w:spacing w:line="360" w:lineRule="auto"/>
        <w:ind w:firstLine="480"/>
        <w:jc w:val="both"/>
        <w:rPr>
          <w:rFonts w:hint="default" w:ascii="Times New Roman" w:hAnsi="Times New Roman" w:eastAsia="宋体" w:cs="Times New Roman"/>
          <w:color w:val="auto"/>
          <w:kern w:val="0"/>
          <w:sz w:val="24"/>
          <w:lang w:val="en-US" w:eastAsia="zh-CN" w:bidi="ar-SA"/>
        </w:rPr>
      </w:pPr>
    </w:p>
    <w:p>
      <w:pPr>
        <w:widowControl w:val="0"/>
        <w:spacing w:line="360" w:lineRule="auto"/>
        <w:ind w:firstLine="480"/>
        <w:jc w:val="both"/>
        <w:rPr>
          <w:rFonts w:hint="default" w:ascii="Times New Roman" w:hAnsi="Times New Roman" w:eastAsia="宋体" w:cs="Times New Roman"/>
          <w:color w:val="auto"/>
          <w:kern w:val="0"/>
          <w:sz w:val="24"/>
          <w:lang w:val="en-US" w:eastAsia="zh-CN" w:bidi="ar-SA"/>
        </w:rPr>
      </w:pPr>
    </w:p>
    <w:p>
      <w:pPr>
        <w:widowControl w:val="0"/>
        <w:spacing w:line="360" w:lineRule="auto"/>
        <w:ind w:firstLine="480"/>
        <w:jc w:val="both"/>
        <w:rPr>
          <w:rFonts w:hint="default" w:ascii="Times New Roman" w:hAnsi="Times New Roman" w:eastAsia="宋体" w:cs="Times New Roman"/>
          <w:color w:val="auto"/>
          <w:kern w:val="2"/>
          <w:sz w:val="24"/>
          <w:lang w:val="en-US" w:eastAsia="zh-CN" w:bidi="ar-SA"/>
        </w:rPr>
      </w:pPr>
    </w:p>
    <w:p>
      <w:pPr>
        <w:widowControl w:val="0"/>
        <w:spacing w:after="120" w:afterLines="0" w:line="360" w:lineRule="auto"/>
        <w:ind w:firstLine="0"/>
        <w:jc w:val="center"/>
        <w:outlineLvl w:val="4"/>
        <w:rPr>
          <w:rFonts w:hint="default" w:ascii="Times New Roman" w:hAnsi="Times New Roman" w:eastAsia="黑体" w:cs="Times New Roman"/>
          <w:b w:val="0"/>
          <w:bCs/>
          <w:color w:val="auto"/>
          <w:kern w:val="2"/>
          <w:sz w:val="24"/>
          <w:szCs w:val="24"/>
          <w:lang w:val="en-US" w:eastAsia="zh-CN" w:bidi="ar-SA"/>
        </w:rPr>
      </w:pPr>
      <w:r>
        <w:rPr>
          <w:rFonts w:hint="default" w:ascii="Times New Roman" w:hAnsi="Times New Roman" w:eastAsia="黑体" w:cs="Times New Roman"/>
          <w:b w:val="0"/>
          <w:bCs/>
          <w:color w:val="auto"/>
          <w:kern w:val="2"/>
          <w:sz w:val="24"/>
          <w:szCs w:val="24"/>
          <w:lang w:val="en-US" w:eastAsia="zh-CN" w:bidi="ar-SA"/>
        </w:rPr>
        <w:t>图6.5-</w:t>
      </w:r>
      <w:r>
        <w:rPr>
          <w:rFonts w:hint="eastAsia" w:ascii="Times New Roman" w:hAnsi="Times New Roman" w:eastAsia="黑体" w:cs="Times New Roman"/>
          <w:b w:val="0"/>
          <w:bCs/>
          <w:color w:val="auto"/>
          <w:kern w:val="2"/>
          <w:sz w:val="24"/>
          <w:szCs w:val="24"/>
          <w:lang w:val="en-US" w:eastAsia="zh-CN" w:bidi="ar-SA"/>
        </w:rPr>
        <w:t xml:space="preserve">4 </w:t>
      </w:r>
      <w:r>
        <w:rPr>
          <w:rFonts w:hint="default" w:ascii="Times New Roman" w:hAnsi="Times New Roman" w:eastAsia="黑体" w:cs="Times New Roman"/>
          <w:b w:val="0"/>
          <w:bCs/>
          <w:color w:val="auto"/>
          <w:kern w:val="2"/>
          <w:sz w:val="24"/>
          <w:szCs w:val="24"/>
          <w:lang w:val="en-US" w:eastAsia="zh-CN" w:bidi="ar-SA"/>
        </w:rPr>
        <w:t xml:space="preserve"> 应急预案响应联动方案</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eastAsia" w:ascii="Times New Roman" w:hAnsi="Times New Roman" w:eastAsia="宋体" w:cs="Times New Roman"/>
          <w:color w:val="auto"/>
          <w:kern w:val="2"/>
          <w:sz w:val="24"/>
          <w:szCs w:val="24"/>
          <w:lang w:val="en-US" w:eastAsia="zh-CN" w:bidi="ar"/>
        </w:rPr>
        <w:t>本</w:t>
      </w:r>
      <w:r>
        <w:rPr>
          <w:rFonts w:hint="default" w:ascii="Times New Roman" w:hAnsi="Times New Roman" w:eastAsia="宋体" w:cs="Times New Roman"/>
          <w:color w:val="auto"/>
          <w:kern w:val="2"/>
          <w:sz w:val="24"/>
          <w:szCs w:val="24"/>
          <w:lang w:val="en-GB" w:eastAsia="zh-CN" w:bidi="ar"/>
        </w:rPr>
        <w:t>公司应与江阴工业集中区建立应急联动机制。</w:t>
      </w:r>
      <w:r>
        <w:rPr>
          <w:rFonts w:hint="default" w:ascii="Times New Roman" w:hAnsi="Times New Roman" w:eastAsia="宋体" w:cs="Times New Roman"/>
          <w:snapToGrid w:val="0"/>
          <w:color w:val="auto"/>
          <w:kern w:val="0"/>
          <w:sz w:val="24"/>
          <w:szCs w:val="22"/>
          <w:lang w:val="en-US" w:eastAsia="zh-CN" w:bidi="ar-SA"/>
        </w:rPr>
        <w:t>按照突发环境事件的严重性和紧急程度，以及事件可能造成的污染范围和影响人口，将园区环境应急事件划分为社会级、园区级和企业级三个级别。企业级事件以企业自救为主，组织企业应急救援力量自救，将突发环境事件产生的事故废水控制在企业事故应急池，必要时向园区指挥部请求支援。发生园区级事件及时向园区指挥部报告、请求支援，园区指挥部组织园区救援力量相互协助应急联运，必要时向福清市政府请求支援。当企业内事故应急池无法容纳突发环境事件产生的废水时，事故废水将通过应急泵提升后输送至园区公共事故应急池（容积50000m</w:t>
      </w:r>
      <w:r>
        <w:rPr>
          <w:rFonts w:hint="default" w:ascii="Times New Roman" w:hAnsi="Times New Roman" w:eastAsia="宋体" w:cs="Times New Roman"/>
          <w:snapToGrid w:val="0"/>
          <w:color w:val="auto"/>
          <w:kern w:val="0"/>
          <w:sz w:val="24"/>
          <w:szCs w:val="22"/>
          <w:vertAlign w:val="superscript"/>
          <w:lang w:val="en-US" w:eastAsia="zh-CN" w:bidi="ar-SA"/>
        </w:rPr>
        <w:t>3</w:t>
      </w:r>
      <w:r>
        <w:rPr>
          <w:rFonts w:hint="default" w:ascii="Times New Roman" w:hAnsi="Times New Roman" w:eastAsia="宋体" w:cs="Times New Roman"/>
          <w:snapToGrid w:val="0"/>
          <w:color w:val="auto"/>
          <w:kern w:val="0"/>
          <w:sz w:val="24"/>
          <w:szCs w:val="22"/>
          <w:lang w:val="en-US" w:eastAsia="zh-CN" w:bidi="ar-SA"/>
        </w:rPr>
        <w:t>）。园区公共事故应急池可作为第三级风险防控措施。</w:t>
      </w:r>
    </w:p>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r>
        <w:rPr>
          <w:rFonts w:hint="eastAsia" w:ascii="Times New Roman" w:hAnsi="Times New Roman" w:eastAsia="宋体" w:cs="Times New Roman"/>
          <w:snapToGrid w:val="0"/>
          <w:color w:val="auto"/>
          <w:kern w:val="0"/>
          <w:sz w:val="24"/>
          <w:szCs w:val="22"/>
          <w:lang w:val="en-US" w:eastAsia="zh-CN" w:bidi="ar-SA"/>
        </w:rPr>
        <w:t>同时，本公司还可以</w:t>
      </w:r>
      <w:r>
        <w:rPr>
          <w:rFonts w:hint="default" w:ascii="Times New Roman" w:hAnsi="Times New Roman" w:eastAsia="宋体" w:cs="Times New Roman"/>
          <w:snapToGrid w:val="0"/>
          <w:color w:val="auto"/>
          <w:kern w:val="0"/>
          <w:sz w:val="24"/>
          <w:szCs w:val="22"/>
          <w:lang w:val="en-GB" w:eastAsia="zh-CN" w:bidi="ar-SA"/>
        </w:rPr>
        <w:t>向周边企业发出救援请求，统筹配置应急救援组织机构、队伍、装备和物资，共享区域应急资源。</w:t>
      </w:r>
      <w:r>
        <w:rPr>
          <w:rFonts w:hint="default" w:ascii="Times New Roman" w:hAnsi="Times New Roman" w:eastAsia="宋体" w:cs="Times New Roman"/>
          <w:snapToGrid w:val="0"/>
          <w:color w:val="auto"/>
          <w:kern w:val="0"/>
          <w:sz w:val="24"/>
          <w:szCs w:val="22"/>
          <w:lang w:val="en-US" w:eastAsia="zh-CN" w:bidi="ar-SA"/>
        </w:rPr>
        <w:t>本项目周边企业主要有</w:t>
      </w:r>
      <w:r>
        <w:rPr>
          <w:rFonts w:hint="eastAsia" w:ascii="Times New Roman" w:hAnsi="Times New Roman" w:eastAsia="宋体" w:cs="Times New Roman"/>
          <w:snapToGrid w:val="0"/>
          <w:color w:val="auto"/>
          <w:kern w:val="0"/>
          <w:sz w:val="24"/>
          <w:szCs w:val="22"/>
          <w:lang w:val="en-US" w:eastAsia="zh-CN" w:bidi="ar-SA"/>
        </w:rPr>
        <w:t>福化气体、</w:t>
      </w:r>
      <w:r>
        <w:rPr>
          <w:rFonts w:hint="default" w:ascii="Times New Roman" w:hAnsi="Times New Roman" w:eastAsia="宋体" w:cs="Times New Roman"/>
          <w:color w:val="auto"/>
          <w:sz w:val="24"/>
          <w:szCs w:val="24"/>
        </w:rPr>
        <w:t>福抗药业</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科瑞药业</w:t>
      </w:r>
      <w:r>
        <w:rPr>
          <w:rFonts w:hint="default" w:ascii="Times New Roman" w:hAnsi="Times New Roman" w:eastAsia="宋体" w:cs="Times New Roman"/>
          <w:snapToGrid w:val="0"/>
          <w:color w:val="auto"/>
          <w:kern w:val="0"/>
          <w:sz w:val="24"/>
          <w:szCs w:val="22"/>
          <w:lang w:val="en-US" w:eastAsia="zh-CN" w:bidi="ar-SA"/>
        </w:rPr>
        <w:t>等企业，这些企业本身也有应急预案措施和应急设施，建设单位应与上述企业建立联动机制，积极推进资源整合、信息共享、设施共享，在发生风险事故时，上述企业能够积极参与到应急救援当中，减少因风险事故造成的损失。</w:t>
      </w:r>
    </w:p>
    <w:p>
      <w:pPr>
        <w:keepNext/>
        <w:keepLines/>
        <w:widowControl w:val="0"/>
        <w:autoSpaceDE/>
        <w:autoSpaceDN/>
        <w:adjustRightInd/>
        <w:spacing w:after="0" w:afterLines="0" w:line="360" w:lineRule="auto"/>
        <w:ind w:left="0" w:firstLine="0"/>
        <w:jc w:val="both"/>
        <w:outlineLvl w:val="1"/>
        <w:rPr>
          <w:rFonts w:hint="default" w:ascii="Times New Roman" w:hAnsi="Times New Roman" w:eastAsia="黑体" w:cs="Times New Roman"/>
          <w:b/>
          <w:bCs/>
          <w:color w:val="auto"/>
          <w:kern w:val="2"/>
          <w:sz w:val="32"/>
          <w:szCs w:val="30"/>
          <w:lang w:val="en-US" w:eastAsia="zh-CN" w:bidi="ar-SA"/>
        </w:rPr>
      </w:pPr>
      <w:bookmarkStart w:id="346" w:name="_Toc21043"/>
      <w:r>
        <w:rPr>
          <w:rFonts w:hint="default" w:ascii="Times New Roman" w:hAnsi="Times New Roman" w:eastAsia="黑体" w:cs="Times New Roman"/>
          <w:b/>
          <w:bCs/>
          <w:color w:val="auto"/>
          <w:kern w:val="2"/>
          <w:sz w:val="32"/>
          <w:szCs w:val="30"/>
          <w:lang w:val="en-US" w:eastAsia="zh-CN" w:bidi="ar-SA"/>
        </w:rPr>
        <w:t>6.6环境风险评价结论与建议</w:t>
      </w:r>
      <w:bookmarkEnd w:id="346"/>
    </w:p>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bCs w:val="0"/>
          <w:color w:val="auto"/>
          <w:kern w:val="0"/>
          <w:sz w:val="30"/>
          <w:szCs w:val="30"/>
          <w:lang w:val="zh-CN" w:eastAsia="zh-CN" w:bidi="ar-SA"/>
        </w:rPr>
      </w:pPr>
      <w:r>
        <w:rPr>
          <w:rFonts w:hint="default" w:ascii="Times New Roman" w:hAnsi="Times New Roman" w:eastAsia="黑体" w:cs="Times New Roman"/>
          <w:b/>
          <w:bCs w:val="0"/>
          <w:color w:val="auto"/>
          <w:kern w:val="0"/>
          <w:sz w:val="30"/>
          <w:szCs w:val="30"/>
          <w:lang w:val="en-US" w:eastAsia="zh-CN" w:bidi="ar-SA"/>
        </w:rPr>
        <w:t>6.6</w:t>
      </w:r>
      <w:r>
        <w:rPr>
          <w:rFonts w:hint="default" w:ascii="Times New Roman" w:hAnsi="Times New Roman" w:eastAsia="黑体" w:cs="Times New Roman"/>
          <w:b/>
          <w:bCs w:val="0"/>
          <w:color w:val="auto"/>
          <w:kern w:val="0"/>
          <w:sz w:val="30"/>
          <w:szCs w:val="30"/>
          <w:lang w:val="zh-CN" w:eastAsia="zh-CN" w:bidi="ar-SA"/>
        </w:rPr>
        <w:t xml:space="preserve">.1 项目危险因素 </w:t>
      </w:r>
    </w:p>
    <w:p>
      <w:pPr>
        <w:spacing w:line="360" w:lineRule="auto"/>
        <w:ind w:firstLine="480"/>
        <w:rPr>
          <w:rFonts w:hint="default" w:ascii="Times New Roman" w:hAnsi="Times New Roman" w:eastAsia="宋体" w:cs="Times New Roman"/>
          <w:color w:val="auto"/>
          <w:sz w:val="24"/>
          <w:szCs w:val="24"/>
          <w:lang w:val="zh-CN" w:bidi="ar"/>
        </w:rPr>
      </w:pPr>
      <w:r>
        <w:rPr>
          <w:rFonts w:hint="default" w:ascii="Times New Roman" w:hAnsi="Times New Roman" w:eastAsia="宋体" w:cs="Times New Roman"/>
          <w:color w:val="auto"/>
          <w:sz w:val="24"/>
          <w:szCs w:val="24"/>
          <w:lang w:val="zh-CN" w:bidi="ar"/>
        </w:rPr>
        <w:t>本项目主要危险单元主要是生产车间、储罐区等，主要危险物质有</w:t>
      </w:r>
      <w:r>
        <w:rPr>
          <w:rFonts w:hint="default" w:ascii="Times New Roman" w:hAnsi="Times New Roman" w:eastAsia="宋体" w:cs="Times New Roman"/>
          <w:color w:val="auto"/>
          <w:sz w:val="24"/>
          <w:szCs w:val="24"/>
          <w:lang w:val="en-US" w:eastAsia="zh-CN" w:bidi="ar"/>
        </w:rPr>
        <w:t>工业级硝酸、电子级硝酸、氨水、乙醇、</w:t>
      </w:r>
      <w:r>
        <w:rPr>
          <w:rFonts w:hint="eastAsia" w:ascii="Times New Roman" w:hAnsi="Times New Roman" w:eastAsia="宋体" w:cs="Times New Roman"/>
          <w:color w:val="auto"/>
          <w:sz w:val="24"/>
          <w:szCs w:val="24"/>
          <w:lang w:val="en-US" w:eastAsia="zh-CN" w:bidi="ar"/>
        </w:rPr>
        <w:t>次氯酸钠</w:t>
      </w:r>
      <w:r>
        <w:rPr>
          <w:rFonts w:hint="default" w:ascii="Times New Roman" w:hAnsi="Times New Roman" w:eastAsia="宋体" w:cs="Times New Roman"/>
          <w:color w:val="auto"/>
          <w:sz w:val="24"/>
          <w:szCs w:val="24"/>
          <w:lang w:val="en-US" w:eastAsia="zh-CN" w:bidi="ar"/>
        </w:rPr>
        <w:t>、福尔马林、氢氧化钠、硝酸银、双氧水</w:t>
      </w:r>
      <w:r>
        <w:rPr>
          <w:rFonts w:hint="default" w:ascii="Times New Roman" w:hAnsi="Times New Roman" w:eastAsia="宋体" w:cs="Times New Roman"/>
          <w:color w:val="auto"/>
          <w:sz w:val="24"/>
          <w:szCs w:val="24"/>
          <w:lang w:val="zh-CN" w:bidi="ar"/>
        </w:rPr>
        <w:t>等储罐破损泄漏</w:t>
      </w:r>
      <w:r>
        <w:rPr>
          <w:rFonts w:hint="eastAsia" w:ascii="Times New Roman" w:hAnsi="Times New Roman" w:eastAsia="宋体" w:cs="Times New Roman"/>
          <w:color w:val="000000"/>
          <w:sz w:val="24"/>
          <w:szCs w:val="24"/>
          <w:lang w:val="en-US" w:eastAsia="zh-CN" w:bidi="ar"/>
        </w:rPr>
        <w:t>以及装置中一氧化氮、二氧化氮泄漏</w:t>
      </w:r>
      <w:r>
        <w:rPr>
          <w:rFonts w:hint="default" w:ascii="Times New Roman" w:hAnsi="Times New Roman" w:eastAsia="宋体" w:cs="Times New Roman"/>
          <w:color w:val="000000"/>
          <w:sz w:val="24"/>
          <w:szCs w:val="24"/>
          <w:lang w:val="zh-CN" w:bidi="ar"/>
        </w:rPr>
        <w:t>对周围大气的影响。</w:t>
      </w:r>
      <w:r>
        <w:rPr>
          <w:rFonts w:hint="default" w:ascii="Times New Roman" w:hAnsi="Times New Roman" w:eastAsia="宋体" w:cs="Times New Roman"/>
          <w:color w:val="auto"/>
          <w:sz w:val="24"/>
          <w:szCs w:val="24"/>
          <w:lang w:val="zh-CN" w:bidi="ar"/>
        </w:rPr>
        <w:t>本项目主要考虑原料储罐区代表危险物质</w:t>
      </w:r>
      <w:r>
        <w:rPr>
          <w:rFonts w:hint="default" w:ascii="Times New Roman" w:hAnsi="Times New Roman" w:eastAsia="宋体" w:cs="Times New Roman"/>
          <w:color w:val="auto"/>
          <w:sz w:val="24"/>
          <w:szCs w:val="24"/>
          <w:lang w:val="en-US" w:eastAsia="zh-CN" w:bidi="ar"/>
        </w:rPr>
        <w:t>工业级硝酸、氨水、福尔马林</w:t>
      </w:r>
      <w:r>
        <w:rPr>
          <w:rFonts w:hint="default" w:ascii="Times New Roman" w:hAnsi="Times New Roman" w:eastAsia="宋体" w:cs="Times New Roman"/>
          <w:color w:val="auto"/>
          <w:sz w:val="24"/>
          <w:szCs w:val="24"/>
          <w:lang w:val="zh-CN" w:bidi="ar"/>
        </w:rPr>
        <w:t>等储罐破损泄漏对周围大气的影响。</w:t>
      </w:r>
    </w:p>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bCs w:val="0"/>
          <w:color w:val="auto"/>
          <w:kern w:val="0"/>
          <w:sz w:val="30"/>
          <w:szCs w:val="30"/>
          <w:lang w:val="zh-CN" w:eastAsia="zh-CN" w:bidi="ar-SA"/>
        </w:rPr>
      </w:pPr>
      <w:r>
        <w:rPr>
          <w:rFonts w:hint="default" w:ascii="Times New Roman" w:hAnsi="Times New Roman" w:eastAsia="黑体" w:cs="Times New Roman"/>
          <w:b/>
          <w:bCs w:val="0"/>
          <w:color w:val="auto"/>
          <w:kern w:val="0"/>
          <w:sz w:val="30"/>
          <w:szCs w:val="30"/>
          <w:lang w:val="en-US" w:eastAsia="zh-CN" w:bidi="ar-SA"/>
        </w:rPr>
        <w:t>6.6</w:t>
      </w:r>
      <w:r>
        <w:rPr>
          <w:rFonts w:hint="default" w:ascii="Times New Roman" w:hAnsi="Times New Roman" w:eastAsia="黑体" w:cs="Times New Roman"/>
          <w:b/>
          <w:bCs w:val="0"/>
          <w:color w:val="auto"/>
          <w:kern w:val="0"/>
          <w:sz w:val="30"/>
          <w:szCs w:val="30"/>
          <w:lang w:val="zh-CN" w:eastAsia="zh-CN" w:bidi="ar-SA"/>
        </w:rPr>
        <w:t xml:space="preserve">.2 环境敏感性及事故环境影响 </w:t>
      </w:r>
    </w:p>
    <w:p>
      <w:pPr>
        <w:spacing w:line="360" w:lineRule="auto"/>
        <w:ind w:firstLine="480"/>
        <w:rPr>
          <w:rFonts w:hint="default" w:ascii="Times New Roman" w:hAnsi="Times New Roman" w:eastAsia="宋体" w:cs="Times New Roman"/>
          <w:color w:val="auto"/>
          <w:sz w:val="24"/>
          <w:szCs w:val="24"/>
          <w:lang w:val="zh-CN" w:bidi="ar"/>
        </w:rPr>
      </w:pPr>
      <w:r>
        <w:rPr>
          <w:rFonts w:hint="default" w:ascii="Times New Roman" w:hAnsi="Times New Roman" w:eastAsia="宋体" w:cs="Times New Roman"/>
          <w:color w:val="auto"/>
          <w:sz w:val="24"/>
          <w:szCs w:val="24"/>
          <w:lang w:val="zh-CN" w:bidi="ar"/>
        </w:rPr>
        <w:t>项目所在区域周边环境敏感目标主要有</w:t>
      </w:r>
      <w:r>
        <w:rPr>
          <w:rFonts w:hint="default" w:ascii="Times New Roman" w:hAnsi="Times New Roman" w:eastAsia="宋体" w:cs="Times New Roman"/>
          <w:color w:val="auto"/>
          <w:sz w:val="24"/>
          <w:szCs w:val="24"/>
          <w:highlight w:val="none"/>
        </w:rPr>
        <w:t>潘厝村</w:t>
      </w:r>
      <w:r>
        <w:rPr>
          <w:rFonts w:hint="default" w:ascii="Times New Roman" w:hAnsi="Times New Roman" w:eastAsia="宋体" w:cs="Times New Roman"/>
          <w:color w:val="auto"/>
          <w:sz w:val="24"/>
          <w:szCs w:val="24"/>
          <w:lang w:val="zh-CN" w:bidi="ar"/>
        </w:rPr>
        <w:t>、</w:t>
      </w:r>
      <w:r>
        <w:rPr>
          <w:rFonts w:hint="default" w:ascii="Times New Roman" w:hAnsi="Times New Roman" w:eastAsia="宋体" w:cs="Times New Roman"/>
          <w:color w:val="auto"/>
          <w:sz w:val="24"/>
          <w:szCs w:val="24"/>
          <w:highlight w:val="none"/>
        </w:rPr>
        <w:t>南曹村</w:t>
      </w:r>
      <w:r>
        <w:rPr>
          <w:rFonts w:hint="default" w:ascii="Times New Roman" w:hAnsi="Times New Roman" w:eastAsia="宋体" w:cs="Times New Roman"/>
          <w:color w:val="auto"/>
          <w:sz w:val="24"/>
          <w:szCs w:val="24"/>
          <w:lang w:val="zh-CN" w:bidi="ar"/>
        </w:rPr>
        <w:t>、</w:t>
      </w:r>
      <w:r>
        <w:rPr>
          <w:rFonts w:hint="default" w:ascii="Times New Roman" w:hAnsi="Times New Roman" w:eastAsia="宋体" w:cs="Times New Roman"/>
          <w:color w:val="auto"/>
          <w:sz w:val="24"/>
          <w:szCs w:val="24"/>
          <w:highlight w:val="none"/>
          <w:lang w:val="en-US" w:eastAsia="zh-CN"/>
        </w:rPr>
        <w:t>东井村、浔头村、</w:t>
      </w:r>
      <w:r>
        <w:rPr>
          <w:rFonts w:hint="default" w:ascii="Times New Roman" w:hAnsi="Times New Roman" w:eastAsia="宋体" w:cs="Times New Roman"/>
          <w:color w:val="auto"/>
          <w:sz w:val="24"/>
          <w:szCs w:val="24"/>
          <w:highlight w:val="none"/>
        </w:rPr>
        <w:t>下石村</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何厝村</w:t>
      </w:r>
      <w:r>
        <w:rPr>
          <w:rFonts w:hint="default" w:ascii="Times New Roman" w:hAnsi="Times New Roman" w:eastAsia="宋体" w:cs="Times New Roman"/>
          <w:color w:val="auto"/>
          <w:sz w:val="24"/>
          <w:szCs w:val="24"/>
          <w:lang w:val="zh-CN" w:bidi="ar"/>
        </w:rPr>
        <w:t>等。储罐发生泄漏时产生污染物排放可能对项目区域的环境空气产生影响，漏流危化品流入排水系统，进入外环境，造成水环境次生污染。在发生火灾、泄漏事故后，在事故处理过程中将产生的消防废水直接排放将对周围环境水体产生较大影响，企业必须按照本环评提出的环境保护措施和要求进行建设和管理。</w:t>
      </w:r>
    </w:p>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bCs w:val="0"/>
          <w:color w:val="auto"/>
          <w:kern w:val="0"/>
          <w:sz w:val="30"/>
          <w:szCs w:val="30"/>
          <w:lang w:val="zh-CN" w:eastAsia="zh-CN" w:bidi="ar-SA"/>
        </w:rPr>
      </w:pPr>
      <w:r>
        <w:rPr>
          <w:rFonts w:hint="default" w:ascii="Times New Roman" w:hAnsi="Times New Roman" w:eastAsia="黑体" w:cs="Times New Roman"/>
          <w:b/>
          <w:bCs w:val="0"/>
          <w:color w:val="auto"/>
          <w:kern w:val="0"/>
          <w:sz w:val="30"/>
          <w:szCs w:val="30"/>
          <w:lang w:val="en-US" w:eastAsia="zh-CN" w:bidi="ar-SA"/>
        </w:rPr>
        <w:t>6.6</w:t>
      </w:r>
      <w:r>
        <w:rPr>
          <w:rFonts w:hint="default" w:ascii="Times New Roman" w:hAnsi="Times New Roman" w:eastAsia="黑体" w:cs="Times New Roman"/>
          <w:b/>
          <w:bCs w:val="0"/>
          <w:color w:val="auto"/>
          <w:kern w:val="0"/>
          <w:sz w:val="30"/>
          <w:szCs w:val="30"/>
          <w:lang w:val="zh-CN" w:eastAsia="zh-CN" w:bidi="ar-SA"/>
        </w:rPr>
        <w:t>.3 环境风险防范措施和应急预案</w:t>
      </w:r>
    </w:p>
    <w:p>
      <w:pPr>
        <w:widowControl w:val="0"/>
        <w:spacing w:line="348" w:lineRule="auto"/>
        <w:ind w:firstLine="480"/>
        <w:jc w:val="both"/>
        <w:rPr>
          <w:rFonts w:hint="default" w:ascii="Times New Roman" w:hAnsi="Times New Roman" w:eastAsia="宋体" w:cs="Times New Roman"/>
          <w:color w:val="auto"/>
          <w:kern w:val="0"/>
          <w:sz w:val="24"/>
          <w:szCs w:val="24"/>
          <w:lang w:val="zh-CN" w:eastAsia="zh-CN" w:bidi="ar-SA"/>
        </w:rPr>
      </w:pPr>
      <w:r>
        <w:rPr>
          <w:rFonts w:hint="default" w:ascii="Times New Roman" w:hAnsi="Times New Roman" w:eastAsia="宋体" w:cs="Times New Roman"/>
          <w:color w:val="auto"/>
          <w:kern w:val="0"/>
          <w:sz w:val="24"/>
          <w:szCs w:val="24"/>
          <w:lang w:val="zh-CN" w:eastAsia="zh-CN" w:bidi="ar-SA"/>
        </w:rPr>
        <w:t>项目环境风险场所配备有毒气体报警仪与可燃气体报警器，配备灭火器，及时灭火，减缓火灾影响；</w:t>
      </w:r>
      <w:r>
        <w:rPr>
          <w:rFonts w:hint="default" w:ascii="Times New Roman" w:hAnsi="Times New Roman" w:eastAsia="宋体" w:cs="Times New Roman"/>
          <w:color w:val="auto"/>
          <w:kern w:val="0"/>
          <w:sz w:val="24"/>
          <w:szCs w:val="24"/>
          <w:lang w:val="en-US" w:eastAsia="zh-CN" w:bidi="ar-SA"/>
        </w:rPr>
        <w:t>本项目</w:t>
      </w:r>
      <w:r>
        <w:rPr>
          <w:rFonts w:hint="default" w:ascii="Times New Roman" w:hAnsi="Times New Roman" w:eastAsia="宋体" w:cs="Times New Roman"/>
          <w:color w:val="auto"/>
          <w:kern w:val="0"/>
          <w:sz w:val="24"/>
          <w:szCs w:val="24"/>
          <w:lang w:val="zh-CN" w:eastAsia="zh-CN" w:bidi="ar-SA"/>
        </w:rPr>
        <w:t>建设容积为1</w:t>
      </w:r>
      <w:r>
        <w:rPr>
          <w:rFonts w:hint="default" w:ascii="Times New Roman" w:hAnsi="Times New Roman" w:eastAsia="宋体" w:cs="Times New Roman"/>
          <w:color w:val="auto"/>
          <w:kern w:val="0"/>
          <w:sz w:val="24"/>
          <w:szCs w:val="24"/>
          <w:lang w:val="en-US" w:eastAsia="zh-CN" w:bidi="ar-SA"/>
        </w:rPr>
        <w:t>4</w:t>
      </w:r>
      <w:r>
        <w:rPr>
          <w:rFonts w:hint="default" w:ascii="Times New Roman" w:hAnsi="Times New Roman" w:eastAsia="宋体" w:cs="Times New Roman"/>
          <w:color w:val="auto"/>
          <w:kern w:val="0"/>
          <w:sz w:val="24"/>
          <w:szCs w:val="24"/>
          <w:lang w:val="zh-CN" w:eastAsia="zh-CN" w:bidi="ar-SA"/>
        </w:rPr>
        <w:t>00m</w:t>
      </w:r>
      <w:r>
        <w:rPr>
          <w:rFonts w:hint="default" w:ascii="Times New Roman" w:hAnsi="Times New Roman" w:eastAsia="宋体" w:cs="Times New Roman"/>
          <w:color w:val="auto"/>
          <w:kern w:val="0"/>
          <w:sz w:val="24"/>
          <w:szCs w:val="24"/>
          <w:vertAlign w:val="superscript"/>
          <w:lang w:val="zh-CN" w:eastAsia="zh-CN" w:bidi="ar-SA"/>
        </w:rPr>
        <w:t>3</w:t>
      </w:r>
      <w:r>
        <w:rPr>
          <w:rFonts w:hint="default" w:ascii="Times New Roman" w:hAnsi="Times New Roman" w:eastAsia="宋体" w:cs="Times New Roman"/>
          <w:color w:val="auto"/>
          <w:kern w:val="0"/>
          <w:sz w:val="24"/>
          <w:szCs w:val="24"/>
          <w:lang w:val="zh-CN" w:eastAsia="zh-CN" w:bidi="ar-SA"/>
        </w:rPr>
        <w:t>的事故应急池及其导流系统，确保在事故状态下能顺利收集消防废水、泄漏物等。按照《建设项目环境风险评价技术导则》、《国家突发环境事件应急预案》、《企业事业单位突发环境应急预案备案管理办法（试行）》（环发[2015]4号）、福建省环保厅“关于规范突发环境事件应急预案管理工作的通知”（闽环保应急〔2013〕17号）等文件中规定的“环境风险事故应急预案编制原则”要求，本项目完成后，建设单位应及时</w:t>
      </w:r>
      <w:r>
        <w:rPr>
          <w:rFonts w:hint="default" w:ascii="Times New Roman" w:hAnsi="Times New Roman" w:eastAsia="宋体" w:cs="Times New Roman"/>
          <w:color w:val="auto"/>
          <w:kern w:val="0"/>
          <w:sz w:val="24"/>
          <w:szCs w:val="24"/>
          <w:lang w:val="en-US" w:eastAsia="zh-CN" w:bidi="ar-SA"/>
        </w:rPr>
        <w:t>编制</w:t>
      </w:r>
      <w:r>
        <w:rPr>
          <w:rFonts w:hint="default" w:ascii="Times New Roman" w:hAnsi="Times New Roman" w:eastAsia="宋体" w:cs="Times New Roman"/>
          <w:color w:val="auto"/>
          <w:kern w:val="0"/>
          <w:sz w:val="24"/>
          <w:szCs w:val="24"/>
          <w:lang w:val="zh-CN" w:eastAsia="zh-CN" w:bidi="ar-SA"/>
        </w:rPr>
        <w:t>企业环境风险事故应急预案并报当地环保部门进行备案。</w:t>
      </w:r>
    </w:p>
    <w:p>
      <w:pPr>
        <w:keepNext/>
        <w:keepLines/>
        <w:widowControl w:val="0"/>
        <w:autoSpaceDE/>
        <w:autoSpaceDN/>
        <w:adjustRightInd/>
        <w:snapToGrid/>
        <w:spacing w:before="0" w:beforeLines="0" w:after="0" w:afterLines="0" w:line="360" w:lineRule="auto"/>
        <w:ind w:left="0" w:firstLine="0"/>
        <w:jc w:val="both"/>
        <w:textAlignment w:val="baseline"/>
        <w:outlineLvl w:val="2"/>
        <w:rPr>
          <w:rFonts w:hint="default" w:ascii="Times New Roman" w:hAnsi="Times New Roman" w:eastAsia="黑体" w:cs="Times New Roman"/>
          <w:b/>
          <w:bCs w:val="0"/>
          <w:color w:val="auto"/>
          <w:kern w:val="0"/>
          <w:sz w:val="30"/>
          <w:szCs w:val="30"/>
          <w:lang w:val="zh-CN" w:eastAsia="zh-CN" w:bidi="ar-SA"/>
        </w:rPr>
      </w:pPr>
      <w:r>
        <w:rPr>
          <w:rFonts w:hint="default" w:ascii="Times New Roman" w:hAnsi="Times New Roman" w:eastAsia="黑体" w:cs="Times New Roman"/>
          <w:b/>
          <w:bCs w:val="0"/>
          <w:color w:val="auto"/>
          <w:kern w:val="0"/>
          <w:sz w:val="30"/>
          <w:szCs w:val="30"/>
          <w:lang w:val="en-US" w:eastAsia="zh-CN" w:bidi="ar-SA"/>
        </w:rPr>
        <w:t>6.6</w:t>
      </w:r>
      <w:r>
        <w:rPr>
          <w:rFonts w:hint="default" w:ascii="Times New Roman" w:hAnsi="Times New Roman" w:eastAsia="黑体" w:cs="Times New Roman"/>
          <w:b/>
          <w:bCs w:val="0"/>
          <w:color w:val="auto"/>
          <w:kern w:val="0"/>
          <w:sz w:val="30"/>
          <w:szCs w:val="30"/>
          <w:lang w:val="zh-CN" w:eastAsia="zh-CN" w:bidi="ar-SA"/>
        </w:rPr>
        <w:t xml:space="preserve">.4 环境风险评价结论与建议 </w:t>
      </w:r>
    </w:p>
    <w:p>
      <w:pPr>
        <w:spacing w:line="360" w:lineRule="auto"/>
        <w:ind w:firstLine="480"/>
        <w:rPr>
          <w:rFonts w:hint="default" w:ascii="Times New Roman" w:hAnsi="Times New Roman" w:eastAsia="宋体" w:cs="Times New Roman"/>
          <w:color w:val="auto"/>
          <w:sz w:val="24"/>
          <w:szCs w:val="24"/>
          <w:lang w:val="zh-CN"/>
        </w:rPr>
      </w:pPr>
      <w:r>
        <w:rPr>
          <w:rFonts w:hint="default" w:ascii="Times New Roman" w:hAnsi="Times New Roman" w:eastAsia="宋体" w:cs="Times New Roman"/>
          <w:bCs/>
          <w:color w:val="auto"/>
          <w:sz w:val="24"/>
          <w:szCs w:val="24"/>
          <w:lang w:bidi="ar"/>
        </w:rPr>
        <w:t>本项目物料储罐、输送管道发生火灾爆炸和泄漏会都周围环境造成影响。</w:t>
      </w:r>
      <w:r>
        <w:rPr>
          <w:rFonts w:hint="default" w:ascii="Times New Roman" w:hAnsi="Times New Roman" w:eastAsia="宋体" w:cs="Times New Roman"/>
          <w:bCs/>
          <w:color w:val="auto"/>
          <w:sz w:val="24"/>
          <w:szCs w:val="24"/>
          <w:lang w:val="en-US" w:eastAsia="zh-CN" w:bidi="ar"/>
        </w:rPr>
        <w:t>根据</w:t>
      </w:r>
      <w:r>
        <w:rPr>
          <w:rFonts w:hint="default" w:ascii="Times New Roman" w:hAnsi="Times New Roman" w:eastAsia="宋体" w:cs="Times New Roman"/>
          <w:bCs/>
          <w:color w:val="auto"/>
          <w:sz w:val="24"/>
          <w:szCs w:val="24"/>
          <w:lang w:bidi="ar"/>
        </w:rPr>
        <w:t>事故环境风险事故的影响预测结果可知，在本评价预设条件下发生气相毒物风险事故时，装置</w:t>
      </w:r>
      <w:r>
        <w:rPr>
          <w:rFonts w:hint="default" w:ascii="Times New Roman" w:hAnsi="Times New Roman" w:eastAsia="宋体" w:cs="Times New Roman"/>
          <w:bCs/>
          <w:color w:val="auto"/>
          <w:sz w:val="24"/>
          <w:szCs w:val="24"/>
          <w:lang w:val="en-US" w:eastAsia="zh-CN" w:bidi="ar"/>
        </w:rPr>
        <w:t>区</w:t>
      </w:r>
      <w:r>
        <w:rPr>
          <w:rFonts w:hint="default" w:ascii="Times New Roman" w:hAnsi="Times New Roman" w:eastAsia="宋体" w:cs="Times New Roman"/>
          <w:bCs/>
          <w:color w:val="auto"/>
          <w:sz w:val="24"/>
          <w:szCs w:val="24"/>
          <w:lang w:bidi="ar"/>
        </w:rPr>
        <w:t>和罐区中各风险物质毒性终点浓度-1出现的距离在</w:t>
      </w:r>
      <w:r>
        <w:rPr>
          <w:rFonts w:hint="default" w:ascii="Times New Roman" w:hAnsi="Times New Roman" w:eastAsia="宋体" w:cs="Times New Roman"/>
          <w:bCs/>
          <w:color w:val="auto"/>
          <w:sz w:val="24"/>
          <w:szCs w:val="24"/>
          <w:lang w:val="en-US" w:eastAsia="zh-CN" w:bidi="ar"/>
        </w:rPr>
        <w:t>96</w:t>
      </w:r>
      <w:r>
        <w:rPr>
          <w:rFonts w:hint="default" w:ascii="Times New Roman" w:hAnsi="Times New Roman" w:eastAsia="宋体" w:cs="Times New Roman"/>
          <w:bCs/>
          <w:color w:val="auto"/>
          <w:sz w:val="24"/>
          <w:szCs w:val="24"/>
          <w:lang w:bidi="ar"/>
        </w:rPr>
        <w:t>m</w:t>
      </w:r>
      <w:r>
        <w:rPr>
          <w:rFonts w:hint="default" w:ascii="Times New Roman" w:hAnsi="Times New Roman" w:eastAsia="宋体" w:cs="Times New Roman"/>
          <w:bCs/>
          <w:color w:val="auto"/>
          <w:sz w:val="24"/>
          <w:szCs w:val="24"/>
          <w:lang w:val="en-US" w:eastAsia="zh-CN" w:bidi="ar"/>
        </w:rPr>
        <w:t>内</w:t>
      </w:r>
      <w:r>
        <w:rPr>
          <w:rFonts w:hint="default" w:ascii="Times New Roman" w:hAnsi="Times New Roman" w:eastAsia="宋体" w:cs="Times New Roman"/>
          <w:bCs/>
          <w:color w:val="auto"/>
          <w:sz w:val="24"/>
          <w:szCs w:val="24"/>
          <w:lang w:bidi="ar"/>
        </w:rPr>
        <w:t>，毒性终点浓度-</w:t>
      </w:r>
      <w:r>
        <w:rPr>
          <w:rFonts w:hint="default" w:ascii="Times New Roman" w:hAnsi="Times New Roman" w:eastAsia="宋体" w:cs="Times New Roman"/>
          <w:bCs/>
          <w:color w:val="auto"/>
          <w:sz w:val="24"/>
          <w:szCs w:val="24"/>
          <w:lang w:val="en-US" w:eastAsia="zh-CN" w:bidi="ar"/>
        </w:rPr>
        <w:t>2</w:t>
      </w:r>
      <w:r>
        <w:rPr>
          <w:rFonts w:hint="default" w:ascii="Times New Roman" w:hAnsi="Times New Roman" w:eastAsia="宋体" w:cs="Times New Roman"/>
          <w:bCs/>
          <w:color w:val="auto"/>
          <w:sz w:val="24"/>
          <w:szCs w:val="24"/>
          <w:lang w:bidi="ar"/>
        </w:rPr>
        <w:t>出现的距离在</w:t>
      </w:r>
      <w:r>
        <w:rPr>
          <w:rFonts w:hint="default" w:ascii="Times New Roman" w:hAnsi="Times New Roman" w:eastAsia="宋体" w:cs="Times New Roman"/>
          <w:bCs/>
          <w:color w:val="auto"/>
          <w:sz w:val="24"/>
          <w:szCs w:val="24"/>
          <w:lang w:val="en-US" w:eastAsia="zh-CN" w:bidi="ar"/>
        </w:rPr>
        <w:t>312</w:t>
      </w:r>
      <w:r>
        <w:rPr>
          <w:rFonts w:hint="default" w:ascii="Times New Roman" w:hAnsi="Times New Roman" w:eastAsia="宋体" w:cs="Times New Roman"/>
          <w:bCs/>
          <w:color w:val="auto"/>
          <w:sz w:val="24"/>
          <w:szCs w:val="24"/>
          <w:lang w:bidi="ar"/>
        </w:rPr>
        <w:t>m</w:t>
      </w:r>
      <w:r>
        <w:rPr>
          <w:rFonts w:hint="default" w:ascii="Times New Roman" w:hAnsi="Times New Roman" w:eastAsia="宋体" w:cs="Times New Roman"/>
          <w:bCs/>
          <w:color w:val="auto"/>
          <w:sz w:val="24"/>
          <w:szCs w:val="24"/>
          <w:lang w:val="en-US" w:eastAsia="zh-CN" w:bidi="ar"/>
        </w:rPr>
        <w:t>内。</w:t>
      </w:r>
      <w:r>
        <w:rPr>
          <w:rFonts w:hint="default" w:ascii="Times New Roman" w:hAnsi="Times New Roman" w:eastAsia="宋体" w:cs="Times New Roman"/>
          <w:color w:val="auto"/>
          <w:kern w:val="1"/>
          <w:sz w:val="24"/>
          <w:lang w:bidi="ar"/>
        </w:rPr>
        <w:t>各事故情形下各污染物的毒性终点浓度影响范围内均不存在大气敏感目标。</w:t>
      </w:r>
      <w:r>
        <w:rPr>
          <w:rFonts w:hint="default" w:ascii="Times New Roman" w:hAnsi="Times New Roman" w:eastAsia="宋体" w:cs="Times New Roman"/>
          <w:color w:val="auto"/>
          <w:sz w:val="24"/>
          <w:szCs w:val="24"/>
          <w:lang w:val="zh-CN" w:bidi="ar"/>
        </w:rPr>
        <w:t>项目加强管理的情况下尽快察觉发生的泄漏，能采取有效措施清理泄漏现场。厂区严禁烟火，可有效避免易燃物质泄漏时发生燃烧事故，降低对大气环境的影响。</w:t>
      </w:r>
      <w:r>
        <w:rPr>
          <w:rFonts w:hint="default" w:ascii="Times New Roman" w:hAnsi="Times New Roman" w:eastAsia="宋体" w:cs="Times New Roman"/>
          <w:color w:val="auto"/>
          <w:sz w:val="24"/>
          <w:szCs w:val="24"/>
          <w:lang w:bidi="ar"/>
        </w:rPr>
        <w:t>新建</w:t>
      </w:r>
      <w:r>
        <w:rPr>
          <w:rFonts w:hint="default" w:ascii="Times New Roman" w:hAnsi="Times New Roman" w:eastAsia="宋体" w:cs="Times New Roman"/>
          <w:color w:val="auto"/>
          <w:sz w:val="24"/>
          <w:szCs w:val="24"/>
          <w:lang w:val="en-US" w:eastAsia="zh-CN" w:bidi="ar"/>
        </w:rPr>
        <w:t>1400</w:t>
      </w:r>
      <w:r>
        <w:rPr>
          <w:rFonts w:hint="default" w:ascii="Times New Roman" w:hAnsi="Times New Roman" w:eastAsia="宋体" w:cs="Times New Roman"/>
          <w:color w:val="auto"/>
          <w:sz w:val="24"/>
          <w:szCs w:val="24"/>
          <w:lang w:bidi="ar"/>
        </w:rPr>
        <w:t>m</w:t>
      </w:r>
      <w:r>
        <w:rPr>
          <w:rFonts w:hint="default" w:ascii="Times New Roman" w:hAnsi="Times New Roman" w:eastAsia="宋体" w:cs="Times New Roman"/>
          <w:color w:val="auto"/>
          <w:sz w:val="24"/>
          <w:szCs w:val="24"/>
          <w:vertAlign w:val="superscript"/>
          <w:lang w:bidi="ar"/>
        </w:rPr>
        <w:t>3</w:t>
      </w:r>
      <w:r>
        <w:rPr>
          <w:rFonts w:hint="default" w:ascii="Times New Roman" w:hAnsi="Times New Roman" w:eastAsia="宋体" w:cs="Times New Roman"/>
          <w:color w:val="auto"/>
          <w:sz w:val="24"/>
          <w:szCs w:val="24"/>
          <w:lang w:val="zh-CN" w:bidi="ar"/>
        </w:rPr>
        <w:t>的事故应急池及导流系统，确保在事故状态下能顺利收集消防废水。通过以上措施，本项目消防废水可控制在厂内，基本不会对周边水体造成影响。项目建成后，正常情况下对地下水的水质基本没有影响。企业采取有效的措施防止污染物泄漏，按分区防渗级别的要求采取场地防渗措施，加强环境管理，维护环保设施的正常运行，杜绝非正常排放。</w:t>
      </w:r>
    </w:p>
    <w:p>
      <w:pPr>
        <w:spacing w:line="360" w:lineRule="auto"/>
        <w:ind w:firstLine="480"/>
        <w:rPr>
          <w:rFonts w:hint="default" w:ascii="Times New Roman" w:hAnsi="Times New Roman" w:eastAsia="宋体" w:cs="Times New Roman"/>
          <w:color w:val="auto"/>
          <w:sz w:val="24"/>
          <w:szCs w:val="24"/>
          <w:lang w:val="zh-CN" w:bidi="ar"/>
        </w:rPr>
      </w:pPr>
      <w:r>
        <w:rPr>
          <w:rFonts w:hint="default" w:ascii="Times New Roman" w:hAnsi="Times New Roman" w:eastAsia="宋体" w:cs="Times New Roman"/>
          <w:color w:val="auto"/>
          <w:sz w:val="24"/>
          <w:szCs w:val="24"/>
          <w:lang w:val="zh-CN" w:bidi="ar"/>
        </w:rPr>
        <w:t>因此，本项目采取有效事故预防措施后本项目的环境风险水平是可接受的。本项目环境风险评价自查表见表</w:t>
      </w:r>
      <w:r>
        <w:rPr>
          <w:rFonts w:hint="default" w:ascii="Times New Roman" w:hAnsi="Times New Roman" w:eastAsia="宋体" w:cs="Times New Roman"/>
          <w:color w:val="auto"/>
          <w:sz w:val="24"/>
          <w:szCs w:val="24"/>
          <w:lang w:val="en-US" w:eastAsia="zh-CN" w:bidi="ar"/>
        </w:rPr>
        <w:t>6.6</w:t>
      </w:r>
      <w:r>
        <w:rPr>
          <w:rFonts w:hint="default" w:ascii="Times New Roman" w:hAnsi="Times New Roman" w:eastAsia="宋体" w:cs="Times New Roman"/>
          <w:color w:val="auto"/>
          <w:sz w:val="24"/>
          <w:szCs w:val="24"/>
          <w:lang w:bidi="ar"/>
        </w:rPr>
        <w:t>-1</w:t>
      </w:r>
      <w:r>
        <w:rPr>
          <w:rFonts w:hint="default" w:ascii="Times New Roman" w:hAnsi="Times New Roman" w:eastAsia="宋体" w:cs="Times New Roman"/>
          <w:color w:val="auto"/>
          <w:sz w:val="24"/>
          <w:szCs w:val="24"/>
          <w:lang w:val="zh-CN" w:bidi="ar"/>
        </w:rPr>
        <w:t>。</w:t>
      </w:r>
    </w:p>
    <w:p>
      <w:pPr>
        <w:keepNext w:val="0"/>
        <w:keepLines w:val="0"/>
        <w:pageBreakBefore w:val="0"/>
        <w:widowControl w:val="0"/>
        <w:kinsoku/>
        <w:wordWrap/>
        <w:overflowPunct/>
        <w:topLinePunct w:val="0"/>
        <w:autoSpaceDE/>
        <w:autoSpaceDN/>
        <w:bidi w:val="0"/>
        <w:adjustRightInd/>
        <w:snapToGrid/>
        <w:spacing w:afterLines="0" w:line="360" w:lineRule="auto"/>
        <w:ind w:firstLine="0"/>
        <w:jc w:val="center"/>
        <w:textAlignment w:val="auto"/>
        <w:outlineLvl w:val="4"/>
        <w:rPr>
          <w:rFonts w:hint="default" w:ascii="Times New Roman" w:hAnsi="Times New Roman" w:eastAsia="黑体" w:cs="Times New Roman"/>
          <w:b w:val="0"/>
          <w:bCs/>
          <w:color w:val="auto"/>
          <w:kern w:val="2"/>
          <w:sz w:val="24"/>
          <w:szCs w:val="24"/>
          <w:lang w:val="en-US" w:eastAsia="zh-CN" w:bidi="ar-SA"/>
        </w:rPr>
      </w:pPr>
      <w:r>
        <w:rPr>
          <w:rFonts w:hint="default" w:ascii="Times New Roman" w:hAnsi="Times New Roman" w:eastAsia="黑体" w:cs="Times New Roman"/>
          <w:b w:val="0"/>
          <w:bCs/>
          <w:color w:val="auto"/>
          <w:kern w:val="2"/>
          <w:sz w:val="24"/>
          <w:szCs w:val="24"/>
          <w:lang w:val="en-US" w:eastAsia="zh-CN" w:bidi="ar-SA"/>
        </w:rPr>
        <w:t>表6.6-1 本项目环境风险评价自查表</w:t>
      </w:r>
    </w:p>
    <w:tbl>
      <w:tblPr>
        <w:tblStyle w:val="90"/>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8"/>
        <w:gridCol w:w="689"/>
        <w:gridCol w:w="914"/>
        <w:gridCol w:w="268"/>
        <w:gridCol w:w="495"/>
        <w:gridCol w:w="454"/>
        <w:gridCol w:w="548"/>
        <w:gridCol w:w="236"/>
        <w:gridCol w:w="444"/>
        <w:gridCol w:w="229"/>
        <w:gridCol w:w="953"/>
        <w:gridCol w:w="136"/>
        <w:gridCol w:w="216"/>
        <w:gridCol w:w="989"/>
        <w:gridCol w:w="334"/>
        <w:gridCol w:w="1"/>
        <w:gridCol w:w="640"/>
        <w:gridCol w:w="1"/>
        <w:gridCol w:w="15"/>
        <w:gridCol w:w="131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7" w:type="dxa"/>
            <w:gridSpan w:val="2"/>
            <w:tcBorders>
              <w:lef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工作内容</w:t>
            </w:r>
          </w:p>
        </w:tc>
        <w:tc>
          <w:tcPr>
            <w:tcW w:w="8189" w:type="dxa"/>
            <w:gridSpan w:val="18"/>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完成情况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8" w:type="dxa"/>
            <w:vMerge w:val="restart"/>
            <w:tcBorders>
              <w:lef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风险调查</w:t>
            </w:r>
          </w:p>
        </w:tc>
        <w:tc>
          <w:tcPr>
            <w:tcW w:w="689"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危险物质</w:t>
            </w:r>
          </w:p>
        </w:tc>
        <w:tc>
          <w:tcPr>
            <w:tcW w:w="91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名称</w:t>
            </w:r>
          </w:p>
        </w:tc>
        <w:tc>
          <w:tcPr>
            <w:tcW w:w="1217"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硝酸</w:t>
            </w:r>
          </w:p>
        </w:tc>
        <w:tc>
          <w:tcPr>
            <w:tcW w:w="1228"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lang w:val="en-US" w:eastAsia="zh-CN"/>
              </w:rPr>
            </w:pPr>
            <w:r>
              <w:rPr>
                <w:rFonts w:hint="default" w:ascii="Times New Roman" w:hAnsi="Times New Roman" w:eastAsia="宋体" w:cs="Times New Roman"/>
                <w:bCs/>
                <w:color w:val="auto"/>
                <w:kern w:val="44"/>
                <w:sz w:val="21"/>
                <w:szCs w:val="21"/>
                <w:lang w:val="en-US" w:eastAsia="zh-CN"/>
              </w:rPr>
              <w:t>氨水</w:t>
            </w:r>
          </w:p>
        </w:tc>
        <w:tc>
          <w:tcPr>
            <w:tcW w:w="1318"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lang w:eastAsia="zh-CN"/>
              </w:rPr>
            </w:pPr>
            <w:r>
              <w:rPr>
                <w:rFonts w:hint="default" w:ascii="Times New Roman" w:hAnsi="Times New Roman" w:eastAsia="宋体" w:cs="Times New Roman"/>
                <w:bCs/>
                <w:color w:val="auto"/>
                <w:kern w:val="44"/>
                <w:sz w:val="21"/>
                <w:szCs w:val="21"/>
                <w:lang w:val="en-US" w:eastAsia="zh-CN"/>
              </w:rPr>
              <w:t>乙醇</w:t>
            </w:r>
          </w:p>
        </w:tc>
        <w:tc>
          <w:tcPr>
            <w:tcW w:w="1205" w:type="dxa"/>
            <w:gridSpan w:val="2"/>
            <w:noWrap w:val="0"/>
            <w:vAlign w:val="center"/>
          </w:tcPr>
          <w:p>
            <w:pPr>
              <w:keepNext w:val="0"/>
              <w:keepLines w:val="0"/>
              <w:pageBreakBefore w:val="0"/>
              <w:widowControl/>
              <w:suppressLineNumbers w:val="0"/>
              <w:kinsoku/>
              <w:wordWrap/>
              <w:overflowPunct/>
              <w:topLinePunct w:val="0"/>
              <w:autoSpaceDE/>
              <w:autoSpaceDN/>
              <w:bidi w:val="0"/>
              <w:spacing w:line="300" w:lineRule="atLeast"/>
              <w:ind w:firstLine="0"/>
              <w:jc w:val="center"/>
              <w:textAlignment w:val="center"/>
              <w:outlineLvl w:val="9"/>
              <w:rPr>
                <w:rFonts w:hint="default" w:ascii="Times New Roman" w:hAnsi="Times New Roman" w:eastAsia="宋体" w:cs="Times New Roman"/>
                <w:bCs/>
                <w:color w:val="auto"/>
                <w:kern w:val="44"/>
                <w:sz w:val="21"/>
                <w:szCs w:val="21"/>
                <w:lang w:eastAsia="zh-CN"/>
              </w:rPr>
            </w:pPr>
            <w:r>
              <w:rPr>
                <w:rFonts w:hint="default" w:ascii="Times New Roman" w:hAnsi="Times New Roman" w:eastAsia="宋体" w:cs="Times New Roman"/>
                <w:i w:val="0"/>
                <w:color w:val="auto"/>
                <w:kern w:val="0"/>
                <w:sz w:val="21"/>
                <w:szCs w:val="21"/>
                <w:u w:val="none"/>
                <w:lang w:val="en-US" w:eastAsia="zh-CN" w:bidi="ar"/>
              </w:rPr>
              <w:t>双氧水</w:t>
            </w:r>
          </w:p>
        </w:tc>
        <w:tc>
          <w:tcPr>
            <w:tcW w:w="991" w:type="dxa"/>
            <w:gridSpan w:val="5"/>
            <w:noWrap w:val="0"/>
            <w:vAlign w:val="center"/>
          </w:tcPr>
          <w:p>
            <w:pPr>
              <w:keepNext w:val="0"/>
              <w:keepLines w:val="0"/>
              <w:pageBreakBefore w:val="0"/>
              <w:widowControl/>
              <w:suppressLineNumbers w:val="0"/>
              <w:kinsoku/>
              <w:wordWrap/>
              <w:overflowPunct/>
              <w:topLinePunct w:val="0"/>
              <w:autoSpaceDE/>
              <w:autoSpaceDN/>
              <w:bidi w:val="0"/>
              <w:spacing w:line="300" w:lineRule="atLeast"/>
              <w:ind w:firstLine="0"/>
              <w:jc w:val="center"/>
              <w:textAlignment w:val="center"/>
              <w:outlineLvl w:val="9"/>
              <w:rPr>
                <w:rFonts w:hint="default" w:ascii="Times New Roman" w:hAnsi="Times New Roman" w:eastAsia="宋体" w:cs="Times New Roman"/>
                <w:bCs/>
                <w:color w:val="auto"/>
                <w:kern w:val="44"/>
                <w:sz w:val="21"/>
                <w:szCs w:val="21"/>
                <w:lang w:val="en-US" w:eastAsia="zh-CN"/>
              </w:rPr>
            </w:pPr>
            <w:r>
              <w:rPr>
                <w:rFonts w:hint="eastAsia" w:ascii="Times New Roman" w:hAnsi="Times New Roman" w:eastAsia="宋体" w:cs="Times New Roman"/>
                <w:i w:val="0"/>
                <w:color w:val="auto"/>
                <w:kern w:val="0"/>
                <w:sz w:val="21"/>
                <w:szCs w:val="21"/>
                <w:u w:val="none"/>
                <w:lang w:val="en-US" w:eastAsia="zh-CN" w:bidi="ar"/>
              </w:rPr>
              <w:t>次氯酸钠</w:t>
            </w:r>
          </w:p>
        </w:tc>
        <w:tc>
          <w:tcPr>
            <w:tcW w:w="1316"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spacing w:line="300" w:lineRule="atLeast"/>
              <w:ind w:firstLine="0"/>
              <w:jc w:val="center"/>
              <w:textAlignment w:val="center"/>
              <w:outlineLvl w:val="9"/>
              <w:rPr>
                <w:rFonts w:hint="default" w:ascii="Times New Roman" w:hAnsi="Times New Roman" w:eastAsia="宋体" w:cs="Times New Roman"/>
                <w:bCs/>
                <w:color w:val="auto"/>
                <w:kern w:val="44"/>
                <w:sz w:val="21"/>
                <w:szCs w:val="21"/>
                <w:lang w:eastAsia="zh-CN"/>
              </w:rPr>
            </w:pPr>
            <w:r>
              <w:rPr>
                <w:rFonts w:hint="default" w:ascii="Times New Roman" w:hAnsi="Times New Roman" w:eastAsia="宋体" w:cs="Times New Roman"/>
                <w:i w:val="0"/>
                <w:color w:val="auto"/>
                <w:kern w:val="0"/>
                <w:sz w:val="21"/>
                <w:szCs w:val="21"/>
                <w:u w:val="none"/>
                <w:lang w:val="en-US" w:eastAsia="zh-CN" w:bidi="ar"/>
              </w:rPr>
              <w:t>福尔马林</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vMerge w:val="continue"/>
            <w:tcBorders>
              <w:left w:val="single" w:color="auto" w:sz="4" w:space="0"/>
            </w:tcBorders>
            <w:noWrap w:val="0"/>
          </w:tcPr>
          <w:p/>
        </w:tc>
        <w:tc>
          <w:tcPr>
            <w:vMerge w:val="continue"/>
            <w:noWrap w:val="0"/>
          </w:tcPr>
          <w:p/>
        </w:tc>
        <w:tc>
          <w:tcPr>
            <w:tcW w:w="91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存在总量/t</w:t>
            </w:r>
          </w:p>
        </w:tc>
        <w:tc>
          <w:tcPr>
            <w:tcW w:w="1217" w:type="dxa"/>
            <w:gridSpan w:val="3"/>
            <w:noWrap w:val="0"/>
            <w:vAlign w:val="center"/>
          </w:tcPr>
          <w:p>
            <w:pPr>
              <w:keepNext w:val="0"/>
              <w:keepLines w:val="0"/>
              <w:pageBreakBefore w:val="0"/>
              <w:widowControl/>
              <w:suppressLineNumbers w:val="0"/>
              <w:kinsoku/>
              <w:wordWrap/>
              <w:overflowPunct/>
              <w:topLinePunct w:val="0"/>
              <w:autoSpaceDE/>
              <w:autoSpaceDN/>
              <w:bidi w:val="0"/>
              <w:spacing w:line="300" w:lineRule="atLeast"/>
              <w:ind w:firstLine="0"/>
              <w:jc w:val="center"/>
              <w:textAlignment w:val="center"/>
              <w:outlineLvl w:val="9"/>
              <w:rPr>
                <w:rFonts w:hint="default" w:ascii="Times New Roman" w:hAnsi="Times New Roman" w:eastAsia="宋体" w:cs="Times New Roman"/>
                <w:bCs/>
                <w:color w:val="auto"/>
                <w:kern w:val="44"/>
                <w:sz w:val="21"/>
                <w:szCs w:val="21"/>
                <w:lang w:val="en-US" w:eastAsia="zh-CN"/>
              </w:rPr>
            </w:pPr>
            <w:r>
              <w:rPr>
                <w:rFonts w:hint="eastAsia" w:ascii="Times New Roman" w:hAnsi="Times New Roman" w:eastAsia="宋体" w:cs="Times New Roman"/>
                <w:i w:val="0"/>
                <w:color w:val="auto"/>
                <w:kern w:val="0"/>
                <w:sz w:val="21"/>
                <w:szCs w:val="21"/>
                <w:u w:val="none"/>
                <w:lang w:val="en-US" w:eastAsia="zh-CN" w:bidi="ar"/>
              </w:rPr>
              <w:t>87.624</w:t>
            </w:r>
          </w:p>
        </w:tc>
        <w:tc>
          <w:tcPr>
            <w:tcW w:w="1228" w:type="dxa"/>
            <w:gridSpan w:val="3"/>
            <w:noWrap w:val="0"/>
            <w:vAlign w:val="center"/>
          </w:tcPr>
          <w:p>
            <w:pPr>
              <w:keepNext w:val="0"/>
              <w:keepLines w:val="0"/>
              <w:pageBreakBefore w:val="0"/>
              <w:widowControl/>
              <w:suppressLineNumbers w:val="0"/>
              <w:kinsoku/>
              <w:wordWrap/>
              <w:overflowPunct/>
              <w:topLinePunct w:val="0"/>
              <w:autoSpaceDE/>
              <w:autoSpaceDN/>
              <w:bidi w:val="0"/>
              <w:spacing w:line="300" w:lineRule="atLeast"/>
              <w:ind w:firstLine="0"/>
              <w:jc w:val="center"/>
              <w:textAlignment w:val="center"/>
              <w:outlineLvl w:val="9"/>
              <w:rPr>
                <w:rFonts w:hint="default" w:ascii="Times New Roman" w:hAnsi="Times New Roman" w:eastAsia="宋体" w:cs="Times New Roman"/>
                <w:bCs/>
                <w:color w:val="auto"/>
                <w:kern w:val="44"/>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12.761</w:t>
            </w:r>
          </w:p>
        </w:tc>
        <w:tc>
          <w:tcPr>
            <w:tcW w:w="1318" w:type="dxa"/>
            <w:gridSpan w:val="3"/>
            <w:noWrap w:val="0"/>
            <w:vAlign w:val="center"/>
          </w:tcPr>
          <w:p>
            <w:pPr>
              <w:keepNext w:val="0"/>
              <w:keepLines w:val="0"/>
              <w:pageBreakBefore w:val="0"/>
              <w:widowControl/>
              <w:suppressLineNumbers w:val="0"/>
              <w:kinsoku/>
              <w:wordWrap/>
              <w:overflowPunct/>
              <w:topLinePunct w:val="0"/>
              <w:autoSpaceDE/>
              <w:autoSpaceDN/>
              <w:bidi w:val="0"/>
              <w:spacing w:line="300" w:lineRule="atLeast"/>
              <w:ind w:firstLine="0"/>
              <w:jc w:val="center"/>
              <w:textAlignment w:val="center"/>
              <w:outlineLvl w:val="9"/>
              <w:rPr>
                <w:rFonts w:hint="default" w:ascii="Times New Roman" w:hAnsi="Times New Roman" w:eastAsia="宋体" w:cs="Times New Roman"/>
                <w:bCs/>
                <w:color w:val="auto"/>
                <w:kern w:val="44"/>
                <w:sz w:val="21"/>
                <w:szCs w:val="21"/>
                <w:lang w:val="en-US" w:eastAsia="zh-CN"/>
              </w:rPr>
            </w:pPr>
            <w:r>
              <w:rPr>
                <w:rFonts w:hint="eastAsia" w:ascii="Times New Roman" w:hAnsi="Times New Roman" w:eastAsia="宋体" w:cs="Times New Roman"/>
                <w:i w:val="0"/>
                <w:color w:val="auto"/>
                <w:kern w:val="0"/>
                <w:sz w:val="21"/>
                <w:szCs w:val="21"/>
                <w:u w:val="none"/>
                <w:lang w:val="en-US" w:eastAsia="zh-CN" w:bidi="ar"/>
              </w:rPr>
              <w:t>15.074</w:t>
            </w:r>
          </w:p>
        </w:tc>
        <w:tc>
          <w:tcPr>
            <w:tcW w:w="1205" w:type="dxa"/>
            <w:gridSpan w:val="2"/>
            <w:noWrap w:val="0"/>
            <w:vAlign w:val="center"/>
          </w:tcPr>
          <w:p>
            <w:pPr>
              <w:keepNext w:val="0"/>
              <w:keepLines w:val="0"/>
              <w:pageBreakBefore w:val="0"/>
              <w:widowControl/>
              <w:suppressLineNumbers w:val="0"/>
              <w:kinsoku/>
              <w:wordWrap/>
              <w:overflowPunct/>
              <w:topLinePunct w:val="0"/>
              <w:autoSpaceDE/>
              <w:autoSpaceDN/>
              <w:bidi w:val="0"/>
              <w:spacing w:line="300" w:lineRule="atLeast"/>
              <w:ind w:firstLine="0"/>
              <w:jc w:val="center"/>
              <w:textAlignment w:val="center"/>
              <w:outlineLvl w:val="9"/>
              <w:rPr>
                <w:rFonts w:hint="default" w:ascii="Times New Roman" w:hAnsi="Times New Roman" w:eastAsia="宋体" w:cs="Times New Roman"/>
                <w:bCs/>
                <w:color w:val="auto"/>
                <w:kern w:val="44"/>
                <w:sz w:val="21"/>
                <w:szCs w:val="21"/>
                <w:lang w:val="en-US" w:eastAsia="zh-CN"/>
              </w:rPr>
            </w:pPr>
            <w:r>
              <w:rPr>
                <w:rFonts w:hint="eastAsia" w:ascii="Times New Roman" w:hAnsi="Times New Roman" w:eastAsia="宋体" w:cs="Times New Roman"/>
                <w:i w:val="0"/>
                <w:color w:val="auto"/>
                <w:kern w:val="0"/>
                <w:sz w:val="21"/>
                <w:szCs w:val="21"/>
                <w:u w:val="none"/>
                <w:lang w:val="en-US" w:eastAsia="zh-CN" w:bidi="ar"/>
              </w:rPr>
              <w:t>10.403</w:t>
            </w:r>
          </w:p>
        </w:tc>
        <w:tc>
          <w:tcPr>
            <w:tcW w:w="991" w:type="dxa"/>
            <w:gridSpan w:val="5"/>
            <w:noWrap w:val="0"/>
            <w:vAlign w:val="center"/>
          </w:tcPr>
          <w:p>
            <w:pPr>
              <w:keepNext w:val="0"/>
              <w:keepLines w:val="0"/>
              <w:pageBreakBefore w:val="0"/>
              <w:widowControl/>
              <w:suppressLineNumbers w:val="0"/>
              <w:kinsoku/>
              <w:wordWrap/>
              <w:overflowPunct/>
              <w:topLinePunct w:val="0"/>
              <w:autoSpaceDE/>
              <w:autoSpaceDN/>
              <w:bidi w:val="0"/>
              <w:spacing w:line="300" w:lineRule="atLeast"/>
              <w:ind w:firstLine="0"/>
              <w:jc w:val="center"/>
              <w:textAlignment w:val="center"/>
              <w:outlineLvl w:val="9"/>
              <w:rPr>
                <w:rFonts w:hint="default" w:ascii="Times New Roman" w:hAnsi="Times New Roman" w:eastAsia="宋体" w:cs="Times New Roman"/>
                <w:bCs/>
                <w:color w:val="auto"/>
                <w:kern w:val="44"/>
                <w:sz w:val="21"/>
                <w:szCs w:val="21"/>
                <w:lang w:val="en-US" w:eastAsia="zh-CN"/>
              </w:rPr>
            </w:pPr>
            <w:r>
              <w:rPr>
                <w:rFonts w:hint="default" w:ascii="Times New Roman" w:hAnsi="Times New Roman" w:eastAsia="宋体" w:cs="Times New Roman"/>
                <w:color w:val="auto"/>
                <w:kern w:val="0"/>
                <w:sz w:val="21"/>
                <w:szCs w:val="21"/>
                <w:lang w:val="en-US" w:bidi="ar"/>
              </w:rPr>
              <w:fldChar w:fldCharType="begin"/>
            </w:r>
            <w:r>
              <w:rPr>
                <w:rFonts w:hint="default" w:ascii="Times New Roman" w:hAnsi="Times New Roman" w:eastAsia="宋体" w:cs="Times New Roman"/>
                <w:color w:val="auto"/>
                <w:kern w:val="0"/>
                <w:sz w:val="21"/>
                <w:szCs w:val="21"/>
                <w:lang w:val="en-US" w:bidi="ar"/>
              </w:rPr>
              <w:instrText xml:space="preserve"> =24*0.1*1.2 \# "0.000" \* MERGEFORMAT </w:instrText>
            </w:r>
            <w:r>
              <w:rPr>
                <w:rFonts w:hint="default" w:ascii="Times New Roman" w:hAnsi="Times New Roman" w:eastAsia="宋体" w:cs="Times New Roman"/>
                <w:color w:val="auto"/>
                <w:kern w:val="0"/>
                <w:sz w:val="21"/>
                <w:szCs w:val="21"/>
                <w:lang w:val="en-US" w:bidi="ar"/>
              </w:rPr>
              <w:fldChar w:fldCharType="separate"/>
            </w:r>
            <w:r>
              <w:rPr>
                <w:color w:val="auto"/>
                <w:sz w:val="21"/>
                <w:szCs w:val="21"/>
              </w:rPr>
              <w:t>2.880</w:t>
            </w:r>
            <w:r>
              <w:rPr>
                <w:rFonts w:hint="default" w:ascii="Times New Roman" w:hAnsi="Times New Roman" w:eastAsia="宋体" w:cs="Times New Roman"/>
                <w:color w:val="auto"/>
                <w:kern w:val="0"/>
                <w:sz w:val="21"/>
                <w:szCs w:val="21"/>
                <w:lang w:val="en-US" w:bidi="ar"/>
              </w:rPr>
              <w:fldChar w:fldCharType="end"/>
            </w:r>
          </w:p>
        </w:tc>
        <w:tc>
          <w:tcPr>
            <w:tcW w:w="1316"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spacing w:line="300" w:lineRule="atLeast"/>
              <w:ind w:firstLine="0"/>
              <w:jc w:val="center"/>
              <w:textAlignment w:val="center"/>
              <w:outlineLvl w:val="9"/>
              <w:rPr>
                <w:rFonts w:hint="default" w:ascii="Times New Roman" w:hAnsi="Times New Roman" w:eastAsia="宋体" w:cs="Times New Roman"/>
                <w:bCs/>
                <w:color w:val="auto"/>
                <w:kern w:val="44"/>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3.05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vMerge w:val="continue"/>
            <w:tcBorders>
              <w:left w:val="single" w:color="auto" w:sz="4" w:space="0"/>
            </w:tcBorders>
            <w:noWrap w:val="0"/>
          </w:tcPr>
          <w:p/>
        </w:tc>
        <w:tc>
          <w:tcPr>
            <w:vMerge w:val="continue"/>
            <w:noWrap w:val="0"/>
          </w:tcPr>
          <w:p/>
        </w:tc>
        <w:tc>
          <w:tcPr>
            <w:tcW w:w="91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lang w:bidi="ar"/>
              </w:rPr>
            </w:pPr>
            <w:r>
              <w:rPr>
                <w:rFonts w:hint="default" w:ascii="Times New Roman" w:hAnsi="Times New Roman" w:eastAsia="宋体" w:cs="Times New Roman"/>
                <w:bCs/>
                <w:color w:val="auto"/>
                <w:kern w:val="44"/>
                <w:sz w:val="21"/>
                <w:szCs w:val="21"/>
                <w:lang w:bidi="ar"/>
              </w:rPr>
              <w:t>名称</w:t>
            </w:r>
          </w:p>
        </w:tc>
        <w:tc>
          <w:tcPr>
            <w:tcW w:w="1217" w:type="dxa"/>
            <w:gridSpan w:val="3"/>
            <w:noWrap w:val="0"/>
            <w:vAlign w:val="center"/>
          </w:tcPr>
          <w:p>
            <w:pPr>
              <w:keepNext w:val="0"/>
              <w:keepLines w:val="0"/>
              <w:pageBreakBefore w:val="0"/>
              <w:widowControl/>
              <w:suppressLineNumbers w:val="0"/>
              <w:kinsoku/>
              <w:wordWrap/>
              <w:overflowPunct/>
              <w:topLinePunct w:val="0"/>
              <w:autoSpaceDE/>
              <w:autoSpaceDN/>
              <w:bidi w:val="0"/>
              <w:spacing w:line="300" w:lineRule="atLeast"/>
              <w:ind w:firstLine="0"/>
              <w:jc w:val="center"/>
              <w:textAlignment w:val="center"/>
              <w:outlineLvl w:val="9"/>
              <w:rPr>
                <w:rFonts w:hint="default" w:ascii="Times New Roman" w:hAnsi="Times New Roman" w:eastAsia="宋体" w:cs="Times New Roman"/>
                <w:bCs/>
                <w:color w:val="auto"/>
                <w:kern w:val="44"/>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氢氧化钠</w:t>
            </w:r>
          </w:p>
        </w:tc>
        <w:tc>
          <w:tcPr>
            <w:tcW w:w="1228" w:type="dxa"/>
            <w:gridSpan w:val="3"/>
            <w:noWrap w:val="0"/>
            <w:vAlign w:val="center"/>
          </w:tcPr>
          <w:p>
            <w:pPr>
              <w:keepNext w:val="0"/>
              <w:keepLines w:val="0"/>
              <w:pageBreakBefore w:val="0"/>
              <w:widowControl/>
              <w:suppressLineNumbers w:val="0"/>
              <w:kinsoku/>
              <w:wordWrap/>
              <w:overflowPunct/>
              <w:topLinePunct w:val="0"/>
              <w:autoSpaceDE/>
              <w:autoSpaceDN/>
              <w:bidi w:val="0"/>
              <w:spacing w:line="300" w:lineRule="atLeast"/>
              <w:ind w:firstLine="0"/>
              <w:jc w:val="center"/>
              <w:textAlignment w:val="center"/>
              <w:outlineLvl w:val="9"/>
              <w:rPr>
                <w:rFonts w:hint="default" w:ascii="Times New Roman" w:hAnsi="Times New Roman" w:eastAsia="宋体" w:cs="Times New Roman"/>
                <w:bCs/>
                <w:color w:val="auto"/>
                <w:kern w:val="44"/>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硝酸银</w:t>
            </w:r>
          </w:p>
        </w:tc>
        <w:tc>
          <w:tcPr>
            <w:tcW w:w="1318"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lang w:val="en-US" w:eastAsia="zh-CN"/>
              </w:rPr>
            </w:pPr>
            <w:r>
              <w:rPr>
                <w:rFonts w:hint="eastAsia" w:ascii="Times New Roman" w:hAnsi="Times New Roman" w:eastAsia="宋体" w:cs="Times New Roman"/>
                <w:bCs/>
                <w:color w:val="auto"/>
                <w:kern w:val="44"/>
                <w:sz w:val="21"/>
                <w:szCs w:val="21"/>
                <w:lang w:val="en-US" w:eastAsia="zh-CN"/>
              </w:rPr>
              <w:t>银</w:t>
            </w:r>
          </w:p>
        </w:tc>
        <w:tc>
          <w:tcPr>
            <w:tcW w:w="120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eastAsia" w:ascii="Times New Roman" w:hAnsi="Times New Roman" w:eastAsia="宋体" w:cs="Times New Roman"/>
                <w:bCs/>
                <w:color w:val="auto"/>
                <w:kern w:val="44"/>
                <w:sz w:val="21"/>
                <w:szCs w:val="21"/>
                <w:lang w:val="en-US" w:eastAsia="zh-CN"/>
              </w:rPr>
            </w:pPr>
            <w:r>
              <w:rPr>
                <w:rFonts w:hint="eastAsia" w:ascii="Times New Roman" w:hAnsi="Times New Roman" w:eastAsia="宋体" w:cs="Times New Roman"/>
                <w:bCs/>
                <w:color w:val="auto"/>
                <w:kern w:val="44"/>
                <w:sz w:val="21"/>
                <w:szCs w:val="21"/>
                <w:lang w:val="en-US" w:eastAsia="zh-CN"/>
              </w:rPr>
              <w:t>一氧化氮</w:t>
            </w:r>
          </w:p>
        </w:tc>
        <w:tc>
          <w:tcPr>
            <w:tcW w:w="991" w:type="dxa"/>
            <w:gridSpan w:val="5"/>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eastAsia" w:ascii="Times New Roman" w:hAnsi="Times New Roman" w:eastAsia="宋体" w:cs="Times New Roman"/>
                <w:bCs/>
                <w:color w:val="auto"/>
                <w:kern w:val="44"/>
                <w:sz w:val="21"/>
                <w:szCs w:val="21"/>
                <w:lang w:val="en-US" w:eastAsia="zh-CN"/>
              </w:rPr>
            </w:pPr>
            <w:r>
              <w:rPr>
                <w:rFonts w:hint="eastAsia" w:ascii="Times New Roman" w:hAnsi="Times New Roman" w:eastAsia="宋体" w:cs="Times New Roman"/>
                <w:bCs/>
                <w:color w:val="auto"/>
                <w:kern w:val="44"/>
                <w:sz w:val="21"/>
                <w:szCs w:val="21"/>
                <w:lang w:val="en-US" w:eastAsia="zh-CN"/>
              </w:rPr>
              <w:t>二氧化氮</w:t>
            </w:r>
          </w:p>
        </w:tc>
        <w:tc>
          <w:tcPr>
            <w:tcW w:w="1316"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92" w:right="0" w:firstLine="0"/>
              <w:jc w:val="center"/>
              <w:outlineLvl w:val="9"/>
              <w:rPr>
                <w:rFonts w:hint="default" w:ascii="Times New Roman" w:hAnsi="Times New Roman" w:eastAsia="宋体" w:cs="Times New Roman"/>
                <w:bCs/>
                <w:color w:val="auto"/>
                <w:kern w:val="44"/>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vMerge w:val="continue"/>
            <w:tcBorders>
              <w:left w:val="single" w:color="auto" w:sz="4" w:space="0"/>
            </w:tcBorders>
            <w:noWrap w:val="0"/>
          </w:tcPr>
          <w:p/>
        </w:tc>
        <w:tc>
          <w:tcPr>
            <w:vMerge w:val="continue"/>
            <w:noWrap w:val="0"/>
          </w:tcPr>
          <w:p/>
        </w:tc>
        <w:tc>
          <w:tcPr>
            <w:tcW w:w="91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lang w:bidi="ar"/>
              </w:rPr>
            </w:pPr>
            <w:r>
              <w:rPr>
                <w:rFonts w:hint="default" w:ascii="Times New Roman" w:hAnsi="Times New Roman" w:eastAsia="宋体" w:cs="Times New Roman"/>
                <w:bCs/>
                <w:color w:val="auto"/>
                <w:kern w:val="44"/>
                <w:sz w:val="21"/>
                <w:szCs w:val="21"/>
                <w:lang w:bidi="ar"/>
              </w:rPr>
              <w:t>存在总量/t</w:t>
            </w:r>
          </w:p>
        </w:tc>
        <w:tc>
          <w:tcPr>
            <w:tcW w:w="1217" w:type="dxa"/>
            <w:gridSpan w:val="3"/>
            <w:noWrap w:val="0"/>
            <w:vAlign w:val="center"/>
          </w:tcPr>
          <w:p>
            <w:pPr>
              <w:keepNext w:val="0"/>
              <w:keepLines w:val="0"/>
              <w:pageBreakBefore w:val="0"/>
              <w:widowControl/>
              <w:suppressLineNumbers w:val="0"/>
              <w:kinsoku/>
              <w:wordWrap/>
              <w:overflowPunct/>
              <w:topLinePunct w:val="0"/>
              <w:autoSpaceDE/>
              <w:autoSpaceDN/>
              <w:bidi w:val="0"/>
              <w:spacing w:line="300" w:lineRule="atLeast"/>
              <w:ind w:firstLine="0"/>
              <w:jc w:val="center"/>
              <w:textAlignment w:val="center"/>
              <w:outlineLvl w:val="9"/>
              <w:rPr>
                <w:rFonts w:hint="default" w:ascii="Times New Roman" w:hAnsi="Times New Roman" w:eastAsia="宋体" w:cs="Times New Roman"/>
                <w:bCs/>
                <w:color w:val="auto"/>
                <w:kern w:val="44"/>
                <w:sz w:val="21"/>
                <w:szCs w:val="21"/>
                <w:lang w:val="en-US" w:eastAsia="zh-CN"/>
              </w:rPr>
            </w:pPr>
            <w:r>
              <w:rPr>
                <w:rFonts w:hint="eastAsia" w:ascii="Times New Roman" w:hAnsi="Times New Roman" w:eastAsia="宋体" w:cs="Times New Roman"/>
                <w:i w:val="0"/>
                <w:color w:val="auto"/>
                <w:kern w:val="0"/>
                <w:sz w:val="21"/>
                <w:szCs w:val="21"/>
                <w:u w:val="none"/>
                <w:lang w:val="en-US" w:eastAsia="zh-CN" w:bidi="ar"/>
              </w:rPr>
              <w:t>19.151</w:t>
            </w:r>
          </w:p>
        </w:tc>
        <w:tc>
          <w:tcPr>
            <w:tcW w:w="1228" w:type="dxa"/>
            <w:gridSpan w:val="3"/>
            <w:noWrap w:val="0"/>
            <w:vAlign w:val="center"/>
          </w:tcPr>
          <w:p>
            <w:pPr>
              <w:keepNext w:val="0"/>
              <w:keepLines w:val="0"/>
              <w:pageBreakBefore w:val="0"/>
              <w:widowControl/>
              <w:suppressLineNumbers w:val="0"/>
              <w:kinsoku/>
              <w:wordWrap/>
              <w:overflowPunct/>
              <w:topLinePunct w:val="0"/>
              <w:autoSpaceDE/>
              <w:autoSpaceDN/>
              <w:bidi w:val="0"/>
              <w:spacing w:line="300" w:lineRule="atLeast"/>
              <w:ind w:firstLine="0"/>
              <w:jc w:val="center"/>
              <w:textAlignment w:val="center"/>
              <w:outlineLvl w:val="9"/>
              <w:rPr>
                <w:rFonts w:hint="default" w:ascii="Times New Roman" w:hAnsi="Times New Roman" w:eastAsia="宋体" w:cs="Times New Roman"/>
                <w:bCs/>
                <w:color w:val="auto"/>
                <w:kern w:val="44"/>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26.385</w:t>
            </w:r>
          </w:p>
        </w:tc>
        <w:tc>
          <w:tcPr>
            <w:tcW w:w="1318"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lang w:val="en-US" w:eastAsia="zh-CN"/>
              </w:rPr>
            </w:pPr>
            <w:r>
              <w:rPr>
                <w:rFonts w:hint="eastAsia" w:ascii="Times New Roman" w:hAnsi="Times New Roman" w:eastAsia="宋体" w:cs="Times New Roman"/>
                <w:bCs/>
                <w:color w:val="auto"/>
                <w:kern w:val="44"/>
                <w:sz w:val="21"/>
                <w:szCs w:val="21"/>
                <w:lang w:val="en-US" w:eastAsia="zh-CN"/>
              </w:rPr>
              <w:t>10</w:t>
            </w:r>
          </w:p>
        </w:tc>
        <w:tc>
          <w:tcPr>
            <w:tcW w:w="120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eastAsia" w:ascii="Times New Roman" w:hAnsi="Times New Roman" w:eastAsia="宋体" w:cs="Times New Roman"/>
                <w:bCs/>
                <w:color w:val="auto"/>
                <w:kern w:val="44"/>
                <w:sz w:val="21"/>
                <w:szCs w:val="21"/>
                <w:lang w:val="en-US" w:eastAsia="zh-CN"/>
              </w:rPr>
            </w:pPr>
            <w:r>
              <w:rPr>
                <w:rFonts w:hint="eastAsia" w:ascii="Times New Roman" w:hAnsi="Times New Roman" w:eastAsia="宋体" w:cs="Times New Roman"/>
                <w:bCs/>
                <w:color w:val="auto"/>
                <w:kern w:val="44"/>
                <w:sz w:val="21"/>
                <w:szCs w:val="21"/>
                <w:lang w:val="en-US" w:eastAsia="zh-CN"/>
              </w:rPr>
              <w:t>0.0005</w:t>
            </w:r>
          </w:p>
        </w:tc>
        <w:tc>
          <w:tcPr>
            <w:tcW w:w="991" w:type="dxa"/>
            <w:gridSpan w:val="5"/>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eastAsia" w:ascii="Times New Roman" w:hAnsi="Times New Roman" w:eastAsia="宋体" w:cs="Times New Roman"/>
                <w:bCs/>
                <w:color w:val="auto"/>
                <w:kern w:val="44"/>
                <w:sz w:val="21"/>
                <w:szCs w:val="21"/>
                <w:lang w:val="en-US" w:eastAsia="zh-CN"/>
              </w:rPr>
            </w:pPr>
            <w:r>
              <w:rPr>
                <w:rFonts w:hint="eastAsia" w:ascii="Times New Roman" w:hAnsi="Times New Roman" w:eastAsia="宋体" w:cs="Times New Roman"/>
                <w:bCs/>
                <w:color w:val="auto"/>
                <w:kern w:val="44"/>
                <w:sz w:val="21"/>
                <w:szCs w:val="21"/>
                <w:lang w:val="en-US" w:eastAsia="zh-CN"/>
              </w:rPr>
              <w:t>0.0021</w:t>
            </w:r>
          </w:p>
        </w:tc>
        <w:tc>
          <w:tcPr>
            <w:tcW w:w="1316" w:type="dxa"/>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92" w:right="0" w:firstLine="0"/>
              <w:jc w:val="center"/>
              <w:outlineLvl w:val="9"/>
              <w:rPr>
                <w:rFonts w:hint="default" w:ascii="Times New Roman" w:hAnsi="Times New Roman" w:eastAsia="宋体" w:cs="Times New Roman"/>
                <w:bCs/>
                <w:color w:val="auto"/>
                <w:kern w:val="44"/>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vMerge w:val="continue"/>
            <w:tcBorders>
              <w:left w:val="single" w:color="auto" w:sz="4" w:space="0"/>
            </w:tcBorders>
            <w:noWrap w:val="0"/>
          </w:tcPr>
          <w:p/>
        </w:tc>
        <w:tc>
          <w:tcPr>
            <w:tcW w:w="689"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环境敏感性</w:t>
            </w:r>
          </w:p>
        </w:tc>
        <w:tc>
          <w:tcPr>
            <w:tcW w:w="91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大气</w:t>
            </w:r>
          </w:p>
        </w:tc>
        <w:tc>
          <w:tcPr>
            <w:tcW w:w="3627" w:type="dxa"/>
            <w:gridSpan w:val="8"/>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lang w:eastAsia="zh-CN"/>
              </w:rPr>
            </w:pPr>
            <w:r>
              <w:rPr>
                <w:rFonts w:hint="default" w:ascii="Times New Roman" w:hAnsi="Times New Roman" w:eastAsia="宋体" w:cs="Times New Roman"/>
                <w:bCs/>
                <w:color w:val="auto"/>
                <w:kern w:val="44"/>
                <w:sz w:val="21"/>
                <w:szCs w:val="21"/>
                <w:lang w:bidi="ar"/>
              </w:rPr>
              <w:t>500m范围内</w:t>
            </w:r>
            <w:r>
              <w:rPr>
                <w:rFonts w:hint="default" w:ascii="Times New Roman" w:hAnsi="Times New Roman" w:eastAsia="宋体" w:cs="Times New Roman"/>
                <w:bCs/>
                <w:color w:val="auto"/>
                <w:spacing w:val="1"/>
                <w:kern w:val="44"/>
                <w:sz w:val="21"/>
                <w:szCs w:val="21"/>
                <w:lang w:bidi="ar"/>
              </w:rPr>
              <w:t>人</w:t>
            </w:r>
            <w:r>
              <w:rPr>
                <w:rFonts w:hint="default" w:ascii="Times New Roman" w:hAnsi="Times New Roman" w:eastAsia="宋体" w:cs="Times New Roman"/>
                <w:bCs/>
                <w:color w:val="auto"/>
                <w:kern w:val="44"/>
                <w:sz w:val="21"/>
                <w:szCs w:val="21"/>
                <w:lang w:bidi="ar"/>
              </w:rPr>
              <w:t>口数</w:t>
            </w:r>
            <w:r>
              <w:rPr>
                <w:rFonts w:hint="eastAsia" w:ascii="Times New Roman" w:hAnsi="Times New Roman" w:eastAsia="宋体" w:cs="Times New Roman"/>
                <w:bCs/>
                <w:color w:val="auto"/>
                <w:kern w:val="44"/>
                <w:sz w:val="21"/>
                <w:szCs w:val="21"/>
                <w:lang w:val="en-US" w:eastAsia="zh-CN" w:bidi="ar"/>
              </w:rPr>
              <w:t>350</w:t>
            </w:r>
            <w:r>
              <w:rPr>
                <w:rFonts w:hint="default" w:ascii="Times New Roman" w:hAnsi="Times New Roman" w:eastAsia="宋体" w:cs="Times New Roman"/>
                <w:bCs/>
                <w:color w:val="auto"/>
                <w:kern w:val="44"/>
                <w:sz w:val="21"/>
                <w:szCs w:val="21"/>
                <w:lang w:bidi="ar"/>
              </w:rPr>
              <w:t>人</w:t>
            </w:r>
            <w:r>
              <w:rPr>
                <w:rFonts w:hint="default" w:ascii="Times New Roman" w:hAnsi="Times New Roman" w:eastAsia="宋体" w:cs="Times New Roman"/>
                <w:bCs/>
                <w:color w:val="auto"/>
                <w:kern w:val="44"/>
                <w:sz w:val="21"/>
                <w:szCs w:val="21"/>
                <w:lang w:eastAsia="zh-CN" w:bidi="ar"/>
              </w:rPr>
              <w:t>（</w:t>
            </w:r>
            <w:r>
              <w:rPr>
                <w:rFonts w:hint="default" w:ascii="Times New Roman" w:hAnsi="Times New Roman" w:eastAsia="宋体" w:cs="Times New Roman"/>
                <w:bCs/>
                <w:color w:val="auto"/>
                <w:kern w:val="44"/>
                <w:sz w:val="21"/>
                <w:szCs w:val="21"/>
                <w:lang w:val="en-US" w:eastAsia="zh-CN" w:bidi="ar"/>
              </w:rPr>
              <w:t>企业职工</w:t>
            </w:r>
            <w:r>
              <w:rPr>
                <w:rFonts w:hint="default" w:ascii="Times New Roman" w:hAnsi="Times New Roman" w:eastAsia="宋体" w:cs="Times New Roman"/>
                <w:bCs/>
                <w:color w:val="auto"/>
                <w:kern w:val="44"/>
                <w:sz w:val="21"/>
                <w:szCs w:val="21"/>
                <w:lang w:eastAsia="zh-CN" w:bidi="ar"/>
              </w:rPr>
              <w:t>）</w:t>
            </w:r>
          </w:p>
        </w:tc>
        <w:tc>
          <w:tcPr>
            <w:tcW w:w="3648" w:type="dxa"/>
            <w:gridSpan w:val="9"/>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lang w:val="en-US"/>
              </w:rPr>
            </w:pPr>
            <w:r>
              <w:rPr>
                <w:rFonts w:hint="default" w:ascii="Times New Roman" w:hAnsi="Times New Roman" w:eastAsia="宋体" w:cs="Times New Roman"/>
                <w:bCs/>
                <w:color w:val="auto"/>
                <w:kern w:val="44"/>
                <w:sz w:val="21"/>
                <w:szCs w:val="21"/>
                <w:lang w:bidi="ar"/>
              </w:rPr>
              <w:t>5km范围</w:t>
            </w:r>
            <w:r>
              <w:rPr>
                <w:rFonts w:hint="default" w:ascii="Times New Roman" w:hAnsi="Times New Roman" w:eastAsia="宋体" w:cs="Times New Roman"/>
                <w:bCs/>
                <w:color w:val="auto"/>
                <w:spacing w:val="1"/>
                <w:kern w:val="44"/>
                <w:sz w:val="21"/>
                <w:szCs w:val="21"/>
                <w:lang w:bidi="ar"/>
              </w:rPr>
              <w:t>人</w:t>
            </w:r>
            <w:r>
              <w:rPr>
                <w:rFonts w:hint="default" w:ascii="Times New Roman" w:hAnsi="Times New Roman" w:eastAsia="宋体" w:cs="Times New Roman"/>
                <w:bCs/>
                <w:color w:val="auto"/>
                <w:kern w:val="44"/>
                <w:sz w:val="21"/>
                <w:szCs w:val="21"/>
                <w:lang w:bidi="ar"/>
              </w:rPr>
              <w:t>口数</w:t>
            </w:r>
            <w:r>
              <w:rPr>
                <w:rFonts w:hint="eastAsia" w:ascii="Times New Roman" w:hAnsi="Times New Roman" w:eastAsia="宋体" w:cs="Times New Roman"/>
                <w:bCs/>
                <w:color w:val="auto"/>
                <w:kern w:val="44"/>
                <w:sz w:val="21"/>
                <w:szCs w:val="21"/>
                <w:lang w:val="en-US" w:eastAsia="zh-CN" w:bidi="ar"/>
              </w:rPr>
              <w:t>小于5万，大于1万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vMerge w:val="continue"/>
            <w:tcBorders>
              <w:left w:val="single" w:color="auto" w:sz="4" w:space="0"/>
            </w:tcBorders>
            <w:noWrap w:val="0"/>
          </w:tcPr>
          <w:p/>
        </w:tc>
        <w:tc>
          <w:tcPr>
            <w:vMerge w:val="continue"/>
            <w:noWrap w:val="0"/>
          </w:tcPr>
          <w:p/>
        </w:tc>
        <w:tc>
          <w:tcPr>
            <w:tcW w:w="914"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地表水</w:t>
            </w:r>
          </w:p>
        </w:tc>
        <w:tc>
          <w:tcPr>
            <w:tcW w:w="2001" w:type="dxa"/>
            <w:gridSpan w:val="5"/>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地表水功能敏感性</w:t>
            </w:r>
          </w:p>
        </w:tc>
        <w:tc>
          <w:tcPr>
            <w:tcW w:w="1626"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F</w:t>
            </w:r>
            <w:r>
              <w:rPr>
                <w:rFonts w:hint="default" w:ascii="Times New Roman" w:hAnsi="Times New Roman" w:eastAsia="宋体" w:cs="Times New Roman"/>
                <w:bCs/>
                <w:color w:val="auto"/>
                <w:kern w:val="44"/>
                <w:sz w:val="21"/>
                <w:szCs w:val="21"/>
                <w:lang w:bidi="ar"/>
              </w:rPr>
              <w:t>1□</w:t>
            </w:r>
          </w:p>
        </w:tc>
        <w:tc>
          <w:tcPr>
            <w:tcW w:w="2317" w:type="dxa"/>
            <w:gridSpan w:val="7"/>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F</w:t>
            </w:r>
            <w:r>
              <w:rPr>
                <w:rFonts w:hint="default" w:ascii="Times New Roman" w:hAnsi="Times New Roman" w:eastAsia="宋体" w:cs="Times New Roman"/>
                <w:bCs/>
                <w:color w:val="auto"/>
                <w:kern w:val="44"/>
                <w:sz w:val="21"/>
                <w:szCs w:val="21"/>
                <w:lang w:bidi="ar"/>
              </w:rPr>
              <w:t>2</w:t>
            </w:r>
            <w:r>
              <w:rPr>
                <w:rFonts w:hint="default" w:ascii="Times New Roman" w:hAnsi="Times New Roman" w:eastAsia="宋体" w:cs="Times New Roman"/>
                <w:bCs/>
                <w:color w:val="auto"/>
                <w:kern w:val="44"/>
                <w:sz w:val="21"/>
                <w:szCs w:val="21"/>
                <w:lang w:bidi="ar"/>
              </w:rPr>
              <w:fldChar w:fldCharType="begin"/>
            </w:r>
            <w:r>
              <w:rPr>
                <w:rFonts w:hint="default" w:ascii="Times New Roman" w:hAnsi="Times New Roman" w:eastAsia="宋体" w:cs="Times New Roman"/>
                <w:bCs/>
                <w:color w:val="auto"/>
                <w:kern w:val="44"/>
                <w:sz w:val="21"/>
                <w:szCs w:val="21"/>
                <w:lang w:bidi="ar"/>
              </w:rPr>
              <w:instrText xml:space="preserve"> eq \o\ac(</w:instrText>
            </w:r>
            <w:r>
              <w:rPr>
                <w:rFonts w:hint="default" w:ascii="Times New Roman" w:hAnsi="Times New Roman" w:eastAsia="宋体" w:cs="Times New Roman"/>
                <w:bCs/>
                <w:color w:val="auto"/>
                <w:kern w:val="44"/>
                <w:position w:val="-4"/>
                <w:sz w:val="31"/>
                <w:szCs w:val="21"/>
                <w:lang w:bidi="ar"/>
              </w:rPr>
              <w:instrText xml:space="preserve">□</w:instrText>
            </w:r>
            <w:r>
              <w:rPr>
                <w:rFonts w:hint="default" w:ascii="Times New Roman" w:hAnsi="Times New Roman" w:eastAsia="宋体" w:cs="Times New Roman"/>
                <w:bCs/>
                <w:color w:val="auto"/>
                <w:kern w:val="44"/>
                <w:position w:val="0"/>
                <w:sz w:val="21"/>
                <w:szCs w:val="21"/>
                <w:lang w:bidi="ar"/>
              </w:rPr>
              <w:instrText xml:space="preserve">,√)</w:instrText>
            </w:r>
            <w:r>
              <w:rPr>
                <w:rFonts w:hint="default" w:ascii="Times New Roman" w:hAnsi="Times New Roman" w:eastAsia="宋体" w:cs="Times New Roman"/>
                <w:bCs/>
                <w:color w:val="auto"/>
                <w:kern w:val="44"/>
                <w:sz w:val="21"/>
                <w:szCs w:val="21"/>
                <w:lang w:bidi="ar"/>
              </w:rPr>
              <w:fldChar w:fldCharType="end"/>
            </w:r>
          </w:p>
        </w:tc>
        <w:tc>
          <w:tcPr>
            <w:tcW w:w="1331" w:type="dxa"/>
            <w:gridSpan w:val="2"/>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F</w:t>
            </w:r>
            <w:r>
              <w:rPr>
                <w:rFonts w:hint="default" w:ascii="Times New Roman" w:hAnsi="Times New Roman" w:eastAsia="宋体" w:cs="Times New Roman"/>
                <w:bCs/>
                <w:color w:val="auto"/>
                <w:kern w:val="44"/>
                <w:sz w:val="21"/>
                <w:szCs w:val="21"/>
                <w:lang w:bidi="ar"/>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vMerge w:val="continue"/>
            <w:tcBorders>
              <w:left w:val="single" w:color="auto" w:sz="4" w:space="0"/>
            </w:tcBorders>
            <w:noWrap w:val="0"/>
          </w:tcPr>
          <w:p/>
        </w:tc>
        <w:tc>
          <w:tcPr>
            <w:vMerge w:val="continue"/>
            <w:noWrap w:val="0"/>
          </w:tcPr>
          <w:p/>
        </w:tc>
        <w:tc>
          <w:tcPr>
            <w:vMerge w:val="continue"/>
            <w:noWrap w:val="0"/>
          </w:tcPr>
          <w:p/>
        </w:tc>
        <w:tc>
          <w:tcPr>
            <w:tcW w:w="2001" w:type="dxa"/>
            <w:gridSpan w:val="5"/>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环境敏感目标分级</w:t>
            </w:r>
          </w:p>
        </w:tc>
        <w:tc>
          <w:tcPr>
            <w:tcW w:w="1626"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S</w:t>
            </w:r>
            <w:r>
              <w:rPr>
                <w:rFonts w:hint="default" w:ascii="Times New Roman" w:hAnsi="Times New Roman" w:eastAsia="宋体" w:cs="Times New Roman"/>
                <w:bCs/>
                <w:color w:val="auto"/>
                <w:kern w:val="44"/>
                <w:sz w:val="21"/>
                <w:szCs w:val="21"/>
                <w:lang w:bidi="ar"/>
              </w:rPr>
              <w:t>1□</w:t>
            </w:r>
          </w:p>
        </w:tc>
        <w:tc>
          <w:tcPr>
            <w:tcW w:w="2317" w:type="dxa"/>
            <w:gridSpan w:val="7"/>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S</w:t>
            </w:r>
            <w:r>
              <w:rPr>
                <w:rFonts w:hint="default" w:ascii="Times New Roman" w:hAnsi="Times New Roman" w:eastAsia="宋体" w:cs="Times New Roman"/>
                <w:bCs/>
                <w:color w:val="auto"/>
                <w:kern w:val="44"/>
                <w:sz w:val="21"/>
                <w:szCs w:val="21"/>
                <w:lang w:bidi="ar"/>
              </w:rPr>
              <w:t>2</w:t>
            </w:r>
            <w:r>
              <w:rPr>
                <w:rFonts w:hint="default" w:ascii="Times New Roman" w:hAnsi="Times New Roman" w:eastAsia="宋体" w:cs="Times New Roman"/>
                <w:bCs/>
                <w:color w:val="auto"/>
                <w:kern w:val="44"/>
                <w:sz w:val="21"/>
                <w:szCs w:val="21"/>
                <w:lang w:bidi="ar"/>
              </w:rPr>
              <w:fldChar w:fldCharType="begin"/>
            </w:r>
            <w:r>
              <w:rPr>
                <w:rFonts w:hint="default" w:ascii="Times New Roman" w:hAnsi="Times New Roman" w:eastAsia="宋体" w:cs="Times New Roman"/>
                <w:bCs/>
                <w:color w:val="auto"/>
                <w:kern w:val="44"/>
                <w:sz w:val="21"/>
                <w:szCs w:val="21"/>
                <w:lang w:bidi="ar"/>
              </w:rPr>
              <w:instrText xml:space="preserve"> eq \o\ac(</w:instrText>
            </w:r>
            <w:r>
              <w:rPr>
                <w:rFonts w:hint="default" w:ascii="Times New Roman" w:hAnsi="Times New Roman" w:eastAsia="宋体" w:cs="Times New Roman"/>
                <w:bCs/>
                <w:color w:val="auto"/>
                <w:kern w:val="44"/>
                <w:position w:val="-4"/>
                <w:sz w:val="31"/>
                <w:szCs w:val="21"/>
                <w:lang w:bidi="ar"/>
              </w:rPr>
              <w:instrText xml:space="preserve">□</w:instrText>
            </w:r>
            <w:r>
              <w:rPr>
                <w:rFonts w:hint="default" w:ascii="Times New Roman" w:hAnsi="Times New Roman" w:eastAsia="宋体" w:cs="Times New Roman"/>
                <w:bCs/>
                <w:color w:val="auto"/>
                <w:kern w:val="44"/>
                <w:position w:val="0"/>
                <w:sz w:val="21"/>
                <w:szCs w:val="21"/>
                <w:lang w:bidi="ar"/>
              </w:rPr>
              <w:instrText xml:space="preserve">,√)</w:instrText>
            </w:r>
            <w:r>
              <w:rPr>
                <w:rFonts w:hint="default" w:ascii="Times New Roman" w:hAnsi="Times New Roman" w:eastAsia="宋体" w:cs="Times New Roman"/>
                <w:bCs/>
                <w:color w:val="auto"/>
                <w:kern w:val="44"/>
                <w:sz w:val="21"/>
                <w:szCs w:val="21"/>
                <w:lang w:bidi="ar"/>
              </w:rPr>
              <w:fldChar w:fldCharType="end"/>
            </w:r>
          </w:p>
        </w:tc>
        <w:tc>
          <w:tcPr>
            <w:tcW w:w="1331" w:type="dxa"/>
            <w:gridSpan w:val="2"/>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S</w:t>
            </w:r>
            <w:r>
              <w:rPr>
                <w:rFonts w:hint="default" w:ascii="Times New Roman" w:hAnsi="Times New Roman" w:eastAsia="宋体" w:cs="Times New Roman"/>
                <w:bCs/>
                <w:color w:val="auto"/>
                <w:kern w:val="44"/>
                <w:sz w:val="21"/>
                <w:szCs w:val="21"/>
                <w:lang w:bidi="ar"/>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vMerge w:val="continue"/>
            <w:tcBorders>
              <w:left w:val="single" w:color="auto" w:sz="4" w:space="0"/>
            </w:tcBorders>
            <w:noWrap w:val="0"/>
          </w:tcPr>
          <w:p/>
        </w:tc>
        <w:tc>
          <w:tcPr>
            <w:vMerge w:val="continue"/>
            <w:noWrap w:val="0"/>
          </w:tcPr>
          <w:p/>
        </w:tc>
        <w:tc>
          <w:tcPr>
            <w:tcW w:w="914"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地下水</w:t>
            </w:r>
          </w:p>
        </w:tc>
        <w:tc>
          <w:tcPr>
            <w:tcW w:w="2001" w:type="dxa"/>
            <w:gridSpan w:val="5"/>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地下水功能敏感性</w:t>
            </w:r>
          </w:p>
        </w:tc>
        <w:tc>
          <w:tcPr>
            <w:tcW w:w="1626"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G</w:t>
            </w:r>
            <w:r>
              <w:rPr>
                <w:rFonts w:hint="default" w:ascii="Times New Roman" w:hAnsi="Times New Roman" w:eastAsia="宋体" w:cs="Times New Roman"/>
                <w:bCs/>
                <w:color w:val="auto"/>
                <w:kern w:val="44"/>
                <w:sz w:val="21"/>
                <w:szCs w:val="21"/>
                <w:lang w:bidi="ar"/>
              </w:rPr>
              <w:t>1□</w:t>
            </w:r>
          </w:p>
        </w:tc>
        <w:tc>
          <w:tcPr>
            <w:tcW w:w="2317" w:type="dxa"/>
            <w:gridSpan w:val="7"/>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G</w:t>
            </w:r>
            <w:r>
              <w:rPr>
                <w:rFonts w:hint="default" w:ascii="Times New Roman" w:hAnsi="Times New Roman" w:eastAsia="宋体" w:cs="Times New Roman"/>
                <w:bCs/>
                <w:color w:val="auto"/>
                <w:kern w:val="44"/>
                <w:sz w:val="21"/>
                <w:szCs w:val="21"/>
                <w:lang w:bidi="ar"/>
              </w:rPr>
              <w:t>2□</w:t>
            </w:r>
          </w:p>
        </w:tc>
        <w:tc>
          <w:tcPr>
            <w:tcW w:w="1331" w:type="dxa"/>
            <w:gridSpan w:val="2"/>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G</w:t>
            </w:r>
            <w:r>
              <w:rPr>
                <w:rFonts w:hint="default" w:ascii="Times New Roman" w:hAnsi="Times New Roman" w:eastAsia="宋体" w:cs="Times New Roman"/>
                <w:bCs/>
                <w:color w:val="auto"/>
                <w:kern w:val="44"/>
                <w:sz w:val="21"/>
                <w:szCs w:val="21"/>
                <w:lang w:bidi="ar"/>
              </w:rPr>
              <w:t>3</w:t>
            </w:r>
            <w:r>
              <w:rPr>
                <w:rFonts w:hint="default" w:ascii="Times New Roman" w:hAnsi="Times New Roman" w:eastAsia="宋体" w:cs="Times New Roman"/>
                <w:bCs/>
                <w:color w:val="auto"/>
                <w:kern w:val="44"/>
                <w:sz w:val="21"/>
                <w:szCs w:val="21"/>
                <w:lang w:bidi="ar"/>
              </w:rPr>
              <w:fldChar w:fldCharType="begin"/>
            </w:r>
            <w:r>
              <w:rPr>
                <w:rFonts w:hint="default" w:ascii="Times New Roman" w:hAnsi="Times New Roman" w:eastAsia="宋体" w:cs="Times New Roman"/>
                <w:bCs/>
                <w:color w:val="auto"/>
                <w:kern w:val="44"/>
                <w:sz w:val="21"/>
                <w:szCs w:val="21"/>
                <w:lang w:bidi="ar"/>
              </w:rPr>
              <w:instrText xml:space="preserve"> eq \o\ac(</w:instrText>
            </w:r>
            <w:r>
              <w:rPr>
                <w:rFonts w:hint="default" w:ascii="Times New Roman" w:hAnsi="Times New Roman" w:eastAsia="宋体" w:cs="Times New Roman"/>
                <w:bCs/>
                <w:color w:val="auto"/>
                <w:kern w:val="44"/>
                <w:position w:val="-4"/>
                <w:sz w:val="31"/>
                <w:szCs w:val="21"/>
                <w:lang w:bidi="ar"/>
              </w:rPr>
              <w:instrText xml:space="preserve">□</w:instrText>
            </w:r>
            <w:r>
              <w:rPr>
                <w:rFonts w:hint="default" w:ascii="Times New Roman" w:hAnsi="Times New Roman" w:eastAsia="宋体" w:cs="Times New Roman"/>
                <w:bCs/>
                <w:color w:val="auto"/>
                <w:kern w:val="44"/>
                <w:position w:val="0"/>
                <w:sz w:val="21"/>
                <w:szCs w:val="21"/>
                <w:lang w:bidi="ar"/>
              </w:rPr>
              <w:instrText xml:space="preserve">,√)</w:instrText>
            </w:r>
            <w:r>
              <w:rPr>
                <w:rFonts w:hint="default" w:ascii="Times New Roman" w:hAnsi="Times New Roman" w:eastAsia="宋体" w:cs="Times New Roman"/>
                <w:bCs/>
                <w:color w:val="auto"/>
                <w:kern w:val="44"/>
                <w:sz w:val="21"/>
                <w:szCs w:val="21"/>
                <w:lang w:bidi="ar"/>
              </w:rPr>
              <w:fldChar w:fldCharType="end"/>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vMerge w:val="continue"/>
            <w:tcBorders>
              <w:left w:val="single" w:color="auto" w:sz="4" w:space="0"/>
            </w:tcBorders>
            <w:noWrap w:val="0"/>
          </w:tcPr>
          <w:p/>
        </w:tc>
        <w:tc>
          <w:tcPr>
            <w:vMerge w:val="continue"/>
            <w:noWrap w:val="0"/>
          </w:tcPr>
          <w:p/>
        </w:tc>
        <w:tc>
          <w:tcPr>
            <w:vMerge w:val="continue"/>
            <w:noWrap w:val="0"/>
          </w:tcPr>
          <w:p/>
        </w:tc>
        <w:tc>
          <w:tcPr>
            <w:tcW w:w="2001" w:type="dxa"/>
            <w:gridSpan w:val="5"/>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包气带防污性能</w:t>
            </w:r>
          </w:p>
        </w:tc>
        <w:tc>
          <w:tcPr>
            <w:tcW w:w="1626"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D</w:t>
            </w:r>
            <w:r>
              <w:rPr>
                <w:rFonts w:hint="default" w:ascii="Times New Roman" w:hAnsi="Times New Roman" w:eastAsia="宋体" w:cs="Times New Roman"/>
                <w:bCs/>
                <w:color w:val="auto"/>
                <w:kern w:val="44"/>
                <w:sz w:val="21"/>
                <w:szCs w:val="21"/>
                <w:lang w:bidi="ar"/>
              </w:rPr>
              <w:t>1□</w:t>
            </w:r>
          </w:p>
        </w:tc>
        <w:tc>
          <w:tcPr>
            <w:tcW w:w="2317" w:type="dxa"/>
            <w:gridSpan w:val="7"/>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D</w:t>
            </w:r>
            <w:r>
              <w:rPr>
                <w:rFonts w:hint="default" w:ascii="Times New Roman" w:hAnsi="Times New Roman" w:eastAsia="宋体" w:cs="Times New Roman"/>
                <w:bCs/>
                <w:color w:val="auto"/>
                <w:kern w:val="44"/>
                <w:sz w:val="21"/>
                <w:szCs w:val="21"/>
                <w:lang w:bidi="ar"/>
              </w:rPr>
              <w:t>2</w:t>
            </w:r>
            <w:r>
              <w:rPr>
                <w:rFonts w:hint="default" w:ascii="Times New Roman" w:hAnsi="Times New Roman" w:eastAsia="宋体" w:cs="Times New Roman"/>
                <w:bCs/>
                <w:color w:val="auto"/>
                <w:kern w:val="44"/>
                <w:sz w:val="21"/>
                <w:szCs w:val="21"/>
                <w:lang w:bidi="ar"/>
              </w:rPr>
              <w:fldChar w:fldCharType="begin"/>
            </w:r>
            <w:r>
              <w:rPr>
                <w:rFonts w:hint="default" w:ascii="Times New Roman" w:hAnsi="Times New Roman" w:eastAsia="宋体" w:cs="Times New Roman"/>
                <w:bCs/>
                <w:color w:val="auto"/>
                <w:kern w:val="44"/>
                <w:sz w:val="21"/>
                <w:szCs w:val="21"/>
                <w:lang w:bidi="ar"/>
              </w:rPr>
              <w:instrText xml:space="preserve"> eq \o\ac(</w:instrText>
            </w:r>
            <w:r>
              <w:rPr>
                <w:rFonts w:hint="default" w:ascii="Times New Roman" w:hAnsi="Times New Roman" w:eastAsia="宋体" w:cs="Times New Roman"/>
                <w:bCs/>
                <w:color w:val="auto"/>
                <w:kern w:val="44"/>
                <w:position w:val="-4"/>
                <w:sz w:val="31"/>
                <w:szCs w:val="21"/>
                <w:lang w:bidi="ar"/>
              </w:rPr>
              <w:instrText xml:space="preserve">□</w:instrText>
            </w:r>
            <w:r>
              <w:rPr>
                <w:rFonts w:hint="default" w:ascii="Times New Roman" w:hAnsi="Times New Roman" w:eastAsia="宋体" w:cs="Times New Roman"/>
                <w:bCs/>
                <w:color w:val="auto"/>
                <w:kern w:val="44"/>
                <w:position w:val="0"/>
                <w:sz w:val="21"/>
                <w:szCs w:val="21"/>
                <w:lang w:bidi="ar"/>
              </w:rPr>
              <w:instrText xml:space="preserve">,√)</w:instrText>
            </w:r>
            <w:r>
              <w:rPr>
                <w:rFonts w:hint="default" w:ascii="Times New Roman" w:hAnsi="Times New Roman" w:eastAsia="宋体" w:cs="Times New Roman"/>
                <w:bCs/>
                <w:color w:val="auto"/>
                <w:kern w:val="44"/>
                <w:sz w:val="21"/>
                <w:szCs w:val="21"/>
                <w:lang w:bidi="ar"/>
              </w:rPr>
              <w:fldChar w:fldCharType="end"/>
            </w:r>
          </w:p>
        </w:tc>
        <w:tc>
          <w:tcPr>
            <w:tcW w:w="1331" w:type="dxa"/>
            <w:gridSpan w:val="2"/>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D</w:t>
            </w:r>
            <w:r>
              <w:rPr>
                <w:rFonts w:hint="default" w:ascii="Times New Roman" w:hAnsi="Times New Roman" w:eastAsia="宋体" w:cs="Times New Roman"/>
                <w:bCs/>
                <w:color w:val="auto"/>
                <w:kern w:val="44"/>
                <w:sz w:val="21"/>
                <w:szCs w:val="21"/>
                <w:lang w:bidi="ar"/>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7" w:type="dxa"/>
            <w:gridSpan w:val="2"/>
            <w:vMerge w:val="restart"/>
            <w:tcBorders>
              <w:lef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物质及工艺系统危险性</w:t>
            </w:r>
          </w:p>
        </w:tc>
        <w:tc>
          <w:tcPr>
            <w:tcW w:w="91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i/>
                <w:color w:val="auto"/>
                <w:kern w:val="44"/>
                <w:sz w:val="21"/>
                <w:szCs w:val="21"/>
                <w:lang w:bidi="ar"/>
              </w:rPr>
              <w:t>Q</w:t>
            </w:r>
            <w:r>
              <w:rPr>
                <w:rFonts w:hint="default" w:ascii="Times New Roman" w:hAnsi="Times New Roman" w:eastAsia="宋体" w:cs="Times New Roman"/>
                <w:bCs/>
                <w:color w:val="auto"/>
                <w:kern w:val="44"/>
                <w:sz w:val="21"/>
                <w:szCs w:val="21"/>
                <w:lang w:bidi="ar"/>
              </w:rPr>
              <w:t>值</w:t>
            </w:r>
          </w:p>
        </w:tc>
        <w:tc>
          <w:tcPr>
            <w:tcW w:w="2001" w:type="dxa"/>
            <w:gridSpan w:val="5"/>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i/>
                <w:color w:val="auto"/>
                <w:spacing w:val="-1"/>
                <w:kern w:val="44"/>
                <w:sz w:val="21"/>
                <w:szCs w:val="21"/>
                <w:lang w:bidi="ar"/>
              </w:rPr>
              <w:t>Q</w:t>
            </w:r>
            <w:r>
              <w:rPr>
                <w:rFonts w:hint="default" w:ascii="Times New Roman" w:hAnsi="Times New Roman" w:eastAsia="宋体" w:cs="Times New Roman"/>
                <w:bCs/>
                <w:color w:val="auto"/>
                <w:kern w:val="44"/>
                <w:sz w:val="21"/>
                <w:szCs w:val="21"/>
                <w:lang w:bidi="ar"/>
              </w:rPr>
              <w:t>＜1□</w:t>
            </w:r>
          </w:p>
        </w:tc>
        <w:tc>
          <w:tcPr>
            <w:tcW w:w="1626"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1≤</w:t>
            </w:r>
            <w:r>
              <w:rPr>
                <w:rFonts w:hint="default" w:ascii="Times New Roman" w:hAnsi="Times New Roman" w:eastAsia="宋体" w:cs="Times New Roman"/>
                <w:bCs/>
                <w:i/>
                <w:color w:val="auto"/>
                <w:spacing w:val="-1"/>
                <w:kern w:val="44"/>
                <w:sz w:val="21"/>
                <w:szCs w:val="21"/>
                <w:lang w:bidi="ar"/>
              </w:rPr>
              <w:t>Q</w:t>
            </w:r>
            <w:r>
              <w:rPr>
                <w:rFonts w:hint="default" w:ascii="Times New Roman" w:hAnsi="Times New Roman" w:eastAsia="宋体" w:cs="Times New Roman"/>
                <w:bCs/>
                <w:color w:val="auto"/>
                <w:kern w:val="44"/>
                <w:sz w:val="21"/>
                <w:szCs w:val="21"/>
                <w:lang w:bidi="ar"/>
              </w:rPr>
              <w:t>＜10□</w:t>
            </w:r>
          </w:p>
        </w:tc>
        <w:tc>
          <w:tcPr>
            <w:tcW w:w="2317" w:type="dxa"/>
            <w:gridSpan w:val="7"/>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10≤</w:t>
            </w:r>
            <w:r>
              <w:rPr>
                <w:rFonts w:hint="default" w:ascii="Times New Roman" w:hAnsi="Times New Roman" w:eastAsia="宋体" w:cs="Times New Roman"/>
                <w:bCs/>
                <w:i/>
                <w:color w:val="auto"/>
                <w:spacing w:val="-1"/>
                <w:kern w:val="44"/>
                <w:sz w:val="21"/>
                <w:szCs w:val="21"/>
                <w:lang w:bidi="ar"/>
              </w:rPr>
              <w:t>Q</w:t>
            </w:r>
            <w:r>
              <w:rPr>
                <w:rFonts w:hint="default" w:ascii="Times New Roman" w:hAnsi="Times New Roman" w:eastAsia="宋体" w:cs="Times New Roman"/>
                <w:bCs/>
                <w:color w:val="auto"/>
                <w:kern w:val="44"/>
                <w:sz w:val="21"/>
                <w:szCs w:val="21"/>
                <w:lang w:bidi="ar"/>
              </w:rPr>
              <w:t>＜100</w:t>
            </w:r>
            <w:r>
              <w:rPr>
                <w:rFonts w:hint="default" w:ascii="Times New Roman" w:hAnsi="Times New Roman" w:eastAsia="宋体" w:cs="Times New Roman"/>
                <w:bCs/>
                <w:color w:val="auto"/>
                <w:kern w:val="44"/>
                <w:sz w:val="21"/>
                <w:szCs w:val="21"/>
                <w:lang w:bidi="ar"/>
              </w:rPr>
              <w:fldChar w:fldCharType="begin"/>
            </w:r>
            <w:r>
              <w:rPr>
                <w:rFonts w:hint="default" w:ascii="Times New Roman" w:hAnsi="Times New Roman" w:eastAsia="宋体" w:cs="Times New Roman"/>
                <w:bCs/>
                <w:color w:val="auto"/>
                <w:kern w:val="44"/>
                <w:sz w:val="21"/>
                <w:szCs w:val="21"/>
                <w:lang w:bidi="ar"/>
              </w:rPr>
              <w:instrText xml:space="preserve"> eq \o\ac(</w:instrText>
            </w:r>
            <w:r>
              <w:rPr>
                <w:rFonts w:hint="default" w:ascii="Times New Roman" w:hAnsi="Times New Roman" w:eastAsia="宋体" w:cs="Times New Roman"/>
                <w:bCs/>
                <w:color w:val="auto"/>
                <w:kern w:val="44"/>
                <w:position w:val="-4"/>
                <w:sz w:val="31"/>
                <w:szCs w:val="21"/>
                <w:lang w:bidi="ar"/>
              </w:rPr>
              <w:instrText xml:space="preserve">□</w:instrText>
            </w:r>
            <w:r>
              <w:rPr>
                <w:rFonts w:hint="default" w:ascii="Times New Roman" w:hAnsi="Times New Roman" w:eastAsia="宋体" w:cs="Times New Roman"/>
                <w:bCs/>
                <w:color w:val="auto"/>
                <w:kern w:val="44"/>
                <w:position w:val="0"/>
                <w:sz w:val="21"/>
                <w:szCs w:val="21"/>
                <w:lang w:bidi="ar"/>
              </w:rPr>
              <w:instrText xml:space="preserve">,√)</w:instrText>
            </w:r>
            <w:r>
              <w:rPr>
                <w:rFonts w:hint="default" w:ascii="Times New Roman" w:hAnsi="Times New Roman" w:eastAsia="宋体" w:cs="Times New Roman"/>
                <w:bCs/>
                <w:color w:val="auto"/>
                <w:kern w:val="44"/>
                <w:sz w:val="21"/>
                <w:szCs w:val="21"/>
                <w:lang w:bidi="ar"/>
              </w:rPr>
              <w:fldChar w:fldCharType="end"/>
            </w:r>
          </w:p>
        </w:tc>
        <w:tc>
          <w:tcPr>
            <w:tcW w:w="1331" w:type="dxa"/>
            <w:gridSpan w:val="2"/>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i/>
                <w:color w:val="auto"/>
                <w:spacing w:val="-1"/>
                <w:kern w:val="44"/>
                <w:sz w:val="21"/>
                <w:szCs w:val="21"/>
                <w:lang w:bidi="ar"/>
              </w:rPr>
              <w:t>Q</w:t>
            </w:r>
            <w:r>
              <w:rPr>
                <w:rFonts w:hint="default" w:ascii="Times New Roman" w:hAnsi="Times New Roman" w:eastAsia="宋体" w:cs="Times New Roman"/>
                <w:bCs/>
                <w:color w:val="auto"/>
                <w:kern w:val="44"/>
                <w:sz w:val="21"/>
                <w:szCs w:val="21"/>
                <w:lang w:bidi="ar"/>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gridSpan w:val="2"/>
            <w:vMerge w:val="continue"/>
            <w:tcBorders>
              <w:left w:val="single" w:color="auto" w:sz="4" w:space="0"/>
            </w:tcBorders>
            <w:noWrap w:val="0"/>
          </w:tcPr>
          <w:p/>
        </w:tc>
        <w:tc>
          <w:tcPr>
            <w:tcW w:w="91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M值</w:t>
            </w:r>
          </w:p>
        </w:tc>
        <w:tc>
          <w:tcPr>
            <w:tcW w:w="2001" w:type="dxa"/>
            <w:gridSpan w:val="5"/>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M</w:t>
            </w:r>
            <w:r>
              <w:rPr>
                <w:rFonts w:hint="default" w:ascii="Times New Roman" w:hAnsi="Times New Roman" w:eastAsia="宋体" w:cs="Times New Roman"/>
                <w:bCs/>
                <w:color w:val="auto"/>
                <w:kern w:val="44"/>
                <w:sz w:val="21"/>
                <w:szCs w:val="21"/>
                <w:lang w:bidi="ar"/>
              </w:rPr>
              <w:t>1□</w:t>
            </w:r>
          </w:p>
        </w:tc>
        <w:tc>
          <w:tcPr>
            <w:tcW w:w="1626"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M</w:t>
            </w:r>
            <w:r>
              <w:rPr>
                <w:rFonts w:hint="default" w:ascii="Times New Roman" w:hAnsi="Times New Roman" w:eastAsia="宋体" w:cs="Times New Roman"/>
                <w:bCs/>
                <w:color w:val="auto"/>
                <w:kern w:val="44"/>
                <w:sz w:val="21"/>
                <w:szCs w:val="21"/>
                <w:lang w:bidi="ar"/>
              </w:rPr>
              <w:t>2□</w:t>
            </w:r>
          </w:p>
        </w:tc>
        <w:tc>
          <w:tcPr>
            <w:tcW w:w="2317" w:type="dxa"/>
            <w:gridSpan w:val="7"/>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M</w:t>
            </w:r>
            <w:r>
              <w:rPr>
                <w:rFonts w:hint="default" w:ascii="Times New Roman" w:hAnsi="Times New Roman" w:eastAsia="宋体" w:cs="Times New Roman"/>
                <w:bCs/>
                <w:color w:val="auto"/>
                <w:kern w:val="44"/>
                <w:sz w:val="21"/>
                <w:szCs w:val="21"/>
                <w:lang w:bidi="ar"/>
              </w:rPr>
              <w:t>3</w:t>
            </w:r>
            <w:r>
              <w:rPr>
                <w:rFonts w:hint="default" w:ascii="Times New Roman" w:hAnsi="Times New Roman" w:eastAsia="宋体" w:cs="Times New Roman"/>
                <w:bCs/>
                <w:color w:val="auto"/>
                <w:kern w:val="44"/>
                <w:sz w:val="21"/>
                <w:szCs w:val="21"/>
                <w:lang w:bidi="ar"/>
              </w:rPr>
              <w:fldChar w:fldCharType="begin"/>
            </w:r>
            <w:r>
              <w:rPr>
                <w:rFonts w:hint="default" w:ascii="Times New Roman" w:hAnsi="Times New Roman" w:eastAsia="宋体" w:cs="Times New Roman"/>
                <w:bCs/>
                <w:color w:val="auto"/>
                <w:kern w:val="44"/>
                <w:sz w:val="21"/>
                <w:szCs w:val="21"/>
                <w:lang w:bidi="ar"/>
              </w:rPr>
              <w:instrText xml:space="preserve"> eq \o\ac(</w:instrText>
            </w:r>
            <w:r>
              <w:rPr>
                <w:rFonts w:hint="default" w:ascii="Times New Roman" w:hAnsi="Times New Roman" w:eastAsia="宋体" w:cs="Times New Roman"/>
                <w:bCs/>
                <w:color w:val="auto"/>
                <w:kern w:val="44"/>
                <w:position w:val="-4"/>
                <w:sz w:val="31"/>
                <w:szCs w:val="21"/>
                <w:lang w:bidi="ar"/>
              </w:rPr>
              <w:instrText xml:space="preserve">□</w:instrText>
            </w:r>
            <w:r>
              <w:rPr>
                <w:rFonts w:hint="default" w:ascii="Times New Roman" w:hAnsi="Times New Roman" w:eastAsia="宋体" w:cs="Times New Roman"/>
                <w:bCs/>
                <w:color w:val="auto"/>
                <w:kern w:val="44"/>
                <w:position w:val="0"/>
                <w:sz w:val="21"/>
                <w:szCs w:val="21"/>
                <w:lang w:bidi="ar"/>
              </w:rPr>
              <w:instrText xml:space="preserve">,√)</w:instrText>
            </w:r>
            <w:r>
              <w:rPr>
                <w:rFonts w:hint="default" w:ascii="Times New Roman" w:hAnsi="Times New Roman" w:eastAsia="宋体" w:cs="Times New Roman"/>
                <w:bCs/>
                <w:color w:val="auto"/>
                <w:kern w:val="44"/>
                <w:sz w:val="21"/>
                <w:szCs w:val="21"/>
                <w:lang w:bidi="ar"/>
              </w:rPr>
              <w:fldChar w:fldCharType="end"/>
            </w:r>
          </w:p>
        </w:tc>
        <w:tc>
          <w:tcPr>
            <w:tcW w:w="1331" w:type="dxa"/>
            <w:gridSpan w:val="2"/>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M</w:t>
            </w:r>
            <w:r>
              <w:rPr>
                <w:rFonts w:hint="default" w:ascii="Times New Roman" w:hAnsi="Times New Roman" w:eastAsia="宋体" w:cs="Times New Roman"/>
                <w:bCs/>
                <w:color w:val="auto"/>
                <w:kern w:val="44"/>
                <w:sz w:val="21"/>
                <w:szCs w:val="21"/>
                <w:lang w:bidi="ar"/>
              </w:rPr>
              <w:t>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gridSpan w:val="2"/>
            <w:vMerge w:val="continue"/>
            <w:tcBorders>
              <w:left w:val="single" w:color="auto" w:sz="4" w:space="0"/>
            </w:tcBorders>
            <w:noWrap w:val="0"/>
          </w:tcPr>
          <w:p/>
        </w:tc>
        <w:tc>
          <w:tcPr>
            <w:tcW w:w="91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P值</w:t>
            </w:r>
          </w:p>
        </w:tc>
        <w:tc>
          <w:tcPr>
            <w:tcW w:w="2001" w:type="dxa"/>
            <w:gridSpan w:val="5"/>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P</w:t>
            </w:r>
            <w:r>
              <w:rPr>
                <w:rFonts w:hint="default" w:ascii="Times New Roman" w:hAnsi="Times New Roman" w:eastAsia="宋体" w:cs="Times New Roman"/>
                <w:bCs/>
                <w:color w:val="auto"/>
                <w:kern w:val="44"/>
                <w:sz w:val="21"/>
                <w:szCs w:val="21"/>
                <w:lang w:bidi="ar"/>
              </w:rPr>
              <w:t>1□</w:t>
            </w:r>
          </w:p>
        </w:tc>
        <w:tc>
          <w:tcPr>
            <w:tcW w:w="1626"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P</w:t>
            </w:r>
            <w:r>
              <w:rPr>
                <w:rFonts w:hint="default" w:ascii="Times New Roman" w:hAnsi="Times New Roman" w:eastAsia="宋体" w:cs="Times New Roman"/>
                <w:bCs/>
                <w:color w:val="auto"/>
                <w:kern w:val="44"/>
                <w:sz w:val="21"/>
                <w:szCs w:val="21"/>
                <w:lang w:bidi="ar"/>
              </w:rPr>
              <w:t>2□</w:t>
            </w:r>
          </w:p>
        </w:tc>
        <w:tc>
          <w:tcPr>
            <w:tcW w:w="2317" w:type="dxa"/>
            <w:gridSpan w:val="7"/>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P</w:t>
            </w:r>
            <w:r>
              <w:rPr>
                <w:rFonts w:hint="default" w:ascii="Times New Roman" w:hAnsi="Times New Roman" w:eastAsia="宋体" w:cs="Times New Roman"/>
                <w:bCs/>
                <w:color w:val="auto"/>
                <w:kern w:val="44"/>
                <w:sz w:val="21"/>
                <w:szCs w:val="21"/>
                <w:lang w:bidi="ar"/>
              </w:rPr>
              <w:t>3</w:t>
            </w:r>
            <w:r>
              <w:rPr>
                <w:rFonts w:hint="default" w:ascii="Times New Roman" w:hAnsi="Times New Roman" w:eastAsia="宋体" w:cs="Times New Roman"/>
                <w:bCs/>
                <w:color w:val="auto"/>
                <w:kern w:val="44"/>
                <w:sz w:val="21"/>
                <w:szCs w:val="21"/>
                <w:lang w:bidi="ar"/>
              </w:rPr>
              <w:fldChar w:fldCharType="begin"/>
            </w:r>
            <w:r>
              <w:rPr>
                <w:rFonts w:hint="default" w:ascii="Times New Roman" w:hAnsi="Times New Roman" w:eastAsia="宋体" w:cs="Times New Roman"/>
                <w:bCs/>
                <w:color w:val="auto"/>
                <w:kern w:val="44"/>
                <w:sz w:val="21"/>
                <w:szCs w:val="21"/>
                <w:lang w:bidi="ar"/>
              </w:rPr>
              <w:instrText xml:space="preserve"> eq \o\ac(</w:instrText>
            </w:r>
            <w:r>
              <w:rPr>
                <w:rFonts w:hint="default" w:ascii="Times New Roman" w:hAnsi="Times New Roman" w:eastAsia="宋体" w:cs="Times New Roman"/>
                <w:bCs/>
                <w:color w:val="auto"/>
                <w:kern w:val="44"/>
                <w:position w:val="-4"/>
                <w:sz w:val="31"/>
                <w:szCs w:val="21"/>
                <w:lang w:bidi="ar"/>
              </w:rPr>
              <w:instrText xml:space="preserve">□</w:instrText>
            </w:r>
            <w:r>
              <w:rPr>
                <w:rFonts w:hint="default" w:ascii="Times New Roman" w:hAnsi="Times New Roman" w:eastAsia="宋体" w:cs="Times New Roman"/>
                <w:bCs/>
                <w:color w:val="auto"/>
                <w:kern w:val="44"/>
                <w:position w:val="0"/>
                <w:sz w:val="21"/>
                <w:szCs w:val="21"/>
                <w:lang w:bidi="ar"/>
              </w:rPr>
              <w:instrText xml:space="preserve">,√)</w:instrText>
            </w:r>
            <w:r>
              <w:rPr>
                <w:rFonts w:hint="default" w:ascii="Times New Roman" w:hAnsi="Times New Roman" w:eastAsia="宋体" w:cs="Times New Roman"/>
                <w:bCs/>
                <w:color w:val="auto"/>
                <w:kern w:val="44"/>
                <w:sz w:val="21"/>
                <w:szCs w:val="21"/>
                <w:lang w:bidi="ar"/>
              </w:rPr>
              <w:fldChar w:fldCharType="end"/>
            </w:r>
          </w:p>
        </w:tc>
        <w:tc>
          <w:tcPr>
            <w:tcW w:w="1331" w:type="dxa"/>
            <w:gridSpan w:val="2"/>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P</w:t>
            </w:r>
            <w:r>
              <w:rPr>
                <w:rFonts w:hint="default" w:ascii="Times New Roman" w:hAnsi="Times New Roman" w:eastAsia="宋体" w:cs="Times New Roman"/>
                <w:bCs/>
                <w:color w:val="auto"/>
                <w:kern w:val="44"/>
                <w:sz w:val="21"/>
                <w:szCs w:val="21"/>
                <w:lang w:bidi="ar"/>
              </w:rPr>
              <w:t>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7" w:type="dxa"/>
            <w:gridSpan w:val="2"/>
            <w:vMerge w:val="restart"/>
            <w:tcBorders>
              <w:lef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环境敏感程度</w:t>
            </w:r>
          </w:p>
        </w:tc>
        <w:tc>
          <w:tcPr>
            <w:tcW w:w="91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大气</w:t>
            </w:r>
          </w:p>
        </w:tc>
        <w:tc>
          <w:tcPr>
            <w:tcW w:w="2001" w:type="dxa"/>
            <w:gridSpan w:val="5"/>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E1□</w:t>
            </w:r>
          </w:p>
        </w:tc>
        <w:tc>
          <w:tcPr>
            <w:tcW w:w="1626"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E2</w:t>
            </w:r>
            <w:r>
              <w:rPr>
                <w:rFonts w:hint="default" w:ascii="Times New Roman" w:hAnsi="Times New Roman" w:eastAsia="宋体" w:cs="Times New Roman"/>
                <w:bCs/>
                <w:color w:val="auto"/>
                <w:kern w:val="44"/>
                <w:sz w:val="21"/>
                <w:szCs w:val="21"/>
                <w:lang w:bidi="ar"/>
              </w:rPr>
              <w:fldChar w:fldCharType="begin"/>
            </w:r>
            <w:r>
              <w:rPr>
                <w:rFonts w:hint="default" w:ascii="Times New Roman" w:hAnsi="Times New Roman" w:eastAsia="宋体" w:cs="Times New Roman"/>
                <w:bCs/>
                <w:color w:val="auto"/>
                <w:kern w:val="44"/>
                <w:sz w:val="21"/>
                <w:szCs w:val="21"/>
                <w:lang w:bidi="ar"/>
              </w:rPr>
              <w:instrText xml:space="preserve"> eq \o\ac(</w:instrText>
            </w:r>
            <w:r>
              <w:rPr>
                <w:rFonts w:hint="default" w:ascii="Times New Roman" w:hAnsi="Times New Roman" w:eastAsia="宋体" w:cs="Times New Roman"/>
                <w:bCs/>
                <w:color w:val="auto"/>
                <w:kern w:val="44"/>
                <w:position w:val="-4"/>
                <w:sz w:val="31"/>
                <w:szCs w:val="21"/>
                <w:lang w:bidi="ar"/>
              </w:rPr>
              <w:instrText xml:space="preserve">□</w:instrText>
            </w:r>
            <w:r>
              <w:rPr>
                <w:rFonts w:hint="default" w:ascii="Times New Roman" w:hAnsi="Times New Roman" w:eastAsia="宋体" w:cs="Times New Roman"/>
                <w:bCs/>
                <w:color w:val="auto"/>
                <w:kern w:val="44"/>
                <w:position w:val="0"/>
                <w:sz w:val="21"/>
                <w:szCs w:val="21"/>
                <w:lang w:bidi="ar"/>
              </w:rPr>
              <w:instrText xml:space="preserve">,√)</w:instrText>
            </w:r>
            <w:r>
              <w:rPr>
                <w:rFonts w:hint="default" w:ascii="Times New Roman" w:hAnsi="Times New Roman" w:eastAsia="宋体" w:cs="Times New Roman"/>
                <w:bCs/>
                <w:color w:val="auto"/>
                <w:kern w:val="44"/>
                <w:sz w:val="21"/>
                <w:szCs w:val="21"/>
                <w:lang w:bidi="ar"/>
              </w:rPr>
              <w:fldChar w:fldCharType="end"/>
            </w:r>
          </w:p>
        </w:tc>
        <w:tc>
          <w:tcPr>
            <w:tcW w:w="3648" w:type="dxa"/>
            <w:gridSpan w:val="9"/>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E3□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gridSpan w:val="2"/>
            <w:vMerge w:val="continue"/>
            <w:tcBorders>
              <w:left w:val="single" w:color="auto" w:sz="4" w:space="0"/>
            </w:tcBorders>
            <w:noWrap w:val="0"/>
          </w:tcPr>
          <w:p/>
        </w:tc>
        <w:tc>
          <w:tcPr>
            <w:tcW w:w="91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地表水</w:t>
            </w:r>
          </w:p>
        </w:tc>
        <w:tc>
          <w:tcPr>
            <w:tcW w:w="2001" w:type="dxa"/>
            <w:gridSpan w:val="5"/>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E1</w:t>
            </w:r>
            <w:r>
              <w:rPr>
                <w:rFonts w:hint="default" w:ascii="Times New Roman" w:hAnsi="Times New Roman" w:eastAsia="宋体" w:cs="Times New Roman"/>
                <w:bCs/>
                <w:color w:val="auto"/>
                <w:kern w:val="44"/>
                <w:sz w:val="21"/>
                <w:szCs w:val="21"/>
                <w:lang w:bidi="ar"/>
              </w:rPr>
              <w:fldChar w:fldCharType="begin"/>
            </w:r>
            <w:r>
              <w:rPr>
                <w:rFonts w:hint="default" w:ascii="Times New Roman" w:hAnsi="Times New Roman" w:eastAsia="宋体" w:cs="Times New Roman"/>
                <w:bCs/>
                <w:color w:val="auto"/>
                <w:kern w:val="44"/>
                <w:sz w:val="21"/>
                <w:szCs w:val="21"/>
                <w:lang w:bidi="ar"/>
              </w:rPr>
              <w:instrText xml:space="preserve"> eq \o\ac(</w:instrText>
            </w:r>
            <w:r>
              <w:rPr>
                <w:rFonts w:hint="default" w:ascii="Times New Roman" w:hAnsi="Times New Roman" w:eastAsia="宋体" w:cs="Times New Roman"/>
                <w:bCs/>
                <w:color w:val="auto"/>
                <w:kern w:val="44"/>
                <w:position w:val="-4"/>
                <w:sz w:val="31"/>
                <w:szCs w:val="21"/>
                <w:lang w:bidi="ar"/>
              </w:rPr>
              <w:instrText xml:space="preserve">□</w:instrText>
            </w:r>
            <w:r>
              <w:rPr>
                <w:rFonts w:hint="default" w:ascii="Times New Roman" w:hAnsi="Times New Roman" w:eastAsia="宋体" w:cs="Times New Roman"/>
                <w:bCs/>
                <w:color w:val="auto"/>
                <w:kern w:val="44"/>
                <w:position w:val="0"/>
                <w:sz w:val="21"/>
                <w:szCs w:val="21"/>
                <w:lang w:bidi="ar"/>
              </w:rPr>
              <w:instrText xml:space="preserve">,√)</w:instrText>
            </w:r>
            <w:r>
              <w:rPr>
                <w:rFonts w:hint="default" w:ascii="Times New Roman" w:hAnsi="Times New Roman" w:eastAsia="宋体" w:cs="Times New Roman"/>
                <w:bCs/>
                <w:color w:val="auto"/>
                <w:kern w:val="44"/>
                <w:sz w:val="21"/>
                <w:szCs w:val="21"/>
                <w:lang w:bidi="ar"/>
              </w:rPr>
              <w:fldChar w:fldCharType="end"/>
            </w:r>
          </w:p>
        </w:tc>
        <w:tc>
          <w:tcPr>
            <w:tcW w:w="1626"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E2□</w:t>
            </w:r>
          </w:p>
        </w:tc>
        <w:tc>
          <w:tcPr>
            <w:tcW w:w="3648" w:type="dxa"/>
            <w:gridSpan w:val="9"/>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E3□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gridSpan w:val="2"/>
            <w:vMerge w:val="continue"/>
            <w:tcBorders>
              <w:left w:val="single" w:color="auto" w:sz="4" w:space="0"/>
            </w:tcBorders>
            <w:noWrap w:val="0"/>
          </w:tcPr>
          <w:p/>
        </w:tc>
        <w:tc>
          <w:tcPr>
            <w:tcW w:w="91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地下水</w:t>
            </w:r>
          </w:p>
        </w:tc>
        <w:tc>
          <w:tcPr>
            <w:tcW w:w="2001" w:type="dxa"/>
            <w:gridSpan w:val="5"/>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E1□</w:t>
            </w:r>
          </w:p>
        </w:tc>
        <w:tc>
          <w:tcPr>
            <w:tcW w:w="1626"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E2□</w:t>
            </w:r>
          </w:p>
        </w:tc>
        <w:tc>
          <w:tcPr>
            <w:tcW w:w="3648" w:type="dxa"/>
            <w:gridSpan w:val="9"/>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E3</w:t>
            </w:r>
            <w:r>
              <w:rPr>
                <w:rFonts w:hint="default" w:ascii="Times New Roman" w:hAnsi="Times New Roman" w:eastAsia="宋体" w:cs="Times New Roman"/>
                <w:bCs/>
                <w:color w:val="auto"/>
                <w:kern w:val="44"/>
                <w:sz w:val="21"/>
                <w:szCs w:val="21"/>
                <w:lang w:bidi="ar"/>
              </w:rPr>
              <w:fldChar w:fldCharType="begin"/>
            </w:r>
            <w:r>
              <w:rPr>
                <w:rFonts w:hint="default" w:ascii="Times New Roman" w:hAnsi="Times New Roman" w:eastAsia="宋体" w:cs="Times New Roman"/>
                <w:bCs/>
                <w:color w:val="auto"/>
                <w:kern w:val="44"/>
                <w:sz w:val="21"/>
                <w:szCs w:val="21"/>
                <w:lang w:bidi="ar"/>
              </w:rPr>
              <w:instrText xml:space="preserve"> eq \o\ac(</w:instrText>
            </w:r>
            <w:r>
              <w:rPr>
                <w:rFonts w:hint="default" w:ascii="Times New Roman" w:hAnsi="Times New Roman" w:eastAsia="宋体" w:cs="Times New Roman"/>
                <w:bCs/>
                <w:color w:val="auto"/>
                <w:kern w:val="44"/>
                <w:position w:val="-4"/>
                <w:sz w:val="31"/>
                <w:szCs w:val="21"/>
                <w:lang w:bidi="ar"/>
              </w:rPr>
              <w:instrText xml:space="preserve">□</w:instrText>
            </w:r>
            <w:r>
              <w:rPr>
                <w:rFonts w:hint="default" w:ascii="Times New Roman" w:hAnsi="Times New Roman" w:eastAsia="宋体" w:cs="Times New Roman"/>
                <w:bCs/>
                <w:color w:val="auto"/>
                <w:kern w:val="44"/>
                <w:position w:val="0"/>
                <w:sz w:val="21"/>
                <w:szCs w:val="21"/>
                <w:lang w:bidi="ar"/>
              </w:rPr>
              <w:instrText xml:space="preserve">,√)</w:instrText>
            </w:r>
            <w:r>
              <w:rPr>
                <w:rFonts w:hint="default" w:ascii="Times New Roman" w:hAnsi="Times New Roman" w:eastAsia="宋体" w:cs="Times New Roman"/>
                <w:bCs/>
                <w:color w:val="auto"/>
                <w:kern w:val="44"/>
                <w:sz w:val="21"/>
                <w:szCs w:val="21"/>
                <w:lang w:bidi="ar"/>
              </w:rPr>
              <w:fldChar w:fldCharType="end"/>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7" w:type="dxa"/>
            <w:gridSpan w:val="2"/>
            <w:tcBorders>
              <w:lef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环境风险潜势</w:t>
            </w:r>
          </w:p>
        </w:tc>
        <w:tc>
          <w:tcPr>
            <w:tcW w:w="1677"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+Ⅳ□</w:t>
            </w:r>
          </w:p>
        </w:tc>
        <w:tc>
          <w:tcPr>
            <w:tcW w:w="1238"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Ⅳ□</w:t>
            </w:r>
          </w:p>
        </w:tc>
        <w:tc>
          <w:tcPr>
            <w:tcW w:w="1626"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Ⅲ</w:t>
            </w:r>
            <w:r>
              <w:rPr>
                <w:rFonts w:hint="default" w:ascii="Times New Roman" w:hAnsi="Times New Roman" w:eastAsia="宋体" w:cs="Times New Roman"/>
                <w:bCs/>
                <w:color w:val="auto"/>
                <w:kern w:val="44"/>
                <w:sz w:val="21"/>
                <w:szCs w:val="21"/>
                <w:lang w:bidi="ar"/>
              </w:rPr>
              <w:fldChar w:fldCharType="begin"/>
            </w:r>
            <w:r>
              <w:rPr>
                <w:rFonts w:hint="default" w:ascii="Times New Roman" w:hAnsi="Times New Roman" w:eastAsia="宋体" w:cs="Times New Roman"/>
                <w:bCs/>
                <w:color w:val="auto"/>
                <w:kern w:val="44"/>
                <w:sz w:val="21"/>
                <w:szCs w:val="21"/>
                <w:lang w:bidi="ar"/>
              </w:rPr>
              <w:instrText xml:space="preserve"> eq \o\ac(</w:instrText>
            </w:r>
            <w:r>
              <w:rPr>
                <w:rFonts w:hint="default" w:ascii="Times New Roman" w:hAnsi="Times New Roman" w:eastAsia="宋体" w:cs="Times New Roman"/>
                <w:bCs/>
                <w:color w:val="auto"/>
                <w:kern w:val="44"/>
                <w:position w:val="-4"/>
                <w:sz w:val="31"/>
                <w:szCs w:val="21"/>
                <w:lang w:bidi="ar"/>
              </w:rPr>
              <w:instrText xml:space="preserve">□</w:instrText>
            </w:r>
            <w:r>
              <w:rPr>
                <w:rFonts w:hint="default" w:ascii="Times New Roman" w:hAnsi="Times New Roman" w:eastAsia="宋体" w:cs="Times New Roman"/>
                <w:bCs/>
                <w:color w:val="auto"/>
                <w:kern w:val="44"/>
                <w:position w:val="0"/>
                <w:sz w:val="21"/>
                <w:szCs w:val="21"/>
                <w:lang w:bidi="ar"/>
              </w:rPr>
              <w:instrText xml:space="preserve">,√)</w:instrText>
            </w:r>
            <w:r>
              <w:rPr>
                <w:rFonts w:hint="default" w:ascii="Times New Roman" w:hAnsi="Times New Roman" w:eastAsia="宋体" w:cs="Times New Roman"/>
                <w:bCs/>
                <w:color w:val="auto"/>
                <w:kern w:val="44"/>
                <w:sz w:val="21"/>
                <w:szCs w:val="21"/>
                <w:lang w:bidi="ar"/>
              </w:rPr>
              <w:fldChar w:fldCharType="end"/>
            </w:r>
          </w:p>
        </w:tc>
        <w:tc>
          <w:tcPr>
            <w:tcW w:w="1676" w:type="dxa"/>
            <w:gridSpan w:val="5"/>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Ⅱ□</w:t>
            </w:r>
          </w:p>
        </w:tc>
        <w:tc>
          <w:tcPr>
            <w:tcW w:w="1972" w:type="dxa"/>
            <w:gridSpan w:val="4"/>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I□</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7" w:type="dxa"/>
            <w:gridSpan w:val="2"/>
            <w:tcBorders>
              <w:lef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评价等级</w:t>
            </w:r>
          </w:p>
        </w:tc>
        <w:tc>
          <w:tcPr>
            <w:tcW w:w="2915" w:type="dxa"/>
            <w:gridSpan w:val="6"/>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一级□</w:t>
            </w:r>
          </w:p>
        </w:tc>
        <w:tc>
          <w:tcPr>
            <w:tcW w:w="1626"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二级</w:t>
            </w:r>
            <w:r>
              <w:rPr>
                <w:rFonts w:hint="default" w:ascii="Times New Roman" w:hAnsi="Times New Roman" w:eastAsia="宋体" w:cs="Times New Roman"/>
                <w:bCs/>
                <w:color w:val="auto"/>
                <w:kern w:val="44"/>
                <w:sz w:val="21"/>
                <w:szCs w:val="21"/>
                <w:lang w:bidi="ar"/>
              </w:rPr>
              <w:fldChar w:fldCharType="begin"/>
            </w:r>
            <w:r>
              <w:rPr>
                <w:rFonts w:hint="default" w:ascii="Times New Roman" w:hAnsi="Times New Roman" w:eastAsia="宋体" w:cs="Times New Roman"/>
                <w:bCs/>
                <w:color w:val="auto"/>
                <w:kern w:val="44"/>
                <w:sz w:val="21"/>
                <w:szCs w:val="21"/>
                <w:lang w:bidi="ar"/>
              </w:rPr>
              <w:instrText xml:space="preserve"> eq \o\ac(</w:instrText>
            </w:r>
            <w:r>
              <w:rPr>
                <w:rFonts w:hint="default" w:ascii="Times New Roman" w:hAnsi="Times New Roman" w:eastAsia="宋体" w:cs="Times New Roman"/>
                <w:bCs/>
                <w:color w:val="auto"/>
                <w:kern w:val="44"/>
                <w:position w:val="-4"/>
                <w:sz w:val="31"/>
                <w:szCs w:val="21"/>
                <w:lang w:bidi="ar"/>
              </w:rPr>
              <w:instrText xml:space="preserve">□</w:instrText>
            </w:r>
            <w:r>
              <w:rPr>
                <w:rFonts w:hint="default" w:ascii="Times New Roman" w:hAnsi="Times New Roman" w:eastAsia="宋体" w:cs="Times New Roman"/>
                <w:bCs/>
                <w:color w:val="auto"/>
                <w:kern w:val="44"/>
                <w:position w:val="0"/>
                <w:sz w:val="21"/>
                <w:szCs w:val="21"/>
                <w:lang w:bidi="ar"/>
              </w:rPr>
              <w:instrText xml:space="preserve">,√)</w:instrText>
            </w:r>
            <w:r>
              <w:rPr>
                <w:rFonts w:hint="default" w:ascii="Times New Roman" w:hAnsi="Times New Roman" w:eastAsia="宋体" w:cs="Times New Roman"/>
                <w:bCs/>
                <w:color w:val="auto"/>
                <w:kern w:val="44"/>
                <w:sz w:val="21"/>
                <w:szCs w:val="21"/>
                <w:lang w:bidi="ar"/>
              </w:rPr>
              <w:fldChar w:fldCharType="end"/>
            </w:r>
          </w:p>
        </w:tc>
        <w:tc>
          <w:tcPr>
            <w:tcW w:w="1676" w:type="dxa"/>
            <w:gridSpan w:val="5"/>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三级□</w:t>
            </w:r>
          </w:p>
        </w:tc>
        <w:tc>
          <w:tcPr>
            <w:tcW w:w="1972" w:type="dxa"/>
            <w:gridSpan w:val="4"/>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简单分析□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7" w:type="dxa"/>
            <w:gridSpan w:val="2"/>
            <w:vMerge w:val="restart"/>
            <w:tcBorders>
              <w:lef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风险识别</w:t>
            </w:r>
          </w:p>
        </w:tc>
        <w:tc>
          <w:tcPr>
            <w:tcW w:w="1182" w:type="dxa"/>
            <w:gridSpan w:val="2"/>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物质危险性</w:t>
            </w:r>
          </w:p>
        </w:tc>
        <w:tc>
          <w:tcPr>
            <w:tcW w:w="3359" w:type="dxa"/>
            <w:gridSpan w:val="7"/>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有毒有害</w:t>
            </w:r>
            <w:r>
              <w:rPr>
                <w:rFonts w:hint="default" w:ascii="Times New Roman" w:hAnsi="Times New Roman" w:eastAsia="宋体" w:cs="Times New Roman"/>
                <w:bCs/>
                <w:color w:val="auto"/>
                <w:kern w:val="44"/>
                <w:sz w:val="21"/>
                <w:szCs w:val="21"/>
                <w:lang w:bidi="ar"/>
              </w:rPr>
              <w:fldChar w:fldCharType="begin"/>
            </w:r>
            <w:r>
              <w:rPr>
                <w:rFonts w:hint="default" w:ascii="Times New Roman" w:hAnsi="Times New Roman" w:eastAsia="宋体" w:cs="Times New Roman"/>
                <w:bCs/>
                <w:color w:val="auto"/>
                <w:kern w:val="44"/>
                <w:sz w:val="21"/>
                <w:szCs w:val="21"/>
                <w:lang w:bidi="ar"/>
              </w:rPr>
              <w:instrText xml:space="preserve"> eq \o\ac(</w:instrText>
            </w:r>
            <w:r>
              <w:rPr>
                <w:rFonts w:hint="default" w:ascii="Times New Roman" w:hAnsi="Times New Roman" w:eastAsia="宋体" w:cs="Times New Roman"/>
                <w:bCs/>
                <w:color w:val="auto"/>
                <w:kern w:val="44"/>
                <w:position w:val="-4"/>
                <w:sz w:val="31"/>
                <w:szCs w:val="21"/>
                <w:lang w:bidi="ar"/>
              </w:rPr>
              <w:instrText xml:space="preserve">□</w:instrText>
            </w:r>
            <w:r>
              <w:rPr>
                <w:rFonts w:hint="default" w:ascii="Times New Roman" w:hAnsi="Times New Roman" w:eastAsia="宋体" w:cs="Times New Roman"/>
                <w:bCs/>
                <w:color w:val="auto"/>
                <w:kern w:val="44"/>
                <w:position w:val="0"/>
                <w:sz w:val="21"/>
                <w:szCs w:val="21"/>
                <w:lang w:bidi="ar"/>
              </w:rPr>
              <w:instrText xml:space="preserve">,√)</w:instrText>
            </w:r>
            <w:r>
              <w:rPr>
                <w:rFonts w:hint="default" w:ascii="Times New Roman" w:hAnsi="Times New Roman" w:eastAsia="宋体" w:cs="Times New Roman"/>
                <w:bCs/>
                <w:color w:val="auto"/>
                <w:kern w:val="44"/>
                <w:sz w:val="21"/>
                <w:szCs w:val="21"/>
                <w:lang w:bidi="ar"/>
              </w:rPr>
              <w:fldChar w:fldCharType="end"/>
            </w:r>
          </w:p>
        </w:tc>
        <w:tc>
          <w:tcPr>
            <w:tcW w:w="3648" w:type="dxa"/>
            <w:gridSpan w:val="9"/>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易燃易爆□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gridSpan w:val="2"/>
            <w:vMerge w:val="continue"/>
            <w:tcBorders>
              <w:left w:val="single" w:color="auto" w:sz="4" w:space="0"/>
            </w:tcBorders>
            <w:noWrap w:val="0"/>
          </w:tcPr>
          <w:p/>
        </w:tc>
        <w:tc>
          <w:tcPr>
            <w:tcW w:w="1182" w:type="dxa"/>
            <w:gridSpan w:val="2"/>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环境风险类型</w:t>
            </w:r>
          </w:p>
        </w:tc>
        <w:tc>
          <w:tcPr>
            <w:tcW w:w="3359" w:type="dxa"/>
            <w:gridSpan w:val="7"/>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泄漏</w:t>
            </w:r>
            <w:r>
              <w:rPr>
                <w:rFonts w:hint="default" w:ascii="Times New Roman" w:hAnsi="Times New Roman" w:eastAsia="宋体" w:cs="Times New Roman"/>
                <w:bCs/>
                <w:color w:val="auto"/>
                <w:kern w:val="44"/>
                <w:sz w:val="21"/>
                <w:szCs w:val="21"/>
                <w:lang w:bidi="ar"/>
              </w:rPr>
              <w:fldChar w:fldCharType="begin"/>
            </w:r>
            <w:r>
              <w:rPr>
                <w:rFonts w:hint="default" w:ascii="Times New Roman" w:hAnsi="Times New Roman" w:eastAsia="宋体" w:cs="Times New Roman"/>
                <w:bCs/>
                <w:color w:val="auto"/>
                <w:kern w:val="44"/>
                <w:sz w:val="21"/>
                <w:szCs w:val="21"/>
                <w:lang w:bidi="ar"/>
              </w:rPr>
              <w:instrText xml:space="preserve"> eq \o\ac(</w:instrText>
            </w:r>
            <w:r>
              <w:rPr>
                <w:rFonts w:hint="default" w:ascii="Times New Roman" w:hAnsi="Times New Roman" w:eastAsia="宋体" w:cs="Times New Roman"/>
                <w:bCs/>
                <w:color w:val="auto"/>
                <w:kern w:val="44"/>
                <w:position w:val="-4"/>
                <w:sz w:val="31"/>
                <w:szCs w:val="21"/>
                <w:lang w:bidi="ar"/>
              </w:rPr>
              <w:instrText xml:space="preserve">□</w:instrText>
            </w:r>
            <w:r>
              <w:rPr>
                <w:rFonts w:hint="default" w:ascii="Times New Roman" w:hAnsi="Times New Roman" w:eastAsia="宋体" w:cs="Times New Roman"/>
                <w:bCs/>
                <w:color w:val="auto"/>
                <w:kern w:val="44"/>
                <w:position w:val="0"/>
                <w:sz w:val="21"/>
                <w:szCs w:val="21"/>
                <w:lang w:bidi="ar"/>
              </w:rPr>
              <w:instrText xml:space="preserve">,√)</w:instrText>
            </w:r>
            <w:r>
              <w:rPr>
                <w:rFonts w:hint="default" w:ascii="Times New Roman" w:hAnsi="Times New Roman" w:eastAsia="宋体" w:cs="Times New Roman"/>
                <w:bCs/>
                <w:color w:val="auto"/>
                <w:kern w:val="44"/>
                <w:sz w:val="21"/>
                <w:szCs w:val="21"/>
                <w:lang w:bidi="ar"/>
              </w:rPr>
              <w:fldChar w:fldCharType="end"/>
            </w:r>
          </w:p>
        </w:tc>
        <w:tc>
          <w:tcPr>
            <w:tcW w:w="3648" w:type="dxa"/>
            <w:gridSpan w:val="9"/>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火灾、爆炸引发伴生/次生污染物排放□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gridSpan w:val="2"/>
            <w:vMerge w:val="continue"/>
            <w:tcBorders>
              <w:left w:val="single" w:color="auto" w:sz="4" w:space="0"/>
            </w:tcBorders>
            <w:noWrap w:val="0"/>
          </w:tcPr>
          <w:p/>
        </w:tc>
        <w:tc>
          <w:tcPr>
            <w:tcW w:w="1182" w:type="dxa"/>
            <w:gridSpan w:val="2"/>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影响途径</w:t>
            </w:r>
          </w:p>
        </w:tc>
        <w:tc>
          <w:tcPr>
            <w:tcW w:w="2406" w:type="dxa"/>
            <w:gridSpan w:val="6"/>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大气</w:t>
            </w:r>
            <w:r>
              <w:rPr>
                <w:rFonts w:hint="default" w:ascii="Times New Roman" w:hAnsi="Times New Roman" w:eastAsia="宋体" w:cs="Times New Roman"/>
                <w:bCs/>
                <w:color w:val="auto"/>
                <w:kern w:val="44"/>
                <w:sz w:val="21"/>
                <w:szCs w:val="21"/>
                <w:lang w:bidi="ar"/>
              </w:rPr>
              <w:fldChar w:fldCharType="begin"/>
            </w:r>
            <w:r>
              <w:rPr>
                <w:rFonts w:hint="default" w:ascii="Times New Roman" w:hAnsi="Times New Roman" w:eastAsia="宋体" w:cs="Times New Roman"/>
                <w:bCs/>
                <w:color w:val="auto"/>
                <w:kern w:val="44"/>
                <w:sz w:val="21"/>
                <w:szCs w:val="21"/>
                <w:lang w:bidi="ar"/>
              </w:rPr>
              <w:instrText xml:space="preserve"> eq \o\ac(</w:instrText>
            </w:r>
            <w:r>
              <w:rPr>
                <w:rFonts w:hint="default" w:ascii="Times New Roman" w:hAnsi="Times New Roman" w:eastAsia="宋体" w:cs="Times New Roman"/>
                <w:bCs/>
                <w:color w:val="auto"/>
                <w:kern w:val="44"/>
                <w:position w:val="-4"/>
                <w:sz w:val="31"/>
                <w:szCs w:val="21"/>
                <w:lang w:bidi="ar"/>
              </w:rPr>
              <w:instrText xml:space="preserve">□</w:instrText>
            </w:r>
            <w:r>
              <w:rPr>
                <w:rFonts w:hint="default" w:ascii="Times New Roman" w:hAnsi="Times New Roman" w:eastAsia="宋体" w:cs="Times New Roman"/>
                <w:bCs/>
                <w:color w:val="auto"/>
                <w:kern w:val="44"/>
                <w:position w:val="0"/>
                <w:sz w:val="21"/>
                <w:szCs w:val="21"/>
                <w:lang w:bidi="ar"/>
              </w:rPr>
              <w:instrText xml:space="preserve">,√)</w:instrText>
            </w:r>
            <w:r>
              <w:rPr>
                <w:rFonts w:hint="default" w:ascii="Times New Roman" w:hAnsi="Times New Roman" w:eastAsia="宋体" w:cs="Times New Roman"/>
                <w:bCs/>
                <w:color w:val="auto"/>
                <w:kern w:val="44"/>
                <w:sz w:val="21"/>
                <w:szCs w:val="21"/>
                <w:lang w:bidi="ar"/>
              </w:rPr>
              <w:fldChar w:fldCharType="end"/>
            </w:r>
          </w:p>
        </w:tc>
        <w:tc>
          <w:tcPr>
            <w:tcW w:w="2628" w:type="dxa"/>
            <w:gridSpan w:val="5"/>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地表水</w:t>
            </w:r>
            <w:r>
              <w:rPr>
                <w:rFonts w:hint="default" w:ascii="Times New Roman" w:hAnsi="Times New Roman" w:eastAsia="宋体" w:cs="Times New Roman"/>
                <w:bCs/>
                <w:color w:val="auto"/>
                <w:kern w:val="44"/>
                <w:sz w:val="21"/>
                <w:szCs w:val="21"/>
                <w:lang w:bidi="ar"/>
              </w:rPr>
              <w:fldChar w:fldCharType="begin"/>
            </w:r>
            <w:r>
              <w:rPr>
                <w:rFonts w:hint="default" w:ascii="Times New Roman" w:hAnsi="Times New Roman" w:eastAsia="宋体" w:cs="Times New Roman"/>
                <w:bCs/>
                <w:color w:val="auto"/>
                <w:kern w:val="44"/>
                <w:sz w:val="21"/>
                <w:szCs w:val="21"/>
                <w:lang w:bidi="ar"/>
              </w:rPr>
              <w:instrText xml:space="preserve"> eq \o\ac(</w:instrText>
            </w:r>
            <w:r>
              <w:rPr>
                <w:rFonts w:hint="default" w:ascii="Times New Roman" w:hAnsi="Times New Roman" w:eastAsia="宋体" w:cs="Times New Roman"/>
                <w:bCs/>
                <w:color w:val="auto"/>
                <w:kern w:val="44"/>
                <w:position w:val="-4"/>
                <w:sz w:val="31"/>
                <w:szCs w:val="21"/>
                <w:lang w:bidi="ar"/>
              </w:rPr>
              <w:instrText xml:space="preserve">□</w:instrText>
            </w:r>
            <w:r>
              <w:rPr>
                <w:rFonts w:hint="default" w:ascii="Times New Roman" w:hAnsi="Times New Roman" w:eastAsia="宋体" w:cs="Times New Roman"/>
                <w:bCs/>
                <w:color w:val="auto"/>
                <w:kern w:val="44"/>
                <w:position w:val="0"/>
                <w:sz w:val="21"/>
                <w:szCs w:val="21"/>
                <w:lang w:bidi="ar"/>
              </w:rPr>
              <w:instrText xml:space="preserve">,√)</w:instrText>
            </w:r>
            <w:r>
              <w:rPr>
                <w:rFonts w:hint="default" w:ascii="Times New Roman" w:hAnsi="Times New Roman" w:eastAsia="宋体" w:cs="Times New Roman"/>
                <w:bCs/>
                <w:color w:val="auto"/>
                <w:kern w:val="44"/>
                <w:sz w:val="21"/>
                <w:szCs w:val="21"/>
                <w:lang w:bidi="ar"/>
              </w:rPr>
              <w:fldChar w:fldCharType="end"/>
            </w:r>
          </w:p>
        </w:tc>
        <w:tc>
          <w:tcPr>
            <w:tcW w:w="1973" w:type="dxa"/>
            <w:gridSpan w:val="5"/>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地下水</w:t>
            </w:r>
            <w:r>
              <w:rPr>
                <w:rFonts w:hint="default" w:ascii="Times New Roman" w:hAnsi="Times New Roman" w:eastAsia="宋体" w:cs="Times New Roman"/>
                <w:bCs/>
                <w:color w:val="auto"/>
                <w:kern w:val="44"/>
                <w:sz w:val="21"/>
                <w:szCs w:val="21"/>
                <w:lang w:bidi="ar"/>
              </w:rPr>
              <w:fldChar w:fldCharType="begin"/>
            </w:r>
            <w:r>
              <w:rPr>
                <w:rFonts w:hint="default" w:ascii="Times New Roman" w:hAnsi="Times New Roman" w:eastAsia="宋体" w:cs="Times New Roman"/>
                <w:bCs/>
                <w:color w:val="auto"/>
                <w:kern w:val="44"/>
                <w:sz w:val="21"/>
                <w:szCs w:val="21"/>
                <w:lang w:bidi="ar"/>
              </w:rPr>
              <w:instrText xml:space="preserve"> eq \o\ac(</w:instrText>
            </w:r>
            <w:r>
              <w:rPr>
                <w:rFonts w:hint="default" w:ascii="Times New Roman" w:hAnsi="Times New Roman" w:eastAsia="宋体" w:cs="Times New Roman"/>
                <w:bCs/>
                <w:color w:val="auto"/>
                <w:kern w:val="44"/>
                <w:position w:val="-4"/>
                <w:sz w:val="31"/>
                <w:szCs w:val="21"/>
                <w:lang w:bidi="ar"/>
              </w:rPr>
              <w:instrText xml:space="preserve">□</w:instrText>
            </w:r>
            <w:r>
              <w:rPr>
                <w:rFonts w:hint="default" w:ascii="Times New Roman" w:hAnsi="Times New Roman" w:eastAsia="宋体" w:cs="Times New Roman"/>
                <w:bCs/>
                <w:color w:val="auto"/>
                <w:kern w:val="44"/>
                <w:position w:val="0"/>
                <w:sz w:val="21"/>
                <w:szCs w:val="21"/>
                <w:lang w:bidi="ar"/>
              </w:rPr>
              <w:instrText xml:space="preserve">,√)</w:instrText>
            </w:r>
            <w:r>
              <w:rPr>
                <w:rFonts w:hint="default" w:ascii="Times New Roman" w:hAnsi="Times New Roman" w:eastAsia="宋体" w:cs="Times New Roman"/>
                <w:bCs/>
                <w:color w:val="auto"/>
                <w:kern w:val="44"/>
                <w:sz w:val="21"/>
                <w:szCs w:val="21"/>
                <w:lang w:bidi="ar"/>
              </w:rPr>
              <w:fldChar w:fldCharType="end"/>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7" w:type="dxa"/>
            <w:gridSpan w:val="2"/>
            <w:tcBorders>
              <w:lef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事故情形分析</w:t>
            </w:r>
          </w:p>
        </w:tc>
        <w:tc>
          <w:tcPr>
            <w:tcW w:w="2679" w:type="dxa"/>
            <w:gridSpan w:val="5"/>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源强设定方法</w:t>
            </w:r>
          </w:p>
        </w:tc>
        <w:tc>
          <w:tcPr>
            <w:tcW w:w="2214" w:type="dxa"/>
            <w:gridSpan w:val="6"/>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计算法</w:t>
            </w:r>
            <w:r>
              <w:rPr>
                <w:rFonts w:hint="default" w:ascii="Times New Roman" w:hAnsi="Times New Roman" w:eastAsia="宋体" w:cs="Times New Roman"/>
                <w:bCs/>
                <w:color w:val="auto"/>
                <w:kern w:val="44"/>
                <w:sz w:val="21"/>
                <w:szCs w:val="21"/>
                <w:lang w:bidi="ar"/>
              </w:rPr>
              <w:fldChar w:fldCharType="begin"/>
            </w:r>
            <w:r>
              <w:rPr>
                <w:rFonts w:hint="default" w:ascii="Times New Roman" w:hAnsi="Times New Roman" w:eastAsia="宋体" w:cs="Times New Roman"/>
                <w:bCs/>
                <w:color w:val="auto"/>
                <w:kern w:val="44"/>
                <w:sz w:val="21"/>
                <w:szCs w:val="21"/>
                <w:lang w:bidi="ar"/>
              </w:rPr>
              <w:instrText xml:space="preserve"> eq \o\ac(</w:instrText>
            </w:r>
            <w:r>
              <w:rPr>
                <w:rFonts w:hint="default" w:ascii="Times New Roman" w:hAnsi="Times New Roman" w:eastAsia="宋体" w:cs="Times New Roman"/>
                <w:bCs/>
                <w:color w:val="auto"/>
                <w:kern w:val="44"/>
                <w:position w:val="-4"/>
                <w:sz w:val="31"/>
                <w:szCs w:val="21"/>
                <w:lang w:bidi="ar"/>
              </w:rPr>
              <w:instrText xml:space="preserve">□</w:instrText>
            </w:r>
            <w:r>
              <w:rPr>
                <w:rFonts w:hint="default" w:ascii="Times New Roman" w:hAnsi="Times New Roman" w:eastAsia="宋体" w:cs="Times New Roman"/>
                <w:bCs/>
                <w:color w:val="auto"/>
                <w:kern w:val="44"/>
                <w:position w:val="0"/>
                <w:sz w:val="21"/>
                <w:szCs w:val="21"/>
                <w:lang w:bidi="ar"/>
              </w:rPr>
              <w:instrText xml:space="preserve">,√)</w:instrText>
            </w:r>
            <w:r>
              <w:rPr>
                <w:rFonts w:hint="default" w:ascii="Times New Roman" w:hAnsi="Times New Roman" w:eastAsia="宋体" w:cs="Times New Roman"/>
                <w:bCs/>
                <w:color w:val="auto"/>
                <w:kern w:val="44"/>
                <w:sz w:val="21"/>
                <w:szCs w:val="21"/>
                <w:lang w:bidi="ar"/>
              </w:rPr>
              <w:fldChar w:fldCharType="end"/>
            </w:r>
          </w:p>
        </w:tc>
        <w:tc>
          <w:tcPr>
            <w:tcW w:w="1964" w:type="dxa"/>
            <w:gridSpan w:val="4"/>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经验估算法 □</w:t>
            </w:r>
          </w:p>
        </w:tc>
        <w:tc>
          <w:tcPr>
            <w:tcW w:w="1332" w:type="dxa"/>
            <w:gridSpan w:val="3"/>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 xml:space="preserve">其他估算法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097" w:type="dxa"/>
            <w:gridSpan w:val="2"/>
            <w:vMerge w:val="restart"/>
            <w:tcBorders>
              <w:lef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风险预测与评价</w:t>
            </w:r>
          </w:p>
        </w:tc>
        <w:tc>
          <w:tcPr>
            <w:tcW w:w="1182" w:type="dxa"/>
            <w:gridSpan w:val="2"/>
            <w:vMerge w:val="restar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大气</w:t>
            </w:r>
          </w:p>
        </w:tc>
        <w:tc>
          <w:tcPr>
            <w:tcW w:w="1497" w:type="dxa"/>
            <w:gridSpan w:val="3"/>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预测模型</w:t>
            </w:r>
          </w:p>
        </w:tc>
        <w:tc>
          <w:tcPr>
            <w:tcW w:w="2214" w:type="dxa"/>
            <w:gridSpan w:val="6"/>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color w:val="auto"/>
                <w:sz w:val="21"/>
                <w:szCs w:val="21"/>
              </w:rPr>
              <w:t>SLABR</w:t>
            </w:r>
            <w:r>
              <w:rPr>
                <w:rFonts w:hint="default" w:ascii="Times New Roman" w:hAnsi="Times New Roman" w:eastAsia="宋体" w:cs="Times New Roman"/>
                <w:bCs/>
                <w:color w:val="auto"/>
                <w:kern w:val="44"/>
                <w:sz w:val="21"/>
                <w:szCs w:val="21"/>
                <w:lang w:bidi="ar"/>
              </w:rPr>
              <w:t>□</w:t>
            </w:r>
          </w:p>
        </w:tc>
        <w:tc>
          <w:tcPr>
            <w:tcW w:w="1964" w:type="dxa"/>
            <w:gridSpan w:val="4"/>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spacing w:val="-1"/>
                <w:kern w:val="44"/>
                <w:sz w:val="21"/>
                <w:szCs w:val="21"/>
                <w:lang w:bidi="ar"/>
              </w:rPr>
              <w:t>AF</w:t>
            </w:r>
            <w:r>
              <w:rPr>
                <w:rFonts w:hint="default" w:ascii="Times New Roman" w:hAnsi="Times New Roman" w:eastAsia="宋体" w:cs="Times New Roman"/>
                <w:bCs/>
                <w:color w:val="auto"/>
                <w:spacing w:val="-4"/>
                <w:kern w:val="44"/>
                <w:sz w:val="21"/>
                <w:szCs w:val="21"/>
                <w:lang w:bidi="ar"/>
              </w:rPr>
              <w:t>T</w:t>
            </w:r>
            <w:r>
              <w:rPr>
                <w:rFonts w:hint="default" w:ascii="Times New Roman" w:hAnsi="Times New Roman" w:eastAsia="宋体" w:cs="Times New Roman"/>
                <w:bCs/>
                <w:color w:val="auto"/>
                <w:spacing w:val="-1"/>
                <w:kern w:val="44"/>
                <w:sz w:val="21"/>
                <w:szCs w:val="21"/>
                <w:lang w:bidi="ar"/>
              </w:rPr>
              <w:t>O</w:t>
            </w:r>
            <w:r>
              <w:rPr>
                <w:rFonts w:hint="default" w:ascii="Times New Roman" w:hAnsi="Times New Roman" w:eastAsia="宋体" w:cs="Times New Roman"/>
                <w:bCs/>
                <w:color w:val="auto"/>
                <w:kern w:val="44"/>
                <w:sz w:val="21"/>
                <w:szCs w:val="21"/>
                <w:lang w:bidi="ar"/>
              </w:rPr>
              <w:t>X</w:t>
            </w:r>
            <w:r>
              <w:rPr>
                <w:rFonts w:hint="default" w:ascii="Times New Roman" w:hAnsi="Times New Roman" w:eastAsia="宋体" w:cs="Times New Roman"/>
                <w:bCs/>
                <w:color w:val="auto"/>
                <w:kern w:val="44"/>
                <w:sz w:val="21"/>
                <w:szCs w:val="21"/>
                <w:lang w:bidi="ar"/>
              </w:rPr>
              <w:fldChar w:fldCharType="begin"/>
            </w:r>
            <w:r>
              <w:rPr>
                <w:rFonts w:hint="default" w:ascii="Times New Roman" w:hAnsi="Times New Roman" w:eastAsia="宋体" w:cs="Times New Roman"/>
                <w:bCs/>
                <w:color w:val="auto"/>
                <w:kern w:val="44"/>
                <w:sz w:val="21"/>
                <w:szCs w:val="21"/>
                <w:lang w:bidi="ar"/>
              </w:rPr>
              <w:instrText xml:space="preserve"> eq \o\ac(</w:instrText>
            </w:r>
            <w:r>
              <w:rPr>
                <w:rFonts w:hint="default" w:ascii="Times New Roman" w:hAnsi="Times New Roman" w:eastAsia="宋体" w:cs="Times New Roman"/>
                <w:bCs/>
                <w:color w:val="auto"/>
                <w:kern w:val="44"/>
                <w:position w:val="-4"/>
                <w:sz w:val="31"/>
                <w:szCs w:val="21"/>
                <w:lang w:bidi="ar"/>
              </w:rPr>
              <w:instrText xml:space="preserve">□</w:instrText>
            </w:r>
            <w:r>
              <w:rPr>
                <w:rFonts w:hint="default" w:ascii="Times New Roman" w:hAnsi="Times New Roman" w:eastAsia="宋体" w:cs="Times New Roman"/>
                <w:bCs/>
                <w:color w:val="auto"/>
                <w:kern w:val="44"/>
                <w:position w:val="0"/>
                <w:sz w:val="21"/>
                <w:szCs w:val="21"/>
                <w:lang w:bidi="ar"/>
              </w:rPr>
              <w:instrText xml:space="preserve">,√)</w:instrText>
            </w:r>
            <w:r>
              <w:rPr>
                <w:rFonts w:hint="default" w:ascii="Times New Roman" w:hAnsi="Times New Roman" w:eastAsia="宋体" w:cs="Times New Roman"/>
                <w:bCs/>
                <w:color w:val="auto"/>
                <w:kern w:val="44"/>
                <w:sz w:val="21"/>
                <w:szCs w:val="21"/>
                <w:lang w:bidi="ar"/>
              </w:rPr>
              <w:fldChar w:fldCharType="end"/>
            </w:r>
          </w:p>
        </w:tc>
        <w:tc>
          <w:tcPr>
            <w:tcW w:w="1332" w:type="dxa"/>
            <w:gridSpan w:val="3"/>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val="en-US" w:eastAsia="zh-CN" w:bidi="ar"/>
              </w:rPr>
              <w:t>其他</w:t>
            </w:r>
            <w:r>
              <w:rPr>
                <w:rFonts w:hint="default" w:ascii="Times New Roman" w:hAnsi="Times New Roman" w:eastAsia="宋体" w:cs="Times New Roman"/>
                <w:bCs/>
                <w:color w:val="auto"/>
                <w:kern w:val="44"/>
                <w:sz w:val="21"/>
                <w:szCs w:val="21"/>
                <w:lang w:bidi="ar"/>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gridSpan w:val="2"/>
            <w:vMerge w:val="continue"/>
            <w:tcBorders>
              <w:left w:val="single" w:color="auto" w:sz="4" w:space="0"/>
            </w:tcBorders>
            <w:noWrap w:val="0"/>
          </w:tcPr>
          <w:p/>
        </w:tc>
        <w:tc>
          <w:tcPr>
            <w:gridSpan w:val="2"/>
            <w:vMerge w:val="continue"/>
            <w:noWrap w:val="0"/>
          </w:tcPr>
          <w:p/>
        </w:tc>
        <w:tc>
          <w:tcPr>
            <w:tcW w:w="1497" w:type="dxa"/>
            <w:gridSpan w:val="3"/>
            <w:vMerge w:val="restar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预测结果</w:t>
            </w:r>
          </w:p>
        </w:tc>
        <w:tc>
          <w:tcPr>
            <w:tcW w:w="5510" w:type="dxa"/>
            <w:gridSpan w:val="13"/>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300" w:lineRule="atLeast"/>
              <w:jc w:val="center"/>
              <w:outlineLvl w:val="9"/>
              <w:rPr>
                <w:rFonts w:hint="default" w:ascii="Times New Roman" w:hAnsi="Times New Roman" w:eastAsia="宋体" w:cs="Times New Roman"/>
                <w:snapToGrid w:val="0"/>
                <w:color w:val="auto"/>
                <w:kern w:val="2"/>
                <w:sz w:val="21"/>
                <w:szCs w:val="21"/>
                <w:lang w:val="en-US" w:eastAsia="zh-CN" w:bidi="ar-SA"/>
              </w:rPr>
            </w:pPr>
            <w:r>
              <w:rPr>
                <w:rFonts w:hint="default" w:ascii="Times New Roman" w:hAnsi="Times New Roman" w:eastAsia="宋体" w:cs="Times New Roman"/>
                <w:snapToGrid w:val="0"/>
                <w:color w:val="auto"/>
                <w:kern w:val="2"/>
                <w:sz w:val="21"/>
                <w:szCs w:val="21"/>
                <w:lang w:val="en-US" w:eastAsia="zh-CN" w:bidi="ar-SA"/>
              </w:rPr>
              <w:t>大气毒性终点浓度-1 最大影响范围96m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gridSpan w:val="2"/>
            <w:vMerge w:val="continue"/>
            <w:tcBorders>
              <w:left w:val="single" w:color="auto" w:sz="4" w:space="0"/>
            </w:tcBorders>
            <w:noWrap w:val="0"/>
          </w:tcPr>
          <w:p/>
        </w:tc>
        <w:tc>
          <w:tcPr>
            <w:gridSpan w:val="2"/>
            <w:vMerge w:val="continue"/>
            <w:noWrap w:val="0"/>
          </w:tcPr>
          <w:p/>
        </w:tc>
        <w:tc>
          <w:tcPr>
            <w:gridSpan w:val="3"/>
            <w:vMerge w:val="continue"/>
            <w:noWrap w:val="0"/>
          </w:tcPr>
          <w:p/>
        </w:tc>
        <w:tc>
          <w:tcPr>
            <w:tcW w:w="5510" w:type="dxa"/>
            <w:gridSpan w:val="13"/>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300" w:lineRule="atLeast"/>
              <w:jc w:val="center"/>
              <w:outlineLvl w:val="9"/>
              <w:rPr>
                <w:rFonts w:hint="default" w:ascii="Times New Roman" w:hAnsi="Times New Roman" w:eastAsia="宋体" w:cs="Times New Roman"/>
                <w:snapToGrid w:val="0"/>
                <w:color w:val="auto"/>
                <w:kern w:val="2"/>
                <w:sz w:val="21"/>
                <w:szCs w:val="21"/>
                <w:lang w:val="en-US" w:eastAsia="zh-CN" w:bidi="ar-SA"/>
              </w:rPr>
            </w:pPr>
            <w:r>
              <w:rPr>
                <w:rFonts w:hint="default" w:ascii="Times New Roman" w:hAnsi="Times New Roman" w:eastAsia="宋体" w:cs="Times New Roman"/>
                <w:snapToGrid w:val="0"/>
                <w:color w:val="auto"/>
                <w:kern w:val="2"/>
                <w:sz w:val="21"/>
                <w:szCs w:val="21"/>
                <w:lang w:val="en-US" w:eastAsia="zh-CN" w:bidi="ar-SA"/>
              </w:rPr>
              <w:t>大气毒性终点浓度-2 最大影响范围31</w:t>
            </w:r>
            <w:r>
              <w:rPr>
                <w:rFonts w:hint="eastAsia" w:ascii="Times New Roman" w:hAnsi="Times New Roman" w:eastAsia="宋体" w:cs="Times New Roman"/>
                <w:snapToGrid w:val="0"/>
                <w:color w:val="auto"/>
                <w:kern w:val="2"/>
                <w:sz w:val="21"/>
                <w:szCs w:val="21"/>
                <w:lang w:val="en-US" w:eastAsia="zh-CN" w:bidi="ar-SA"/>
              </w:rPr>
              <w:t>2</w:t>
            </w:r>
            <w:r>
              <w:rPr>
                <w:rFonts w:hint="default" w:ascii="Times New Roman" w:hAnsi="Times New Roman" w:eastAsia="宋体" w:cs="Times New Roman"/>
                <w:snapToGrid w:val="0"/>
                <w:color w:val="auto"/>
                <w:kern w:val="2"/>
                <w:sz w:val="21"/>
                <w:szCs w:val="21"/>
                <w:lang w:val="en-US" w:eastAsia="zh-CN" w:bidi="ar-SA"/>
              </w:rPr>
              <w:t>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gridSpan w:val="2"/>
            <w:vMerge w:val="continue"/>
            <w:tcBorders>
              <w:left w:val="single" w:color="auto" w:sz="4" w:space="0"/>
            </w:tcBorders>
            <w:noWrap w:val="0"/>
          </w:tcPr>
          <w:p/>
        </w:tc>
        <w:tc>
          <w:tcPr>
            <w:tcW w:w="1182" w:type="dxa"/>
            <w:gridSpan w:val="2"/>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地表水</w:t>
            </w:r>
          </w:p>
        </w:tc>
        <w:tc>
          <w:tcPr>
            <w:tcW w:w="7007" w:type="dxa"/>
            <w:gridSpan w:val="16"/>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lang w:eastAsia="zh-CN"/>
              </w:rPr>
            </w:pPr>
            <w:r>
              <w:rPr>
                <w:rFonts w:hint="default" w:ascii="Times New Roman" w:hAnsi="Times New Roman" w:eastAsia="宋体" w:cs="Times New Roman"/>
                <w:bCs/>
                <w:color w:val="auto"/>
                <w:kern w:val="44"/>
                <w:sz w:val="21"/>
                <w:szCs w:val="21"/>
                <w:lang w:val="en-US" w:eastAsia="zh-CN" w:bidi="ar"/>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gridSpan w:val="2"/>
            <w:vMerge w:val="continue"/>
            <w:tcBorders>
              <w:left w:val="single" w:color="auto" w:sz="4" w:space="0"/>
            </w:tcBorders>
            <w:noWrap w:val="0"/>
          </w:tcPr>
          <w:p/>
        </w:tc>
        <w:tc>
          <w:tcPr>
            <w:tcW w:w="1182" w:type="dxa"/>
            <w:gridSpan w:val="2"/>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地下水</w:t>
            </w:r>
          </w:p>
        </w:tc>
        <w:tc>
          <w:tcPr>
            <w:tcW w:w="7007" w:type="dxa"/>
            <w:gridSpan w:val="16"/>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lang w:val="en-US" w:eastAsia="zh-CN"/>
              </w:rPr>
            </w:pPr>
            <w:r>
              <w:rPr>
                <w:rFonts w:hint="default" w:ascii="Times New Roman" w:hAnsi="Times New Roman" w:eastAsia="宋体" w:cs="Times New Roman"/>
                <w:bCs/>
                <w:color w:val="auto"/>
                <w:kern w:val="44"/>
                <w:sz w:val="21"/>
                <w:szCs w:val="21"/>
                <w:lang w:val="en-US" w:eastAsia="zh-CN" w:bidi="ar"/>
              </w:rPr>
              <w:t>详见5.5章节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7" w:type="dxa"/>
            <w:gridSpan w:val="2"/>
            <w:tcBorders>
              <w:lef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重点风险防范措施</w:t>
            </w:r>
          </w:p>
        </w:tc>
        <w:tc>
          <w:tcPr>
            <w:tcW w:w="8189" w:type="dxa"/>
            <w:gridSpan w:val="18"/>
            <w:tcBorders>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420"/>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（1）大气环境风险防范措施</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420"/>
              <w:outlineLvl w:val="9"/>
              <w:rPr>
                <w:rFonts w:hint="default" w:ascii="Times New Roman" w:hAnsi="Times New Roman" w:eastAsia="宋体" w:cs="Times New Roman"/>
                <w:bCs/>
                <w:color w:val="auto"/>
                <w:kern w:val="44"/>
                <w:sz w:val="21"/>
                <w:szCs w:val="21"/>
                <w:lang w:bidi="ar"/>
              </w:rPr>
            </w:pPr>
            <w:r>
              <w:rPr>
                <w:rFonts w:hint="default" w:ascii="Times New Roman" w:hAnsi="Times New Roman" w:eastAsia="宋体" w:cs="Times New Roman"/>
                <w:bCs/>
                <w:color w:val="auto"/>
                <w:kern w:val="44"/>
                <w:sz w:val="21"/>
                <w:szCs w:val="21"/>
                <w:lang w:bidi="ar"/>
              </w:rPr>
              <w:t>危险化学品储运系统的设计严格按照《石油化工储运系统罐区设计规范》、《石油化工企业设计防火规范》的有关规定进行。严格按照《危险化学品安全管理条例》要求进行管理。设置有毒、可燃气体泄露报警仪；加强储罐及管道的操作、维护维修管理；作业人员必须接受与本岗位相适应的、专门的安全技术培训；所有压力容器、可燃气体检测仪器、安全阀以及远近距离控制阀等，应按规定周期定期检验，确保安全、灵敏、可靠；建立管道的安全技术档案并及时更新，并作为员工上岗培训重点内容；加强运输管线的检查（防泄漏、防腐蚀、阀门封闭等情况），设有专人对管线进行巡查，查看管线的防泄漏（应特别关注焊缝、管道变径及弯头处）、防腐蚀以及阀门等设备的完好情况。</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420"/>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（2）事故废水污染防治措施</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420"/>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装置、罐区按规范设围堰、防火堤、集排水系统，外设切换阀，做到事故时能够正常切换到事故应急池。</w:t>
            </w:r>
            <w:r>
              <w:rPr>
                <w:rFonts w:hint="default" w:ascii="Times New Roman" w:hAnsi="Times New Roman" w:eastAsia="宋体" w:cs="Times New Roman"/>
                <w:color w:val="auto"/>
                <w:sz w:val="21"/>
                <w:szCs w:val="21"/>
                <w:lang w:val="zh-CN" w:bidi="ar"/>
              </w:rPr>
              <w:t>各装置及罐区分别设置初期雨水池，容积为</w:t>
            </w:r>
            <w:r>
              <w:rPr>
                <w:rFonts w:hint="eastAsia" w:ascii="Times New Roman" w:hAnsi="Times New Roman" w:eastAsia="宋体" w:cs="Times New Roman"/>
                <w:color w:val="auto"/>
                <w:sz w:val="21"/>
                <w:szCs w:val="21"/>
                <w:lang w:val="en-US" w:eastAsia="zh-CN" w:bidi="ar"/>
              </w:rPr>
              <w:t>4</w:t>
            </w:r>
            <w:r>
              <w:rPr>
                <w:rFonts w:hint="default" w:ascii="Times New Roman" w:hAnsi="Times New Roman" w:eastAsia="宋体" w:cs="Times New Roman"/>
                <w:color w:val="auto"/>
                <w:sz w:val="21"/>
                <w:szCs w:val="21"/>
                <w:lang w:val="en-US" w:eastAsia="zh-CN" w:bidi="ar"/>
              </w:rPr>
              <w:t>00</w:t>
            </w:r>
            <w:r>
              <w:rPr>
                <w:rFonts w:hint="default" w:ascii="Times New Roman" w:hAnsi="Times New Roman" w:eastAsia="宋体" w:cs="Times New Roman"/>
                <w:color w:val="auto"/>
                <w:sz w:val="21"/>
                <w:szCs w:val="21"/>
                <w:lang w:bidi="ar"/>
              </w:rPr>
              <w:t>m</w:t>
            </w:r>
            <w:r>
              <w:rPr>
                <w:rFonts w:hint="default" w:ascii="Times New Roman" w:hAnsi="Times New Roman" w:eastAsia="宋体" w:cs="Times New Roman"/>
                <w:color w:val="auto"/>
                <w:sz w:val="21"/>
                <w:szCs w:val="21"/>
                <w:vertAlign w:val="superscript"/>
                <w:lang w:bidi="ar"/>
              </w:rPr>
              <w:t>3</w:t>
            </w:r>
            <w:r>
              <w:rPr>
                <w:rFonts w:hint="default" w:ascii="Times New Roman" w:hAnsi="Times New Roman" w:eastAsia="宋体" w:cs="Times New Roman"/>
                <w:color w:val="auto"/>
                <w:sz w:val="21"/>
                <w:szCs w:val="21"/>
                <w:lang w:eastAsia="zh-CN" w:bidi="ar"/>
              </w:rPr>
              <w:t>及</w:t>
            </w:r>
            <w:r>
              <w:rPr>
                <w:rFonts w:hint="default" w:ascii="Times New Roman" w:hAnsi="Times New Roman" w:eastAsia="宋体" w:cs="Times New Roman"/>
                <w:color w:val="auto"/>
                <w:sz w:val="21"/>
                <w:szCs w:val="21"/>
                <w:lang w:bidi="ar"/>
              </w:rPr>
              <w:t>导流系统</w:t>
            </w:r>
            <w:r>
              <w:rPr>
                <w:rFonts w:hint="default" w:ascii="Times New Roman" w:hAnsi="Times New Roman" w:eastAsia="宋体" w:cs="Times New Roman"/>
                <w:bCs/>
                <w:color w:val="auto"/>
                <w:kern w:val="44"/>
                <w:sz w:val="21"/>
                <w:szCs w:val="21"/>
                <w:lang w:bidi="ar"/>
              </w:rPr>
              <w:t>，</w:t>
            </w:r>
            <w:r>
              <w:rPr>
                <w:rFonts w:hint="default" w:ascii="Times New Roman" w:hAnsi="Times New Roman" w:eastAsia="宋体" w:cs="Times New Roman"/>
                <w:bCs/>
                <w:color w:val="auto"/>
                <w:kern w:val="44"/>
                <w:sz w:val="21"/>
                <w:szCs w:val="21"/>
                <w:lang w:val="en-US" w:eastAsia="zh-CN" w:bidi="ar"/>
              </w:rPr>
              <w:t>1400</w:t>
            </w:r>
            <w:r>
              <w:rPr>
                <w:rFonts w:hint="default" w:ascii="Times New Roman" w:hAnsi="Times New Roman" w:eastAsia="宋体" w:cs="Times New Roman"/>
                <w:bCs/>
                <w:color w:val="auto"/>
                <w:kern w:val="44"/>
                <w:sz w:val="21"/>
                <w:szCs w:val="21"/>
                <w:lang w:bidi="ar"/>
              </w:rPr>
              <w:t>m</w:t>
            </w:r>
            <w:r>
              <w:rPr>
                <w:rFonts w:hint="default" w:ascii="Times New Roman" w:hAnsi="Times New Roman" w:eastAsia="宋体" w:cs="Times New Roman"/>
                <w:bCs/>
                <w:color w:val="auto"/>
                <w:kern w:val="44"/>
                <w:sz w:val="21"/>
                <w:szCs w:val="21"/>
                <w:vertAlign w:val="superscript"/>
                <w:lang w:bidi="ar"/>
              </w:rPr>
              <w:t>3</w:t>
            </w:r>
            <w:r>
              <w:rPr>
                <w:rFonts w:hint="default" w:ascii="Times New Roman" w:hAnsi="Times New Roman" w:eastAsia="宋体" w:cs="Times New Roman"/>
                <w:bCs/>
                <w:color w:val="auto"/>
                <w:kern w:val="44"/>
                <w:sz w:val="21"/>
                <w:szCs w:val="21"/>
                <w:lang w:bidi="ar"/>
              </w:rPr>
              <w:t>的事故应急池及导流系统。</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420"/>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（3）地下水环境风险防范措施</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420"/>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采取源头控制和分区防渗措施，加强地下水环境的监控、预警，厂区设置地下水监控井，定期对厂区的地下水监控井进行监测，实时监控厂区内的地下水环境污染水平。</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420"/>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（4）制定突发环境事件应急预案并定期演练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7" w:type="dxa"/>
            <w:gridSpan w:val="2"/>
            <w:tcBorders>
              <w:lef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0"/>
              <w:jc w:val="center"/>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bCs/>
                <w:color w:val="auto"/>
                <w:kern w:val="44"/>
                <w:sz w:val="21"/>
                <w:szCs w:val="21"/>
                <w:lang w:bidi="ar"/>
              </w:rPr>
              <w:t>评价结论与建议</w:t>
            </w:r>
          </w:p>
        </w:tc>
        <w:tc>
          <w:tcPr>
            <w:tcW w:w="8189" w:type="dxa"/>
            <w:gridSpan w:val="18"/>
            <w:tcBorders>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420"/>
              <w:outlineLvl w:val="9"/>
              <w:rPr>
                <w:rFonts w:hint="default" w:ascii="Times New Roman" w:hAnsi="Times New Roman" w:eastAsia="宋体" w:cs="Times New Roman"/>
                <w:color w:val="auto"/>
                <w:sz w:val="21"/>
                <w:szCs w:val="21"/>
                <w:lang w:val="zh-CN" w:bidi="ar"/>
              </w:rPr>
            </w:pPr>
            <w:r>
              <w:rPr>
                <w:rFonts w:hint="default" w:ascii="Times New Roman" w:hAnsi="Times New Roman" w:eastAsia="宋体" w:cs="Times New Roman"/>
                <w:bCs/>
                <w:color w:val="auto"/>
                <w:sz w:val="21"/>
                <w:szCs w:val="21"/>
                <w:lang w:bidi="ar"/>
              </w:rPr>
              <w:t>本项目物料储罐、输送管道发生火灾爆炸和泄漏会都周围环境造成影响。</w:t>
            </w:r>
            <w:r>
              <w:rPr>
                <w:rFonts w:hint="default" w:ascii="Times New Roman" w:hAnsi="Times New Roman" w:eastAsia="宋体" w:cs="Times New Roman"/>
                <w:color w:val="auto"/>
                <w:sz w:val="21"/>
                <w:szCs w:val="21"/>
                <w:lang w:val="zh-CN" w:bidi="ar"/>
              </w:rPr>
              <w:t>本评价主要考虑考虑</w:t>
            </w:r>
            <w:r>
              <w:rPr>
                <w:rFonts w:hint="default" w:ascii="Times New Roman" w:hAnsi="Times New Roman" w:eastAsia="宋体" w:cs="Times New Roman"/>
                <w:color w:val="auto"/>
                <w:sz w:val="21"/>
                <w:szCs w:val="21"/>
                <w:lang w:val="en-US" w:eastAsia="zh-CN" w:bidi="ar"/>
              </w:rPr>
              <w:t>硝酸</w:t>
            </w:r>
            <w:r>
              <w:rPr>
                <w:rFonts w:hint="default" w:ascii="Times New Roman" w:hAnsi="Times New Roman" w:eastAsia="宋体" w:cs="Times New Roman"/>
                <w:color w:val="auto"/>
                <w:sz w:val="21"/>
                <w:szCs w:val="21"/>
                <w:lang w:val="zh-CN" w:bidi="ar"/>
              </w:rPr>
              <w:t>储罐泄漏、</w:t>
            </w:r>
            <w:r>
              <w:rPr>
                <w:rFonts w:hint="default" w:ascii="Times New Roman" w:hAnsi="Times New Roman" w:eastAsia="宋体" w:cs="Times New Roman"/>
                <w:color w:val="auto"/>
                <w:sz w:val="21"/>
                <w:szCs w:val="21"/>
                <w:lang w:val="en-US" w:eastAsia="zh-CN" w:bidi="ar"/>
              </w:rPr>
              <w:t>氨水储罐</w:t>
            </w:r>
            <w:r>
              <w:rPr>
                <w:rFonts w:hint="default" w:ascii="Times New Roman" w:hAnsi="Times New Roman" w:eastAsia="宋体" w:cs="Times New Roman"/>
                <w:color w:val="auto"/>
                <w:sz w:val="21"/>
                <w:szCs w:val="21"/>
                <w:lang w:val="zh-CN" w:bidi="ar"/>
              </w:rPr>
              <w:t>泄漏、</w:t>
            </w:r>
            <w:r>
              <w:rPr>
                <w:rFonts w:hint="default" w:ascii="Times New Roman" w:hAnsi="Times New Roman" w:eastAsia="宋体" w:cs="Times New Roman"/>
                <w:color w:val="auto"/>
                <w:sz w:val="21"/>
                <w:szCs w:val="21"/>
                <w:lang w:val="en-US" w:eastAsia="zh-CN" w:bidi="ar"/>
              </w:rPr>
              <w:t>福尔马林吨桶</w:t>
            </w:r>
            <w:r>
              <w:rPr>
                <w:rFonts w:hint="default" w:ascii="Times New Roman" w:hAnsi="Times New Roman" w:eastAsia="宋体" w:cs="Times New Roman"/>
                <w:color w:val="auto"/>
                <w:sz w:val="21"/>
                <w:szCs w:val="21"/>
                <w:lang w:val="zh-CN" w:bidi="ar"/>
              </w:rPr>
              <w:t>泄漏对外界环境的影响。</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420"/>
              <w:outlineLvl w:val="9"/>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kern w:val="1"/>
                <w:sz w:val="21"/>
                <w:szCs w:val="21"/>
                <w:lang w:bidi="ar"/>
              </w:rPr>
              <w:t>在本评价预设条件下发生气相毒物风险事故时，装置</w:t>
            </w:r>
            <w:r>
              <w:rPr>
                <w:rFonts w:hint="default" w:ascii="Times New Roman" w:hAnsi="Times New Roman" w:eastAsia="宋体" w:cs="Times New Roman"/>
                <w:color w:val="auto"/>
                <w:kern w:val="1"/>
                <w:sz w:val="21"/>
                <w:szCs w:val="21"/>
                <w:lang w:val="en-US" w:eastAsia="zh-CN" w:bidi="ar"/>
              </w:rPr>
              <w:t>区、</w:t>
            </w:r>
            <w:r>
              <w:rPr>
                <w:rFonts w:hint="default" w:ascii="Times New Roman" w:hAnsi="Times New Roman" w:eastAsia="宋体" w:cs="Times New Roman"/>
                <w:color w:val="auto"/>
                <w:kern w:val="1"/>
                <w:sz w:val="21"/>
                <w:szCs w:val="21"/>
                <w:lang w:bidi="ar"/>
              </w:rPr>
              <w:t>罐区中各风险物质毒性终点浓度-1出现的距离在</w:t>
            </w:r>
            <w:r>
              <w:rPr>
                <w:rFonts w:hint="default" w:ascii="Times New Roman" w:hAnsi="Times New Roman" w:eastAsia="宋体" w:cs="Times New Roman"/>
                <w:color w:val="auto"/>
                <w:kern w:val="1"/>
                <w:sz w:val="21"/>
                <w:szCs w:val="21"/>
                <w:lang w:val="en-US" w:eastAsia="zh-CN" w:bidi="ar"/>
              </w:rPr>
              <w:t>96</w:t>
            </w:r>
            <w:r>
              <w:rPr>
                <w:rFonts w:hint="default" w:ascii="Times New Roman" w:hAnsi="Times New Roman" w:eastAsia="宋体" w:cs="Times New Roman"/>
                <w:color w:val="auto"/>
                <w:kern w:val="1"/>
                <w:sz w:val="21"/>
                <w:szCs w:val="21"/>
                <w:lang w:bidi="ar"/>
              </w:rPr>
              <w:t>m</w:t>
            </w:r>
            <w:r>
              <w:rPr>
                <w:rFonts w:hint="default" w:ascii="Times New Roman" w:hAnsi="Times New Roman" w:eastAsia="宋体" w:cs="Times New Roman"/>
                <w:color w:val="auto"/>
                <w:kern w:val="1"/>
                <w:sz w:val="21"/>
                <w:szCs w:val="21"/>
                <w:lang w:val="en-US" w:eastAsia="zh-CN" w:bidi="ar"/>
              </w:rPr>
              <w:t>内</w:t>
            </w:r>
            <w:r>
              <w:rPr>
                <w:rFonts w:hint="default" w:ascii="Times New Roman" w:hAnsi="Times New Roman" w:eastAsia="宋体" w:cs="Times New Roman"/>
                <w:color w:val="auto"/>
                <w:kern w:val="1"/>
                <w:sz w:val="21"/>
                <w:szCs w:val="21"/>
                <w:lang w:bidi="ar"/>
              </w:rPr>
              <w:t>，毒性终点浓度-</w:t>
            </w:r>
            <w:r>
              <w:rPr>
                <w:rFonts w:hint="default" w:ascii="Times New Roman" w:hAnsi="Times New Roman" w:eastAsia="宋体" w:cs="Times New Roman"/>
                <w:color w:val="auto"/>
                <w:kern w:val="1"/>
                <w:sz w:val="21"/>
                <w:szCs w:val="21"/>
                <w:lang w:val="en-US" w:eastAsia="zh-CN" w:bidi="ar"/>
              </w:rPr>
              <w:t>2</w:t>
            </w:r>
            <w:r>
              <w:rPr>
                <w:rFonts w:hint="default" w:ascii="Times New Roman" w:hAnsi="Times New Roman" w:eastAsia="宋体" w:cs="Times New Roman"/>
                <w:color w:val="auto"/>
                <w:kern w:val="1"/>
                <w:sz w:val="21"/>
                <w:szCs w:val="21"/>
                <w:lang w:bidi="ar"/>
              </w:rPr>
              <w:t>出现的距离在</w:t>
            </w:r>
            <w:r>
              <w:rPr>
                <w:rFonts w:hint="default" w:ascii="Times New Roman" w:hAnsi="Times New Roman" w:eastAsia="宋体" w:cs="Times New Roman"/>
                <w:color w:val="auto"/>
                <w:kern w:val="1"/>
                <w:sz w:val="21"/>
                <w:szCs w:val="21"/>
                <w:lang w:val="en-US" w:eastAsia="zh-CN" w:bidi="ar"/>
              </w:rPr>
              <w:t>31</w:t>
            </w:r>
            <w:r>
              <w:rPr>
                <w:rFonts w:hint="eastAsia" w:ascii="Times New Roman" w:hAnsi="Times New Roman" w:eastAsia="宋体" w:cs="Times New Roman"/>
                <w:color w:val="auto"/>
                <w:kern w:val="1"/>
                <w:sz w:val="21"/>
                <w:szCs w:val="21"/>
                <w:lang w:val="en-US" w:eastAsia="zh-CN" w:bidi="ar"/>
              </w:rPr>
              <w:t>2</w:t>
            </w:r>
            <w:r>
              <w:rPr>
                <w:rFonts w:hint="default" w:ascii="Times New Roman" w:hAnsi="Times New Roman" w:eastAsia="宋体" w:cs="Times New Roman"/>
                <w:color w:val="auto"/>
                <w:kern w:val="1"/>
                <w:sz w:val="21"/>
                <w:szCs w:val="21"/>
                <w:lang w:bidi="ar"/>
              </w:rPr>
              <w:t>m</w:t>
            </w:r>
            <w:r>
              <w:rPr>
                <w:rFonts w:hint="default" w:ascii="Times New Roman" w:hAnsi="Times New Roman" w:eastAsia="宋体" w:cs="Times New Roman"/>
                <w:color w:val="auto"/>
                <w:kern w:val="1"/>
                <w:sz w:val="21"/>
                <w:szCs w:val="21"/>
                <w:lang w:val="en-US" w:eastAsia="zh-CN" w:bidi="ar"/>
              </w:rPr>
              <w:t>内。</w:t>
            </w:r>
            <w:r>
              <w:rPr>
                <w:rFonts w:hint="default" w:ascii="Times New Roman" w:hAnsi="Times New Roman" w:eastAsia="宋体" w:cs="Times New Roman"/>
                <w:color w:val="auto"/>
                <w:kern w:val="1"/>
                <w:sz w:val="21"/>
                <w:szCs w:val="21"/>
                <w:lang w:bidi="ar"/>
              </w:rPr>
              <w:t>各事故情形下各污染物的毒性终点浓度影响范围内均不存在大气敏感目标。</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00" w:lineRule="atLeast"/>
              <w:ind w:left="0" w:right="0" w:firstLine="420"/>
              <w:outlineLvl w:val="9"/>
              <w:rPr>
                <w:rFonts w:hint="default" w:ascii="Times New Roman" w:hAnsi="Times New Roman" w:eastAsia="宋体" w:cs="Times New Roman"/>
                <w:bCs/>
                <w:color w:val="auto"/>
                <w:kern w:val="44"/>
                <w:sz w:val="21"/>
                <w:szCs w:val="21"/>
              </w:rPr>
            </w:pPr>
            <w:r>
              <w:rPr>
                <w:rFonts w:hint="default" w:ascii="Times New Roman" w:hAnsi="Times New Roman" w:eastAsia="宋体" w:cs="Times New Roman"/>
                <w:color w:val="auto"/>
                <w:sz w:val="21"/>
                <w:szCs w:val="21"/>
                <w:lang w:val="zh-CN" w:bidi="ar"/>
              </w:rPr>
              <w:t>项目加强管理的情况下尽快察觉发生的泄漏，能采取有效措施清理泄漏现场。厂区严禁烟火，可有效避免易燃物质泄漏时发生燃烧事故，降低对大气环境的影响。</w:t>
            </w:r>
            <w:r>
              <w:rPr>
                <w:rFonts w:hint="default" w:ascii="Times New Roman" w:hAnsi="Times New Roman" w:eastAsia="宋体" w:cs="Times New Roman"/>
                <w:color w:val="auto"/>
                <w:sz w:val="21"/>
                <w:szCs w:val="21"/>
                <w:lang w:val="en-US" w:eastAsia="zh-CN" w:bidi="ar"/>
              </w:rPr>
              <w:t>项目各装置及罐区分别设置初期雨水池，有效容积为</w:t>
            </w:r>
            <w:r>
              <w:rPr>
                <w:rFonts w:hint="eastAsia" w:ascii="Times New Roman" w:hAnsi="Times New Roman" w:eastAsia="宋体" w:cs="Times New Roman"/>
                <w:color w:val="auto"/>
                <w:sz w:val="21"/>
                <w:szCs w:val="21"/>
                <w:lang w:val="en-US" w:eastAsia="zh-CN" w:bidi="ar"/>
              </w:rPr>
              <w:t>4</w:t>
            </w:r>
            <w:r>
              <w:rPr>
                <w:rFonts w:hint="default" w:ascii="Times New Roman" w:hAnsi="Times New Roman" w:eastAsia="宋体" w:cs="Times New Roman"/>
                <w:color w:val="auto"/>
                <w:sz w:val="21"/>
                <w:szCs w:val="21"/>
                <w:lang w:val="en-US" w:eastAsia="zh-CN" w:bidi="ar"/>
              </w:rPr>
              <w:t>00m</w:t>
            </w:r>
            <w:r>
              <w:rPr>
                <w:rFonts w:hint="default" w:ascii="Times New Roman" w:hAnsi="Times New Roman" w:eastAsia="宋体" w:cs="Times New Roman"/>
                <w:color w:val="auto"/>
                <w:sz w:val="21"/>
                <w:szCs w:val="21"/>
                <w:vertAlign w:val="superscript"/>
                <w:lang w:val="en-US" w:eastAsia="zh-CN" w:bidi="ar"/>
              </w:rPr>
              <w:t>3</w:t>
            </w:r>
            <w:r>
              <w:rPr>
                <w:rFonts w:hint="default" w:ascii="Times New Roman" w:hAnsi="Times New Roman" w:eastAsia="宋体" w:cs="Times New Roman"/>
                <w:color w:val="auto"/>
                <w:sz w:val="21"/>
                <w:szCs w:val="21"/>
                <w:lang w:val="en-US" w:eastAsia="zh-CN" w:bidi="ar"/>
              </w:rPr>
              <w:t>及导流系统</w:t>
            </w:r>
            <w:r>
              <w:rPr>
                <w:rFonts w:hint="default" w:ascii="Times New Roman" w:hAnsi="Times New Roman" w:eastAsia="宋体" w:cs="Times New Roman"/>
                <w:color w:val="auto"/>
                <w:sz w:val="21"/>
                <w:szCs w:val="21"/>
                <w:lang w:bidi="ar"/>
              </w:rPr>
              <w:t>，</w:t>
            </w:r>
            <w:r>
              <w:rPr>
                <w:rFonts w:hint="default" w:ascii="Times New Roman" w:hAnsi="Times New Roman" w:eastAsia="宋体" w:cs="Times New Roman"/>
                <w:color w:val="auto"/>
                <w:sz w:val="21"/>
                <w:szCs w:val="21"/>
                <w:lang w:val="en-US" w:eastAsia="zh-CN" w:bidi="ar"/>
              </w:rPr>
              <w:t>1400</w:t>
            </w:r>
            <w:r>
              <w:rPr>
                <w:rFonts w:hint="default" w:ascii="Times New Roman" w:hAnsi="Times New Roman" w:eastAsia="宋体" w:cs="Times New Roman"/>
                <w:color w:val="auto"/>
                <w:sz w:val="21"/>
                <w:szCs w:val="21"/>
                <w:lang w:bidi="ar"/>
              </w:rPr>
              <w:t>m</w:t>
            </w:r>
            <w:r>
              <w:rPr>
                <w:rFonts w:hint="default" w:ascii="Times New Roman" w:hAnsi="Times New Roman" w:eastAsia="宋体" w:cs="Times New Roman"/>
                <w:color w:val="auto"/>
                <w:sz w:val="21"/>
                <w:szCs w:val="21"/>
                <w:vertAlign w:val="superscript"/>
                <w:lang w:bidi="ar"/>
              </w:rPr>
              <w:t>3</w:t>
            </w:r>
            <w:r>
              <w:rPr>
                <w:rFonts w:hint="default" w:ascii="Times New Roman" w:hAnsi="Times New Roman" w:eastAsia="宋体" w:cs="Times New Roman"/>
                <w:color w:val="auto"/>
                <w:sz w:val="21"/>
                <w:szCs w:val="21"/>
                <w:lang w:val="zh-CN" w:bidi="ar"/>
              </w:rPr>
              <w:t>的事故应急池及导流系统。确保在事故状态下能顺利收集消防废水。通过以上措施，本项目消防废水可控制在厂内，基本不会对周边水体造成影响。项目建成后，正常情况下对地下水的水质基本没有影响。企业采取有效的措施防止污染物泄漏，按分区防渗级别的要求采取场地防渗措施，加强环境管理，维护环保设施的正常运行，杜绝非正常排放。</w:t>
            </w:r>
          </w:p>
        </w:tc>
      </w:tr>
    </w:tbl>
    <w:p>
      <w:pPr>
        <w:widowControl w:val="0"/>
        <w:spacing w:line="360" w:lineRule="auto"/>
        <w:ind w:firstLine="480"/>
        <w:jc w:val="both"/>
        <w:rPr>
          <w:rFonts w:hint="default" w:ascii="Times New Roman" w:hAnsi="Times New Roman" w:eastAsia="宋体" w:cs="Times New Roman"/>
          <w:snapToGrid w:val="0"/>
          <w:color w:val="auto"/>
          <w:kern w:val="0"/>
          <w:sz w:val="24"/>
          <w:szCs w:val="21"/>
          <w:lang w:val="en-US" w:eastAsia="zh-CN" w:bidi="ar-SA"/>
        </w:rPr>
      </w:pPr>
    </w:p>
    <w:p>
      <w:pPr>
        <w:rPr>
          <w:rFonts w:hint="default" w:ascii="Times New Roman" w:hAnsi="Times New Roman" w:cs="Times New Roman"/>
          <w:color w:val="auto"/>
        </w:rPr>
        <w:sectPr>
          <w:pgSz w:w="11906" w:h="16838"/>
          <w:pgMar w:top="1304" w:right="1418" w:bottom="1304" w:left="1418" w:header="851" w:footer="992" w:gutter="0"/>
          <w:pgBorders>
            <w:top w:val="none" w:sz="0" w:space="0"/>
            <w:left w:val="none" w:sz="0" w:space="0"/>
            <w:bottom w:val="none" w:sz="0" w:space="0"/>
            <w:right w:val="none" w:sz="0" w:space="0"/>
          </w:pgBorders>
          <w:pgNumType w:fmt="decimal"/>
          <w:cols w:space="720" w:num="1"/>
          <w:docGrid w:linePitch="380" w:charSpace="-5735"/>
        </w:sectPr>
      </w:pPr>
    </w:p>
    <w:p>
      <w:pPr>
        <w:widowControl/>
        <w:spacing w:line="360" w:lineRule="auto"/>
        <w:ind w:firstLine="0"/>
        <w:jc w:val="left"/>
        <w:outlineLvl w:val="0"/>
        <w:rPr>
          <w:rFonts w:hint="default" w:ascii="Times New Roman" w:hAnsi="Times New Roman" w:eastAsia="黑体" w:cs="Times New Roman"/>
          <w:bCs/>
          <w:sz w:val="36"/>
          <w:szCs w:val="24"/>
        </w:rPr>
      </w:pPr>
      <w:bookmarkStart w:id="347" w:name="_Toc29163"/>
      <w:r>
        <w:rPr>
          <w:rFonts w:hint="default" w:ascii="Times New Roman" w:hAnsi="Times New Roman" w:eastAsia="黑体" w:cs="Times New Roman"/>
          <w:bCs/>
          <w:sz w:val="36"/>
          <w:szCs w:val="24"/>
        </w:rPr>
        <w:t>7环境保护措施及其可行性论证</w:t>
      </w:r>
      <w:bookmarkEnd w:id="347"/>
    </w:p>
    <w:p>
      <w:pPr>
        <w:widowControl/>
        <w:spacing w:line="360" w:lineRule="auto"/>
        <w:ind w:firstLine="0"/>
        <w:jc w:val="left"/>
        <w:outlineLvl w:val="1"/>
        <w:rPr>
          <w:rFonts w:hint="default" w:ascii="Times New Roman" w:hAnsi="Times New Roman" w:eastAsia="黑体" w:cs="Times New Roman"/>
          <w:sz w:val="32"/>
          <w:szCs w:val="28"/>
        </w:rPr>
      </w:pPr>
      <w:bookmarkStart w:id="348" w:name="_Toc28090"/>
      <w:r>
        <w:rPr>
          <w:rFonts w:hint="default" w:ascii="Times New Roman" w:hAnsi="Times New Roman" w:eastAsia="黑体" w:cs="Times New Roman"/>
          <w:sz w:val="32"/>
          <w:szCs w:val="28"/>
        </w:rPr>
        <w:t>7.1施工期环境保护措施</w:t>
      </w:r>
      <w:bookmarkEnd w:id="348"/>
    </w:p>
    <w:p>
      <w:pPr>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rPr>
        <w:t>为减轻施工过程对环境的影响，建设单位应加强以下各项环保措施：</w:t>
      </w:r>
    </w:p>
    <w:p>
      <w:pPr>
        <w:spacing w:line="360" w:lineRule="auto"/>
        <w:ind w:firstLine="361"/>
        <w:rPr>
          <w:rFonts w:hint="default" w:ascii="Times New Roman" w:hAnsi="Times New Roman" w:eastAsia="宋体" w:cs="Times New Roman"/>
          <w:b/>
          <w:sz w:val="24"/>
          <w:szCs w:val="21"/>
        </w:rPr>
      </w:pPr>
      <w:r>
        <w:rPr>
          <w:rFonts w:hint="default" w:ascii="Times New Roman" w:hAnsi="Times New Roman" w:eastAsia="宋体" w:cs="Times New Roman"/>
          <w:b/>
          <w:sz w:val="24"/>
          <w:szCs w:val="21"/>
        </w:rPr>
        <w:t>（1）施工扬尘及施工车辆尾气控制措施</w:t>
      </w:r>
    </w:p>
    <w:p>
      <w:pPr>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rPr>
        <w:t>①施工场地主要干道应采用沥青覆盖或临时砂石铺盖等硬化措施，降低道路扬尘；</w:t>
      </w:r>
    </w:p>
    <w:p>
      <w:pPr>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rPr>
        <w:t>②车辆应按照指定的路线和时间进行物料、渣土和垃圾的运输；</w:t>
      </w:r>
    </w:p>
    <w:p>
      <w:pPr>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rPr>
        <w:t>③按照规范严格控制运输车辆的载重量，建筑物料及渣的运输车辆、装载的物料、渣土高度不得超过车辆槽帮上沿，车斗应用毡布遮盖或采用密闭车斗，避免在运输过程中发生遗散或泄漏；</w:t>
      </w:r>
    </w:p>
    <w:p>
      <w:pPr>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rPr>
        <w:t>④施工场地出入口砌筑洗轮槽和洗车平台，车辆驶离工地前，应在洗车平台冲洗轮胎及车身，确保其表面不得附着泥污，避免在运输过程中造成的二次污染；</w:t>
      </w:r>
    </w:p>
    <w:p>
      <w:pPr>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rPr>
        <w:t>⑤运输道路尤其在穿越村庄等人群密集区域的道路应及时采取洒水抑尘措施，避免道路扬尘四处逸散；加强运输车辆的管理，在通过人口密集的区域及村庄等居住区，应严格限制车速，一则确保交通安全，二则避免因高速行驶导致扬尘量人为增加；</w:t>
      </w:r>
    </w:p>
    <w:p>
      <w:pPr>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lang w:val="zh-CN"/>
        </w:rPr>
        <w:t>⑥</w:t>
      </w:r>
      <w:r>
        <w:rPr>
          <w:rFonts w:hint="default" w:ascii="Times New Roman" w:hAnsi="Times New Roman" w:eastAsia="宋体" w:cs="Times New Roman"/>
          <w:sz w:val="24"/>
          <w:szCs w:val="21"/>
        </w:rPr>
        <w:t>残土、沙料等易产生扬尘物料装卸时应采取喷水抑尘。运输车辆的料斗应采取加盖或帆布覆盖等措施；</w:t>
      </w:r>
    </w:p>
    <w:p>
      <w:pPr>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rPr>
        <w:t>⑦施工现场残土、沙料等易产生扬尘物料应采取覆盖防尘网(布)等有效措施，现场洒水频次不足，扬尘污染较大；</w:t>
      </w:r>
    </w:p>
    <w:p>
      <w:pPr>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rPr>
        <w:t>⑧施工场地设立围档，采取挂网式施工，以阻挡施工扬尘向场外扩散；</w:t>
      </w:r>
    </w:p>
    <w:p>
      <w:pPr>
        <w:spacing w:line="360" w:lineRule="auto"/>
        <w:ind w:firstLine="480"/>
        <w:rPr>
          <w:rFonts w:hint="default" w:ascii="Times New Roman" w:hAnsi="Times New Roman" w:eastAsia="宋体" w:cs="Times New Roman"/>
          <w:sz w:val="24"/>
          <w:szCs w:val="21"/>
          <w:lang w:val="zh-CN"/>
        </w:rPr>
      </w:pPr>
      <w:r>
        <w:rPr>
          <w:rFonts w:hint="default" w:ascii="Times New Roman" w:hAnsi="Times New Roman" w:eastAsia="宋体" w:cs="Times New Roman"/>
          <w:sz w:val="24"/>
          <w:szCs w:val="21"/>
          <w:lang w:val="zh-CN"/>
        </w:rPr>
        <w:t>⑨合理安排施工作业，在大风天气避免进行容易产生扬尘的施工作业，在废弃物的外运时，严格控制车辆的运载量，严禁超载运输；</w:t>
      </w:r>
    </w:p>
    <w:p>
      <w:pPr>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lang w:val="zh-CN"/>
        </w:rPr>
        <w:t>⑩</w:t>
      </w:r>
      <w:r>
        <w:rPr>
          <w:rFonts w:hint="default" w:ascii="Times New Roman" w:hAnsi="Times New Roman" w:eastAsia="宋体" w:cs="Times New Roman"/>
          <w:sz w:val="24"/>
          <w:szCs w:val="21"/>
        </w:rPr>
        <w:t>建设单位应加强监督管理，要求施工单位使用性能优良的施工机械和施工车辆，进入施工现场的车辆性能必须符合《轻型汽车污染物排放限值及测量方法》(GB18352-2001)及《车用压燃式发动机污染物排放限值及测量方法》(GB17691-2001)的要求，禁止使用不符合上述性能的施工车辆。</w:t>
      </w:r>
    </w:p>
    <w:p>
      <w:pPr>
        <w:spacing w:line="360" w:lineRule="auto"/>
        <w:ind w:firstLine="361"/>
        <w:rPr>
          <w:rFonts w:hint="default" w:ascii="Times New Roman" w:hAnsi="Times New Roman" w:eastAsia="宋体" w:cs="Times New Roman"/>
          <w:b/>
          <w:sz w:val="24"/>
          <w:szCs w:val="21"/>
        </w:rPr>
      </w:pPr>
      <w:r>
        <w:rPr>
          <w:rFonts w:hint="default" w:ascii="Times New Roman" w:hAnsi="Times New Roman" w:eastAsia="宋体" w:cs="Times New Roman"/>
          <w:b/>
          <w:sz w:val="24"/>
          <w:szCs w:val="21"/>
          <w:lang w:val="zh-CN"/>
        </w:rPr>
        <w:t>（2）施工期废水处理措施</w:t>
      </w:r>
    </w:p>
    <w:p>
      <w:pPr>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rPr>
        <w:t>①施工生活污水</w:t>
      </w:r>
    </w:p>
    <w:p>
      <w:pPr>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rPr>
        <w:t>为控制生活污水的排放量，尽量缩小施工营地的规模。施工人员的生活污水依托现有化粪池收集处理后排入园区污水处理厂，禁止生活污水直接排入水体。</w:t>
      </w:r>
    </w:p>
    <w:p>
      <w:pPr>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rPr>
        <w:t>②施工机械、施工车辆清洗废水控制措施</w:t>
      </w:r>
    </w:p>
    <w:p>
      <w:pPr>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rPr>
        <w:t>a.减少清洗废水量措施：加强施工机械的清洗管理，尽量要求活动的施工机械以及施工车辆到附近专业车辆清洗处清洗，固定在现场的施工机械应采用湿抹布擦洗，尽量减少冲洗量，若在现场清洗，应建设简易的隔油沉淀池进行处理后回用。</w:t>
      </w:r>
    </w:p>
    <w:p>
      <w:pPr>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rPr>
        <w:t>b.施工泥浆水控制措施：施工场地周边应设置截水沟与简易的泥浆水收集池，使之自然渗透过滤，避免泥浆水直接流入周边海域影响水质。</w:t>
      </w:r>
    </w:p>
    <w:p>
      <w:pPr>
        <w:adjustRightInd w:val="0"/>
        <w:snapToGrid w:val="0"/>
        <w:spacing w:line="360" w:lineRule="auto"/>
        <w:ind w:firstLine="361"/>
        <w:rPr>
          <w:rFonts w:hint="default" w:ascii="Times New Roman" w:hAnsi="Times New Roman" w:eastAsia="宋体" w:cs="Times New Roman"/>
          <w:b/>
          <w:sz w:val="24"/>
          <w:szCs w:val="21"/>
        </w:rPr>
      </w:pPr>
      <w:r>
        <w:rPr>
          <w:rFonts w:hint="default" w:ascii="Times New Roman" w:hAnsi="Times New Roman" w:eastAsia="宋体" w:cs="Times New Roman"/>
          <w:b/>
          <w:sz w:val="24"/>
          <w:szCs w:val="21"/>
          <w:lang w:val="zh-CN"/>
        </w:rPr>
        <w:t>（3）施工噪声控制措施</w:t>
      </w:r>
    </w:p>
    <w:p>
      <w:pPr>
        <w:adjustRightInd w:val="0"/>
        <w:snapToGrid w:val="0"/>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lang w:val="zh-CN"/>
        </w:rPr>
        <w:t>①施工应选用新型的低噪声施工机械设备。</w:t>
      </w:r>
    </w:p>
    <w:p>
      <w:pPr>
        <w:adjustRightInd w:val="0"/>
        <w:snapToGrid w:val="0"/>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lang w:val="zh-CN"/>
        </w:rPr>
        <w:t>②合理安排施工，尽量将强噪声源施工机械的作业时间错开，避免两个或两个以上的强噪声源施工机械同时在高分贝段运行。</w:t>
      </w:r>
    </w:p>
    <w:p>
      <w:pPr>
        <w:adjustRightInd w:val="0"/>
        <w:snapToGrid w:val="0"/>
        <w:spacing w:line="360" w:lineRule="auto"/>
        <w:ind w:firstLine="480"/>
        <w:rPr>
          <w:rFonts w:hint="default" w:ascii="Times New Roman" w:hAnsi="Times New Roman" w:eastAsia="宋体" w:cs="Times New Roman"/>
          <w:sz w:val="24"/>
          <w:szCs w:val="21"/>
          <w:lang w:val="zh-CN"/>
        </w:rPr>
      </w:pPr>
      <w:r>
        <w:rPr>
          <w:rFonts w:hint="default" w:ascii="Times New Roman" w:hAnsi="Times New Roman" w:eastAsia="宋体" w:cs="Times New Roman"/>
          <w:sz w:val="24"/>
          <w:szCs w:val="21"/>
          <w:lang w:val="zh-CN"/>
        </w:rPr>
        <w:t>③合理安排产生高噪声的施工作业时间，尽量避免夜间（</w:t>
      </w:r>
      <w:r>
        <w:rPr>
          <w:rFonts w:hint="default" w:ascii="Times New Roman" w:hAnsi="Times New Roman" w:eastAsia="宋体" w:cs="Times New Roman"/>
          <w:sz w:val="24"/>
          <w:szCs w:val="21"/>
        </w:rPr>
        <w:t>22</w:t>
      </w:r>
      <w:r>
        <w:rPr>
          <w:rFonts w:hint="default" w:ascii="Times New Roman" w:hAnsi="Times New Roman" w:eastAsia="宋体" w:cs="Times New Roman"/>
          <w:sz w:val="24"/>
          <w:szCs w:val="21"/>
          <w:lang w:val="zh-CN"/>
        </w:rPr>
        <w:t>时至次日</w:t>
      </w:r>
      <w:r>
        <w:rPr>
          <w:rFonts w:hint="default" w:ascii="Times New Roman" w:hAnsi="Times New Roman" w:eastAsia="宋体" w:cs="Times New Roman"/>
          <w:sz w:val="24"/>
          <w:szCs w:val="21"/>
        </w:rPr>
        <w:t>6</w:t>
      </w:r>
      <w:r>
        <w:rPr>
          <w:rFonts w:hint="default" w:ascii="Times New Roman" w:hAnsi="Times New Roman" w:eastAsia="宋体" w:cs="Times New Roman"/>
          <w:sz w:val="24"/>
          <w:szCs w:val="21"/>
          <w:lang w:val="zh-CN"/>
        </w:rPr>
        <w:t>时）施工，保证施工场界噪声不超过</w:t>
      </w:r>
      <w:r>
        <w:rPr>
          <w:rFonts w:hint="default" w:ascii="Times New Roman" w:hAnsi="Times New Roman" w:eastAsia="宋体" w:cs="Times New Roman"/>
          <w:sz w:val="24"/>
          <w:szCs w:val="21"/>
        </w:rPr>
        <w:t>GB12523-2011</w:t>
      </w:r>
      <w:r>
        <w:rPr>
          <w:rFonts w:hint="default" w:ascii="Times New Roman" w:hAnsi="Times New Roman" w:eastAsia="宋体" w:cs="Times New Roman"/>
          <w:sz w:val="24"/>
          <w:szCs w:val="21"/>
          <w:lang w:val="zh-CN"/>
        </w:rPr>
        <w:t>标准，即昼间</w:t>
      </w:r>
      <w:r>
        <w:rPr>
          <w:rFonts w:hint="default" w:ascii="Times New Roman" w:hAnsi="Times New Roman" w:eastAsia="宋体" w:cs="Times New Roman"/>
          <w:sz w:val="24"/>
          <w:szCs w:val="21"/>
        </w:rPr>
        <w:t>70dB（A）</w:t>
      </w:r>
      <w:r>
        <w:rPr>
          <w:rFonts w:hint="default" w:ascii="Times New Roman" w:hAnsi="Times New Roman" w:eastAsia="宋体" w:cs="Times New Roman"/>
          <w:sz w:val="24"/>
          <w:szCs w:val="21"/>
          <w:lang w:val="zh-CN"/>
        </w:rPr>
        <w:t>，夜间</w:t>
      </w:r>
      <w:r>
        <w:rPr>
          <w:rFonts w:hint="default" w:ascii="Times New Roman" w:hAnsi="Times New Roman" w:eastAsia="宋体" w:cs="Times New Roman"/>
          <w:sz w:val="24"/>
          <w:szCs w:val="21"/>
        </w:rPr>
        <w:t>55dB（A）</w:t>
      </w:r>
      <w:r>
        <w:rPr>
          <w:rFonts w:hint="default" w:ascii="Times New Roman" w:hAnsi="Times New Roman" w:eastAsia="宋体" w:cs="Times New Roman"/>
          <w:sz w:val="24"/>
          <w:szCs w:val="21"/>
          <w:lang w:val="zh-CN"/>
        </w:rPr>
        <w:t>。</w:t>
      </w:r>
    </w:p>
    <w:p>
      <w:pPr>
        <w:adjustRightInd w:val="0"/>
        <w:snapToGrid w:val="0"/>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lang w:val="zh-CN"/>
        </w:rPr>
        <w:t>建设与施工单位应与周围居民建立良好关系，及时使其了解施工进度及采取的降噪措施，以取得居民理解。</w:t>
      </w:r>
    </w:p>
    <w:p>
      <w:pPr>
        <w:adjustRightInd w:val="0"/>
        <w:snapToGrid w:val="0"/>
        <w:spacing w:line="360" w:lineRule="auto"/>
        <w:ind w:firstLine="482"/>
        <w:rPr>
          <w:rFonts w:hint="default" w:ascii="Times New Roman" w:hAnsi="Times New Roman" w:eastAsia="宋体" w:cs="Times New Roman"/>
          <w:b/>
          <w:sz w:val="24"/>
          <w:szCs w:val="21"/>
        </w:rPr>
      </w:pPr>
      <w:r>
        <w:rPr>
          <w:rFonts w:hint="default" w:ascii="Times New Roman" w:hAnsi="Times New Roman" w:eastAsia="宋体" w:cs="Times New Roman"/>
          <w:b/>
          <w:sz w:val="24"/>
          <w:szCs w:val="21"/>
          <w:lang w:val="zh-CN"/>
        </w:rPr>
        <w:t>（4）施工固体废物处置措施</w:t>
      </w:r>
    </w:p>
    <w:p>
      <w:pPr>
        <w:adjustRightInd w:val="0"/>
        <w:snapToGrid w:val="0"/>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lang w:val="zh-CN"/>
        </w:rPr>
        <w:t>①</w:t>
      </w:r>
      <w:r>
        <w:rPr>
          <w:rFonts w:hint="default" w:ascii="Times New Roman" w:hAnsi="Times New Roman" w:eastAsia="宋体" w:cs="Times New Roman"/>
          <w:sz w:val="24"/>
          <w:szCs w:val="21"/>
        </w:rPr>
        <w:t>渣土、</w:t>
      </w:r>
      <w:r>
        <w:rPr>
          <w:rFonts w:hint="default" w:ascii="Times New Roman" w:hAnsi="Times New Roman" w:eastAsia="宋体" w:cs="Times New Roman"/>
          <w:sz w:val="24"/>
          <w:szCs w:val="21"/>
          <w:lang w:val="zh-CN"/>
        </w:rPr>
        <w:t>建筑垃圾中的碎砂、石、砖、混凝土等可根据当地实际情况作填埋洼地用，不得随意抛弃。</w:t>
      </w:r>
    </w:p>
    <w:p>
      <w:pPr>
        <w:adjustRightInd w:val="0"/>
        <w:snapToGrid w:val="0"/>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lang w:val="zh-CN"/>
        </w:rPr>
        <w:t>②建筑垃圾中的废钢筋、废纸箱、包装水泥袋等应加以回收利用，避免资源浪费。</w:t>
      </w:r>
    </w:p>
    <w:p>
      <w:pPr>
        <w:adjustRightInd w:val="0"/>
        <w:snapToGrid w:val="0"/>
        <w:spacing w:line="360" w:lineRule="auto"/>
        <w:ind w:firstLine="480"/>
        <w:rPr>
          <w:rFonts w:hint="default" w:ascii="Times New Roman" w:hAnsi="Times New Roman" w:eastAsia="宋体" w:cs="Times New Roman"/>
          <w:sz w:val="24"/>
          <w:szCs w:val="21"/>
          <w:lang w:val="zh-CN"/>
        </w:rPr>
      </w:pPr>
      <w:r>
        <w:rPr>
          <w:rFonts w:hint="default" w:ascii="Times New Roman" w:hAnsi="Times New Roman" w:eastAsia="宋体" w:cs="Times New Roman"/>
          <w:sz w:val="24"/>
          <w:szCs w:val="21"/>
          <w:lang w:val="zh-CN"/>
        </w:rPr>
        <w:t>③施工过程产生的不能回收利用的废油漆桶、含油抹布等应经收集后，按危险废物委托有资质单位处置，不得随意丢弃。</w:t>
      </w:r>
    </w:p>
    <w:p>
      <w:pPr>
        <w:adjustRightInd w:val="0"/>
        <w:snapToGrid w:val="0"/>
        <w:spacing w:line="360" w:lineRule="auto"/>
        <w:ind w:firstLine="480"/>
        <w:rPr>
          <w:rFonts w:hint="default" w:ascii="Times New Roman" w:hAnsi="Times New Roman" w:eastAsia="宋体" w:cs="Times New Roman"/>
          <w:sz w:val="24"/>
          <w:szCs w:val="21"/>
          <w:lang w:val="zh-CN"/>
        </w:rPr>
      </w:pPr>
      <w:r>
        <w:rPr>
          <w:rFonts w:hint="default" w:ascii="Times New Roman" w:hAnsi="Times New Roman" w:eastAsia="宋体" w:cs="Times New Roman"/>
          <w:sz w:val="24"/>
          <w:szCs w:val="21"/>
          <w:lang w:val="zh-CN"/>
        </w:rPr>
        <w:t>在施工场地生活区内应设置垃圾箱，用来收集生活垃圾，</w:t>
      </w:r>
      <w:r>
        <w:rPr>
          <w:rFonts w:hint="default" w:ascii="Times New Roman" w:hAnsi="Times New Roman" w:eastAsia="宋体" w:cs="Times New Roman"/>
          <w:sz w:val="24"/>
          <w:szCs w:val="21"/>
        </w:rPr>
        <w:t>并指定人员负责及时收集</w:t>
      </w:r>
      <w:r>
        <w:rPr>
          <w:rFonts w:hint="default" w:ascii="Times New Roman" w:hAnsi="Times New Roman" w:eastAsia="宋体" w:cs="Times New Roman"/>
          <w:sz w:val="24"/>
          <w:szCs w:val="21"/>
          <w:lang w:val="zh-CN"/>
        </w:rPr>
        <w:t>送当地生活垃圾处置场处置。</w:t>
      </w:r>
    </w:p>
    <w:p>
      <w:pPr>
        <w:adjustRightInd w:val="0"/>
        <w:snapToGrid w:val="0"/>
        <w:spacing w:line="360" w:lineRule="auto"/>
        <w:ind w:firstLine="482"/>
        <w:rPr>
          <w:rFonts w:hint="default" w:ascii="Times New Roman" w:hAnsi="Times New Roman" w:eastAsia="宋体" w:cs="Times New Roman"/>
          <w:b/>
          <w:sz w:val="24"/>
          <w:szCs w:val="21"/>
          <w:lang w:val="zh-CN"/>
        </w:rPr>
      </w:pPr>
      <w:r>
        <w:rPr>
          <w:rFonts w:hint="default" w:ascii="Times New Roman" w:hAnsi="Times New Roman" w:eastAsia="宋体" w:cs="Times New Roman"/>
          <w:b/>
          <w:sz w:val="24"/>
          <w:szCs w:val="21"/>
          <w:lang w:val="zh-CN"/>
        </w:rPr>
        <w:t>（5）施工期生态环境保护措施</w:t>
      </w:r>
    </w:p>
    <w:p>
      <w:pPr>
        <w:autoSpaceDE w:val="0"/>
        <w:autoSpaceDN w:val="0"/>
        <w:adjustRightInd w:val="0"/>
        <w:snapToGrid w:val="0"/>
        <w:spacing w:line="360" w:lineRule="auto"/>
        <w:ind w:firstLine="480"/>
        <w:textAlignment w:val="baseline"/>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①采取相应的防护防范措施，对运输土料的车辆采取遮盖措施，或喷水使其保持一定湿度，减少土料洒漏，及时清理散落在路面的土料，避免因大量土料散落在路面而导致水土流失程度加重。</w:t>
      </w:r>
    </w:p>
    <w:p>
      <w:pPr>
        <w:autoSpaceDE w:val="0"/>
        <w:autoSpaceDN w:val="0"/>
        <w:adjustRightInd w:val="0"/>
        <w:snapToGrid w:val="0"/>
        <w:spacing w:line="360" w:lineRule="auto"/>
        <w:ind w:firstLine="480"/>
        <w:textAlignment w:val="baseline"/>
        <w:rPr>
          <w:rFonts w:hint="default" w:ascii="Times New Roman" w:hAnsi="Times New Roman" w:eastAsia="宋体" w:cs="Times New Roman"/>
          <w:sz w:val="24"/>
          <w:szCs w:val="21"/>
        </w:rPr>
      </w:pPr>
      <w:r>
        <w:rPr>
          <w:rFonts w:hint="default" w:ascii="Times New Roman" w:hAnsi="Times New Roman" w:eastAsia="宋体" w:cs="Times New Roman"/>
          <w:kern w:val="0"/>
          <w:sz w:val="24"/>
          <w:szCs w:val="24"/>
        </w:rPr>
        <w:t>②</w:t>
      </w:r>
      <w:r>
        <w:rPr>
          <w:rFonts w:hint="default" w:ascii="Times New Roman" w:hAnsi="Times New Roman" w:eastAsia="宋体" w:cs="Times New Roman"/>
          <w:sz w:val="24"/>
          <w:szCs w:val="21"/>
        </w:rPr>
        <w:t>对厂区外周边、进厂道路、厂内空地等地进行绿化及植被恢复，通过植树种草、绿化裸地、美化环境，改善生态。在树种选择方面，应选择具有较强抗性，且能滞尘的树种，如：广玉兰、忍冬、女贞、圆柏、刺槐、木槿、合欢、夹竹桃、棕榈等。在绿化规划方面，可采取点、线、面结合的方式，在厂区周围建立环境净化防护林带，提高绿化成活率的同时达到净化环境空气的效果。</w:t>
      </w:r>
    </w:p>
    <w:p>
      <w:pPr>
        <w:widowControl/>
        <w:spacing w:line="360" w:lineRule="auto"/>
        <w:ind w:firstLine="0"/>
        <w:jc w:val="left"/>
        <w:outlineLvl w:val="1"/>
        <w:rPr>
          <w:rFonts w:hint="default" w:ascii="Times New Roman" w:hAnsi="Times New Roman" w:eastAsia="黑体" w:cs="Times New Roman"/>
          <w:sz w:val="32"/>
          <w:szCs w:val="28"/>
        </w:rPr>
      </w:pPr>
      <w:bookmarkStart w:id="349" w:name="_Toc23448"/>
      <w:r>
        <w:rPr>
          <w:rFonts w:hint="default" w:ascii="Times New Roman" w:hAnsi="Times New Roman" w:eastAsia="黑体" w:cs="Times New Roman"/>
          <w:sz w:val="32"/>
          <w:szCs w:val="28"/>
        </w:rPr>
        <w:t>7.2废水污染防治措施及可行性分析</w:t>
      </w:r>
      <w:bookmarkEnd w:id="349"/>
    </w:p>
    <w:p>
      <w:pPr>
        <w:snapToGrid w:val="0"/>
        <w:spacing w:line="360" w:lineRule="auto"/>
        <w:ind w:firstLine="482"/>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p>
      <w:pPr>
        <w:widowControl/>
        <w:spacing w:line="360" w:lineRule="auto"/>
        <w:ind w:firstLine="0"/>
        <w:jc w:val="left"/>
        <w:outlineLvl w:val="2"/>
        <w:rPr>
          <w:rFonts w:hint="default" w:ascii="Times New Roman" w:hAnsi="Times New Roman" w:eastAsia="黑体" w:cs="Times New Roman"/>
          <w:bCs/>
          <w:color w:val="auto"/>
          <w:sz w:val="30"/>
          <w:szCs w:val="30"/>
        </w:rPr>
      </w:pPr>
      <w:r>
        <w:rPr>
          <w:rFonts w:hint="default" w:ascii="Times New Roman" w:hAnsi="Times New Roman" w:eastAsia="黑体" w:cs="Times New Roman"/>
          <w:bCs/>
          <w:color w:val="auto"/>
          <w:sz w:val="30"/>
          <w:szCs w:val="30"/>
        </w:rPr>
        <w:t>7.2.2含银废水</w:t>
      </w:r>
      <w:r>
        <w:rPr>
          <w:rFonts w:hint="eastAsia" w:ascii="Times New Roman" w:hAnsi="Times New Roman" w:eastAsia="黑体" w:cs="Times New Roman"/>
          <w:bCs/>
          <w:color w:val="auto"/>
          <w:sz w:val="30"/>
          <w:szCs w:val="30"/>
          <w:lang w:val="en-US" w:eastAsia="zh-CN"/>
        </w:rPr>
        <w:t>预</w:t>
      </w:r>
      <w:r>
        <w:rPr>
          <w:rFonts w:hint="default" w:ascii="Times New Roman" w:hAnsi="Times New Roman" w:eastAsia="黑体" w:cs="Times New Roman"/>
          <w:bCs/>
          <w:color w:val="auto"/>
          <w:sz w:val="30"/>
          <w:szCs w:val="30"/>
        </w:rPr>
        <w:t>处理可行性分析</w:t>
      </w:r>
    </w:p>
    <w:p>
      <w:pPr>
        <w:spacing w:line="360" w:lineRule="auto"/>
        <w:ind w:firstLine="480"/>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rPr>
        <w:t>硝酸银生产线蒸馏冷凝液</w:t>
      </w:r>
      <w:r>
        <w:rPr>
          <w:rFonts w:hint="eastAsia"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超细银粉</w:t>
      </w:r>
      <w:r>
        <w:rPr>
          <w:rFonts w:hint="eastAsia" w:ascii="Times New Roman" w:hAnsi="Times New Roman" w:eastAsia="宋体" w:cs="Times New Roman"/>
          <w:bCs/>
          <w:color w:val="auto"/>
          <w:sz w:val="24"/>
          <w:szCs w:val="24"/>
          <w:lang w:val="en-US" w:eastAsia="zh-CN"/>
        </w:rPr>
        <w:t>二、三道</w:t>
      </w:r>
      <w:r>
        <w:rPr>
          <w:rFonts w:hint="default" w:ascii="Times New Roman" w:hAnsi="Times New Roman" w:eastAsia="宋体" w:cs="Times New Roman"/>
          <w:bCs/>
          <w:color w:val="auto"/>
          <w:sz w:val="24"/>
          <w:szCs w:val="24"/>
        </w:rPr>
        <w:t>洗涤废水</w:t>
      </w:r>
      <w:r>
        <w:rPr>
          <w:rFonts w:hint="eastAsia" w:ascii="Times New Roman" w:hAnsi="Times New Roman" w:eastAsia="宋体" w:cs="Times New Roman"/>
          <w:bCs/>
          <w:color w:val="auto"/>
          <w:sz w:val="24"/>
          <w:szCs w:val="24"/>
          <w:lang w:val="en-US" w:eastAsia="zh-CN"/>
        </w:rPr>
        <w:t>进入含银废水预处理系统处理，预处理后上清液进入厂内污水站处理</w:t>
      </w:r>
      <w:r>
        <w:rPr>
          <w:rFonts w:hint="default" w:ascii="Times New Roman" w:hAnsi="Times New Roman" w:eastAsia="宋体" w:cs="Times New Roman"/>
          <w:bCs/>
          <w:color w:val="auto"/>
          <w:sz w:val="24"/>
          <w:szCs w:val="24"/>
        </w:rPr>
        <w:t>。</w:t>
      </w:r>
      <w:r>
        <w:rPr>
          <w:rFonts w:hint="eastAsia" w:ascii="Times New Roman" w:hAnsi="Times New Roman" w:eastAsia="宋体" w:cs="Times New Roman"/>
          <w:bCs/>
          <w:color w:val="auto"/>
          <w:sz w:val="24"/>
          <w:szCs w:val="24"/>
          <w:lang w:val="en-US" w:eastAsia="zh-CN"/>
        </w:rPr>
        <w:t>超细银粉一道洗涤废水进入含银废液三效蒸发器，冷凝液进入厂内污水站处理，不凝气含有大量氨，进入二级水吸收+二级水洗+高效除雾装置+活性炭吸附处理。</w:t>
      </w:r>
    </w:p>
    <w:p>
      <w:pPr>
        <w:keepNext w:val="0"/>
        <w:keepLines w:val="0"/>
        <w:pageBreakBefore w:val="0"/>
        <w:widowControl w:val="0"/>
        <w:kinsoku/>
        <w:wordWrap/>
        <w:overflowPunct/>
        <w:topLinePunct w:val="0"/>
        <w:autoSpaceDE/>
        <w:autoSpaceDN/>
        <w:bidi w:val="0"/>
        <w:adjustRightInd w:val="0"/>
        <w:snapToGrid/>
        <w:spacing w:line="360" w:lineRule="auto"/>
        <w:ind w:left="0" w:firstLine="0"/>
        <w:jc w:val="both"/>
        <w:textAlignment w:val="baseline"/>
        <w:outlineLvl w:val="3"/>
        <w:rPr>
          <w:rFonts w:hint="default" w:ascii="Times New Roman" w:hAnsi="Times New Roman" w:eastAsia="黑体" w:cs="Times New Roman"/>
          <w:b w:val="0"/>
          <w:color w:val="auto"/>
          <w:kern w:val="0"/>
          <w:sz w:val="28"/>
          <w:szCs w:val="22"/>
          <w:lang w:val="en-US" w:eastAsia="zh-CN" w:bidi="ar-SA"/>
        </w:rPr>
      </w:pPr>
      <w:r>
        <w:rPr>
          <w:rFonts w:hint="eastAsia" w:ascii="Times New Roman" w:hAnsi="Times New Roman" w:eastAsia="黑体" w:cs="Times New Roman"/>
          <w:b w:val="0"/>
          <w:color w:val="auto"/>
          <w:kern w:val="0"/>
          <w:sz w:val="28"/>
          <w:szCs w:val="22"/>
          <w:lang w:val="en-US" w:eastAsia="zh-CN" w:bidi="ar-SA"/>
        </w:rPr>
        <w:t>7.2.2.</w:t>
      </w:r>
      <w:r>
        <w:rPr>
          <w:rFonts w:hint="default" w:ascii="Times New Roman" w:hAnsi="Times New Roman" w:eastAsia="黑体" w:cs="Times New Roman"/>
          <w:b w:val="0"/>
          <w:color w:val="auto"/>
          <w:kern w:val="0"/>
          <w:sz w:val="28"/>
          <w:szCs w:val="22"/>
          <w:lang w:val="en-US" w:eastAsia="zh-CN" w:bidi="ar-SA"/>
        </w:rPr>
        <w:t>1处理工艺说明</w:t>
      </w:r>
    </w:p>
    <w:p>
      <w:pPr>
        <w:spacing w:line="360" w:lineRule="auto"/>
        <w:ind w:firstLine="480"/>
        <w:rPr>
          <w:rFonts w:hint="default" w:ascii="Times New Roman" w:hAnsi="Times New Roman" w:eastAsia="宋体" w:cs="Times New Roman"/>
          <w:bCs/>
          <w:color w:val="auto"/>
          <w:sz w:val="24"/>
          <w:szCs w:val="24"/>
          <w:lang w:val="en-US"/>
        </w:rPr>
      </w:pPr>
      <w:r>
        <w:rPr>
          <w:rFonts w:hint="default" w:ascii="Times New Roman" w:hAnsi="Times New Roman" w:eastAsia="宋体" w:cs="Times New Roman"/>
          <w:bCs/>
          <w:color w:val="auto"/>
          <w:sz w:val="24"/>
          <w:szCs w:val="24"/>
        </w:rPr>
        <w:t>超细银</w:t>
      </w:r>
      <w:r>
        <w:rPr>
          <w:rFonts w:hint="eastAsia" w:ascii="Times New Roman" w:hAnsi="Times New Roman" w:eastAsia="宋体" w:cs="Times New Roman"/>
          <w:bCs/>
          <w:color w:val="auto"/>
          <w:sz w:val="24"/>
          <w:szCs w:val="24"/>
          <w:lang w:val="en-US" w:eastAsia="zh-CN"/>
        </w:rPr>
        <w:t>粉一道</w:t>
      </w:r>
      <w:r>
        <w:rPr>
          <w:rFonts w:hint="default" w:ascii="Times New Roman" w:hAnsi="Times New Roman" w:eastAsia="宋体" w:cs="Times New Roman"/>
          <w:bCs/>
          <w:color w:val="auto"/>
          <w:sz w:val="24"/>
          <w:szCs w:val="24"/>
        </w:rPr>
        <w:t>洗涤废水</w:t>
      </w:r>
      <w:r>
        <w:rPr>
          <w:rFonts w:hint="eastAsia" w:ascii="Times New Roman" w:hAnsi="Times New Roman" w:eastAsia="宋体" w:cs="Times New Roman"/>
          <w:bCs/>
          <w:color w:val="auto"/>
          <w:sz w:val="24"/>
          <w:szCs w:val="24"/>
          <w:lang w:val="en-US" w:eastAsia="zh-CN"/>
        </w:rPr>
        <w:t>W3-1为2.08t/h，进入</w:t>
      </w:r>
      <w:r>
        <w:rPr>
          <w:rFonts w:hint="default" w:ascii="Times New Roman" w:hAnsi="Times New Roman" w:eastAsia="宋体" w:cs="Times New Roman"/>
          <w:bCs/>
          <w:color w:val="auto"/>
          <w:sz w:val="24"/>
          <w:szCs w:val="24"/>
        </w:rPr>
        <w:t>废水收集池</w:t>
      </w:r>
      <w:r>
        <w:rPr>
          <w:rFonts w:hint="eastAsia" w:ascii="Times New Roman" w:hAnsi="Times New Roman" w:eastAsia="宋体" w:cs="Times New Roman"/>
          <w:bCs/>
          <w:color w:val="auto"/>
          <w:sz w:val="24"/>
          <w:szCs w:val="24"/>
          <w:lang w:val="en-US" w:eastAsia="zh-CN"/>
        </w:rPr>
        <w:t>1，进入含银废液三效蒸发器（处理能力3t/h），冷凝液进入厂内污水站处理，不凝气含有大量氨，进入二级水吸收+二级水洗+高效除雾装置+活性炭吸附处理。</w:t>
      </w:r>
    </w:p>
    <w:p>
      <w:pPr>
        <w:spacing w:line="360" w:lineRule="auto"/>
        <w:ind w:firstLine="48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硝酸银生产废水</w:t>
      </w:r>
      <w:r>
        <w:rPr>
          <w:rFonts w:hint="eastAsia" w:ascii="Times New Roman" w:hAnsi="Times New Roman" w:eastAsia="宋体" w:cs="Times New Roman"/>
          <w:bCs/>
          <w:color w:val="auto"/>
          <w:sz w:val="24"/>
          <w:szCs w:val="24"/>
          <w:lang w:val="en-US" w:eastAsia="zh-CN"/>
        </w:rPr>
        <w:t>W2-1、</w:t>
      </w:r>
      <w:r>
        <w:rPr>
          <w:rFonts w:hint="default" w:ascii="Times New Roman" w:hAnsi="Times New Roman" w:eastAsia="宋体" w:cs="Times New Roman"/>
          <w:bCs/>
          <w:color w:val="auto"/>
          <w:sz w:val="24"/>
          <w:szCs w:val="24"/>
        </w:rPr>
        <w:t>超细银</w:t>
      </w:r>
      <w:r>
        <w:rPr>
          <w:rFonts w:hint="eastAsia" w:ascii="Times New Roman" w:hAnsi="Times New Roman" w:eastAsia="宋体" w:cs="Times New Roman"/>
          <w:bCs/>
          <w:color w:val="auto"/>
          <w:sz w:val="24"/>
          <w:szCs w:val="24"/>
          <w:lang w:val="en-US" w:eastAsia="zh-CN"/>
        </w:rPr>
        <w:t>粉二、三道</w:t>
      </w:r>
      <w:r>
        <w:rPr>
          <w:rFonts w:hint="default" w:ascii="Times New Roman" w:hAnsi="Times New Roman" w:eastAsia="宋体" w:cs="Times New Roman"/>
          <w:bCs/>
          <w:color w:val="auto"/>
          <w:sz w:val="24"/>
          <w:szCs w:val="24"/>
        </w:rPr>
        <w:t>洗涤废水</w:t>
      </w:r>
      <w:r>
        <w:rPr>
          <w:rFonts w:hint="eastAsia" w:ascii="Times New Roman" w:hAnsi="Times New Roman" w:eastAsia="宋体" w:cs="Times New Roman"/>
          <w:bCs/>
          <w:color w:val="auto"/>
          <w:sz w:val="24"/>
          <w:szCs w:val="24"/>
          <w:lang w:val="en-US" w:eastAsia="zh-CN"/>
        </w:rPr>
        <w:t>W2-2共6.7t/h，进入</w:t>
      </w:r>
      <w:r>
        <w:rPr>
          <w:rFonts w:hint="default" w:ascii="Times New Roman" w:hAnsi="Times New Roman" w:eastAsia="宋体" w:cs="Times New Roman"/>
          <w:bCs/>
          <w:color w:val="auto"/>
          <w:sz w:val="24"/>
          <w:szCs w:val="24"/>
        </w:rPr>
        <w:t>废水收集池</w:t>
      </w:r>
      <w:r>
        <w:rPr>
          <w:rFonts w:hint="eastAsia" w:ascii="Times New Roman" w:hAnsi="Times New Roman" w:eastAsia="宋体" w:cs="Times New Roman"/>
          <w:bCs/>
          <w:color w:val="auto"/>
          <w:sz w:val="24"/>
          <w:szCs w:val="24"/>
          <w:lang w:val="en-US" w:eastAsia="zh-CN"/>
        </w:rPr>
        <w:t>2</w:t>
      </w:r>
      <w:r>
        <w:rPr>
          <w:rFonts w:hint="default" w:ascii="Times New Roman" w:hAnsi="Times New Roman" w:eastAsia="宋体" w:cs="Times New Roman"/>
          <w:bCs/>
          <w:color w:val="auto"/>
          <w:sz w:val="24"/>
          <w:szCs w:val="24"/>
        </w:rPr>
        <w:t>，用耐腐蚀泵打至中和反应池，在此投加氢氧化钠，</w:t>
      </w:r>
      <w:r>
        <w:rPr>
          <w:rFonts w:hint="eastAsia" w:ascii="Times New Roman" w:hAnsi="Times New Roman" w:eastAsia="宋体" w:cs="Times New Roman"/>
          <w:bCs/>
          <w:color w:val="auto"/>
          <w:sz w:val="24"/>
          <w:szCs w:val="24"/>
          <w:lang w:val="en-US" w:eastAsia="zh-CN"/>
        </w:rPr>
        <w:t>p</w:t>
      </w:r>
      <w:r>
        <w:rPr>
          <w:rFonts w:hint="default" w:ascii="Times New Roman" w:hAnsi="Times New Roman" w:eastAsia="宋体" w:cs="Times New Roman"/>
          <w:bCs/>
          <w:color w:val="auto"/>
          <w:sz w:val="24"/>
          <w:szCs w:val="24"/>
        </w:rPr>
        <w:t>H值控制在10.5左右，并同时投回重金属捕捉剂，然后废水流入混凝反应池，在此投加PAC、PAM进行混凝反应，经过反应后的废水流入高效沉淀池进行沉淀</w:t>
      </w:r>
      <w:r>
        <w:rPr>
          <w:rFonts w:hint="eastAsia" w:ascii="Times New Roman" w:hAnsi="Times New Roman" w:eastAsia="宋体" w:cs="Times New Roman"/>
          <w:bCs/>
          <w:color w:val="auto"/>
          <w:sz w:val="24"/>
          <w:szCs w:val="24"/>
          <w:lang w:val="en-US" w:eastAsia="zh-CN"/>
        </w:rPr>
        <w:t>分离</w:t>
      </w:r>
      <w:r>
        <w:rPr>
          <w:rFonts w:hint="default" w:ascii="Times New Roman" w:hAnsi="Times New Roman" w:eastAsia="宋体" w:cs="Times New Roman"/>
          <w:bCs/>
          <w:color w:val="auto"/>
          <w:sz w:val="24"/>
          <w:szCs w:val="24"/>
        </w:rPr>
        <w:t>，上清液</w:t>
      </w:r>
      <w:r>
        <w:rPr>
          <w:rFonts w:hint="eastAsia" w:ascii="Times New Roman" w:hAnsi="Times New Roman" w:eastAsia="宋体" w:cs="Times New Roman"/>
          <w:bCs/>
          <w:color w:val="auto"/>
          <w:sz w:val="24"/>
          <w:szCs w:val="24"/>
          <w:lang w:val="en-US" w:eastAsia="zh-CN"/>
        </w:rPr>
        <w:t>进入厂内污水站</w:t>
      </w:r>
      <w:r>
        <w:rPr>
          <w:rFonts w:hint="default" w:ascii="Times New Roman" w:hAnsi="Times New Roman" w:eastAsia="宋体" w:cs="Times New Roman"/>
          <w:bCs/>
          <w:color w:val="auto"/>
          <w:sz w:val="24"/>
          <w:szCs w:val="24"/>
        </w:rPr>
        <w:t>。</w:t>
      </w:r>
    </w:p>
    <w:p>
      <w:pPr>
        <w:spacing w:line="360" w:lineRule="auto"/>
        <w:ind w:firstLine="480"/>
        <w:rPr>
          <w:rFonts w:hint="eastAsia" w:ascii="Times New Roman" w:hAnsi="Times New Roman" w:eastAsia="宋体" w:cs="Times New Roman"/>
          <w:bCs/>
          <w:color w:val="auto"/>
          <w:sz w:val="24"/>
          <w:szCs w:val="24"/>
          <w:lang w:val="en-US" w:eastAsia="zh-CN"/>
        </w:rPr>
      </w:pPr>
      <w:r>
        <w:rPr>
          <w:rFonts w:hint="eastAsia" w:ascii="Times New Roman" w:hAnsi="Times New Roman" w:eastAsia="宋体" w:cs="Times New Roman"/>
          <w:bCs/>
          <w:color w:val="auto"/>
          <w:sz w:val="24"/>
          <w:szCs w:val="24"/>
          <w:lang w:val="en-US" w:eastAsia="zh-CN"/>
        </w:rPr>
        <w:t>项目含银废水预处理系统工艺流程简图7.2-1。</w:t>
      </w:r>
    </w:p>
    <w:p>
      <w:pPr>
        <w:keepNext w:val="0"/>
        <w:keepLines w:val="0"/>
        <w:pageBreakBefore w:val="0"/>
        <w:widowControl w:val="0"/>
        <w:kinsoku/>
        <w:wordWrap/>
        <w:overflowPunct/>
        <w:topLinePunct w:val="0"/>
        <w:autoSpaceDE/>
        <w:autoSpaceDN/>
        <w:bidi w:val="0"/>
        <w:adjustRightInd w:val="0"/>
        <w:snapToGrid/>
        <w:spacing w:line="360" w:lineRule="auto"/>
        <w:ind w:left="0" w:firstLine="0"/>
        <w:jc w:val="both"/>
        <w:textAlignment w:val="baseline"/>
        <w:outlineLvl w:val="3"/>
        <w:rPr>
          <w:rFonts w:hint="default" w:ascii="Times New Roman" w:hAnsi="Times New Roman" w:eastAsia="黑体" w:cs="Times New Roman"/>
          <w:b w:val="0"/>
          <w:color w:val="auto"/>
          <w:kern w:val="0"/>
          <w:sz w:val="28"/>
          <w:szCs w:val="22"/>
          <w:lang w:val="en-US" w:eastAsia="zh-CN" w:bidi="ar-SA"/>
        </w:rPr>
      </w:pPr>
      <w:r>
        <w:rPr>
          <w:rFonts w:hint="eastAsia" w:ascii="Times New Roman" w:hAnsi="Times New Roman" w:eastAsia="黑体" w:cs="Times New Roman"/>
          <w:b w:val="0"/>
          <w:color w:val="auto"/>
          <w:kern w:val="0"/>
          <w:sz w:val="28"/>
          <w:szCs w:val="22"/>
          <w:lang w:val="en-US" w:eastAsia="zh-CN" w:bidi="ar-SA"/>
        </w:rPr>
        <w:t>7.2.2.2</w:t>
      </w:r>
      <w:r>
        <w:rPr>
          <w:rFonts w:hint="default" w:ascii="Times New Roman" w:hAnsi="Times New Roman" w:eastAsia="黑体" w:cs="Times New Roman"/>
          <w:b w:val="0"/>
          <w:color w:val="auto"/>
          <w:kern w:val="0"/>
          <w:sz w:val="28"/>
          <w:szCs w:val="22"/>
          <w:lang w:val="en-US" w:eastAsia="zh-CN" w:bidi="ar-SA"/>
        </w:rPr>
        <w:t>处理工艺原理及可行性</w:t>
      </w:r>
    </w:p>
    <w:p>
      <w:pPr>
        <w:spacing w:line="360" w:lineRule="auto"/>
        <w:ind w:firstLine="480"/>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eastAsia="zh-CN"/>
        </w:rPr>
        <w:t>（</w:t>
      </w:r>
      <w:r>
        <w:rPr>
          <w:rFonts w:hint="eastAsia" w:ascii="Times New Roman" w:hAnsi="Times New Roman" w:eastAsia="宋体" w:cs="Times New Roman"/>
          <w:b/>
          <w:bCs/>
          <w:color w:val="auto"/>
          <w:sz w:val="24"/>
          <w:szCs w:val="24"/>
          <w:lang w:val="en-US" w:eastAsia="zh-CN"/>
        </w:rPr>
        <w:t>1</w:t>
      </w:r>
      <w:r>
        <w:rPr>
          <w:rFonts w:hint="eastAsia" w:ascii="Times New Roman" w:hAnsi="Times New Roman" w:eastAsia="宋体" w:cs="Times New Roman"/>
          <w:b/>
          <w:bCs/>
          <w:color w:val="auto"/>
          <w:sz w:val="24"/>
          <w:szCs w:val="24"/>
          <w:lang w:eastAsia="zh-CN"/>
        </w:rPr>
        <w:t>）</w:t>
      </w:r>
      <w:r>
        <w:rPr>
          <w:rFonts w:hint="eastAsia" w:ascii="Times New Roman" w:hAnsi="Times New Roman" w:eastAsia="宋体" w:cs="Times New Roman"/>
          <w:b/>
          <w:bCs/>
          <w:color w:val="auto"/>
          <w:sz w:val="24"/>
          <w:szCs w:val="24"/>
          <w:lang w:val="en-US" w:eastAsia="zh-CN"/>
        </w:rPr>
        <w:t>总银去除</w:t>
      </w:r>
    </w:p>
    <w:p>
      <w:pPr>
        <w:spacing w:line="360" w:lineRule="auto"/>
        <w:ind w:firstLine="48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目前重金属废水的处理工艺，应用较多、较成熟可靠的技术有：沉淀法、吸附法、离子交换法、氧化还原法、铁氧体法、膜分离法等以及以上工艺的组合。因为沉淀法操作简单、工艺成熟、投资省、中和剂来源广，所以最常用的方法为沉淀法，沉淀法主要分为化学沉淀法和物理沉淀法，化学沉淀法主要是选择合适的化学沉淀剂将重金属离子转化为不溶性的金属盐与无机颗粒一起沉降。物理沉淀法主要是絮凝沉淀法，选择主要的絮凝剂使金属离子变成中性的微粒，在分子的作用下，加快沉降速度，实现固液分离。</w:t>
      </w:r>
    </w:p>
    <w:p>
      <w:pPr>
        <w:spacing w:line="360" w:lineRule="auto"/>
        <w:ind w:firstLine="48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根据</w:t>
      </w:r>
      <w:r>
        <w:rPr>
          <w:rFonts w:hint="eastAsia" w:ascii="Times New Roman" w:hAnsi="Times New Roman" w:eastAsia="宋体" w:cs="Times New Roman"/>
          <w:b w:val="0"/>
          <w:bCs w:val="0"/>
          <w:color w:val="auto"/>
          <w:sz w:val="24"/>
          <w:szCs w:val="24"/>
          <w:lang w:val="en-US" w:eastAsia="zh-CN"/>
        </w:rPr>
        <w:t>项目</w:t>
      </w:r>
      <w:r>
        <w:rPr>
          <w:rFonts w:hint="default" w:ascii="Times New Roman" w:hAnsi="Times New Roman" w:eastAsia="宋体" w:cs="Times New Roman"/>
          <w:b w:val="0"/>
          <w:bCs w:val="0"/>
          <w:color w:val="auto"/>
          <w:sz w:val="24"/>
          <w:szCs w:val="24"/>
        </w:rPr>
        <w:t>污水处理量及工程实际情况采用下列三种方式去除重金属及有机物：</w:t>
      </w:r>
    </w:p>
    <w:p>
      <w:pPr>
        <w:spacing w:line="360" w:lineRule="auto"/>
        <w:ind w:firstLine="480"/>
        <w:rPr>
          <w:rFonts w:hint="default" w:ascii="Times New Roman" w:hAnsi="Times New Roman" w:eastAsia="宋体" w:cs="Times New Roman"/>
          <w:b w:val="0"/>
          <w:bCs w:val="0"/>
          <w:color w:val="auto"/>
          <w:sz w:val="24"/>
          <w:szCs w:val="24"/>
        </w:rPr>
      </w:pPr>
      <w:r>
        <w:rPr>
          <w:rFonts w:hint="eastAsia" w:ascii="Times New Roman" w:hAnsi="Times New Roman" w:eastAsia="宋体" w:cs="Times New Roman"/>
          <w:b w:val="0"/>
          <w:bCs w:val="0"/>
          <w:color w:val="auto"/>
          <w:sz w:val="24"/>
          <w:szCs w:val="24"/>
          <w:lang w:val="en-US" w:eastAsia="zh-CN"/>
        </w:rPr>
        <w:t>①</w:t>
      </w:r>
      <w:r>
        <w:rPr>
          <w:rFonts w:hint="default" w:ascii="Times New Roman" w:hAnsi="Times New Roman" w:eastAsia="宋体" w:cs="Times New Roman"/>
          <w:b w:val="0"/>
          <w:bCs w:val="0"/>
          <w:color w:val="auto"/>
          <w:sz w:val="24"/>
          <w:szCs w:val="24"/>
        </w:rPr>
        <w:t>化学沉淀法：</w:t>
      </w:r>
    </w:p>
    <w:p>
      <w:pPr>
        <w:spacing w:line="360" w:lineRule="auto"/>
        <w:ind w:firstLine="48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化学沉淀法是目前使用较为普遍的方法。其又可以分为a．氢氧化物沉淀法．b．硫化物沉淀法；c．碳酸盐沉淀法等等。所用沉淀剂有：石灰、烧碱、硫化盐、纯碱以及磷酸盐。采用氢氧化钠及重金属捕捉剂沉淀法进行含镍废水的处理，控制</w:t>
      </w:r>
      <w:r>
        <w:rPr>
          <w:rFonts w:hint="eastAsia" w:ascii="Times New Roman" w:hAnsi="Times New Roman" w:eastAsia="宋体" w:cs="Times New Roman"/>
          <w:b w:val="0"/>
          <w:bCs w:val="0"/>
          <w:color w:val="auto"/>
          <w:sz w:val="24"/>
          <w:szCs w:val="24"/>
          <w:lang w:val="en-US" w:eastAsia="zh-CN"/>
        </w:rPr>
        <w:t>p</w:t>
      </w:r>
      <w:r>
        <w:rPr>
          <w:rFonts w:hint="default" w:ascii="Times New Roman" w:hAnsi="Times New Roman" w:eastAsia="宋体" w:cs="Times New Roman"/>
          <w:b w:val="0"/>
          <w:bCs w:val="0"/>
          <w:color w:val="auto"/>
          <w:sz w:val="24"/>
          <w:szCs w:val="24"/>
        </w:rPr>
        <w:t>H值在9.5-10.5左右，重金属离子的去除率高，沉渣含水率低，且不易反溶形成二次沉淀。</w:t>
      </w:r>
    </w:p>
    <w:p>
      <w:pPr>
        <w:adjustRightInd w:val="0"/>
        <w:spacing w:line="360" w:lineRule="auto"/>
        <w:ind w:firstLine="48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项目采用氢氧化钠与废水中的银离子反应，使银离子生成不溶于水的沉淀物，然后实现分离。中和沉淀法由于操作简单，目前是废水处理常用的方法。</w:t>
      </w:r>
    </w:p>
    <w:p>
      <w:pPr>
        <w:spacing w:line="360" w:lineRule="auto"/>
        <w:ind w:firstLine="48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Ag</w:t>
      </w:r>
      <w:r>
        <w:rPr>
          <w:rFonts w:hint="default" w:ascii="Times New Roman" w:hAnsi="Times New Roman" w:eastAsia="宋体" w:cs="Times New Roman"/>
          <w:bCs/>
          <w:color w:val="auto"/>
          <w:sz w:val="24"/>
          <w:szCs w:val="24"/>
          <w:vertAlign w:val="superscript"/>
        </w:rPr>
        <w:t>+</w:t>
      </w:r>
      <w:r>
        <w:rPr>
          <w:rFonts w:hint="default" w:ascii="Times New Roman" w:hAnsi="Times New Roman" w:eastAsia="宋体" w:cs="Times New Roman"/>
          <w:bCs/>
          <w:color w:val="auto"/>
          <w:sz w:val="24"/>
          <w:szCs w:val="24"/>
        </w:rPr>
        <w:t>+NaOH=AgOH+Na</w:t>
      </w:r>
      <w:r>
        <w:rPr>
          <w:rFonts w:hint="default" w:ascii="Times New Roman" w:hAnsi="Times New Roman" w:eastAsia="宋体" w:cs="Times New Roman"/>
          <w:bCs/>
          <w:color w:val="auto"/>
          <w:sz w:val="24"/>
          <w:szCs w:val="24"/>
          <w:vertAlign w:val="superscript"/>
        </w:rPr>
        <w:t>+</w:t>
      </w:r>
    </w:p>
    <w:p>
      <w:pPr>
        <w:spacing w:line="360" w:lineRule="auto"/>
        <w:ind w:firstLine="48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2AgOH=Ag</w:t>
      </w:r>
      <w:r>
        <w:rPr>
          <w:rFonts w:hint="default" w:ascii="Times New Roman" w:hAnsi="Times New Roman" w:eastAsia="宋体" w:cs="Times New Roman"/>
          <w:bCs/>
          <w:color w:val="auto"/>
          <w:sz w:val="24"/>
          <w:szCs w:val="24"/>
          <w:vertAlign w:val="subscript"/>
        </w:rPr>
        <w:t>2</w:t>
      </w:r>
      <w:r>
        <w:rPr>
          <w:rFonts w:hint="default" w:ascii="Times New Roman" w:hAnsi="Times New Roman" w:eastAsia="宋体" w:cs="Times New Roman"/>
          <w:bCs/>
          <w:color w:val="auto"/>
          <w:sz w:val="24"/>
          <w:szCs w:val="24"/>
        </w:rPr>
        <w:t>O+H</w:t>
      </w:r>
      <w:r>
        <w:rPr>
          <w:rFonts w:hint="default" w:ascii="Times New Roman" w:hAnsi="Times New Roman" w:eastAsia="宋体" w:cs="Times New Roman"/>
          <w:bCs/>
          <w:color w:val="auto"/>
          <w:sz w:val="24"/>
          <w:szCs w:val="24"/>
          <w:vertAlign w:val="subscript"/>
        </w:rPr>
        <w:t>2</w:t>
      </w:r>
      <w:r>
        <w:rPr>
          <w:rFonts w:hint="default" w:ascii="Times New Roman" w:hAnsi="Times New Roman" w:eastAsia="宋体" w:cs="Times New Roman"/>
          <w:bCs/>
          <w:color w:val="auto"/>
          <w:sz w:val="24"/>
          <w:szCs w:val="24"/>
        </w:rPr>
        <w:t>O</w:t>
      </w:r>
    </w:p>
    <w:p>
      <w:pPr>
        <w:spacing w:line="360" w:lineRule="auto"/>
        <w:ind w:firstLine="48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根据相关文献，利用化学沉淀法去除重金属离子见表7.2-</w:t>
      </w:r>
      <w:r>
        <w:rPr>
          <w:rFonts w:hint="eastAsia" w:ascii="Times New Roman" w:hAnsi="Times New Roman" w:eastAsia="宋体" w:cs="Times New Roman"/>
          <w:bCs/>
          <w:color w:val="auto"/>
          <w:sz w:val="24"/>
          <w:szCs w:val="24"/>
          <w:lang w:val="en-US" w:eastAsia="zh-CN"/>
        </w:rPr>
        <w:t>2</w:t>
      </w:r>
      <w:r>
        <w:rPr>
          <w:rFonts w:hint="default" w:ascii="Times New Roman" w:hAnsi="Times New Roman" w:eastAsia="宋体" w:cs="Times New Roman"/>
          <w:bCs/>
          <w:color w:val="auto"/>
          <w:sz w:val="24"/>
          <w:szCs w:val="24"/>
        </w:rPr>
        <w:t>。</w:t>
      </w:r>
    </w:p>
    <w:p>
      <w:pPr>
        <w:widowControl/>
        <w:spacing w:line="360" w:lineRule="auto"/>
        <w:ind w:firstLine="0"/>
        <w:jc w:val="center"/>
        <w:outlineLvl w:val="4"/>
        <w:rPr>
          <w:rFonts w:hint="default" w:ascii="Times New Roman" w:hAnsi="Times New Roman" w:eastAsia="黑体" w:cs="Times New Roman"/>
          <w:bCs/>
          <w:color w:val="auto"/>
          <w:sz w:val="24"/>
          <w:szCs w:val="24"/>
        </w:rPr>
      </w:pPr>
      <w:r>
        <w:rPr>
          <w:rFonts w:hint="default" w:ascii="Times New Roman" w:hAnsi="Times New Roman" w:eastAsia="黑体" w:cs="Times New Roman"/>
          <w:bCs/>
          <w:color w:val="auto"/>
          <w:sz w:val="24"/>
          <w:szCs w:val="24"/>
        </w:rPr>
        <w:t>表7.2-</w:t>
      </w:r>
      <w:r>
        <w:rPr>
          <w:rFonts w:hint="eastAsia" w:ascii="Times New Roman" w:hAnsi="Times New Roman" w:eastAsia="黑体" w:cs="Times New Roman"/>
          <w:bCs/>
          <w:color w:val="auto"/>
          <w:sz w:val="24"/>
          <w:szCs w:val="24"/>
          <w:lang w:val="en-US" w:eastAsia="zh-CN"/>
        </w:rPr>
        <w:t>2</w:t>
      </w:r>
      <w:r>
        <w:rPr>
          <w:rFonts w:hint="default" w:ascii="Times New Roman" w:hAnsi="Times New Roman" w:eastAsia="黑体" w:cs="Times New Roman"/>
          <w:bCs/>
          <w:color w:val="auto"/>
          <w:sz w:val="24"/>
          <w:szCs w:val="24"/>
        </w:rPr>
        <w:t xml:space="preserve">  化学沉淀法除重金属效率</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595"/>
        <w:gridCol w:w="1290"/>
        <w:gridCol w:w="2085"/>
        <w:gridCol w:w="2085"/>
        <w:gridCol w:w="2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595"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color w:val="auto"/>
                <w:kern w:val="0"/>
                <w:sz w:val="21"/>
                <w:szCs w:val="24"/>
              </w:rPr>
            </w:pPr>
            <w:r>
              <w:rPr>
                <w:rFonts w:hint="default" w:ascii="Times New Roman" w:hAnsi="Times New Roman" w:eastAsia="宋体" w:cs="Times New Roman"/>
                <w:color w:val="auto"/>
                <w:kern w:val="0"/>
                <w:sz w:val="21"/>
              </w:rPr>
              <w:t>金属离子</w:t>
            </w:r>
          </w:p>
        </w:tc>
        <w:tc>
          <w:tcPr>
            <w:tcW w:w="1290"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color w:val="auto"/>
                <w:kern w:val="0"/>
                <w:sz w:val="21"/>
              </w:rPr>
            </w:pPr>
            <w:r>
              <w:rPr>
                <w:rFonts w:hint="default" w:ascii="Times New Roman" w:hAnsi="Times New Roman" w:eastAsia="宋体" w:cs="Times New Roman"/>
                <w:color w:val="auto"/>
                <w:kern w:val="0"/>
                <w:sz w:val="21"/>
              </w:rPr>
              <w:t>初始浓度</w:t>
            </w:r>
          </w:p>
        </w:tc>
        <w:tc>
          <w:tcPr>
            <w:tcW w:w="2085" w:type="dxa"/>
            <w:noWrap w:val="0"/>
            <w:vAlign w:val="top"/>
          </w:tcPr>
          <w:p>
            <w:pPr>
              <w:rPr>
                <w:rFonts w:hint="default" w:ascii="Times New Roman" w:hAnsi="Times New Roman" w:cs="Times New Roman"/>
                <w:color w:val="auto"/>
              </w:rPr>
            </w:pPr>
            <w:r>
              <w:rPr>
                <w:rFonts w:hint="default" w:ascii="Times New Roman" w:hAnsi="Times New Roman" w:eastAsia="宋体" w:cs="Times New Roman"/>
                <w:color w:val="auto"/>
                <w:kern w:val="0"/>
                <w:sz w:val="21"/>
              </w:rPr>
              <w:t>沉淀试剂</w:t>
            </w:r>
          </w:p>
        </w:tc>
        <w:tc>
          <w:tcPr>
            <w:tcW w:w="2085" w:type="dxa"/>
            <w:noWrap w:val="0"/>
            <w:vAlign w:val="top"/>
          </w:tcPr>
          <w:p>
            <w:pPr>
              <w:rPr>
                <w:rFonts w:hint="default" w:ascii="Times New Roman" w:hAnsi="Times New Roman" w:cs="Times New Roman"/>
                <w:color w:val="auto"/>
              </w:rPr>
            </w:pPr>
            <w:r>
              <w:rPr>
                <w:rFonts w:hint="default" w:ascii="Times New Roman" w:hAnsi="Times New Roman" w:eastAsia="宋体" w:cs="Times New Roman"/>
                <w:color w:val="auto"/>
                <w:kern w:val="0"/>
                <w:sz w:val="21"/>
              </w:rPr>
              <w:t>最佳pH</w:t>
            </w:r>
          </w:p>
        </w:tc>
        <w:tc>
          <w:tcPr>
            <w:tcW w:w="2083" w:type="dxa"/>
            <w:noWrap w:val="0"/>
            <w:vAlign w:val="top"/>
          </w:tcPr>
          <w:p>
            <w:pPr>
              <w:rPr>
                <w:rFonts w:hint="default" w:ascii="Times New Roman" w:hAnsi="Times New Roman" w:eastAsia="宋体" w:cs="Times New Roman"/>
                <w:color w:val="auto"/>
                <w:kern w:val="0"/>
                <w:sz w:val="21"/>
              </w:rPr>
            </w:pPr>
            <w:r>
              <w:rPr>
                <w:rFonts w:hint="default" w:ascii="Times New Roman" w:hAnsi="Times New Roman" w:eastAsia="宋体" w:cs="Times New Roman"/>
                <w:color w:val="auto"/>
                <w:kern w:val="0"/>
                <w:sz w:val="21"/>
              </w:rPr>
              <w:t>去除率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595"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color w:val="auto"/>
                <w:kern w:val="0"/>
                <w:sz w:val="21"/>
                <w:vertAlign w:val="superscript"/>
              </w:rPr>
            </w:pPr>
            <w:r>
              <w:rPr>
                <w:rFonts w:hint="default" w:ascii="Times New Roman" w:hAnsi="Times New Roman" w:eastAsia="宋体" w:cs="Times New Roman"/>
                <w:color w:val="auto"/>
                <w:kern w:val="0"/>
                <w:sz w:val="21"/>
              </w:rPr>
              <w:t>Ag</w:t>
            </w:r>
            <w:r>
              <w:rPr>
                <w:rFonts w:hint="default" w:ascii="Times New Roman" w:hAnsi="Times New Roman" w:eastAsia="宋体" w:cs="Times New Roman"/>
                <w:color w:val="auto"/>
                <w:kern w:val="0"/>
                <w:sz w:val="21"/>
                <w:vertAlign w:val="superscript"/>
              </w:rPr>
              <w:t>+</w:t>
            </w:r>
          </w:p>
        </w:tc>
        <w:tc>
          <w:tcPr>
            <w:tcW w:w="1290"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color w:val="auto"/>
                <w:kern w:val="0"/>
                <w:sz w:val="21"/>
              </w:rPr>
            </w:pPr>
            <w:r>
              <w:rPr>
                <w:rFonts w:hint="default" w:ascii="Times New Roman" w:hAnsi="Times New Roman" w:eastAsia="宋体" w:cs="Times New Roman"/>
                <w:color w:val="auto"/>
                <w:kern w:val="0"/>
                <w:sz w:val="21"/>
              </w:rPr>
              <w:t>＞10mg/L</w:t>
            </w:r>
          </w:p>
        </w:tc>
        <w:tc>
          <w:tcPr>
            <w:tcW w:w="2085"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color w:val="auto"/>
                <w:kern w:val="0"/>
                <w:sz w:val="21"/>
              </w:rPr>
            </w:pPr>
            <w:r>
              <w:rPr>
                <w:rFonts w:hint="default" w:ascii="Times New Roman" w:hAnsi="Times New Roman" w:eastAsia="宋体" w:cs="Times New Roman"/>
                <w:color w:val="auto"/>
                <w:kern w:val="0"/>
                <w:sz w:val="21"/>
              </w:rPr>
              <w:t>NaOH</w:t>
            </w:r>
          </w:p>
        </w:tc>
        <w:tc>
          <w:tcPr>
            <w:tcW w:w="2085" w:type="dxa"/>
            <w:noWrap w:val="0"/>
            <w:vAlign w:val="top"/>
          </w:tcPr>
          <w:p>
            <w:pPr>
              <w:overflowPunct w:val="0"/>
              <w:adjustRightInd w:val="0"/>
              <w:snapToGrid w:val="0"/>
              <w:spacing w:line="340" w:lineRule="exact"/>
              <w:ind w:firstLine="0"/>
              <w:jc w:val="center"/>
              <w:textAlignment w:val="baseline"/>
              <w:rPr>
                <w:rFonts w:hint="default" w:ascii="Times New Roman" w:hAnsi="Times New Roman" w:eastAsia="宋体" w:cs="Times New Roman"/>
                <w:color w:val="auto"/>
                <w:kern w:val="0"/>
                <w:sz w:val="21"/>
              </w:rPr>
            </w:pPr>
            <w:r>
              <w:rPr>
                <w:rFonts w:hint="default" w:ascii="Times New Roman" w:hAnsi="Times New Roman" w:eastAsia="宋体" w:cs="Times New Roman"/>
                <w:color w:val="auto"/>
                <w:kern w:val="0"/>
                <w:sz w:val="21"/>
              </w:rPr>
              <w:t>8.0</w:t>
            </w:r>
          </w:p>
        </w:tc>
        <w:tc>
          <w:tcPr>
            <w:tcW w:w="2083" w:type="dxa"/>
            <w:noWrap w:val="0"/>
            <w:vAlign w:val="top"/>
          </w:tcPr>
          <w:p>
            <w:pPr>
              <w:overflowPunct w:val="0"/>
              <w:adjustRightInd w:val="0"/>
              <w:snapToGrid w:val="0"/>
              <w:spacing w:line="340" w:lineRule="exact"/>
              <w:ind w:firstLine="0"/>
              <w:jc w:val="center"/>
              <w:textAlignment w:val="baseline"/>
              <w:rPr>
                <w:rFonts w:hint="default" w:ascii="Times New Roman" w:hAnsi="Times New Roman" w:eastAsia="宋体" w:cs="Times New Roman"/>
                <w:color w:val="auto"/>
                <w:kern w:val="0"/>
                <w:sz w:val="21"/>
              </w:rPr>
            </w:pPr>
            <w:r>
              <w:rPr>
                <w:rFonts w:hint="default" w:ascii="Times New Roman" w:hAnsi="Times New Roman" w:eastAsia="宋体" w:cs="Times New Roman"/>
                <w:color w:val="auto"/>
                <w:kern w:val="0"/>
                <w:sz w:val="21"/>
              </w:rPr>
              <w:t>98.7%</w:t>
            </w:r>
          </w:p>
        </w:tc>
      </w:tr>
    </w:tbl>
    <w:p>
      <w:pPr>
        <w:spacing w:line="360" w:lineRule="auto"/>
        <w:ind w:firstLine="480"/>
        <w:rPr>
          <w:rFonts w:hint="default" w:ascii="Times New Roman" w:hAnsi="Times New Roman" w:eastAsia="宋体" w:cs="Times New Roman"/>
          <w:b w:val="0"/>
          <w:bCs w:val="0"/>
          <w:color w:val="auto"/>
          <w:sz w:val="24"/>
          <w:szCs w:val="24"/>
        </w:rPr>
      </w:pPr>
      <w:r>
        <w:rPr>
          <w:rFonts w:hint="eastAsia" w:ascii="Times New Roman" w:hAnsi="Times New Roman" w:eastAsia="宋体" w:cs="Times New Roman"/>
          <w:b w:val="0"/>
          <w:bCs w:val="0"/>
          <w:color w:val="auto"/>
          <w:sz w:val="24"/>
          <w:szCs w:val="24"/>
          <w:lang w:val="en-US" w:eastAsia="zh-CN"/>
        </w:rPr>
        <w:t>②</w:t>
      </w:r>
      <w:r>
        <w:rPr>
          <w:rFonts w:hint="default" w:ascii="Times New Roman" w:hAnsi="Times New Roman" w:eastAsia="宋体" w:cs="Times New Roman"/>
          <w:b w:val="0"/>
          <w:bCs w:val="0"/>
          <w:color w:val="auto"/>
          <w:sz w:val="24"/>
          <w:szCs w:val="24"/>
        </w:rPr>
        <w:t>絮凝法：</w:t>
      </w:r>
    </w:p>
    <w:p>
      <w:pPr>
        <w:spacing w:line="360" w:lineRule="auto"/>
        <w:ind w:firstLine="48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絮凝法是指向废水中投加絮凝剂及重金属捕捉剂的方法，捕捉重金属，形成与废水中杂质粒子带相仿电荷的胶体，然后靠重力沉降予以分离，常用的絮凝剂有金属盐类和高分子聚合物两大类。本方案采用絮凝剂为PAC、PAM及重金属捕捉剂协同处理，在去除镉和铅的同进去除水中部份COD等污染物。</w:t>
      </w:r>
    </w:p>
    <w:p>
      <w:pPr>
        <w:spacing w:line="360" w:lineRule="auto"/>
        <w:ind w:firstLine="480"/>
        <w:rPr>
          <w:rFonts w:hint="default" w:ascii="Times New Roman" w:hAnsi="Times New Roman" w:eastAsia="宋体" w:cs="Times New Roman"/>
          <w:b w:val="0"/>
          <w:bCs w:val="0"/>
          <w:color w:val="auto"/>
          <w:sz w:val="24"/>
          <w:szCs w:val="24"/>
        </w:rPr>
      </w:pPr>
      <w:r>
        <w:rPr>
          <w:rFonts w:hint="eastAsia" w:ascii="Times New Roman" w:hAnsi="Times New Roman" w:eastAsia="宋体" w:cs="Times New Roman"/>
          <w:b w:val="0"/>
          <w:bCs w:val="0"/>
          <w:color w:val="auto"/>
          <w:sz w:val="24"/>
          <w:szCs w:val="24"/>
          <w:lang w:val="en-US" w:eastAsia="zh-CN"/>
        </w:rPr>
        <w:t>③</w:t>
      </w:r>
      <w:r>
        <w:rPr>
          <w:rFonts w:hint="default" w:ascii="Times New Roman" w:hAnsi="Times New Roman" w:eastAsia="宋体" w:cs="Times New Roman"/>
          <w:b w:val="0"/>
          <w:bCs w:val="0"/>
          <w:color w:val="auto"/>
          <w:sz w:val="24"/>
          <w:szCs w:val="24"/>
        </w:rPr>
        <w:t>生物吸附法：</w:t>
      </w:r>
    </w:p>
    <w:p>
      <w:pPr>
        <w:spacing w:line="360" w:lineRule="auto"/>
        <w:ind w:firstLine="48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微生物对重金属具有很强的亲和吸附性能，通过物理化学作用将重金属吸附在胞外聚合物的结合点上，从而从水中去除，活的和死的微生物对重金属离子都有较强的吸附能力。这些微生物主要有藻类、真菌、细菌等。该法以其原材料来源丰富、成本低、吸附速度快、吸附量大、选择性好、无毒、无害、无二次污染等特点正受到越来越多的重视。本工程生化处理部分采用MBR，其微生物既能对经物化法处理后水中残留的</w:t>
      </w:r>
      <w:r>
        <w:rPr>
          <w:rFonts w:hint="eastAsia" w:ascii="Times New Roman" w:hAnsi="Times New Roman" w:eastAsia="宋体" w:cs="Times New Roman"/>
          <w:b w:val="0"/>
          <w:bCs w:val="0"/>
          <w:color w:val="auto"/>
          <w:sz w:val="24"/>
          <w:szCs w:val="24"/>
          <w:lang w:val="en-US" w:eastAsia="zh-CN"/>
        </w:rPr>
        <w:t>微量</w:t>
      </w:r>
      <w:r>
        <w:rPr>
          <w:rFonts w:hint="default" w:ascii="Times New Roman" w:hAnsi="Times New Roman" w:eastAsia="宋体" w:cs="Times New Roman"/>
          <w:b w:val="0"/>
          <w:bCs w:val="0"/>
          <w:color w:val="auto"/>
          <w:sz w:val="24"/>
          <w:szCs w:val="24"/>
        </w:rPr>
        <w:t>重金属离子进行吸附，并能有效去除水中的有机污染物质，为确保达标排放。</w:t>
      </w:r>
    </w:p>
    <w:p>
      <w:pPr>
        <w:spacing w:line="360" w:lineRule="auto"/>
        <w:ind w:firstLine="48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w:t>
      </w:r>
      <w:r>
        <w:rPr>
          <w:rFonts w:hint="eastAsia"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w:t>
      </w:r>
      <w:r>
        <w:rPr>
          <w:rFonts w:hint="eastAsia" w:ascii="Times New Roman" w:hAnsi="Times New Roman" w:eastAsia="宋体" w:cs="Times New Roman"/>
          <w:b/>
          <w:bCs/>
          <w:color w:val="auto"/>
          <w:sz w:val="24"/>
          <w:szCs w:val="24"/>
          <w:lang w:val="en-US" w:eastAsia="zh-CN"/>
        </w:rPr>
        <w:t>三效</w:t>
      </w:r>
      <w:r>
        <w:rPr>
          <w:rFonts w:hint="default" w:ascii="Times New Roman" w:hAnsi="Times New Roman" w:eastAsia="宋体" w:cs="Times New Roman"/>
          <w:b/>
          <w:bCs/>
          <w:color w:val="auto"/>
          <w:sz w:val="24"/>
          <w:szCs w:val="24"/>
        </w:rPr>
        <w:t>蒸发器</w:t>
      </w:r>
    </w:p>
    <w:p>
      <w:pPr>
        <w:keepNext w:val="0"/>
        <w:keepLines w:val="0"/>
        <w:pageBreakBefore w:val="0"/>
        <w:widowControl w:val="0"/>
        <w:kinsoku/>
        <w:wordWrap/>
        <w:overflowPunct/>
        <w:topLinePunct w:val="0"/>
        <w:autoSpaceDE/>
        <w:autoSpaceDN/>
        <w:bidi w:val="0"/>
        <w:adjustRightInd/>
        <w:snapToGrid/>
        <w:spacing w:line="360" w:lineRule="auto"/>
        <w:ind w:left="0" w:firstLine="482"/>
        <w:textAlignment w:val="auto"/>
        <w:outlineLvl w:val="9"/>
        <w:rPr>
          <w:rFonts w:hint="default" w:ascii="Times New Roman" w:hAnsi="Times New Roman" w:eastAsia="宋体" w:cs="Times New Roman"/>
          <w:b/>
          <w:bCs w:val="0"/>
          <w:color w:val="auto"/>
          <w:sz w:val="24"/>
          <w:szCs w:val="24"/>
          <w:lang w:val="en-US" w:eastAsia="zh-CN"/>
        </w:rPr>
      </w:pPr>
      <w:r>
        <w:rPr>
          <w:rFonts w:hint="default" w:ascii="Times New Roman" w:hAnsi="Times New Roman" w:eastAsia="宋体" w:cs="Times New Roman"/>
          <w:b/>
          <w:bCs w:val="0"/>
          <w:color w:val="auto"/>
          <w:sz w:val="24"/>
          <w:szCs w:val="24"/>
          <w:lang w:val="en-US" w:eastAsia="zh-CN"/>
        </w:rPr>
        <w:t>①工艺原理</w:t>
      </w:r>
    </w:p>
    <w:p>
      <w:pPr>
        <w:keepNext w:val="0"/>
        <w:keepLines w:val="0"/>
        <w:pageBreakBefore w:val="0"/>
        <w:widowControl w:val="0"/>
        <w:kinsoku/>
        <w:wordWrap/>
        <w:overflowPunct/>
        <w:topLinePunct w:val="0"/>
        <w:autoSpaceDE/>
        <w:autoSpaceDN/>
        <w:bidi w:val="0"/>
        <w:adjustRightInd/>
        <w:snapToGrid/>
        <w:spacing w:line="360" w:lineRule="auto"/>
        <w:ind w:left="0" w:firstLine="480"/>
        <w:textAlignment w:val="auto"/>
        <w:outlineLvl w:val="9"/>
        <w:rPr>
          <w:rFonts w:hint="default" w:ascii="Times New Roman" w:hAnsi="Times New Roman" w:eastAsia="宋体" w:cs="Times New Roman"/>
          <w:color w:val="auto"/>
        </w:rPr>
      </w:pPr>
      <w:r>
        <w:rPr>
          <w:rFonts w:hint="default" w:ascii="Times New Roman" w:hAnsi="Times New Roman" w:eastAsia="宋体" w:cs="Times New Roman"/>
          <w:bCs/>
          <w:color w:val="auto"/>
          <w:sz w:val="24"/>
          <w:szCs w:val="24"/>
        </w:rPr>
        <w:t>蒸发是采用加热的方法，使含有不挥发性杂质（如盐类）的溶液沸腾，除去其中被汽化单位部分杂质，使溶液得以浓缩的单元操作过程。</w:t>
      </w:r>
      <w:r>
        <w:rPr>
          <w:rFonts w:hint="default" w:ascii="Times New Roman" w:hAnsi="Times New Roman" w:eastAsia="宋体" w:cs="Times New Roman"/>
          <w:color w:val="auto"/>
          <w:sz w:val="24"/>
          <w:szCs w:val="24"/>
        </w:rPr>
        <w:t>按二次蒸汽的利用情况可以分为单效蒸发和多效蒸发，若产生的二次蒸汽不加利用，直接经冷凝器冷凝后排出，这种操作称为单效蒸发。若把二次蒸汽引至另一操作压力较低的蒸发器作为加热蒸汽，并把若干个蒸发器串联组合使用，这种操作称为多效蒸发。多效蒸发中，二次蒸汽的潜热得到了较为充分的利用，提高了加热蒸汽的利用率。</w:t>
      </w:r>
    </w:p>
    <w:p>
      <w:pPr>
        <w:keepNext w:val="0"/>
        <w:keepLines w:val="0"/>
        <w:pageBreakBefore w:val="0"/>
        <w:widowControl w:val="0"/>
        <w:kinsoku/>
        <w:wordWrap/>
        <w:overflowPunct/>
        <w:topLinePunct w:val="0"/>
        <w:autoSpaceDE/>
        <w:autoSpaceDN/>
        <w:bidi w:val="0"/>
        <w:adjustRightInd/>
        <w:snapToGrid/>
        <w:spacing w:line="360" w:lineRule="auto"/>
        <w:ind w:left="0" w:firstLine="480"/>
        <w:textAlignment w:val="auto"/>
        <w:outlineLvl w:val="9"/>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三效蒸发属于多效蒸发中的一种，多效蒸发是将第一个蒸发器产生的二次蒸汽再次当作加热源，引入另一个蒸发器，只要控制蒸发器内的压力和溶液沸点，使其适当降低，则可利用第一个蒸发器产生的二次蒸汽进行加热。此时，第一个蒸发器的冷凝处就是第二个蒸发器的加热处。这就是多效蒸发原理。每个蒸发器称为一效，通入生蒸汽的蒸发器为第一效，并由二次蒸汽通入方向依次为第二效、第三效等。</w:t>
      </w:r>
    </w:p>
    <w:p>
      <w:pPr>
        <w:keepNext w:val="0"/>
        <w:keepLines w:val="0"/>
        <w:pageBreakBefore w:val="0"/>
        <w:widowControl w:val="0"/>
        <w:kinsoku/>
        <w:wordWrap/>
        <w:overflowPunct/>
        <w:topLinePunct w:val="0"/>
        <w:autoSpaceDE/>
        <w:autoSpaceDN/>
        <w:bidi w:val="0"/>
        <w:adjustRightInd/>
        <w:snapToGrid/>
        <w:spacing w:line="360" w:lineRule="auto"/>
        <w:ind w:left="0" w:firstLine="480"/>
        <w:textAlignment w:val="auto"/>
        <w:outlineLvl w:val="9"/>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三效蒸发根据原废水盐份的不同所选工艺也有所区别。对于溶解度随温度变化较大的盐，一般选用逆流蒸发，高温出料（出料温度约98℃），高温浓缩液在冷却结晶罐中降温结晶，降温过程中析出大量结晶物，提升浓缩液的固液比后进入离心机固液分离。对于溶解度随温度变化不大的盐，一般选用顺流蒸发，低温出料（出料温度约65℃），浓缩液在冷却结晶罐中进一步降温结晶（约40℃），提升浓缩液的固液比后进入离心机或压滤机实现固液分离。</w:t>
      </w:r>
    </w:p>
    <w:p>
      <w:pPr>
        <w:pStyle w:val="24"/>
        <w:keepNext w:val="0"/>
        <w:keepLines w:val="0"/>
        <w:pageBreakBefore w:val="0"/>
        <w:widowControl w:val="0"/>
        <w:kinsoku/>
        <w:wordWrap/>
        <w:overflowPunct/>
        <w:topLinePunct w:val="0"/>
        <w:autoSpaceDE/>
        <w:autoSpaceDN/>
        <w:bidi w:val="0"/>
        <w:adjustRightInd/>
        <w:snapToGrid/>
        <w:spacing w:after="0" w:line="360" w:lineRule="auto"/>
        <w:ind w:left="0" w:firstLine="480"/>
        <w:textAlignment w:val="auto"/>
        <w:outlineLvl w:val="9"/>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工艺流程的确定主要取决于原水中盐份的组成，逆流蒸发工艺和顺流蒸发工艺相比，各效转料需要提供额外的动力，而顺流蒸发各效之间是通过压差转料，无需提供额外动力源；冷却结晶部分，逆流蒸发工艺出水温度较顺流蒸发高，冷却结晶过程中所需循环冷却水量也较大，相应冷却结晶罐夹套换热面积也大。相比之下，无论是投资成本还是运行成本，逆流蒸发工艺都比顺流蒸发工艺高。</w:t>
      </w:r>
    </w:p>
    <w:p>
      <w:pPr>
        <w:keepNext w:val="0"/>
        <w:keepLines w:val="0"/>
        <w:pageBreakBefore w:val="0"/>
        <w:widowControl w:val="0"/>
        <w:kinsoku/>
        <w:wordWrap/>
        <w:overflowPunct/>
        <w:topLinePunct w:val="0"/>
        <w:autoSpaceDE/>
        <w:autoSpaceDN/>
        <w:bidi w:val="0"/>
        <w:adjustRightInd/>
        <w:snapToGrid/>
        <w:spacing w:line="360" w:lineRule="auto"/>
        <w:ind w:left="0" w:firstLine="480"/>
        <w:textAlignment w:val="auto"/>
        <w:outlineLvl w:val="9"/>
        <w:rPr>
          <w:rFonts w:hint="default" w:ascii="Times New Roman" w:hAnsi="Times New Roman" w:eastAsia="宋体" w:cs="Times New Roman"/>
          <w:b/>
          <w:color w:val="auto"/>
          <w:sz w:val="24"/>
          <w:szCs w:val="24"/>
        </w:rPr>
      </w:pPr>
      <w:r>
        <w:rPr>
          <w:rFonts w:hint="default" w:ascii="Times New Roman" w:hAnsi="Times New Roman" w:eastAsia="宋体" w:cs="Times New Roman"/>
          <w:bCs/>
          <w:color w:val="auto"/>
          <w:sz w:val="24"/>
          <w:szCs w:val="24"/>
          <w:lang w:val="en-US" w:eastAsia="zh-CN"/>
        </w:rPr>
        <w:t>②</w:t>
      </w:r>
      <w:r>
        <w:rPr>
          <w:rFonts w:hint="default" w:ascii="Times New Roman" w:hAnsi="Times New Roman" w:eastAsia="宋体" w:cs="Times New Roman"/>
          <w:b/>
          <w:color w:val="auto"/>
          <w:sz w:val="24"/>
          <w:szCs w:val="24"/>
        </w:rPr>
        <w:t>工作过程中料液的流动</w:t>
      </w:r>
    </w:p>
    <w:p>
      <w:pPr>
        <w:keepNext w:val="0"/>
        <w:keepLines w:val="0"/>
        <w:pageBreakBefore w:val="0"/>
        <w:widowControl w:val="0"/>
        <w:kinsoku/>
        <w:wordWrap/>
        <w:overflowPunct/>
        <w:topLinePunct w:val="0"/>
        <w:autoSpaceDE/>
        <w:autoSpaceDN/>
        <w:bidi w:val="0"/>
        <w:adjustRightInd/>
        <w:snapToGrid/>
        <w:spacing w:line="360" w:lineRule="auto"/>
        <w:ind w:left="0" w:firstLine="480"/>
        <w:textAlignment w:val="auto"/>
        <w:outlineLvl w:val="9"/>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废水经二级预热后进入三效蒸发装置，一级预热热源为二次蒸汽冷凝液，二级预热热源为生蒸汽冷凝液，经二级预热后原废水水温达到70~75℃，充分利用系统多余热量。</w:t>
      </w:r>
    </w:p>
    <w:p>
      <w:pPr>
        <w:keepNext w:val="0"/>
        <w:keepLines w:val="0"/>
        <w:pageBreakBefore w:val="0"/>
        <w:widowControl w:val="0"/>
        <w:kinsoku/>
        <w:wordWrap/>
        <w:overflowPunct/>
        <w:topLinePunct w:val="0"/>
        <w:autoSpaceDE/>
        <w:autoSpaceDN/>
        <w:bidi w:val="0"/>
        <w:adjustRightInd/>
        <w:snapToGrid/>
        <w:spacing w:line="360" w:lineRule="auto"/>
        <w:ind w:left="0" w:firstLine="480"/>
        <w:textAlignment w:val="auto"/>
        <w:outlineLvl w:val="9"/>
        <w:rPr>
          <w:rFonts w:hint="eastAsia" w:ascii="Times New Roman" w:hAnsi="Times New Roman" w:eastAsia="宋体" w:cs="Times New Roman"/>
          <w:bCs/>
          <w:color w:val="auto"/>
          <w:sz w:val="24"/>
          <w:szCs w:val="24"/>
          <w:lang w:eastAsia="zh-CN"/>
        </w:rPr>
      </w:pPr>
      <w:r>
        <w:rPr>
          <w:rFonts w:hint="default" w:ascii="Times New Roman" w:hAnsi="Times New Roman" w:eastAsia="宋体" w:cs="Times New Roman"/>
          <w:bCs/>
          <w:color w:val="auto"/>
          <w:sz w:val="24"/>
          <w:szCs w:val="24"/>
        </w:rPr>
        <w:t>废水流向如下：原水罐</w:t>
      </w:r>
      <w:r>
        <w:rPr>
          <w:rFonts w:hint="eastAsia" w:ascii="Times New Roman" w:hAnsi="Times New Roman" w:eastAsia="宋体" w:cs="Times New Roman"/>
          <w:bCs/>
          <w:color w:val="auto"/>
          <w:sz w:val="24"/>
          <w:szCs w:val="24"/>
          <w:lang w:val="en-US" w:eastAsia="zh-CN"/>
        </w:rPr>
        <w:t>→</w:t>
      </w:r>
      <w:r>
        <w:rPr>
          <w:rFonts w:hint="default" w:ascii="Times New Roman" w:hAnsi="Times New Roman" w:eastAsia="宋体" w:cs="Times New Roman"/>
          <w:bCs/>
          <w:color w:val="auto"/>
          <w:sz w:val="24"/>
          <w:szCs w:val="24"/>
        </w:rPr>
        <w:t>三效进料泵</w:t>
      </w:r>
      <w:r>
        <w:rPr>
          <w:rFonts w:hint="eastAsia" w:ascii="Times New Roman" w:hAnsi="Times New Roman" w:eastAsia="宋体" w:cs="Times New Roman"/>
          <w:bCs/>
          <w:color w:val="auto"/>
          <w:sz w:val="24"/>
          <w:szCs w:val="24"/>
          <w:lang w:val="en-US" w:eastAsia="zh-CN"/>
        </w:rPr>
        <w:t>→</w:t>
      </w:r>
      <w:r>
        <w:rPr>
          <w:rFonts w:hint="default" w:ascii="Times New Roman" w:hAnsi="Times New Roman" w:eastAsia="宋体" w:cs="Times New Roman"/>
          <w:bCs/>
          <w:color w:val="auto"/>
          <w:sz w:val="24"/>
          <w:szCs w:val="24"/>
        </w:rPr>
        <w:t>一效加热室</w:t>
      </w:r>
      <w:r>
        <w:rPr>
          <w:rFonts w:hint="eastAsia" w:ascii="Times New Roman" w:hAnsi="Times New Roman" w:eastAsia="宋体" w:cs="Times New Roman"/>
          <w:bCs/>
          <w:color w:val="auto"/>
          <w:sz w:val="24"/>
          <w:szCs w:val="24"/>
          <w:lang w:val="en-US" w:eastAsia="zh-CN"/>
        </w:rPr>
        <w:t>→</w:t>
      </w:r>
      <w:r>
        <w:rPr>
          <w:rFonts w:hint="default" w:ascii="Times New Roman" w:hAnsi="Times New Roman" w:eastAsia="宋体" w:cs="Times New Roman"/>
          <w:bCs/>
          <w:color w:val="auto"/>
          <w:sz w:val="24"/>
          <w:szCs w:val="24"/>
        </w:rPr>
        <w:t>二效进料泵</w:t>
      </w:r>
      <w:r>
        <w:rPr>
          <w:rFonts w:hint="eastAsia" w:ascii="Times New Roman" w:hAnsi="Times New Roman" w:eastAsia="宋体" w:cs="Times New Roman"/>
          <w:bCs/>
          <w:color w:val="auto"/>
          <w:sz w:val="24"/>
          <w:szCs w:val="24"/>
          <w:lang w:val="en-US" w:eastAsia="zh-CN"/>
        </w:rPr>
        <w:t>→</w:t>
      </w:r>
      <w:r>
        <w:rPr>
          <w:rFonts w:hint="default" w:ascii="Times New Roman" w:hAnsi="Times New Roman" w:eastAsia="宋体" w:cs="Times New Roman"/>
          <w:bCs/>
          <w:color w:val="auto"/>
          <w:sz w:val="24"/>
          <w:szCs w:val="24"/>
        </w:rPr>
        <w:t>三效加热室</w:t>
      </w:r>
      <w:r>
        <w:rPr>
          <w:rFonts w:hint="eastAsia" w:ascii="Times New Roman" w:hAnsi="Times New Roman" w:eastAsia="宋体" w:cs="Times New Roman"/>
          <w:bCs/>
          <w:color w:val="auto"/>
          <w:sz w:val="24"/>
          <w:szCs w:val="24"/>
          <w:lang w:val="en-US" w:eastAsia="zh-CN"/>
        </w:rPr>
        <w:t>→</w:t>
      </w:r>
      <w:r>
        <w:rPr>
          <w:rFonts w:hint="default" w:ascii="Times New Roman" w:hAnsi="Times New Roman" w:eastAsia="宋体" w:cs="Times New Roman"/>
          <w:bCs/>
          <w:color w:val="auto"/>
          <w:sz w:val="24"/>
          <w:szCs w:val="24"/>
        </w:rPr>
        <w:t>浓缩液泵</w:t>
      </w:r>
      <w:r>
        <w:rPr>
          <w:rFonts w:hint="eastAsia" w:ascii="Times New Roman" w:hAnsi="Times New Roman" w:eastAsia="宋体" w:cs="Times New Roman"/>
          <w:bCs/>
          <w:color w:val="auto"/>
          <w:sz w:val="24"/>
          <w:szCs w:val="24"/>
          <w:lang w:val="en-US" w:eastAsia="zh-CN"/>
        </w:rPr>
        <w:t>→</w:t>
      </w:r>
      <w:r>
        <w:rPr>
          <w:rFonts w:hint="default" w:ascii="Times New Roman" w:hAnsi="Times New Roman" w:eastAsia="宋体" w:cs="Times New Roman"/>
          <w:bCs/>
          <w:color w:val="auto"/>
          <w:sz w:val="24"/>
          <w:szCs w:val="24"/>
        </w:rPr>
        <w:t>结晶罐</w:t>
      </w:r>
      <w:r>
        <w:rPr>
          <w:rFonts w:hint="eastAsia" w:ascii="Times New Roman" w:hAnsi="Times New Roman" w:eastAsia="宋体" w:cs="Times New Roman"/>
          <w:bCs/>
          <w:color w:val="auto"/>
          <w:sz w:val="24"/>
          <w:szCs w:val="24"/>
          <w:lang w:val="en-US" w:eastAsia="zh-CN"/>
        </w:rPr>
        <w:t>→</w:t>
      </w:r>
      <w:r>
        <w:rPr>
          <w:rFonts w:hint="default" w:ascii="Times New Roman" w:hAnsi="Times New Roman" w:eastAsia="宋体" w:cs="Times New Roman"/>
          <w:bCs/>
          <w:color w:val="auto"/>
          <w:sz w:val="24"/>
          <w:szCs w:val="24"/>
        </w:rPr>
        <w:t>离心机</w:t>
      </w:r>
      <w:r>
        <w:rPr>
          <w:rFonts w:hint="eastAsia" w:ascii="Times New Roman" w:hAnsi="Times New Roman" w:eastAsia="宋体" w:cs="Times New Roman"/>
          <w:bCs/>
          <w:color w:val="auto"/>
          <w:sz w:val="24"/>
          <w:szCs w:val="24"/>
          <w:lang w:eastAsia="zh-CN"/>
        </w:rPr>
        <w:t>。</w:t>
      </w:r>
    </w:p>
    <w:p>
      <w:pPr>
        <w:spacing w:line="360" w:lineRule="auto"/>
        <w:ind w:firstLine="48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项目</w:t>
      </w:r>
      <w:r>
        <w:rPr>
          <w:rFonts w:hint="eastAsia" w:ascii="Times New Roman" w:hAnsi="Times New Roman" w:eastAsia="宋体" w:cs="Times New Roman"/>
          <w:bCs/>
          <w:color w:val="auto"/>
          <w:sz w:val="24"/>
          <w:szCs w:val="24"/>
          <w:lang w:val="en-US" w:eastAsia="zh-CN"/>
        </w:rPr>
        <w:t>含银</w:t>
      </w:r>
      <w:r>
        <w:rPr>
          <w:rFonts w:hint="default" w:ascii="Times New Roman" w:hAnsi="Times New Roman" w:eastAsia="宋体" w:cs="Times New Roman"/>
          <w:bCs/>
          <w:color w:val="auto"/>
          <w:sz w:val="24"/>
          <w:szCs w:val="24"/>
        </w:rPr>
        <w:t>废水</w:t>
      </w:r>
      <w:r>
        <w:rPr>
          <w:rFonts w:hint="eastAsia" w:ascii="Times New Roman" w:hAnsi="Times New Roman" w:eastAsia="宋体" w:cs="Times New Roman"/>
          <w:bCs/>
          <w:color w:val="auto"/>
          <w:sz w:val="24"/>
          <w:szCs w:val="24"/>
          <w:lang w:val="en-US" w:eastAsia="zh-CN"/>
        </w:rPr>
        <w:t>预</w:t>
      </w:r>
      <w:r>
        <w:rPr>
          <w:rFonts w:hint="default" w:ascii="Times New Roman" w:hAnsi="Times New Roman" w:eastAsia="宋体" w:cs="Times New Roman"/>
          <w:bCs/>
          <w:color w:val="auto"/>
          <w:sz w:val="24"/>
          <w:szCs w:val="24"/>
        </w:rPr>
        <w:t>处理系统设计去除效率如下表。</w:t>
      </w:r>
    </w:p>
    <w:p>
      <w:pPr>
        <w:jc w:val="center"/>
        <w:rPr>
          <w:rFonts w:hint="default" w:ascii="Times New Roman" w:hAnsi="Times New Roman" w:eastAsia="黑体" w:cs="Times New Roman"/>
          <w:b w:val="0"/>
          <w:bCs/>
          <w:color w:val="auto"/>
          <w:sz w:val="24"/>
          <w:szCs w:val="24"/>
        </w:rPr>
      </w:pPr>
      <w:r>
        <w:rPr>
          <w:rFonts w:hint="default" w:ascii="Times New Roman" w:hAnsi="Times New Roman" w:eastAsia="黑体" w:cs="Times New Roman"/>
          <w:b w:val="0"/>
          <w:bCs/>
          <w:color w:val="auto"/>
          <w:sz w:val="24"/>
          <w:szCs w:val="24"/>
        </w:rPr>
        <w:t>表7.2-</w:t>
      </w:r>
      <w:r>
        <w:rPr>
          <w:rFonts w:hint="eastAsia" w:ascii="Times New Roman" w:hAnsi="Times New Roman" w:eastAsia="黑体" w:cs="Times New Roman"/>
          <w:b w:val="0"/>
          <w:bCs/>
          <w:color w:val="auto"/>
          <w:sz w:val="24"/>
          <w:szCs w:val="24"/>
          <w:lang w:val="en-US" w:eastAsia="zh-CN"/>
        </w:rPr>
        <w:t>3</w:t>
      </w:r>
      <w:r>
        <w:rPr>
          <w:rFonts w:hint="default" w:ascii="Times New Roman" w:hAnsi="Times New Roman" w:eastAsia="黑体" w:cs="Times New Roman"/>
          <w:b w:val="0"/>
          <w:bCs/>
          <w:color w:val="auto"/>
          <w:sz w:val="24"/>
          <w:szCs w:val="24"/>
        </w:rPr>
        <w:t xml:space="preserve">  </w:t>
      </w:r>
      <w:r>
        <w:rPr>
          <w:rFonts w:hint="eastAsia" w:ascii="Times New Roman" w:hAnsi="Times New Roman" w:eastAsia="黑体" w:cs="Times New Roman"/>
          <w:b w:val="0"/>
          <w:bCs/>
          <w:color w:val="auto"/>
          <w:sz w:val="24"/>
          <w:szCs w:val="24"/>
          <w:lang w:val="en-US" w:eastAsia="zh-CN"/>
        </w:rPr>
        <w:t>项目含银废水预处理系统</w:t>
      </w:r>
      <w:r>
        <w:rPr>
          <w:rFonts w:hint="default" w:ascii="Times New Roman" w:hAnsi="Times New Roman" w:eastAsia="黑体" w:cs="Times New Roman"/>
          <w:b w:val="0"/>
          <w:bCs/>
          <w:color w:val="auto"/>
          <w:sz w:val="24"/>
          <w:szCs w:val="24"/>
        </w:rPr>
        <w:t>处理效率统计表</w:t>
      </w:r>
    </w:p>
    <w:tbl>
      <w:tblPr>
        <w:tblStyle w:val="90"/>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6"/>
        <w:gridCol w:w="1530"/>
        <w:gridCol w:w="1605"/>
        <w:gridCol w:w="1269"/>
        <w:gridCol w:w="1147"/>
        <w:gridCol w:w="1034"/>
        <w:gridCol w:w="1040"/>
        <w:gridCol w:w="10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96"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序号</w:t>
            </w:r>
          </w:p>
        </w:tc>
        <w:tc>
          <w:tcPr>
            <w:tcW w:w="3135" w:type="dxa"/>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处理单元</w:t>
            </w:r>
          </w:p>
        </w:tc>
        <w:tc>
          <w:tcPr>
            <w:tcW w:w="1269"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COD</w:t>
            </w:r>
          </w:p>
        </w:tc>
        <w:tc>
          <w:tcPr>
            <w:tcW w:w="114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氨氮</w:t>
            </w:r>
          </w:p>
        </w:tc>
        <w:tc>
          <w:tcPr>
            <w:tcW w:w="1034"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eastAsia="宋体" w:cs="Times New Roman"/>
                <w:b/>
                <w:color w:val="auto"/>
                <w:kern w:val="0"/>
                <w:sz w:val="21"/>
                <w:szCs w:val="21"/>
                <w:lang w:val="en-US" w:eastAsia="zh-CN"/>
              </w:rPr>
            </w:pPr>
            <w:r>
              <w:rPr>
                <w:rFonts w:hint="eastAsia" w:ascii="Times New Roman" w:hAnsi="Times New Roman" w:eastAsia="宋体" w:cs="Times New Roman"/>
                <w:b/>
                <w:color w:val="auto"/>
                <w:kern w:val="0"/>
                <w:sz w:val="21"/>
                <w:szCs w:val="21"/>
                <w:lang w:val="en-US" w:eastAsia="zh-CN"/>
              </w:rPr>
              <w:t>总氮</w:t>
            </w:r>
          </w:p>
        </w:tc>
        <w:tc>
          <w:tcPr>
            <w:tcW w:w="104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eastAsia="宋体" w:cs="Times New Roman"/>
                <w:b/>
                <w:color w:val="auto"/>
                <w:kern w:val="0"/>
                <w:sz w:val="21"/>
                <w:szCs w:val="21"/>
                <w:lang w:val="en-US" w:eastAsia="zh-CN"/>
              </w:rPr>
            </w:pPr>
            <w:r>
              <w:rPr>
                <w:rFonts w:hint="eastAsia" w:ascii="Times New Roman" w:hAnsi="Times New Roman" w:cs="Times New Roman"/>
                <w:b/>
                <w:color w:val="auto"/>
                <w:kern w:val="0"/>
                <w:sz w:val="21"/>
                <w:szCs w:val="21"/>
                <w:lang w:val="en-US" w:eastAsia="zh-CN"/>
              </w:rPr>
              <w:t>总银</w:t>
            </w:r>
          </w:p>
        </w:tc>
        <w:tc>
          <w:tcPr>
            <w:tcW w:w="103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cs="Times New Roman"/>
                <w:b/>
                <w:color w:val="auto"/>
                <w:kern w:val="0"/>
                <w:sz w:val="21"/>
                <w:szCs w:val="21"/>
                <w:lang w:val="en-US" w:eastAsia="zh-CN"/>
              </w:rPr>
            </w:pPr>
            <w:r>
              <w:rPr>
                <w:rFonts w:hint="eastAsia" w:ascii="Times New Roman" w:hAnsi="Times New Roman" w:cs="Times New Roman"/>
                <w:b/>
                <w:color w:val="auto"/>
                <w:kern w:val="0"/>
                <w:sz w:val="21"/>
                <w:szCs w:val="21"/>
                <w:lang w:val="en-US" w:eastAsia="zh-CN"/>
              </w:rPr>
              <w:t>盐份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96"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w:t>
            </w:r>
          </w:p>
        </w:tc>
        <w:tc>
          <w:tcPr>
            <w:tcW w:w="153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废水收集池1</w:t>
            </w:r>
          </w:p>
        </w:tc>
        <w:tc>
          <w:tcPr>
            <w:tcW w:w="160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cs="Times New Roman"/>
                <w:b/>
                <w:color w:val="auto"/>
                <w:kern w:val="0"/>
                <w:sz w:val="21"/>
                <w:szCs w:val="21"/>
                <w:lang w:val="en-US" w:eastAsia="zh-CN"/>
              </w:rPr>
            </w:pPr>
            <w:r>
              <w:rPr>
                <w:rFonts w:hint="default" w:ascii="Times New Roman" w:hAnsi="Times New Roman" w:eastAsia="宋体" w:cs="Times New Roman"/>
                <w:color w:val="auto"/>
                <w:kern w:val="0"/>
                <w:sz w:val="21"/>
                <w:szCs w:val="21"/>
              </w:rPr>
              <w:t>进水</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mg/L</w:t>
            </w:r>
            <w:r>
              <w:rPr>
                <w:rFonts w:hint="eastAsia" w:ascii="Times New Roman" w:hAnsi="Times New Roman" w:eastAsia="宋体" w:cs="Times New Roman"/>
                <w:color w:val="auto"/>
                <w:kern w:val="0"/>
                <w:sz w:val="21"/>
                <w:szCs w:val="21"/>
                <w:lang w:eastAsia="zh-CN"/>
              </w:rPr>
              <w:t>）</w:t>
            </w:r>
          </w:p>
        </w:tc>
        <w:tc>
          <w:tcPr>
            <w:tcW w:w="1269" w:type="dxa"/>
            <w:noWrap w:val="0"/>
            <w:vAlign w:val="center"/>
          </w:tcPr>
          <w:p>
            <w:pPr>
              <w:overflowPunct w:val="0"/>
              <w:snapToGrid w:val="0"/>
              <w:spacing w:line="300" w:lineRule="exact"/>
              <w:ind w:firstLine="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31700</w:t>
            </w:r>
          </w:p>
        </w:tc>
        <w:tc>
          <w:tcPr>
            <w:tcW w:w="1147" w:type="dxa"/>
            <w:noWrap w:val="0"/>
            <w:vAlign w:val="center"/>
          </w:tcPr>
          <w:p>
            <w:pPr>
              <w:overflowPunct w:val="0"/>
              <w:snapToGrid w:val="0"/>
              <w:spacing w:line="300" w:lineRule="exact"/>
              <w:ind w:firstLine="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7600</w:t>
            </w:r>
          </w:p>
        </w:tc>
        <w:tc>
          <w:tcPr>
            <w:tcW w:w="1034" w:type="dxa"/>
            <w:noWrap w:val="0"/>
            <w:vAlign w:val="center"/>
          </w:tcPr>
          <w:p>
            <w:pPr>
              <w:overflowPunct w:val="0"/>
              <w:snapToGrid w:val="0"/>
              <w:spacing w:line="300" w:lineRule="exact"/>
              <w:ind w:firstLine="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66000</w:t>
            </w:r>
          </w:p>
        </w:tc>
        <w:tc>
          <w:tcPr>
            <w:tcW w:w="1040" w:type="dxa"/>
            <w:noWrap w:val="0"/>
            <w:vAlign w:val="center"/>
          </w:tcPr>
          <w:p>
            <w:pPr>
              <w:overflowPunct w:val="0"/>
              <w:snapToGrid w:val="0"/>
              <w:spacing w:line="300" w:lineRule="exact"/>
              <w:ind w:firstLine="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55</w:t>
            </w:r>
          </w:p>
        </w:tc>
        <w:tc>
          <w:tcPr>
            <w:tcW w:w="1037" w:type="dxa"/>
            <w:noWrap w:val="0"/>
            <w:vAlign w:val="center"/>
          </w:tcPr>
          <w:p>
            <w:pPr>
              <w:overflowPunct w:val="0"/>
              <w:snapToGrid w:val="0"/>
              <w:spacing w:line="300" w:lineRule="exact"/>
              <w:ind w:firstLine="0"/>
              <w:jc w:val="center"/>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58400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96"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2</w:t>
            </w:r>
          </w:p>
        </w:tc>
        <w:tc>
          <w:tcPr>
            <w:tcW w:w="1530"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三效蒸发器</w:t>
            </w:r>
          </w:p>
        </w:tc>
        <w:tc>
          <w:tcPr>
            <w:tcW w:w="160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进水</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mg/L</w:t>
            </w:r>
            <w:r>
              <w:rPr>
                <w:rFonts w:hint="eastAsia" w:ascii="Times New Roman" w:hAnsi="Times New Roman" w:eastAsia="宋体" w:cs="Times New Roman"/>
                <w:color w:val="auto"/>
                <w:kern w:val="0"/>
                <w:sz w:val="21"/>
                <w:szCs w:val="21"/>
                <w:lang w:eastAsia="zh-CN"/>
              </w:rPr>
              <w:t>）</w:t>
            </w:r>
          </w:p>
        </w:tc>
        <w:tc>
          <w:tcPr>
            <w:tcW w:w="1269" w:type="dxa"/>
            <w:noWrap w:val="0"/>
            <w:vAlign w:val="center"/>
          </w:tcPr>
          <w:p>
            <w:pPr>
              <w:overflowPunct w:val="0"/>
              <w:snapToGrid w:val="0"/>
              <w:spacing w:line="300" w:lineRule="exact"/>
              <w:ind w:firstLine="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31700</w:t>
            </w:r>
          </w:p>
        </w:tc>
        <w:tc>
          <w:tcPr>
            <w:tcW w:w="1147" w:type="dxa"/>
            <w:noWrap w:val="0"/>
            <w:vAlign w:val="center"/>
          </w:tcPr>
          <w:p>
            <w:pPr>
              <w:overflowPunct w:val="0"/>
              <w:snapToGrid w:val="0"/>
              <w:spacing w:line="300" w:lineRule="exact"/>
              <w:ind w:firstLine="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7600</w:t>
            </w:r>
          </w:p>
        </w:tc>
        <w:tc>
          <w:tcPr>
            <w:tcW w:w="1034" w:type="dxa"/>
            <w:noWrap w:val="0"/>
            <w:vAlign w:val="center"/>
          </w:tcPr>
          <w:p>
            <w:pPr>
              <w:overflowPunct w:val="0"/>
              <w:snapToGrid w:val="0"/>
              <w:spacing w:line="300" w:lineRule="exact"/>
              <w:ind w:firstLine="0"/>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66000</w:t>
            </w:r>
          </w:p>
        </w:tc>
        <w:tc>
          <w:tcPr>
            <w:tcW w:w="1040" w:type="dxa"/>
            <w:noWrap w:val="0"/>
            <w:vAlign w:val="center"/>
          </w:tcPr>
          <w:p>
            <w:pPr>
              <w:overflowPunct w:val="0"/>
              <w:snapToGrid w:val="0"/>
              <w:spacing w:line="300" w:lineRule="exact"/>
              <w:ind w:firstLine="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55</w:t>
            </w:r>
          </w:p>
        </w:tc>
        <w:tc>
          <w:tcPr>
            <w:tcW w:w="1037" w:type="dxa"/>
            <w:noWrap w:val="0"/>
            <w:vAlign w:val="center"/>
          </w:tcPr>
          <w:p>
            <w:pPr>
              <w:overflowPunct w:val="0"/>
              <w:snapToGrid w:val="0"/>
              <w:spacing w:line="300" w:lineRule="exact"/>
              <w:ind w:firstLine="0"/>
              <w:jc w:val="center"/>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58400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noWrap w:val="0"/>
          </w:tcPr>
          <w:p/>
        </w:tc>
        <w:tc>
          <w:tcPr>
            <w:vMerge w:val="continue"/>
            <w:noWrap w:val="0"/>
          </w:tcPr>
          <w:p/>
        </w:tc>
        <w:tc>
          <w:tcPr>
            <w:tcW w:w="160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出水</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mg/L</w:t>
            </w:r>
            <w:r>
              <w:rPr>
                <w:rFonts w:hint="eastAsia" w:ascii="Times New Roman" w:hAnsi="Times New Roman" w:eastAsia="宋体" w:cs="Times New Roman"/>
                <w:color w:val="auto"/>
                <w:kern w:val="0"/>
                <w:sz w:val="21"/>
                <w:szCs w:val="21"/>
                <w:lang w:eastAsia="zh-CN"/>
              </w:rPr>
              <w:t>）</w:t>
            </w:r>
          </w:p>
        </w:tc>
        <w:tc>
          <w:tcPr>
            <w:tcW w:w="1269"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6974</w:t>
            </w:r>
          </w:p>
        </w:tc>
        <w:tc>
          <w:tcPr>
            <w:tcW w:w="114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1520</w:t>
            </w:r>
          </w:p>
        </w:tc>
        <w:tc>
          <w:tcPr>
            <w:tcW w:w="1034"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2640</w:t>
            </w:r>
          </w:p>
        </w:tc>
        <w:tc>
          <w:tcPr>
            <w:tcW w:w="104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0</w:t>
            </w:r>
          </w:p>
        </w:tc>
        <w:tc>
          <w:tcPr>
            <w:tcW w:w="103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1052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noWrap w:val="0"/>
          </w:tcPr>
          <w:p/>
        </w:tc>
        <w:tc>
          <w:tcPr>
            <w:vMerge w:val="continue"/>
            <w:noWrap w:val="0"/>
          </w:tcPr>
          <w:p/>
        </w:tc>
        <w:tc>
          <w:tcPr>
            <w:tcW w:w="160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去除率</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w:t>
            </w:r>
            <w:r>
              <w:rPr>
                <w:rFonts w:hint="eastAsia" w:ascii="Times New Roman" w:hAnsi="Times New Roman" w:eastAsia="宋体" w:cs="Times New Roman"/>
                <w:color w:val="auto"/>
                <w:kern w:val="0"/>
                <w:sz w:val="21"/>
                <w:szCs w:val="21"/>
                <w:lang w:eastAsia="zh-CN"/>
              </w:rPr>
              <w:t>）</w:t>
            </w:r>
          </w:p>
        </w:tc>
        <w:tc>
          <w:tcPr>
            <w:tcW w:w="1269"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78</w:t>
            </w:r>
            <w:r>
              <w:rPr>
                <w:rFonts w:hint="eastAsia" w:ascii="Times New Roman" w:hAnsi="Times New Roman" w:eastAsia="宋体" w:cs="Times New Roman"/>
                <w:color w:val="auto"/>
                <w:kern w:val="0"/>
                <w:sz w:val="21"/>
                <w:szCs w:val="21"/>
                <w:lang w:val="en-US" w:eastAsia="zh-CN"/>
              </w:rPr>
              <w:t>%</w:t>
            </w:r>
          </w:p>
        </w:tc>
        <w:tc>
          <w:tcPr>
            <w:tcW w:w="114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80</w:t>
            </w:r>
            <w:r>
              <w:rPr>
                <w:rFonts w:hint="eastAsia" w:ascii="Times New Roman" w:hAnsi="Times New Roman" w:eastAsia="宋体" w:cs="Times New Roman"/>
                <w:color w:val="auto"/>
                <w:kern w:val="0"/>
                <w:sz w:val="21"/>
                <w:szCs w:val="21"/>
                <w:lang w:val="en-US" w:eastAsia="zh-CN"/>
              </w:rPr>
              <w:t>%</w:t>
            </w:r>
          </w:p>
        </w:tc>
        <w:tc>
          <w:tcPr>
            <w:tcW w:w="1034"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96</w:t>
            </w:r>
            <w:r>
              <w:rPr>
                <w:rFonts w:hint="eastAsia" w:ascii="Times New Roman" w:hAnsi="Times New Roman" w:eastAsia="宋体" w:cs="Times New Roman"/>
                <w:color w:val="auto"/>
                <w:kern w:val="0"/>
                <w:sz w:val="21"/>
                <w:szCs w:val="21"/>
                <w:lang w:val="en-US" w:eastAsia="zh-CN"/>
              </w:rPr>
              <w:t>%</w:t>
            </w:r>
          </w:p>
        </w:tc>
        <w:tc>
          <w:tcPr>
            <w:tcW w:w="104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100</w:t>
            </w:r>
            <w:r>
              <w:rPr>
                <w:rFonts w:hint="eastAsia" w:ascii="Times New Roman" w:hAnsi="Times New Roman" w:eastAsia="宋体" w:cs="Times New Roman"/>
                <w:color w:val="auto"/>
                <w:kern w:val="0"/>
                <w:sz w:val="21"/>
                <w:szCs w:val="21"/>
                <w:lang w:val="en-US" w:eastAsia="zh-CN"/>
              </w:rPr>
              <w:t>%</w:t>
            </w:r>
          </w:p>
        </w:tc>
        <w:tc>
          <w:tcPr>
            <w:tcW w:w="103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98.2％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96"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eastAsia="宋体" w:cs="Times New Roman"/>
                <w:b/>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3</w:t>
            </w:r>
          </w:p>
        </w:tc>
        <w:tc>
          <w:tcPr>
            <w:tcW w:w="153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rPr>
            </w:pPr>
            <w:r>
              <w:rPr>
                <w:rFonts w:hint="eastAsia" w:ascii="Times New Roman" w:hAnsi="Times New Roman" w:eastAsia="宋体" w:cs="Times New Roman"/>
                <w:color w:val="auto"/>
                <w:kern w:val="0"/>
                <w:sz w:val="21"/>
                <w:szCs w:val="21"/>
                <w:lang w:val="en-US" w:eastAsia="zh-CN"/>
              </w:rPr>
              <w:t>废水收集池2</w:t>
            </w:r>
          </w:p>
        </w:tc>
        <w:tc>
          <w:tcPr>
            <w:tcW w:w="160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b/>
                <w:color w:val="auto"/>
                <w:kern w:val="0"/>
                <w:sz w:val="21"/>
                <w:szCs w:val="21"/>
                <w:lang w:val="en-US" w:eastAsia="zh-CN" w:bidi="ar-SA"/>
              </w:rPr>
            </w:pPr>
            <w:r>
              <w:rPr>
                <w:rFonts w:hint="default" w:ascii="Times New Roman" w:hAnsi="Times New Roman" w:eastAsia="宋体" w:cs="Times New Roman"/>
                <w:color w:val="auto"/>
                <w:kern w:val="0"/>
                <w:sz w:val="21"/>
                <w:szCs w:val="21"/>
              </w:rPr>
              <w:t>进水</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mg/L</w:t>
            </w:r>
            <w:r>
              <w:rPr>
                <w:rFonts w:hint="eastAsia" w:ascii="Times New Roman" w:hAnsi="Times New Roman" w:eastAsia="宋体" w:cs="Times New Roman"/>
                <w:color w:val="auto"/>
                <w:kern w:val="0"/>
                <w:sz w:val="21"/>
                <w:szCs w:val="21"/>
                <w:lang w:eastAsia="zh-CN"/>
              </w:rPr>
              <w:t>）</w:t>
            </w:r>
          </w:p>
        </w:tc>
        <w:tc>
          <w:tcPr>
            <w:tcW w:w="1269" w:type="dxa"/>
            <w:noWrap w:val="0"/>
            <w:vAlign w:val="center"/>
          </w:tcPr>
          <w:p>
            <w:pPr>
              <w:overflowPunct w:val="0"/>
              <w:snapToGrid w:val="0"/>
              <w:spacing w:line="300" w:lineRule="exact"/>
              <w:ind w:firstLine="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2450</w:t>
            </w:r>
          </w:p>
        </w:tc>
        <w:tc>
          <w:tcPr>
            <w:tcW w:w="1147" w:type="dxa"/>
            <w:noWrap w:val="0"/>
            <w:vAlign w:val="center"/>
          </w:tcPr>
          <w:p>
            <w:pPr>
              <w:overflowPunct w:val="0"/>
              <w:snapToGrid w:val="0"/>
              <w:spacing w:line="300" w:lineRule="exact"/>
              <w:ind w:firstLine="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590</w:t>
            </w:r>
          </w:p>
        </w:tc>
        <w:tc>
          <w:tcPr>
            <w:tcW w:w="1034" w:type="dxa"/>
            <w:noWrap w:val="0"/>
            <w:vAlign w:val="center"/>
          </w:tcPr>
          <w:p>
            <w:pPr>
              <w:overflowPunct w:val="0"/>
              <w:snapToGrid w:val="0"/>
              <w:spacing w:line="300" w:lineRule="exact"/>
              <w:ind w:firstLine="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1070</w:t>
            </w:r>
          </w:p>
        </w:tc>
        <w:tc>
          <w:tcPr>
            <w:tcW w:w="1040" w:type="dxa"/>
            <w:noWrap w:val="0"/>
            <w:vAlign w:val="center"/>
          </w:tcPr>
          <w:p>
            <w:pPr>
              <w:overflowPunct w:val="0"/>
              <w:snapToGrid w:val="0"/>
              <w:spacing w:line="300" w:lineRule="exact"/>
              <w:ind w:firstLine="0"/>
              <w:jc w:val="center"/>
              <w:rPr>
                <w:rFonts w:hint="default" w:ascii="Times New Roman" w:hAnsi="Times New Roman"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9.10</w:t>
            </w:r>
          </w:p>
        </w:tc>
        <w:tc>
          <w:tcPr>
            <w:tcW w:w="1037" w:type="dxa"/>
            <w:noWrap w:val="0"/>
            <w:vAlign w:val="center"/>
          </w:tcPr>
          <w:p>
            <w:pPr>
              <w:overflowPunct w:val="0"/>
              <w:snapToGrid w:val="0"/>
              <w:spacing w:line="300" w:lineRule="exact"/>
              <w:ind w:firstLine="0"/>
              <w:jc w:val="center"/>
              <w:rPr>
                <w:rFonts w:hint="eastAsia" w:ascii="Times New Roman" w:hAnsi="Times New Roman"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457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96"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4</w:t>
            </w:r>
          </w:p>
        </w:tc>
        <w:tc>
          <w:tcPr>
            <w:tcW w:w="1530"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中和反应器+混凝反应器+高效沉淀池</w:t>
            </w:r>
          </w:p>
        </w:tc>
        <w:tc>
          <w:tcPr>
            <w:tcW w:w="160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进水</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mg/L</w:t>
            </w:r>
            <w:r>
              <w:rPr>
                <w:rFonts w:hint="eastAsia" w:ascii="Times New Roman" w:hAnsi="Times New Roman" w:eastAsia="宋体" w:cs="Times New Roman"/>
                <w:color w:val="auto"/>
                <w:kern w:val="0"/>
                <w:sz w:val="21"/>
                <w:szCs w:val="21"/>
                <w:lang w:eastAsia="zh-CN"/>
              </w:rPr>
              <w:t>）</w:t>
            </w:r>
          </w:p>
        </w:tc>
        <w:tc>
          <w:tcPr>
            <w:tcW w:w="1269" w:type="dxa"/>
            <w:noWrap w:val="0"/>
            <w:vAlign w:val="center"/>
          </w:tcPr>
          <w:p>
            <w:pPr>
              <w:overflowPunct w:val="0"/>
              <w:snapToGrid w:val="0"/>
              <w:spacing w:line="300" w:lineRule="exact"/>
              <w:ind w:firstLine="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2450</w:t>
            </w:r>
          </w:p>
        </w:tc>
        <w:tc>
          <w:tcPr>
            <w:tcW w:w="1147" w:type="dxa"/>
            <w:noWrap w:val="0"/>
            <w:vAlign w:val="center"/>
          </w:tcPr>
          <w:p>
            <w:pPr>
              <w:overflowPunct w:val="0"/>
              <w:snapToGrid w:val="0"/>
              <w:spacing w:line="300" w:lineRule="exact"/>
              <w:ind w:firstLine="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590</w:t>
            </w:r>
          </w:p>
        </w:tc>
        <w:tc>
          <w:tcPr>
            <w:tcW w:w="1034" w:type="dxa"/>
            <w:noWrap w:val="0"/>
            <w:vAlign w:val="center"/>
          </w:tcPr>
          <w:p>
            <w:pPr>
              <w:overflowPunct w:val="0"/>
              <w:snapToGrid w:val="0"/>
              <w:spacing w:line="300" w:lineRule="exact"/>
              <w:ind w:firstLine="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1070</w:t>
            </w:r>
          </w:p>
        </w:tc>
        <w:tc>
          <w:tcPr>
            <w:tcW w:w="1040" w:type="dxa"/>
            <w:noWrap w:val="0"/>
            <w:vAlign w:val="center"/>
          </w:tcPr>
          <w:p>
            <w:pPr>
              <w:overflowPunct w:val="0"/>
              <w:snapToGrid w:val="0"/>
              <w:spacing w:line="300" w:lineRule="exact"/>
              <w:ind w:firstLine="0"/>
              <w:jc w:val="center"/>
              <w:rPr>
                <w:rFonts w:hint="default" w:ascii="Times New Roman" w:hAnsi="Times New Roman"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9.10</w:t>
            </w:r>
          </w:p>
        </w:tc>
        <w:tc>
          <w:tcPr>
            <w:tcW w:w="1037" w:type="dxa"/>
            <w:noWrap w:val="0"/>
            <w:vAlign w:val="center"/>
          </w:tcPr>
          <w:p>
            <w:pPr>
              <w:overflowPunct w:val="0"/>
              <w:snapToGrid w:val="0"/>
              <w:spacing w:line="300" w:lineRule="exact"/>
              <w:ind w:firstLine="0"/>
              <w:jc w:val="center"/>
              <w:rPr>
                <w:rFonts w:hint="eastAsia" w:ascii="Times New Roman" w:hAnsi="Times New Roman"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457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noWrap w:val="0"/>
          </w:tcPr>
          <w:p/>
        </w:tc>
        <w:tc>
          <w:tcPr>
            <w:vMerge w:val="continue"/>
            <w:noWrap w:val="0"/>
          </w:tcPr>
          <w:p/>
        </w:tc>
        <w:tc>
          <w:tcPr>
            <w:tcW w:w="160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出水</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mg/L</w:t>
            </w:r>
            <w:r>
              <w:rPr>
                <w:rFonts w:hint="eastAsia" w:ascii="Times New Roman" w:hAnsi="Times New Roman" w:eastAsia="宋体" w:cs="Times New Roman"/>
                <w:color w:val="auto"/>
                <w:kern w:val="0"/>
                <w:sz w:val="21"/>
                <w:szCs w:val="21"/>
                <w:lang w:eastAsia="zh-CN"/>
              </w:rPr>
              <w:t>）</w:t>
            </w:r>
          </w:p>
        </w:tc>
        <w:tc>
          <w:tcPr>
            <w:tcW w:w="1269"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2425.5</w:t>
            </w:r>
          </w:p>
        </w:tc>
        <w:tc>
          <w:tcPr>
            <w:tcW w:w="114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590</w:t>
            </w:r>
          </w:p>
        </w:tc>
        <w:tc>
          <w:tcPr>
            <w:tcW w:w="1034"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1070</w:t>
            </w:r>
          </w:p>
        </w:tc>
        <w:tc>
          <w:tcPr>
            <w:tcW w:w="104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0.455</w:t>
            </w:r>
          </w:p>
        </w:tc>
        <w:tc>
          <w:tcPr>
            <w:tcW w:w="103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443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noWrap w:val="0"/>
          </w:tcPr>
          <w:p/>
        </w:tc>
        <w:tc>
          <w:tcPr>
            <w:vMerge w:val="continue"/>
            <w:noWrap w:val="0"/>
          </w:tcPr>
          <w:p/>
        </w:tc>
        <w:tc>
          <w:tcPr>
            <w:tcW w:w="160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去除率</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w:t>
            </w:r>
            <w:r>
              <w:rPr>
                <w:rFonts w:hint="eastAsia" w:ascii="Times New Roman" w:hAnsi="Times New Roman" w:eastAsia="宋体" w:cs="Times New Roman"/>
                <w:color w:val="auto"/>
                <w:kern w:val="0"/>
                <w:sz w:val="21"/>
                <w:szCs w:val="21"/>
                <w:lang w:eastAsia="zh-CN"/>
              </w:rPr>
              <w:t>）</w:t>
            </w:r>
          </w:p>
        </w:tc>
        <w:tc>
          <w:tcPr>
            <w:tcW w:w="1269"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1</w:t>
            </w:r>
            <w:r>
              <w:rPr>
                <w:rFonts w:hint="eastAsia" w:ascii="Times New Roman" w:hAnsi="Times New Roman" w:eastAsia="宋体" w:cs="Times New Roman"/>
                <w:color w:val="auto"/>
                <w:kern w:val="0"/>
                <w:sz w:val="21"/>
                <w:szCs w:val="21"/>
                <w:lang w:val="en-US" w:eastAsia="zh-CN"/>
              </w:rPr>
              <w:t>%</w:t>
            </w:r>
          </w:p>
        </w:tc>
        <w:tc>
          <w:tcPr>
            <w:tcW w:w="114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0</w:t>
            </w:r>
            <w:r>
              <w:rPr>
                <w:rFonts w:hint="eastAsia" w:ascii="Times New Roman" w:hAnsi="Times New Roman" w:eastAsia="宋体" w:cs="Times New Roman"/>
                <w:color w:val="auto"/>
                <w:kern w:val="0"/>
                <w:sz w:val="21"/>
                <w:szCs w:val="21"/>
                <w:lang w:val="en-US" w:eastAsia="zh-CN"/>
              </w:rPr>
              <w:t>%</w:t>
            </w:r>
          </w:p>
        </w:tc>
        <w:tc>
          <w:tcPr>
            <w:tcW w:w="1034"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0</w:t>
            </w:r>
            <w:r>
              <w:rPr>
                <w:rFonts w:hint="eastAsia" w:ascii="Times New Roman" w:hAnsi="Times New Roman" w:eastAsia="宋体" w:cs="Times New Roman"/>
                <w:color w:val="auto"/>
                <w:kern w:val="0"/>
                <w:sz w:val="21"/>
                <w:szCs w:val="21"/>
                <w:lang w:val="en-US" w:eastAsia="zh-CN"/>
              </w:rPr>
              <w:t>%</w:t>
            </w:r>
          </w:p>
        </w:tc>
        <w:tc>
          <w:tcPr>
            <w:tcW w:w="104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95</w:t>
            </w:r>
            <w:r>
              <w:rPr>
                <w:rFonts w:hint="eastAsia" w:ascii="Times New Roman" w:hAnsi="Times New Roman" w:eastAsia="宋体" w:cs="Times New Roman"/>
                <w:color w:val="auto"/>
                <w:kern w:val="0"/>
                <w:sz w:val="21"/>
                <w:szCs w:val="21"/>
                <w:lang w:val="en-US" w:eastAsia="zh-CN"/>
              </w:rPr>
              <w:t>%</w:t>
            </w:r>
          </w:p>
        </w:tc>
        <w:tc>
          <w:tcPr>
            <w:tcW w:w="103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3％</w:t>
            </w:r>
          </w:p>
        </w:tc>
      </w:tr>
    </w:tbl>
    <w:p>
      <w:pPr>
        <w:spacing w:line="360" w:lineRule="auto"/>
        <w:ind w:firstLine="48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综上，超细银</w:t>
      </w:r>
      <w:r>
        <w:rPr>
          <w:rFonts w:hint="eastAsia" w:ascii="Times New Roman" w:hAnsi="Times New Roman" w:eastAsia="宋体" w:cs="Times New Roman"/>
          <w:bCs/>
          <w:color w:val="auto"/>
          <w:sz w:val="24"/>
          <w:szCs w:val="24"/>
          <w:lang w:val="en-US" w:eastAsia="zh-CN"/>
        </w:rPr>
        <w:t>粉一道</w:t>
      </w:r>
      <w:r>
        <w:rPr>
          <w:rFonts w:hint="default" w:ascii="Times New Roman" w:hAnsi="Times New Roman" w:eastAsia="宋体" w:cs="Times New Roman"/>
          <w:bCs/>
          <w:color w:val="auto"/>
          <w:sz w:val="24"/>
          <w:szCs w:val="24"/>
        </w:rPr>
        <w:t>洗涤废水经蒸发器处理后残渣作为危废处置，蒸汽</w:t>
      </w:r>
      <w:r>
        <w:rPr>
          <w:rFonts w:hint="eastAsia" w:ascii="Times New Roman" w:hAnsi="Times New Roman" w:eastAsia="宋体" w:cs="Times New Roman"/>
          <w:bCs/>
          <w:color w:val="auto"/>
          <w:sz w:val="24"/>
          <w:szCs w:val="24"/>
          <w:lang w:val="en-US" w:eastAsia="zh-CN"/>
        </w:rPr>
        <w:t>不含银，</w:t>
      </w:r>
      <w:r>
        <w:rPr>
          <w:rFonts w:hint="default" w:ascii="Times New Roman" w:hAnsi="Times New Roman" w:eastAsia="宋体" w:cs="Times New Roman"/>
          <w:bCs/>
          <w:color w:val="auto"/>
          <w:sz w:val="24"/>
          <w:szCs w:val="24"/>
        </w:rPr>
        <w:t>经除雾器再进入冷凝器，冷凝液回收后进入污水站进一步处理。硝酸银生产废水</w:t>
      </w:r>
      <w:r>
        <w:rPr>
          <w:rFonts w:hint="eastAsia" w:ascii="Times New Roman" w:hAnsi="Times New Roman" w:eastAsia="宋体" w:cs="Times New Roman"/>
          <w:bCs/>
          <w:color w:val="auto"/>
          <w:sz w:val="24"/>
          <w:szCs w:val="24"/>
          <w:lang w:val="en-US" w:eastAsia="zh-CN"/>
        </w:rPr>
        <w:t>W2-1、</w:t>
      </w:r>
      <w:r>
        <w:rPr>
          <w:rFonts w:hint="default" w:ascii="Times New Roman" w:hAnsi="Times New Roman" w:eastAsia="宋体" w:cs="Times New Roman"/>
          <w:bCs/>
          <w:color w:val="auto"/>
          <w:sz w:val="24"/>
          <w:szCs w:val="24"/>
        </w:rPr>
        <w:t>超细银</w:t>
      </w:r>
      <w:r>
        <w:rPr>
          <w:rFonts w:hint="eastAsia" w:ascii="Times New Roman" w:hAnsi="Times New Roman" w:eastAsia="宋体" w:cs="Times New Roman"/>
          <w:bCs/>
          <w:color w:val="auto"/>
          <w:sz w:val="24"/>
          <w:szCs w:val="24"/>
          <w:lang w:val="en-US" w:eastAsia="zh-CN"/>
        </w:rPr>
        <w:t>粉二、三道</w:t>
      </w:r>
      <w:r>
        <w:rPr>
          <w:rFonts w:hint="default" w:ascii="Times New Roman" w:hAnsi="Times New Roman" w:eastAsia="宋体" w:cs="Times New Roman"/>
          <w:bCs/>
          <w:color w:val="auto"/>
          <w:sz w:val="24"/>
          <w:szCs w:val="24"/>
        </w:rPr>
        <w:t>洗涤废水</w:t>
      </w:r>
      <w:r>
        <w:rPr>
          <w:rFonts w:hint="eastAsia" w:ascii="Times New Roman" w:hAnsi="Times New Roman" w:eastAsia="宋体" w:cs="Times New Roman"/>
          <w:bCs/>
          <w:color w:val="auto"/>
          <w:sz w:val="24"/>
          <w:szCs w:val="24"/>
          <w:lang w:val="en-US" w:eastAsia="zh-CN"/>
        </w:rPr>
        <w:t>W2-2</w:t>
      </w:r>
      <w:r>
        <w:rPr>
          <w:rFonts w:hint="default" w:ascii="Times New Roman" w:hAnsi="Times New Roman" w:eastAsia="宋体" w:cs="Times New Roman"/>
          <w:bCs/>
          <w:color w:val="auto"/>
          <w:sz w:val="24"/>
          <w:szCs w:val="24"/>
        </w:rPr>
        <w:t>经化学沉淀预处理后进入污水站进一步处理。经过上述</w:t>
      </w:r>
      <w:r>
        <w:rPr>
          <w:rFonts w:hint="eastAsia" w:ascii="Times New Roman" w:hAnsi="Times New Roman" w:eastAsia="宋体" w:cs="Times New Roman"/>
          <w:bCs/>
          <w:color w:val="auto"/>
          <w:sz w:val="24"/>
          <w:szCs w:val="24"/>
          <w:lang w:val="en-US" w:eastAsia="zh-CN"/>
        </w:rPr>
        <w:t>预</w:t>
      </w:r>
      <w:r>
        <w:rPr>
          <w:rFonts w:hint="default" w:ascii="Times New Roman" w:hAnsi="Times New Roman" w:eastAsia="宋体" w:cs="Times New Roman"/>
          <w:bCs/>
          <w:color w:val="auto"/>
          <w:sz w:val="24"/>
          <w:szCs w:val="24"/>
        </w:rPr>
        <w:t>处理后总银</w:t>
      </w:r>
      <w:r>
        <w:rPr>
          <w:rFonts w:hint="eastAsia" w:ascii="Times New Roman" w:hAnsi="Times New Roman" w:eastAsia="宋体" w:cs="Times New Roman"/>
          <w:bCs/>
          <w:color w:val="auto"/>
          <w:sz w:val="24"/>
          <w:szCs w:val="24"/>
          <w:lang w:val="en-US" w:eastAsia="zh-CN"/>
        </w:rPr>
        <w:t>达到《无机化学工业污染物排放标准》（GB31573-2015）表1中车间或生产设施废水排放口限值标准（总银不高于0.5mg/L）。</w:t>
      </w:r>
      <w:r>
        <w:rPr>
          <w:rFonts w:hint="default" w:ascii="Times New Roman" w:hAnsi="Times New Roman" w:eastAsia="宋体" w:cs="Times New Roman"/>
          <w:bCs/>
          <w:color w:val="auto"/>
          <w:sz w:val="24"/>
          <w:szCs w:val="24"/>
        </w:rPr>
        <w:t>化学沉淀法属于《排污许可证申请与核发计算规范——无机化学工业》（HJ1035-2019）中涉重金属无机化合物生产废水推荐的可行技术。</w:t>
      </w:r>
    </w:p>
    <w:p>
      <w:pPr>
        <w:widowControl/>
        <w:spacing w:line="360" w:lineRule="auto"/>
        <w:ind w:firstLine="0"/>
        <w:jc w:val="left"/>
        <w:outlineLvl w:val="2"/>
        <w:rPr>
          <w:rFonts w:hint="default" w:ascii="Times New Roman" w:hAnsi="Times New Roman" w:eastAsia="黑体" w:cs="Times New Roman"/>
          <w:bCs/>
          <w:color w:val="auto"/>
          <w:sz w:val="30"/>
          <w:szCs w:val="30"/>
        </w:rPr>
      </w:pPr>
      <w:r>
        <w:rPr>
          <w:rFonts w:hint="default" w:ascii="Times New Roman" w:hAnsi="Times New Roman" w:eastAsia="黑体" w:cs="Times New Roman"/>
          <w:bCs/>
          <w:color w:val="auto"/>
          <w:sz w:val="30"/>
          <w:szCs w:val="30"/>
        </w:rPr>
        <w:t>7.2.</w:t>
      </w:r>
      <w:r>
        <w:rPr>
          <w:rFonts w:hint="eastAsia" w:ascii="Times New Roman" w:hAnsi="Times New Roman" w:eastAsia="黑体" w:cs="Times New Roman"/>
          <w:bCs/>
          <w:color w:val="auto"/>
          <w:sz w:val="30"/>
          <w:szCs w:val="30"/>
          <w:lang w:val="en-US" w:eastAsia="zh-CN"/>
        </w:rPr>
        <w:t>3</w:t>
      </w:r>
      <w:r>
        <w:rPr>
          <w:rFonts w:hint="default" w:ascii="Times New Roman" w:hAnsi="Times New Roman" w:eastAsia="黑体" w:cs="Times New Roman"/>
          <w:bCs/>
          <w:color w:val="auto"/>
          <w:sz w:val="30"/>
          <w:szCs w:val="30"/>
        </w:rPr>
        <w:t>污水站处理废水可行性分析</w:t>
      </w:r>
    </w:p>
    <w:p>
      <w:pPr>
        <w:spacing w:line="360" w:lineRule="auto"/>
        <w:ind w:firstLine="48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含银废液</w:t>
      </w:r>
      <w:r>
        <w:rPr>
          <w:rFonts w:hint="eastAsia" w:ascii="Times New Roman" w:hAnsi="Times New Roman" w:eastAsia="宋体" w:cs="Times New Roman"/>
          <w:bCs/>
          <w:color w:val="auto"/>
          <w:sz w:val="24"/>
          <w:szCs w:val="24"/>
          <w:lang w:val="en-US" w:eastAsia="zh-CN"/>
        </w:rPr>
        <w:t>三效</w:t>
      </w:r>
      <w:r>
        <w:rPr>
          <w:rFonts w:hint="default" w:ascii="Times New Roman" w:hAnsi="Times New Roman" w:eastAsia="宋体" w:cs="Times New Roman"/>
          <w:bCs/>
          <w:color w:val="auto"/>
          <w:sz w:val="24"/>
          <w:szCs w:val="24"/>
        </w:rPr>
        <w:t>蒸发器冷凝液、</w:t>
      </w:r>
      <w:r>
        <w:rPr>
          <w:rFonts w:hint="eastAsia" w:ascii="Times New Roman" w:hAnsi="Times New Roman" w:eastAsia="宋体" w:cs="Times New Roman"/>
          <w:bCs/>
          <w:color w:val="auto"/>
          <w:sz w:val="24"/>
          <w:szCs w:val="24"/>
          <w:lang w:val="en-US" w:eastAsia="zh-CN"/>
        </w:rPr>
        <w:t>含银废水预处理系统排水、各废气处理塔</w:t>
      </w:r>
      <w:r>
        <w:rPr>
          <w:rFonts w:hint="default" w:ascii="Times New Roman" w:hAnsi="Times New Roman" w:eastAsia="宋体" w:cs="Times New Roman"/>
          <w:bCs/>
          <w:color w:val="auto"/>
          <w:sz w:val="24"/>
          <w:szCs w:val="24"/>
        </w:rPr>
        <w:t>排水、水环真空泵废水、化验室废水</w:t>
      </w:r>
      <w:r>
        <w:rPr>
          <w:rFonts w:hint="eastAsia" w:ascii="Times New Roman" w:hAnsi="Times New Roman" w:eastAsia="宋体" w:cs="Times New Roman"/>
          <w:bCs/>
          <w:color w:val="auto"/>
          <w:sz w:val="24"/>
          <w:szCs w:val="24"/>
          <w:lang w:val="en-US" w:eastAsia="zh-CN"/>
        </w:rPr>
        <w:t>等</w:t>
      </w:r>
      <w:r>
        <w:rPr>
          <w:rFonts w:hint="default" w:ascii="Times New Roman" w:hAnsi="Times New Roman" w:eastAsia="宋体" w:cs="Times New Roman"/>
          <w:bCs/>
          <w:color w:val="auto"/>
          <w:sz w:val="24"/>
          <w:szCs w:val="24"/>
        </w:rPr>
        <w:t>进入厂区污水处理站处理。</w:t>
      </w:r>
    </w:p>
    <w:p>
      <w:pPr>
        <w:spacing w:line="360" w:lineRule="auto"/>
        <w:ind w:firstLine="48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（1）处理工艺</w:t>
      </w:r>
    </w:p>
    <w:p>
      <w:pPr>
        <w:spacing w:line="360" w:lineRule="auto"/>
        <w:ind w:firstLine="480"/>
        <w:rPr>
          <w:rFonts w:hint="eastAsia"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rPr>
        <w:t>污水站采用“</w:t>
      </w:r>
      <w:r>
        <w:rPr>
          <w:rFonts w:hint="eastAsia" w:ascii="Times New Roman" w:hAnsi="Times New Roman" w:eastAsia="宋体" w:cs="Times New Roman"/>
          <w:bCs/>
          <w:color w:val="auto"/>
          <w:sz w:val="24"/>
          <w:szCs w:val="24"/>
          <w:lang w:val="en-US" w:eastAsia="zh-CN"/>
        </w:rPr>
        <w:t>中和沉淀</w:t>
      </w:r>
      <w:r>
        <w:rPr>
          <w:rFonts w:hint="default" w:ascii="Times New Roman" w:hAnsi="Times New Roman" w:eastAsia="宋体" w:cs="Times New Roman"/>
          <w:bCs/>
          <w:color w:val="auto"/>
          <w:sz w:val="24"/>
          <w:szCs w:val="24"/>
        </w:rPr>
        <w:t>+一级A/O+</w:t>
      </w:r>
      <w:r>
        <w:rPr>
          <w:rFonts w:hint="default" w:ascii="Times New Roman" w:hAnsi="Times New Roman" w:eastAsia="宋体" w:cs="Times New Roman"/>
          <w:color w:val="auto"/>
          <w:kern w:val="0"/>
          <w:sz w:val="24"/>
          <w:szCs w:val="32"/>
        </w:rPr>
        <w:t>二级A+MBR工艺</w:t>
      </w:r>
      <w:r>
        <w:rPr>
          <w:rFonts w:hint="default" w:ascii="Times New Roman" w:hAnsi="Times New Roman" w:eastAsia="宋体" w:cs="Times New Roman"/>
          <w:bCs/>
          <w:color w:val="auto"/>
          <w:sz w:val="24"/>
          <w:szCs w:val="24"/>
        </w:rPr>
        <w:t>”工艺处理，</w:t>
      </w:r>
      <w:r>
        <w:rPr>
          <w:rFonts w:hint="eastAsia" w:ascii="Times New Roman" w:hAnsi="Times New Roman" w:eastAsia="宋体" w:cs="Times New Roman"/>
          <w:bCs/>
          <w:color w:val="auto"/>
          <w:sz w:val="24"/>
          <w:szCs w:val="24"/>
          <w:lang w:val="en-US" w:eastAsia="zh-CN"/>
        </w:rPr>
        <w:t>出水进入</w:t>
      </w:r>
      <w:r>
        <w:rPr>
          <w:rFonts w:hint="eastAsia" w:ascii="Times New Roman" w:hAnsi="Times New Roman" w:eastAsia="宋体" w:cs="Times New Roman"/>
          <w:color w:val="auto"/>
          <w:kern w:val="0"/>
          <w:sz w:val="24"/>
          <w:szCs w:val="32"/>
          <w:lang w:val="en-US" w:eastAsia="zh-CN"/>
        </w:rPr>
        <w:t>UF+二级RO反渗透系统</w:t>
      </w:r>
      <w:r>
        <w:rPr>
          <w:rFonts w:hint="default" w:ascii="Times New Roman" w:hAnsi="Times New Roman" w:eastAsia="宋体" w:cs="Times New Roman"/>
          <w:bCs/>
          <w:color w:val="auto"/>
          <w:sz w:val="24"/>
          <w:szCs w:val="24"/>
        </w:rPr>
        <w:t>后</w:t>
      </w:r>
      <w:r>
        <w:rPr>
          <w:rFonts w:hint="eastAsia" w:ascii="Times New Roman" w:hAnsi="Times New Roman" w:eastAsia="宋体" w:cs="Times New Roman"/>
          <w:bCs/>
          <w:color w:val="auto"/>
          <w:sz w:val="24"/>
          <w:szCs w:val="24"/>
          <w:lang w:val="en-US" w:eastAsia="zh-CN"/>
        </w:rPr>
        <w:t>产水</w:t>
      </w:r>
      <w:r>
        <w:rPr>
          <w:rFonts w:hint="default" w:ascii="Times New Roman" w:hAnsi="Times New Roman" w:eastAsia="宋体" w:cs="Times New Roman"/>
          <w:bCs/>
          <w:color w:val="auto"/>
          <w:sz w:val="24"/>
          <w:szCs w:val="24"/>
        </w:rPr>
        <w:t>回用</w:t>
      </w:r>
      <w:r>
        <w:rPr>
          <w:rFonts w:hint="eastAsia" w:ascii="Times New Roman" w:hAnsi="Times New Roman" w:eastAsia="宋体" w:cs="Times New Roman"/>
          <w:bCs/>
          <w:color w:val="auto"/>
          <w:sz w:val="24"/>
          <w:szCs w:val="24"/>
          <w:lang w:eastAsia="zh-CN"/>
        </w:rPr>
        <w:t>，</w:t>
      </w:r>
      <w:r>
        <w:rPr>
          <w:rFonts w:hint="eastAsia" w:ascii="Times New Roman" w:hAnsi="Times New Roman" w:eastAsia="宋体" w:cs="Times New Roman"/>
          <w:bCs/>
          <w:color w:val="auto"/>
          <w:sz w:val="24"/>
          <w:szCs w:val="24"/>
          <w:lang w:val="en-US" w:eastAsia="zh-CN"/>
        </w:rPr>
        <w:t>浓水去</w:t>
      </w:r>
      <w:r>
        <w:rPr>
          <w:rFonts w:hint="eastAsia" w:ascii="Times New Roman" w:hAnsi="Times New Roman" w:eastAsia="宋体" w:cs="Times New Roman"/>
          <w:color w:val="auto"/>
          <w:kern w:val="0"/>
          <w:sz w:val="24"/>
          <w:szCs w:val="32"/>
          <w:lang w:val="en-US" w:eastAsia="zh-CN"/>
        </w:rPr>
        <w:t>三效蒸发器</w:t>
      </w:r>
      <w:r>
        <w:rPr>
          <w:rFonts w:hint="eastAsia" w:ascii="Times New Roman" w:hAnsi="Times New Roman" w:eastAsia="宋体" w:cs="Times New Roman"/>
          <w:bCs/>
          <w:color w:val="auto"/>
          <w:sz w:val="24"/>
          <w:szCs w:val="24"/>
          <w:lang w:val="en-US" w:eastAsia="zh-CN"/>
        </w:rPr>
        <w:t>处理</w:t>
      </w:r>
      <w:r>
        <w:rPr>
          <w:rFonts w:hint="default" w:ascii="Times New Roman" w:hAnsi="Times New Roman" w:eastAsia="宋体" w:cs="Times New Roman"/>
          <w:bCs/>
          <w:color w:val="auto"/>
          <w:sz w:val="24"/>
          <w:szCs w:val="24"/>
        </w:rPr>
        <w:t>。污水站处理工艺见图7.2-</w:t>
      </w:r>
      <w:r>
        <w:rPr>
          <w:rFonts w:hint="eastAsia" w:ascii="Times New Roman" w:hAnsi="Times New Roman" w:eastAsia="宋体" w:cs="Times New Roman"/>
          <w:bCs/>
          <w:color w:val="auto"/>
          <w:sz w:val="24"/>
          <w:szCs w:val="24"/>
          <w:lang w:val="en-US" w:eastAsia="zh-CN"/>
        </w:rPr>
        <w:t>1</w:t>
      </w:r>
      <w:r>
        <w:rPr>
          <w:rFonts w:hint="default" w:ascii="Times New Roman" w:hAnsi="Times New Roman" w:eastAsia="宋体" w:cs="Times New Roman"/>
          <w:bCs/>
          <w:color w:val="auto"/>
          <w:sz w:val="24"/>
          <w:szCs w:val="24"/>
        </w:rPr>
        <w:t>。</w:t>
      </w:r>
    </w:p>
    <w:p>
      <w:pPr>
        <w:spacing w:line="360" w:lineRule="auto"/>
        <w:ind w:firstLine="645"/>
        <w:rPr>
          <w:rFonts w:hint="default" w:ascii="Times New Roman" w:hAnsi="Times New Roman" w:eastAsia="宋体" w:cs="Times New Roman"/>
          <w:iCs/>
          <w:color w:val="auto"/>
          <w:sz w:val="24"/>
          <w:szCs w:val="24"/>
        </w:rPr>
      </w:pPr>
      <w:r>
        <w:rPr>
          <w:rFonts w:hint="default" w:ascii="Times New Roman" w:hAnsi="Times New Roman" w:eastAsia="宋体" w:cs="Times New Roman"/>
          <w:bCs/>
          <w:iCs/>
          <w:color w:val="auto"/>
          <w:sz w:val="24"/>
          <w:szCs w:val="24"/>
        </w:rPr>
        <w:t>经过预处理后的废水及其它废水进入综合调节池，用提升泵提升至中和混凝反应沉淀池，在中和反应池内调节</w:t>
      </w:r>
      <w:r>
        <w:rPr>
          <w:rFonts w:hint="eastAsia" w:ascii="Times New Roman" w:hAnsi="Times New Roman" w:eastAsia="宋体" w:cs="Times New Roman"/>
          <w:bCs/>
          <w:iCs/>
          <w:color w:val="auto"/>
          <w:sz w:val="24"/>
          <w:szCs w:val="24"/>
          <w:lang w:val="en-US" w:eastAsia="zh-CN"/>
        </w:rPr>
        <w:t>p</w:t>
      </w:r>
      <w:r>
        <w:rPr>
          <w:rFonts w:hint="default" w:ascii="Times New Roman" w:hAnsi="Times New Roman" w:eastAsia="宋体" w:cs="Times New Roman"/>
          <w:bCs/>
          <w:iCs/>
          <w:color w:val="auto"/>
          <w:sz w:val="24"/>
          <w:szCs w:val="24"/>
        </w:rPr>
        <w:t>H值到中性，然后在混凝反应池内投加PAC、PAM进行混凝反应去除废水有机物、色度等为后续生化处理打下良好基础。经中和混凝沉淀处理后的</w:t>
      </w:r>
      <w:r>
        <w:rPr>
          <w:rFonts w:hint="eastAsia" w:ascii="Times New Roman" w:hAnsi="Times New Roman" w:eastAsia="宋体" w:cs="Times New Roman"/>
          <w:bCs/>
          <w:iCs/>
          <w:color w:val="auto"/>
          <w:sz w:val="24"/>
          <w:szCs w:val="24"/>
          <w:lang w:eastAsia="zh-CN"/>
        </w:rPr>
        <w:t>进</w:t>
      </w:r>
      <w:r>
        <w:rPr>
          <w:rFonts w:hint="default" w:ascii="Times New Roman" w:hAnsi="Times New Roman" w:eastAsia="宋体" w:cs="Times New Roman"/>
          <w:color w:val="auto"/>
          <w:sz w:val="24"/>
          <w:szCs w:val="24"/>
        </w:rPr>
        <w:t>入第一级A/O生物处理系统，通过A/O生化处理池去除有机物的同时进行硝化反硝化去除氮，然后进入第二AO</w:t>
      </w:r>
      <w:r>
        <w:rPr>
          <w:rFonts w:hint="default" w:ascii="Times New Roman" w:hAnsi="Times New Roman" w:eastAsia="宋体" w:cs="Times New Roman"/>
          <w:bCs/>
          <w:iCs/>
          <w:color w:val="auto"/>
          <w:sz w:val="24"/>
          <w:szCs w:val="24"/>
        </w:rPr>
        <w:t>（MBR）生化处理池进一步去除有机物的同时进行硝化反硝化去除氮，</w:t>
      </w:r>
      <w:r>
        <w:rPr>
          <w:rFonts w:hint="default" w:ascii="Times New Roman" w:hAnsi="Times New Roman" w:eastAsia="宋体" w:cs="Times New Roman"/>
          <w:color w:val="auto"/>
          <w:sz w:val="24"/>
          <w:szCs w:val="24"/>
        </w:rPr>
        <w:t>出水经MBR抽吸泵至臭氧催化氧化反应器进行深度。</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经生化处理后的出水经MBR抽吸泵至</w:t>
      </w:r>
      <w:r>
        <w:rPr>
          <w:rFonts w:hint="eastAsia" w:ascii="Times New Roman" w:hAnsi="Times New Roman" w:eastAsia="宋体" w:cs="Times New Roman"/>
          <w:color w:val="auto"/>
          <w:sz w:val="24"/>
          <w:szCs w:val="24"/>
          <w:lang w:val="en-US" w:eastAsia="zh-CN"/>
        </w:rPr>
        <w:t>UF+二级RO反渗透系统进行除盐，反渗透系统产水到回用水池（80m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）待回用，浓水进入三效蒸发器浓缩</w:t>
      </w:r>
      <w:r>
        <w:rPr>
          <w:rFonts w:hint="eastAsia" w:ascii="Times New Roman" w:hAnsi="Times New Roman" w:eastAsia="宋体" w:cs="Times New Roman"/>
          <w:color w:val="auto"/>
          <w:sz w:val="24"/>
          <w:szCs w:val="24"/>
          <w:lang w:eastAsia="zh-CN"/>
        </w:rPr>
        <w:t>。</w:t>
      </w:r>
    </w:p>
    <w:p>
      <w:pPr>
        <w:spacing w:line="360" w:lineRule="auto"/>
        <w:ind w:firstLine="48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（2）处理规模可行性分析</w:t>
      </w:r>
    </w:p>
    <w:p>
      <w:pPr>
        <w:spacing w:line="360" w:lineRule="auto"/>
        <w:ind w:firstLine="480"/>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rPr>
        <w:t>项目厂内污水站设计处理能力为</w:t>
      </w:r>
      <w:r>
        <w:rPr>
          <w:rFonts w:hint="eastAsia" w:ascii="Times New Roman" w:hAnsi="Times New Roman" w:eastAsia="宋体" w:cs="Times New Roman"/>
          <w:bCs/>
          <w:color w:val="auto"/>
          <w:sz w:val="24"/>
          <w:szCs w:val="24"/>
          <w:lang w:val="en-US" w:eastAsia="zh-CN"/>
        </w:rPr>
        <w:t>1</w:t>
      </w:r>
      <w:r>
        <w:rPr>
          <w:rFonts w:hint="default" w:ascii="Times New Roman" w:hAnsi="Times New Roman" w:eastAsia="宋体" w:cs="Times New Roman"/>
          <w:bCs/>
          <w:color w:val="auto"/>
          <w:sz w:val="24"/>
          <w:szCs w:val="24"/>
        </w:rPr>
        <w:t>5m³/h，项目进入污水处理站处理的废水量为</w:t>
      </w:r>
      <w:r>
        <w:rPr>
          <w:rFonts w:hint="eastAsia" w:ascii="Times New Roman" w:hAnsi="Times New Roman" w:eastAsia="宋体" w:cs="Times New Roman"/>
          <w:bCs/>
          <w:color w:val="auto"/>
          <w:sz w:val="24"/>
          <w:szCs w:val="24"/>
          <w:lang w:val="en-US" w:eastAsia="zh-CN"/>
        </w:rPr>
        <w:t>9.13</w:t>
      </w:r>
      <w:r>
        <w:rPr>
          <w:rFonts w:hint="default" w:ascii="Times New Roman" w:hAnsi="Times New Roman" w:eastAsia="宋体" w:cs="Times New Roman"/>
          <w:bCs/>
          <w:color w:val="auto"/>
          <w:sz w:val="24"/>
          <w:szCs w:val="24"/>
        </w:rPr>
        <w:t>t/h，在污水处理站处理能力内。</w:t>
      </w:r>
      <w:r>
        <w:rPr>
          <w:rFonts w:hint="eastAsia" w:ascii="Times New Roman" w:hAnsi="Times New Roman" w:eastAsia="宋体" w:cs="Times New Roman"/>
          <w:bCs/>
          <w:color w:val="auto"/>
          <w:sz w:val="24"/>
          <w:szCs w:val="24"/>
          <w:lang w:val="en-US" w:eastAsia="zh-CN"/>
        </w:rPr>
        <w:t>二级RO浓排水2.5t/h，在配套的蒸发器3t/h处理能力内。</w:t>
      </w:r>
    </w:p>
    <w:p>
      <w:pPr>
        <w:spacing w:line="360" w:lineRule="auto"/>
        <w:ind w:firstLine="48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（3）处理工艺可行性分析</w:t>
      </w:r>
    </w:p>
    <w:p>
      <w:pPr>
        <w:spacing w:line="360" w:lineRule="auto"/>
        <w:ind w:firstLine="48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项目污水站废水处理系统设计去除效率如下表。</w:t>
      </w:r>
    </w:p>
    <w:p>
      <w:pPr>
        <w:pStyle w:val="2"/>
        <w:rPr>
          <w:rFonts w:hint="default" w:ascii="Times New Roman" w:hAnsi="Times New Roman" w:eastAsia="宋体" w:cs="Times New Roman"/>
          <w:bCs/>
          <w:color w:val="auto"/>
          <w:sz w:val="24"/>
          <w:szCs w:val="24"/>
        </w:rPr>
      </w:pPr>
    </w:p>
    <w:p>
      <w:pPr>
        <w:pStyle w:val="2"/>
        <w:rPr>
          <w:rFonts w:hint="default" w:ascii="Times New Roman" w:hAnsi="Times New Roman" w:eastAsia="宋体" w:cs="Times New Roman"/>
          <w:bCs/>
          <w:color w:val="auto"/>
          <w:sz w:val="24"/>
          <w:szCs w:val="24"/>
        </w:rPr>
      </w:pPr>
    </w:p>
    <w:p>
      <w:pPr>
        <w:widowControl/>
        <w:spacing w:line="360" w:lineRule="auto"/>
        <w:ind w:firstLine="0"/>
        <w:jc w:val="center"/>
        <w:outlineLvl w:val="4"/>
        <w:rPr>
          <w:rFonts w:hint="default" w:ascii="Times New Roman" w:hAnsi="Times New Roman" w:eastAsia="黑体" w:cs="Times New Roman"/>
          <w:b w:val="0"/>
          <w:bCs/>
          <w:color w:val="auto"/>
          <w:sz w:val="24"/>
          <w:szCs w:val="24"/>
        </w:rPr>
      </w:pPr>
      <w:r>
        <w:rPr>
          <w:rFonts w:hint="default" w:ascii="Times New Roman" w:hAnsi="Times New Roman" w:eastAsia="黑体" w:cs="Times New Roman"/>
          <w:b w:val="0"/>
          <w:bCs/>
          <w:color w:val="auto"/>
          <w:sz w:val="24"/>
          <w:szCs w:val="24"/>
        </w:rPr>
        <w:t>表7.2-</w:t>
      </w:r>
      <w:r>
        <w:rPr>
          <w:rFonts w:hint="eastAsia" w:ascii="Times New Roman" w:hAnsi="Times New Roman" w:eastAsia="黑体" w:cs="Times New Roman"/>
          <w:b w:val="0"/>
          <w:bCs/>
          <w:color w:val="auto"/>
          <w:sz w:val="24"/>
          <w:szCs w:val="24"/>
          <w:lang w:val="en-US" w:eastAsia="zh-CN"/>
        </w:rPr>
        <w:t>5</w:t>
      </w:r>
      <w:r>
        <w:rPr>
          <w:rFonts w:hint="default" w:ascii="Times New Roman" w:hAnsi="Times New Roman" w:eastAsia="黑体" w:cs="Times New Roman"/>
          <w:b w:val="0"/>
          <w:bCs/>
          <w:color w:val="auto"/>
          <w:sz w:val="24"/>
          <w:szCs w:val="24"/>
        </w:rPr>
        <w:t xml:space="preserve">  污水站处理效率统计表</w:t>
      </w:r>
    </w:p>
    <w:tbl>
      <w:tblPr>
        <w:tblStyle w:val="90"/>
        <w:tblW w:w="0" w:type="auto"/>
        <w:tblInd w:w="-14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09"/>
        <w:gridCol w:w="1478"/>
        <w:gridCol w:w="1907"/>
        <w:gridCol w:w="1280"/>
        <w:gridCol w:w="1506"/>
        <w:gridCol w:w="1454"/>
        <w:gridCol w:w="11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09"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序号</w:t>
            </w:r>
          </w:p>
        </w:tc>
        <w:tc>
          <w:tcPr>
            <w:tcW w:w="3385" w:type="dxa"/>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处理单元</w:t>
            </w:r>
          </w:p>
        </w:tc>
        <w:tc>
          <w:tcPr>
            <w:tcW w:w="128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COD</w:t>
            </w:r>
          </w:p>
        </w:tc>
        <w:tc>
          <w:tcPr>
            <w:tcW w:w="1506"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氨氮</w:t>
            </w:r>
          </w:p>
        </w:tc>
        <w:tc>
          <w:tcPr>
            <w:tcW w:w="1454"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eastAsia="宋体" w:cs="Times New Roman"/>
                <w:b/>
                <w:color w:val="auto"/>
                <w:kern w:val="0"/>
                <w:sz w:val="21"/>
                <w:szCs w:val="21"/>
                <w:lang w:val="en-US" w:eastAsia="zh-CN"/>
              </w:rPr>
            </w:pPr>
            <w:r>
              <w:rPr>
                <w:rFonts w:hint="eastAsia" w:ascii="Times New Roman" w:hAnsi="Times New Roman" w:eastAsia="宋体" w:cs="Times New Roman"/>
                <w:b/>
                <w:color w:val="auto"/>
                <w:kern w:val="0"/>
                <w:sz w:val="21"/>
                <w:szCs w:val="21"/>
                <w:lang w:val="en-US" w:eastAsia="zh-CN"/>
              </w:rPr>
              <w:t>总氮</w:t>
            </w:r>
          </w:p>
        </w:tc>
        <w:tc>
          <w:tcPr>
            <w:tcW w:w="116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b/>
                <w:color w:val="auto"/>
                <w:kern w:val="0"/>
                <w:sz w:val="21"/>
                <w:szCs w:val="21"/>
                <w:lang w:val="en-US" w:eastAsia="zh-CN"/>
              </w:rPr>
            </w:pPr>
            <w:r>
              <w:rPr>
                <w:rFonts w:hint="eastAsia" w:ascii="Times New Roman" w:hAnsi="Times New Roman" w:eastAsia="宋体" w:cs="Times New Roman"/>
                <w:b/>
                <w:color w:val="auto"/>
                <w:kern w:val="0"/>
                <w:sz w:val="21"/>
                <w:szCs w:val="21"/>
                <w:lang w:val="en-US" w:eastAsia="zh-CN"/>
              </w:rPr>
              <w:t>盐份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09"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w:t>
            </w:r>
          </w:p>
        </w:tc>
        <w:tc>
          <w:tcPr>
            <w:tcW w:w="1478"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综合调节池</w:t>
            </w:r>
          </w:p>
        </w:tc>
        <w:tc>
          <w:tcPr>
            <w:tcW w:w="190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rPr>
              <w:t>进水</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mg/L</w:t>
            </w:r>
            <w:r>
              <w:rPr>
                <w:rFonts w:hint="eastAsia" w:ascii="Times New Roman" w:hAnsi="Times New Roman" w:eastAsia="宋体" w:cs="Times New Roman"/>
                <w:color w:val="auto"/>
                <w:kern w:val="0"/>
                <w:sz w:val="21"/>
                <w:szCs w:val="21"/>
                <w:lang w:eastAsia="zh-CN"/>
              </w:rPr>
              <w:t>）</w:t>
            </w:r>
          </w:p>
        </w:tc>
        <w:tc>
          <w:tcPr>
            <w:tcW w:w="128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3846.5</w:t>
            </w:r>
          </w:p>
        </w:tc>
        <w:tc>
          <w:tcPr>
            <w:tcW w:w="1506"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816.3</w:t>
            </w:r>
          </w:p>
        </w:tc>
        <w:tc>
          <w:tcPr>
            <w:tcW w:w="1454"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1507.2</w:t>
            </w:r>
          </w:p>
        </w:tc>
        <w:tc>
          <w:tcPr>
            <w:tcW w:w="116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670.2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09"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w:t>
            </w:r>
          </w:p>
        </w:tc>
        <w:tc>
          <w:tcPr>
            <w:tcW w:w="1478"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中和混凝反应</w:t>
            </w:r>
          </w:p>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沉淀池</w:t>
            </w:r>
          </w:p>
        </w:tc>
        <w:tc>
          <w:tcPr>
            <w:tcW w:w="190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进水</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mg/L</w:t>
            </w:r>
            <w:r>
              <w:rPr>
                <w:rFonts w:hint="eastAsia" w:ascii="Times New Roman" w:hAnsi="Times New Roman" w:eastAsia="宋体" w:cs="Times New Roman"/>
                <w:color w:val="auto"/>
                <w:kern w:val="0"/>
                <w:sz w:val="21"/>
                <w:szCs w:val="21"/>
                <w:lang w:eastAsia="zh-CN"/>
              </w:rPr>
              <w:t>）</w:t>
            </w:r>
          </w:p>
        </w:tc>
        <w:tc>
          <w:tcPr>
            <w:tcW w:w="128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3846.5</w:t>
            </w:r>
          </w:p>
        </w:tc>
        <w:tc>
          <w:tcPr>
            <w:tcW w:w="1506"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816.3</w:t>
            </w:r>
          </w:p>
        </w:tc>
        <w:tc>
          <w:tcPr>
            <w:tcW w:w="1454"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1507.2</w:t>
            </w:r>
          </w:p>
        </w:tc>
        <w:tc>
          <w:tcPr>
            <w:tcW w:w="116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670.2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noWrap w:val="0"/>
          </w:tcPr>
          <w:p/>
        </w:tc>
        <w:tc>
          <w:tcPr>
            <w:vMerge w:val="continue"/>
            <w:noWrap w:val="0"/>
          </w:tcPr>
          <w:p/>
        </w:tc>
        <w:tc>
          <w:tcPr>
            <w:tcW w:w="190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出水</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mg/L</w:t>
            </w:r>
            <w:r>
              <w:rPr>
                <w:rFonts w:hint="eastAsia" w:ascii="Times New Roman" w:hAnsi="Times New Roman" w:eastAsia="宋体" w:cs="Times New Roman"/>
                <w:color w:val="auto"/>
                <w:kern w:val="0"/>
                <w:sz w:val="21"/>
                <w:szCs w:val="21"/>
                <w:lang w:eastAsia="zh-CN"/>
              </w:rPr>
              <w:t>）</w:t>
            </w:r>
          </w:p>
        </w:tc>
        <w:tc>
          <w:tcPr>
            <w:tcW w:w="128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3846.5</w:t>
            </w:r>
          </w:p>
        </w:tc>
        <w:tc>
          <w:tcPr>
            <w:tcW w:w="1506"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800</w:t>
            </w:r>
          </w:p>
        </w:tc>
        <w:tc>
          <w:tcPr>
            <w:tcW w:w="1454"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1432</w:t>
            </w:r>
          </w:p>
        </w:tc>
        <w:tc>
          <w:tcPr>
            <w:tcW w:w="116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noWrap w:val="0"/>
          </w:tcPr>
          <w:p/>
        </w:tc>
        <w:tc>
          <w:tcPr>
            <w:vMerge w:val="continue"/>
            <w:noWrap w:val="0"/>
          </w:tcPr>
          <w:p/>
        </w:tc>
        <w:tc>
          <w:tcPr>
            <w:tcW w:w="190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rPr>
              <w:t>去除率</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w:t>
            </w:r>
            <w:r>
              <w:rPr>
                <w:rFonts w:hint="eastAsia" w:ascii="Times New Roman" w:hAnsi="Times New Roman" w:eastAsia="宋体" w:cs="Times New Roman"/>
                <w:color w:val="auto"/>
                <w:kern w:val="0"/>
                <w:sz w:val="21"/>
                <w:szCs w:val="21"/>
                <w:lang w:eastAsia="zh-CN"/>
              </w:rPr>
              <w:t>）</w:t>
            </w:r>
          </w:p>
        </w:tc>
        <w:tc>
          <w:tcPr>
            <w:tcW w:w="128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0</w:t>
            </w:r>
            <w:r>
              <w:rPr>
                <w:rFonts w:hint="eastAsia" w:ascii="Times New Roman" w:hAnsi="Times New Roman" w:eastAsia="宋体" w:cs="Times New Roman"/>
                <w:color w:val="auto"/>
                <w:kern w:val="0"/>
                <w:sz w:val="21"/>
                <w:szCs w:val="21"/>
                <w:lang w:val="en-US" w:eastAsia="zh-CN"/>
              </w:rPr>
              <w:t>%</w:t>
            </w:r>
          </w:p>
        </w:tc>
        <w:tc>
          <w:tcPr>
            <w:tcW w:w="1506"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2</w:t>
            </w:r>
            <w:r>
              <w:rPr>
                <w:rFonts w:hint="eastAsia" w:ascii="Times New Roman" w:hAnsi="Times New Roman" w:eastAsia="宋体" w:cs="Times New Roman"/>
                <w:color w:val="auto"/>
                <w:kern w:val="0"/>
                <w:sz w:val="21"/>
                <w:szCs w:val="21"/>
                <w:lang w:val="en-US" w:eastAsia="zh-CN"/>
              </w:rPr>
              <w:t>%</w:t>
            </w:r>
          </w:p>
        </w:tc>
        <w:tc>
          <w:tcPr>
            <w:tcW w:w="1454"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w:t>
            </w:r>
            <w:r>
              <w:rPr>
                <w:rFonts w:hint="eastAsia" w:ascii="Times New Roman" w:hAnsi="Times New Roman" w:eastAsia="宋体" w:cs="Times New Roman"/>
                <w:color w:val="auto"/>
                <w:kern w:val="0"/>
                <w:sz w:val="21"/>
                <w:szCs w:val="21"/>
                <w:lang w:val="en-US" w:eastAsia="zh-CN"/>
              </w:rPr>
              <w:t>%</w:t>
            </w:r>
          </w:p>
        </w:tc>
        <w:tc>
          <w:tcPr>
            <w:tcW w:w="116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09"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val="en-US" w:eastAsia="zh-CN"/>
              </w:rPr>
              <w:t>3</w:t>
            </w:r>
          </w:p>
        </w:tc>
        <w:tc>
          <w:tcPr>
            <w:tcW w:w="1478"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一级AO</w:t>
            </w:r>
          </w:p>
        </w:tc>
        <w:tc>
          <w:tcPr>
            <w:tcW w:w="190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进水</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mg/L</w:t>
            </w:r>
            <w:r>
              <w:rPr>
                <w:rFonts w:hint="eastAsia" w:ascii="Times New Roman" w:hAnsi="Times New Roman" w:eastAsia="宋体" w:cs="Times New Roman"/>
                <w:color w:val="auto"/>
                <w:kern w:val="0"/>
                <w:sz w:val="21"/>
                <w:szCs w:val="21"/>
                <w:lang w:eastAsia="zh-CN"/>
              </w:rPr>
              <w:t>）</w:t>
            </w:r>
          </w:p>
        </w:tc>
        <w:tc>
          <w:tcPr>
            <w:tcW w:w="128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bidi="ar-SA"/>
              </w:rPr>
              <w:t>3846.5</w:t>
            </w:r>
          </w:p>
        </w:tc>
        <w:tc>
          <w:tcPr>
            <w:tcW w:w="1506"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bidi="ar-SA"/>
              </w:rPr>
              <w:t>800</w:t>
            </w:r>
          </w:p>
        </w:tc>
        <w:tc>
          <w:tcPr>
            <w:tcW w:w="1454"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bidi="ar-SA"/>
              </w:rPr>
              <w:t>1432</w:t>
            </w:r>
          </w:p>
        </w:tc>
        <w:tc>
          <w:tcPr>
            <w:tcW w:w="116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noWrap w:val="0"/>
          </w:tcPr>
          <w:p/>
        </w:tc>
        <w:tc>
          <w:tcPr>
            <w:vMerge w:val="continue"/>
            <w:noWrap w:val="0"/>
          </w:tcPr>
          <w:p/>
        </w:tc>
        <w:tc>
          <w:tcPr>
            <w:tcW w:w="190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出水</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mg/L</w:t>
            </w:r>
            <w:r>
              <w:rPr>
                <w:rFonts w:hint="eastAsia" w:ascii="Times New Roman" w:hAnsi="Times New Roman" w:eastAsia="宋体" w:cs="Times New Roman"/>
                <w:color w:val="auto"/>
                <w:kern w:val="0"/>
                <w:sz w:val="21"/>
                <w:szCs w:val="21"/>
                <w:lang w:eastAsia="zh-CN"/>
              </w:rPr>
              <w:t>）</w:t>
            </w:r>
          </w:p>
        </w:tc>
        <w:tc>
          <w:tcPr>
            <w:tcW w:w="128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585</w:t>
            </w:r>
          </w:p>
        </w:tc>
        <w:tc>
          <w:tcPr>
            <w:tcW w:w="1506"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120</w:t>
            </w:r>
          </w:p>
        </w:tc>
        <w:tc>
          <w:tcPr>
            <w:tcW w:w="1454"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860</w:t>
            </w:r>
          </w:p>
        </w:tc>
        <w:tc>
          <w:tcPr>
            <w:tcW w:w="116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541.5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noWrap w:val="0"/>
          </w:tcPr>
          <w:p/>
        </w:tc>
        <w:tc>
          <w:tcPr>
            <w:vMerge w:val="continue"/>
            <w:noWrap w:val="0"/>
          </w:tcPr>
          <w:p/>
        </w:tc>
        <w:tc>
          <w:tcPr>
            <w:tcW w:w="190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去除率</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w:t>
            </w:r>
            <w:r>
              <w:rPr>
                <w:rFonts w:hint="eastAsia" w:ascii="Times New Roman" w:hAnsi="Times New Roman" w:eastAsia="宋体" w:cs="Times New Roman"/>
                <w:color w:val="auto"/>
                <w:kern w:val="0"/>
                <w:sz w:val="21"/>
                <w:szCs w:val="21"/>
                <w:lang w:eastAsia="zh-CN"/>
              </w:rPr>
              <w:t>）</w:t>
            </w:r>
          </w:p>
        </w:tc>
        <w:tc>
          <w:tcPr>
            <w:tcW w:w="128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85%</w:t>
            </w:r>
          </w:p>
        </w:tc>
        <w:tc>
          <w:tcPr>
            <w:tcW w:w="1506"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8</w:t>
            </w:r>
            <w:r>
              <w:rPr>
                <w:rFonts w:hint="eastAsia" w:ascii="Times New Roman" w:hAnsi="Times New Roman" w:cs="Times New Roman"/>
                <w:color w:val="auto"/>
                <w:kern w:val="0"/>
                <w:sz w:val="21"/>
                <w:szCs w:val="21"/>
                <w:lang w:val="en-US" w:eastAsia="zh-CN"/>
              </w:rPr>
              <w:t>5</w:t>
            </w:r>
            <w:r>
              <w:rPr>
                <w:rFonts w:hint="eastAsia" w:ascii="Times New Roman" w:hAnsi="Times New Roman" w:eastAsia="宋体" w:cs="Times New Roman"/>
                <w:color w:val="auto"/>
                <w:kern w:val="0"/>
                <w:sz w:val="21"/>
                <w:szCs w:val="21"/>
                <w:lang w:val="en-US" w:eastAsia="zh-CN"/>
              </w:rPr>
              <w:t>%</w:t>
            </w:r>
          </w:p>
        </w:tc>
        <w:tc>
          <w:tcPr>
            <w:tcW w:w="1454"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40</w:t>
            </w:r>
            <w:r>
              <w:rPr>
                <w:rFonts w:hint="eastAsia" w:ascii="Times New Roman" w:hAnsi="Times New Roman" w:eastAsia="宋体" w:cs="Times New Roman"/>
                <w:color w:val="auto"/>
                <w:kern w:val="0"/>
                <w:sz w:val="21"/>
                <w:szCs w:val="21"/>
                <w:lang w:val="en-US" w:eastAsia="zh-CN"/>
              </w:rPr>
              <w:t>%</w:t>
            </w:r>
          </w:p>
        </w:tc>
        <w:tc>
          <w:tcPr>
            <w:tcW w:w="1165" w:type="dxa"/>
            <w:noWrap w:val="0"/>
            <w:vAlign w:val="center"/>
          </w:tcPr>
          <w:p>
            <w:pPr>
              <w:keepNext w:val="0"/>
              <w:keepLines w:val="0"/>
              <w:pageBreakBefore w:val="0"/>
              <w:widowControl w:val="0"/>
              <w:tabs>
                <w:tab w:val="left" w:pos="454"/>
              </w:tabs>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09"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val="en-US" w:eastAsia="zh-CN"/>
              </w:rPr>
              <w:t>4</w:t>
            </w:r>
          </w:p>
        </w:tc>
        <w:tc>
          <w:tcPr>
            <w:tcW w:w="1478"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二级AO(MBR)</w:t>
            </w:r>
          </w:p>
        </w:tc>
        <w:tc>
          <w:tcPr>
            <w:tcW w:w="190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进水</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mg/L</w:t>
            </w:r>
            <w:r>
              <w:rPr>
                <w:rFonts w:hint="eastAsia" w:ascii="Times New Roman" w:hAnsi="Times New Roman" w:eastAsia="宋体" w:cs="Times New Roman"/>
                <w:color w:val="auto"/>
                <w:kern w:val="0"/>
                <w:sz w:val="21"/>
                <w:szCs w:val="21"/>
                <w:lang w:eastAsia="zh-CN"/>
              </w:rPr>
              <w:t>）</w:t>
            </w:r>
          </w:p>
        </w:tc>
        <w:tc>
          <w:tcPr>
            <w:tcW w:w="128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585</w:t>
            </w:r>
          </w:p>
        </w:tc>
        <w:tc>
          <w:tcPr>
            <w:tcW w:w="1506"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120</w:t>
            </w:r>
          </w:p>
        </w:tc>
        <w:tc>
          <w:tcPr>
            <w:tcW w:w="1454"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760</w:t>
            </w:r>
          </w:p>
        </w:tc>
        <w:tc>
          <w:tcPr>
            <w:tcW w:w="116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541.5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noWrap w:val="0"/>
          </w:tcPr>
          <w:p/>
        </w:tc>
        <w:tc>
          <w:tcPr>
            <w:vMerge w:val="continue"/>
            <w:noWrap w:val="0"/>
          </w:tcPr>
          <w:p/>
        </w:tc>
        <w:tc>
          <w:tcPr>
            <w:tcW w:w="190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出水</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mg/L</w:t>
            </w:r>
            <w:r>
              <w:rPr>
                <w:rFonts w:hint="eastAsia" w:ascii="Times New Roman" w:hAnsi="Times New Roman" w:eastAsia="宋体" w:cs="Times New Roman"/>
                <w:color w:val="auto"/>
                <w:kern w:val="0"/>
                <w:sz w:val="21"/>
                <w:szCs w:val="21"/>
                <w:lang w:eastAsia="zh-CN"/>
              </w:rPr>
              <w:t>）</w:t>
            </w:r>
          </w:p>
        </w:tc>
        <w:tc>
          <w:tcPr>
            <w:tcW w:w="128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58.5</w:t>
            </w:r>
          </w:p>
        </w:tc>
        <w:tc>
          <w:tcPr>
            <w:tcW w:w="1506"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19.5</w:t>
            </w:r>
          </w:p>
        </w:tc>
        <w:tc>
          <w:tcPr>
            <w:tcW w:w="1454"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535.9</w:t>
            </w:r>
          </w:p>
        </w:tc>
        <w:tc>
          <w:tcPr>
            <w:tcW w:w="116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noWrap w:val="0"/>
          </w:tcPr>
          <w:p/>
        </w:tc>
        <w:tc>
          <w:tcPr>
            <w:vMerge w:val="continue"/>
            <w:noWrap w:val="0"/>
          </w:tcPr>
          <w:p/>
        </w:tc>
        <w:tc>
          <w:tcPr>
            <w:tcW w:w="190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去除率</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w:t>
            </w:r>
            <w:r>
              <w:rPr>
                <w:rFonts w:hint="eastAsia" w:ascii="Times New Roman" w:hAnsi="Times New Roman" w:eastAsia="宋体" w:cs="Times New Roman"/>
                <w:color w:val="auto"/>
                <w:kern w:val="0"/>
                <w:sz w:val="21"/>
                <w:szCs w:val="21"/>
                <w:lang w:eastAsia="zh-CN"/>
              </w:rPr>
              <w:t>）</w:t>
            </w:r>
          </w:p>
        </w:tc>
        <w:tc>
          <w:tcPr>
            <w:tcW w:w="128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90</w:t>
            </w:r>
            <w:r>
              <w:rPr>
                <w:rFonts w:hint="eastAsia" w:ascii="Times New Roman" w:hAnsi="Times New Roman" w:eastAsia="宋体" w:cs="Times New Roman"/>
                <w:color w:val="auto"/>
                <w:kern w:val="0"/>
                <w:sz w:val="21"/>
                <w:szCs w:val="21"/>
                <w:lang w:val="en-US" w:eastAsia="zh-CN"/>
              </w:rPr>
              <w:t>%</w:t>
            </w:r>
          </w:p>
        </w:tc>
        <w:tc>
          <w:tcPr>
            <w:tcW w:w="1506"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84</w:t>
            </w:r>
            <w:r>
              <w:rPr>
                <w:rFonts w:hint="eastAsia" w:ascii="Times New Roman" w:hAnsi="Times New Roman" w:eastAsia="宋体" w:cs="Times New Roman"/>
                <w:color w:val="auto"/>
                <w:kern w:val="0"/>
                <w:sz w:val="21"/>
                <w:szCs w:val="21"/>
                <w:lang w:val="en-US" w:eastAsia="zh-CN"/>
              </w:rPr>
              <w:t>%</w:t>
            </w:r>
          </w:p>
        </w:tc>
        <w:tc>
          <w:tcPr>
            <w:tcW w:w="1454"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32</w:t>
            </w:r>
            <w:r>
              <w:rPr>
                <w:rFonts w:hint="eastAsia" w:ascii="Times New Roman" w:hAnsi="Times New Roman" w:eastAsia="宋体" w:cs="Times New Roman"/>
                <w:color w:val="auto"/>
                <w:kern w:val="0"/>
                <w:sz w:val="21"/>
                <w:szCs w:val="21"/>
                <w:lang w:val="en-US" w:eastAsia="zh-CN"/>
              </w:rPr>
              <w:t>%</w:t>
            </w:r>
          </w:p>
        </w:tc>
        <w:tc>
          <w:tcPr>
            <w:tcW w:w="116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09"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val="en-US" w:eastAsia="zh-CN"/>
              </w:rPr>
              <w:t>5</w:t>
            </w:r>
          </w:p>
        </w:tc>
        <w:tc>
          <w:tcPr>
            <w:tcW w:w="1478"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UF+二级RO</w:t>
            </w:r>
          </w:p>
        </w:tc>
        <w:tc>
          <w:tcPr>
            <w:tcW w:w="190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进水</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mg/L</w:t>
            </w:r>
            <w:r>
              <w:rPr>
                <w:rFonts w:hint="eastAsia" w:ascii="Times New Roman" w:hAnsi="Times New Roman" w:eastAsia="宋体" w:cs="Times New Roman"/>
                <w:color w:val="auto"/>
                <w:kern w:val="0"/>
                <w:sz w:val="21"/>
                <w:szCs w:val="21"/>
                <w:lang w:eastAsia="zh-CN"/>
              </w:rPr>
              <w:t>）</w:t>
            </w:r>
          </w:p>
        </w:tc>
        <w:tc>
          <w:tcPr>
            <w:tcW w:w="128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58.5</w:t>
            </w:r>
          </w:p>
        </w:tc>
        <w:tc>
          <w:tcPr>
            <w:tcW w:w="1506"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19.5</w:t>
            </w:r>
          </w:p>
        </w:tc>
        <w:tc>
          <w:tcPr>
            <w:tcW w:w="1454"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535.9</w:t>
            </w:r>
          </w:p>
        </w:tc>
        <w:tc>
          <w:tcPr>
            <w:tcW w:w="116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noWrap w:val="0"/>
          </w:tcPr>
          <w:p/>
        </w:tc>
        <w:tc>
          <w:tcPr>
            <w:vMerge w:val="continue"/>
            <w:noWrap w:val="0"/>
          </w:tcPr>
          <w:p/>
        </w:tc>
        <w:tc>
          <w:tcPr>
            <w:tcW w:w="190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出水</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mg/L</w:t>
            </w:r>
            <w:r>
              <w:rPr>
                <w:rFonts w:hint="eastAsia" w:ascii="Times New Roman" w:hAnsi="Times New Roman" w:eastAsia="宋体" w:cs="Times New Roman"/>
                <w:color w:val="auto"/>
                <w:kern w:val="0"/>
                <w:sz w:val="21"/>
                <w:szCs w:val="21"/>
                <w:lang w:eastAsia="zh-CN"/>
              </w:rPr>
              <w:t>）</w:t>
            </w:r>
          </w:p>
        </w:tc>
        <w:tc>
          <w:tcPr>
            <w:tcW w:w="128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28.8</w:t>
            </w:r>
          </w:p>
        </w:tc>
        <w:tc>
          <w:tcPr>
            <w:tcW w:w="1506"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8.4</w:t>
            </w:r>
          </w:p>
        </w:tc>
        <w:tc>
          <w:tcPr>
            <w:tcW w:w="1454"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21.2</w:t>
            </w:r>
          </w:p>
        </w:tc>
        <w:tc>
          <w:tcPr>
            <w:tcW w:w="116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vMerge w:val="continue"/>
            <w:noWrap w:val="0"/>
          </w:tcPr>
          <w:p/>
        </w:tc>
        <w:tc>
          <w:tcPr>
            <w:vMerge w:val="continue"/>
            <w:noWrap w:val="0"/>
          </w:tcPr>
          <w:p/>
        </w:tc>
        <w:tc>
          <w:tcPr>
            <w:tcW w:w="1907"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去除率</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w:t>
            </w:r>
            <w:r>
              <w:rPr>
                <w:rFonts w:hint="eastAsia" w:ascii="Times New Roman" w:hAnsi="Times New Roman" w:eastAsia="宋体" w:cs="Times New Roman"/>
                <w:color w:val="auto"/>
                <w:kern w:val="0"/>
                <w:sz w:val="21"/>
                <w:szCs w:val="21"/>
                <w:lang w:eastAsia="zh-CN"/>
              </w:rPr>
              <w:t>）</w:t>
            </w:r>
          </w:p>
        </w:tc>
        <w:tc>
          <w:tcPr>
            <w:tcW w:w="128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51</w:t>
            </w:r>
            <w:r>
              <w:rPr>
                <w:rFonts w:hint="eastAsia" w:ascii="Times New Roman" w:hAnsi="Times New Roman" w:eastAsia="宋体" w:cs="Times New Roman"/>
                <w:color w:val="auto"/>
                <w:kern w:val="0"/>
                <w:sz w:val="21"/>
                <w:szCs w:val="21"/>
                <w:lang w:val="en-US" w:eastAsia="zh-CN"/>
              </w:rPr>
              <w:t>%</w:t>
            </w:r>
          </w:p>
        </w:tc>
        <w:tc>
          <w:tcPr>
            <w:tcW w:w="1506"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57</w:t>
            </w:r>
            <w:r>
              <w:rPr>
                <w:rFonts w:hint="eastAsia" w:ascii="Times New Roman" w:hAnsi="Times New Roman" w:eastAsia="宋体" w:cs="Times New Roman"/>
                <w:color w:val="auto"/>
                <w:kern w:val="0"/>
                <w:sz w:val="21"/>
                <w:szCs w:val="21"/>
                <w:lang w:val="en-US" w:eastAsia="zh-CN"/>
              </w:rPr>
              <w:t>%</w:t>
            </w:r>
          </w:p>
        </w:tc>
        <w:tc>
          <w:tcPr>
            <w:tcW w:w="1454"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97</w:t>
            </w:r>
            <w:r>
              <w:rPr>
                <w:rFonts w:hint="eastAsia" w:ascii="Times New Roman" w:hAnsi="Times New Roman" w:eastAsia="宋体" w:cs="Times New Roman"/>
                <w:color w:val="auto"/>
                <w:kern w:val="0"/>
                <w:sz w:val="21"/>
                <w:szCs w:val="21"/>
                <w:lang w:val="en-US" w:eastAsia="zh-CN"/>
              </w:rPr>
              <w:t>%</w:t>
            </w:r>
          </w:p>
        </w:tc>
        <w:tc>
          <w:tcPr>
            <w:tcW w:w="116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99.99％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894" w:type="dxa"/>
            <w:gridSpan w:val="3"/>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4"/>
              </w:rPr>
              <w:t>《城市污水再生利用 工业用水水质》（GB/T19923-2005）中工艺与产品用水限值</w:t>
            </w:r>
            <w:r>
              <w:rPr>
                <w:rFonts w:hint="eastAsia" w:ascii="Times New Roman" w:hAnsi="Times New Roman" w:eastAsia="宋体" w:cs="Times New Roman"/>
                <w:color w:val="auto"/>
                <w:kern w:val="0"/>
                <w:sz w:val="21"/>
                <w:szCs w:val="21"/>
                <w:lang w:eastAsia="zh-CN"/>
              </w:rPr>
              <w:t>（</w:t>
            </w:r>
            <w:r>
              <w:rPr>
                <w:rFonts w:hint="eastAsia" w:ascii="Times New Roman" w:hAnsi="Times New Roman" w:eastAsia="宋体" w:cs="Times New Roman"/>
                <w:color w:val="auto"/>
                <w:kern w:val="0"/>
                <w:sz w:val="21"/>
                <w:szCs w:val="21"/>
                <w:lang w:val="en-US" w:eastAsia="zh-CN"/>
              </w:rPr>
              <w:t>mg/L</w:t>
            </w:r>
            <w:r>
              <w:rPr>
                <w:rFonts w:hint="eastAsia" w:ascii="Times New Roman" w:hAnsi="Times New Roman" w:eastAsia="宋体" w:cs="Times New Roman"/>
                <w:color w:val="auto"/>
                <w:kern w:val="0"/>
                <w:sz w:val="21"/>
                <w:szCs w:val="21"/>
                <w:lang w:eastAsia="zh-CN"/>
              </w:rPr>
              <w:t>）</w:t>
            </w:r>
          </w:p>
        </w:tc>
        <w:tc>
          <w:tcPr>
            <w:tcW w:w="128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60</w:t>
            </w:r>
          </w:p>
        </w:tc>
        <w:tc>
          <w:tcPr>
            <w:tcW w:w="1506"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w:t>
            </w:r>
          </w:p>
        </w:tc>
        <w:tc>
          <w:tcPr>
            <w:tcW w:w="1454"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1165"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atLeast"/>
              <w:ind w:firstLine="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1000</w:t>
            </w:r>
          </w:p>
        </w:tc>
      </w:tr>
    </w:tbl>
    <w:p>
      <w:pPr>
        <w:spacing w:line="360" w:lineRule="auto"/>
        <w:ind w:firstLine="480"/>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rPr>
        <w:t>项目废水经处理后可达到《城市污水再生利用 工业用水水质》（GB/T19923-2005）中工艺与产品用水标准</w:t>
      </w:r>
      <w:r>
        <w:rPr>
          <w:rFonts w:hint="eastAsia" w:ascii="Times New Roman" w:hAnsi="Times New Roman" w:eastAsia="宋体" w:cs="Times New Roman"/>
          <w:bCs/>
          <w:color w:val="auto"/>
          <w:sz w:val="24"/>
          <w:szCs w:val="24"/>
          <w:lang w:eastAsia="zh-CN"/>
        </w:rPr>
        <w:t>，</w:t>
      </w:r>
      <w:r>
        <w:rPr>
          <w:rFonts w:hint="eastAsia" w:ascii="Times New Roman" w:hAnsi="Times New Roman" w:eastAsia="宋体" w:cs="Times New Roman"/>
          <w:bCs/>
          <w:color w:val="auto"/>
          <w:sz w:val="24"/>
          <w:szCs w:val="24"/>
          <w:lang w:val="en-US" w:eastAsia="zh-CN"/>
        </w:rPr>
        <w:t>其中电导率0.08us/cm，工艺用水要求电导率低于0.1us/cm，可回用到工艺中。在回用水池设置电导率在线监测仪，可实时监控回用水电导率，达不到工艺用水要求电导率时，不得回用到工艺中</w:t>
      </w:r>
      <w:r>
        <w:rPr>
          <w:rFonts w:hint="default" w:ascii="Times New Roman" w:hAnsi="Times New Roman" w:eastAsia="宋体" w:cs="Times New Roman"/>
          <w:bCs/>
          <w:color w:val="auto"/>
          <w:sz w:val="24"/>
          <w:szCs w:val="24"/>
        </w:rPr>
        <w:t>。本项目污水处理系统设计20个小时连续运行，</w:t>
      </w:r>
      <w:r>
        <w:rPr>
          <w:rFonts w:hint="eastAsia" w:ascii="Times New Roman" w:hAnsi="Times New Roman" w:eastAsia="宋体" w:cs="Times New Roman"/>
          <w:bCs/>
          <w:color w:val="auto"/>
          <w:sz w:val="24"/>
          <w:szCs w:val="24"/>
          <w:lang w:val="en-US" w:eastAsia="zh-CN"/>
        </w:rPr>
        <w:t>产出的</w:t>
      </w:r>
      <w:r>
        <w:rPr>
          <w:rFonts w:hint="default" w:ascii="Times New Roman" w:hAnsi="Times New Roman" w:eastAsia="宋体" w:cs="Times New Roman"/>
          <w:bCs/>
          <w:color w:val="auto"/>
          <w:sz w:val="24"/>
          <w:szCs w:val="24"/>
        </w:rPr>
        <w:t>回用水每天为16</w:t>
      </w:r>
      <w:r>
        <w:rPr>
          <w:rFonts w:hint="eastAsia" w:ascii="Times New Roman" w:hAnsi="Times New Roman" w:eastAsia="宋体" w:cs="Times New Roman"/>
          <w:bCs/>
          <w:color w:val="auto"/>
          <w:sz w:val="24"/>
          <w:szCs w:val="24"/>
          <w:lang w:val="en-US" w:eastAsia="zh-CN"/>
        </w:rPr>
        <w:t>1</w:t>
      </w:r>
      <w:r>
        <w:rPr>
          <w:rFonts w:hint="default" w:ascii="Times New Roman" w:hAnsi="Times New Roman" w:eastAsia="宋体" w:cs="Times New Roman"/>
          <w:bCs/>
          <w:color w:val="auto"/>
          <w:sz w:val="24"/>
          <w:szCs w:val="24"/>
        </w:rPr>
        <w:t>吨，单位时间产水为8</w:t>
      </w:r>
      <w:r>
        <w:rPr>
          <w:rFonts w:hint="eastAsia" w:ascii="Times New Roman" w:hAnsi="Times New Roman" w:eastAsia="宋体" w:cs="Times New Roman"/>
          <w:bCs/>
          <w:color w:val="auto"/>
          <w:sz w:val="24"/>
          <w:szCs w:val="24"/>
          <w:lang w:val="en-US" w:eastAsia="zh-CN"/>
        </w:rPr>
        <w:t>.05t/h</w:t>
      </w:r>
      <w:r>
        <w:rPr>
          <w:rFonts w:hint="default" w:ascii="Times New Roman" w:hAnsi="Times New Roman" w:eastAsia="宋体" w:cs="Times New Roman"/>
          <w:bCs/>
          <w:color w:val="auto"/>
          <w:sz w:val="24"/>
          <w:szCs w:val="24"/>
        </w:rPr>
        <w:t>。</w:t>
      </w:r>
      <w:r>
        <w:rPr>
          <w:rFonts w:hint="eastAsia" w:ascii="Times New Roman" w:hAnsi="Times New Roman" w:eastAsia="宋体" w:cs="Times New Roman"/>
          <w:bCs/>
          <w:color w:val="auto"/>
          <w:sz w:val="24"/>
          <w:szCs w:val="24"/>
          <w:lang w:val="en-US" w:eastAsia="zh-CN"/>
        </w:rPr>
        <w:t>回用水经回用水池监测电导率后直接回用到</w:t>
      </w:r>
      <w:r>
        <w:rPr>
          <w:rFonts w:hint="default" w:ascii="Times New Roman" w:hAnsi="Times New Roman" w:eastAsia="宋体" w:cs="Times New Roman"/>
          <w:bCs/>
          <w:color w:val="auto"/>
          <w:sz w:val="24"/>
          <w:szCs w:val="24"/>
        </w:rPr>
        <w:t>生产线上，少部分用于废气环保设施用水</w:t>
      </w:r>
      <w:r>
        <w:rPr>
          <w:rFonts w:hint="eastAsia" w:ascii="Times New Roman" w:hAnsi="Times New Roman" w:eastAsia="宋体" w:cs="Times New Roman"/>
          <w:bCs/>
          <w:color w:val="auto"/>
          <w:sz w:val="24"/>
          <w:szCs w:val="24"/>
          <w:lang w:eastAsia="zh-CN"/>
        </w:rPr>
        <w:t>，</w:t>
      </w:r>
      <w:r>
        <w:rPr>
          <w:rFonts w:hint="eastAsia" w:ascii="Times New Roman" w:hAnsi="Times New Roman" w:eastAsia="宋体" w:cs="Times New Roman"/>
          <w:bCs/>
          <w:color w:val="auto"/>
          <w:sz w:val="24"/>
          <w:szCs w:val="24"/>
          <w:lang w:val="en-US" w:eastAsia="zh-CN"/>
        </w:rPr>
        <w:t>无暂存要求</w:t>
      </w:r>
      <w:r>
        <w:rPr>
          <w:rFonts w:hint="default" w:ascii="Times New Roman" w:hAnsi="Times New Roman" w:eastAsia="宋体" w:cs="Times New Roman"/>
          <w:bCs/>
          <w:color w:val="auto"/>
          <w:sz w:val="24"/>
          <w:szCs w:val="24"/>
        </w:rPr>
        <w:t>。</w:t>
      </w:r>
      <w:r>
        <w:rPr>
          <w:rFonts w:hint="eastAsia" w:ascii="Times New Roman" w:hAnsi="Times New Roman" w:eastAsia="宋体" w:cs="Times New Roman"/>
          <w:bCs/>
          <w:color w:val="auto"/>
          <w:sz w:val="24"/>
          <w:szCs w:val="24"/>
          <w:lang w:val="en-US" w:eastAsia="zh-CN"/>
        </w:rPr>
        <w:t>项目</w:t>
      </w:r>
      <w:r>
        <w:rPr>
          <w:rFonts w:hint="default" w:ascii="Times New Roman" w:hAnsi="Times New Roman" w:eastAsia="宋体" w:cs="Times New Roman"/>
          <w:bCs/>
          <w:color w:val="auto"/>
          <w:sz w:val="24"/>
          <w:szCs w:val="24"/>
        </w:rPr>
        <w:t>回用水池</w:t>
      </w:r>
      <w:r>
        <w:rPr>
          <w:rFonts w:hint="eastAsia" w:ascii="Times New Roman" w:hAnsi="Times New Roman" w:eastAsia="宋体" w:cs="Times New Roman"/>
          <w:bCs/>
          <w:color w:val="auto"/>
          <w:sz w:val="24"/>
          <w:szCs w:val="24"/>
          <w:lang w:val="en-US" w:eastAsia="zh-CN"/>
        </w:rPr>
        <w:t>容积</w:t>
      </w:r>
      <w:r>
        <w:rPr>
          <w:rFonts w:hint="default" w:ascii="Times New Roman" w:hAnsi="Times New Roman" w:eastAsia="宋体" w:cs="Times New Roman"/>
          <w:bCs/>
          <w:color w:val="auto"/>
          <w:sz w:val="24"/>
          <w:szCs w:val="24"/>
        </w:rPr>
        <w:t>为80吨，</w:t>
      </w:r>
      <w:r>
        <w:rPr>
          <w:rFonts w:hint="eastAsia" w:ascii="Times New Roman" w:hAnsi="Times New Roman" w:eastAsia="宋体" w:cs="Times New Roman"/>
          <w:bCs/>
          <w:color w:val="auto"/>
          <w:sz w:val="24"/>
          <w:szCs w:val="24"/>
          <w:lang w:val="en-US" w:eastAsia="zh-CN"/>
        </w:rPr>
        <w:t>可满足回用水电导率不达标情况下</w:t>
      </w:r>
      <w:r>
        <w:rPr>
          <w:rFonts w:hint="default" w:ascii="Times New Roman" w:hAnsi="Times New Roman" w:eastAsia="宋体" w:cs="Times New Roman"/>
          <w:bCs/>
          <w:color w:val="auto"/>
          <w:sz w:val="24"/>
          <w:szCs w:val="24"/>
        </w:rPr>
        <w:t>10个小时</w:t>
      </w:r>
      <w:r>
        <w:rPr>
          <w:rFonts w:hint="eastAsia" w:ascii="Times New Roman" w:hAnsi="Times New Roman" w:eastAsia="宋体" w:cs="Times New Roman"/>
          <w:bCs/>
          <w:color w:val="auto"/>
          <w:sz w:val="24"/>
          <w:szCs w:val="24"/>
          <w:lang w:val="en-US" w:eastAsia="zh-CN"/>
        </w:rPr>
        <w:t>回用水</w:t>
      </w:r>
      <w:r>
        <w:rPr>
          <w:rFonts w:hint="default" w:ascii="Times New Roman" w:hAnsi="Times New Roman" w:eastAsia="宋体" w:cs="Times New Roman"/>
          <w:bCs/>
          <w:color w:val="auto"/>
          <w:sz w:val="24"/>
          <w:szCs w:val="24"/>
        </w:rPr>
        <w:t>储存停留时间。</w:t>
      </w:r>
      <w:r>
        <w:rPr>
          <w:rFonts w:hint="eastAsia" w:ascii="Times New Roman" w:hAnsi="Times New Roman" w:eastAsia="宋体" w:cs="Times New Roman"/>
          <w:bCs/>
          <w:color w:val="auto"/>
          <w:sz w:val="24"/>
          <w:szCs w:val="24"/>
          <w:lang w:val="en-US" w:eastAsia="zh-CN"/>
        </w:rPr>
        <w:t>此外，污水站配套事故暂存池360m</w:t>
      </w:r>
      <w:r>
        <w:rPr>
          <w:rFonts w:hint="eastAsia" w:ascii="Times New Roman" w:hAnsi="Times New Roman" w:eastAsia="宋体" w:cs="Times New Roman"/>
          <w:bCs/>
          <w:color w:val="auto"/>
          <w:sz w:val="24"/>
          <w:szCs w:val="24"/>
          <w:vertAlign w:val="superscript"/>
          <w:lang w:val="en-US" w:eastAsia="zh-CN"/>
        </w:rPr>
        <w:t>3</w:t>
      </w:r>
      <w:r>
        <w:rPr>
          <w:rFonts w:hint="eastAsia" w:ascii="Times New Roman" w:hAnsi="Times New Roman" w:eastAsia="宋体" w:cs="Times New Roman"/>
          <w:bCs/>
          <w:color w:val="auto"/>
          <w:sz w:val="24"/>
          <w:szCs w:val="24"/>
          <w:lang w:val="en-US" w:eastAsia="zh-CN"/>
        </w:rPr>
        <w:t>，若污水站处理废水达不到回用水标准则排入该事故暂存池暂存，再分批进入污水站调节池继续处理达标后回用。</w:t>
      </w:r>
    </w:p>
    <w:p>
      <w:pPr>
        <w:spacing w:line="360" w:lineRule="auto"/>
        <w:ind w:firstLine="480"/>
        <w:rPr>
          <w:rFonts w:hint="default" w:ascii="Times New Roman" w:hAnsi="Times New Roman" w:eastAsia="宋体" w:cs="Times New Roman"/>
          <w:bCs/>
          <w:sz w:val="24"/>
          <w:szCs w:val="24"/>
        </w:rPr>
      </w:pPr>
      <w:r>
        <w:rPr>
          <w:rFonts w:hint="default" w:ascii="Times New Roman" w:hAnsi="Times New Roman" w:eastAsia="宋体" w:cs="Times New Roman"/>
          <w:bCs/>
          <w:color w:val="auto"/>
          <w:sz w:val="24"/>
          <w:szCs w:val="24"/>
        </w:rPr>
        <w:t>项目污水站采用的水解酸化+一级A/O+</w:t>
      </w:r>
      <w:r>
        <w:rPr>
          <w:rFonts w:hint="default" w:ascii="Times New Roman" w:hAnsi="Times New Roman" w:eastAsia="宋体" w:cs="Times New Roman"/>
          <w:color w:val="auto"/>
          <w:kern w:val="0"/>
          <w:sz w:val="24"/>
          <w:szCs w:val="32"/>
        </w:rPr>
        <w:t>二级A+MBR工艺</w:t>
      </w:r>
      <w:r>
        <w:rPr>
          <w:rFonts w:hint="default" w:ascii="Times New Roman" w:hAnsi="Times New Roman" w:eastAsia="宋体" w:cs="Times New Roman"/>
          <w:bCs/>
          <w:color w:val="auto"/>
          <w:sz w:val="24"/>
          <w:szCs w:val="24"/>
        </w:rPr>
        <w:t>属于《排污许可证申请与</w:t>
      </w:r>
      <w:r>
        <w:rPr>
          <w:rFonts w:hint="default" w:ascii="Times New Roman" w:hAnsi="Times New Roman" w:eastAsia="宋体" w:cs="Times New Roman"/>
          <w:bCs/>
          <w:sz w:val="24"/>
          <w:szCs w:val="24"/>
        </w:rPr>
        <w:t>核发计算规范——无机化学工业》（HJ1035-2019）中涉重金属无机化合物生产废水推荐的可行技术。因此，项目废水采用该工艺处理是可行的。</w:t>
      </w:r>
    </w:p>
    <w:p>
      <w:pPr>
        <w:spacing w:line="360" w:lineRule="auto"/>
        <w:ind w:firstLine="48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项目</w:t>
      </w:r>
      <w:r>
        <w:rPr>
          <w:rFonts w:hint="default" w:ascii="Times New Roman" w:hAnsi="Times New Roman" w:eastAsia="宋体" w:cs="Times New Roman"/>
          <w:color w:val="auto"/>
          <w:sz w:val="24"/>
          <w:szCs w:val="24"/>
        </w:rPr>
        <w:t>循环水站</w:t>
      </w:r>
      <w:r>
        <w:rPr>
          <w:rFonts w:hint="eastAsia" w:ascii="Times New Roman" w:hAnsi="Times New Roman" w:eastAsia="宋体" w:cs="Times New Roman"/>
          <w:color w:val="auto"/>
          <w:sz w:val="24"/>
          <w:szCs w:val="24"/>
          <w:lang w:val="en-US" w:eastAsia="zh-CN"/>
        </w:rPr>
        <w:t>间接冷却</w:t>
      </w:r>
      <w:r>
        <w:rPr>
          <w:rFonts w:hint="default" w:ascii="Times New Roman" w:hAnsi="Times New Roman" w:eastAsia="宋体" w:cs="Times New Roman"/>
          <w:color w:val="auto"/>
          <w:sz w:val="24"/>
          <w:szCs w:val="24"/>
        </w:rPr>
        <w:t>排水、</w:t>
      </w:r>
      <w:r>
        <w:rPr>
          <w:rFonts w:hint="eastAsia" w:ascii="Times New Roman" w:hAnsi="Times New Roman" w:eastAsia="宋体" w:cs="Times New Roman"/>
          <w:color w:val="auto"/>
          <w:sz w:val="24"/>
          <w:szCs w:val="24"/>
          <w:lang w:val="en-US" w:eastAsia="zh-CN"/>
        </w:rPr>
        <w:t>去离子水站排水、初期雨水经沉淀处理后经监控池监控达到</w:t>
      </w:r>
      <w:r>
        <w:rPr>
          <w:rFonts w:hint="default" w:ascii="Times New Roman" w:hAnsi="Times New Roman" w:eastAsia="宋体" w:cs="Times New Roman"/>
          <w:color w:val="auto"/>
          <w:sz w:val="24"/>
          <w:szCs w:val="24"/>
        </w:rPr>
        <w:t>园区污水厂接管指标要求</w:t>
      </w:r>
      <w:r>
        <w:rPr>
          <w:rFonts w:hint="eastAsia" w:ascii="Times New Roman" w:hAnsi="Times New Roman" w:eastAsia="宋体" w:cs="Times New Roman"/>
          <w:color w:val="auto"/>
          <w:sz w:val="24"/>
          <w:szCs w:val="24"/>
          <w:lang w:val="en-US" w:eastAsia="zh-CN"/>
        </w:rPr>
        <w:t>经工业污水排放口</w:t>
      </w:r>
      <w:r>
        <w:rPr>
          <w:rFonts w:hint="default" w:ascii="Times New Roman" w:hAnsi="Times New Roman" w:eastAsia="宋体" w:cs="Times New Roman"/>
          <w:color w:val="auto"/>
          <w:sz w:val="24"/>
          <w:szCs w:val="24"/>
        </w:rPr>
        <w:t>排入园区污水处理厂</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监控池设pH、COD、氨氮在线监控，《无机化学工业污染物排放标准》（GB31573-2015）表1中车间或生产设施废水排放口限值标准（总银不高于0.5mg/L）；生活污水经化粪池处理后</w:t>
      </w:r>
      <w:r>
        <w:rPr>
          <w:rFonts w:hint="default" w:ascii="Times New Roman" w:hAnsi="Times New Roman" w:eastAsia="宋体" w:cs="Times New Roman"/>
          <w:color w:val="auto"/>
          <w:sz w:val="24"/>
          <w:szCs w:val="24"/>
        </w:rPr>
        <w:t>能够达到园区污水厂接管指标要求</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经生活污水排放口</w:t>
      </w:r>
      <w:r>
        <w:rPr>
          <w:rFonts w:hint="default" w:ascii="Times New Roman" w:hAnsi="Times New Roman" w:eastAsia="宋体" w:cs="Times New Roman"/>
          <w:color w:val="auto"/>
          <w:sz w:val="24"/>
          <w:szCs w:val="24"/>
        </w:rPr>
        <w:t>排入园区污水处理厂。</w:t>
      </w:r>
    </w:p>
    <w:p>
      <w:pPr>
        <w:widowControl/>
        <w:spacing w:line="360" w:lineRule="auto"/>
        <w:ind w:firstLine="0"/>
        <w:jc w:val="left"/>
        <w:outlineLvl w:val="2"/>
        <w:rPr>
          <w:rFonts w:hint="default" w:ascii="Times New Roman" w:hAnsi="Times New Roman" w:eastAsia="黑体" w:cs="Times New Roman"/>
          <w:bCs/>
          <w:color w:val="auto"/>
          <w:sz w:val="30"/>
          <w:szCs w:val="30"/>
        </w:rPr>
      </w:pPr>
      <w:r>
        <w:rPr>
          <w:rFonts w:hint="default" w:ascii="Times New Roman" w:hAnsi="Times New Roman" w:eastAsia="黑体" w:cs="Times New Roman"/>
          <w:bCs/>
          <w:color w:val="auto"/>
          <w:sz w:val="30"/>
          <w:szCs w:val="30"/>
        </w:rPr>
        <w:t>7.2.</w:t>
      </w:r>
      <w:r>
        <w:rPr>
          <w:rFonts w:hint="eastAsia" w:ascii="Times New Roman" w:hAnsi="Times New Roman" w:eastAsia="黑体" w:cs="Times New Roman"/>
          <w:bCs/>
          <w:color w:val="auto"/>
          <w:sz w:val="30"/>
          <w:szCs w:val="30"/>
          <w:lang w:val="en-US" w:eastAsia="zh-CN"/>
        </w:rPr>
        <w:t>5</w:t>
      </w:r>
      <w:r>
        <w:rPr>
          <w:rFonts w:hint="default" w:ascii="Times New Roman" w:hAnsi="Times New Roman" w:eastAsia="黑体" w:cs="Times New Roman"/>
          <w:bCs/>
          <w:color w:val="auto"/>
          <w:sz w:val="30"/>
          <w:szCs w:val="30"/>
        </w:rPr>
        <w:t>废水</w:t>
      </w:r>
      <w:r>
        <w:rPr>
          <w:rFonts w:hint="eastAsia" w:ascii="Times New Roman" w:hAnsi="Times New Roman" w:eastAsia="黑体" w:cs="Times New Roman"/>
          <w:bCs/>
          <w:color w:val="auto"/>
          <w:sz w:val="30"/>
          <w:szCs w:val="30"/>
          <w:lang w:val="en-US" w:eastAsia="zh-CN"/>
        </w:rPr>
        <w:t>处理设施经济</w:t>
      </w:r>
      <w:r>
        <w:rPr>
          <w:rFonts w:hint="default" w:ascii="Times New Roman" w:hAnsi="Times New Roman" w:eastAsia="黑体" w:cs="Times New Roman"/>
          <w:bCs/>
          <w:color w:val="auto"/>
          <w:sz w:val="30"/>
          <w:szCs w:val="30"/>
        </w:rPr>
        <w:t>可行性分析</w:t>
      </w:r>
    </w:p>
    <w:p>
      <w:pPr>
        <w:snapToGrid w:val="0"/>
        <w:spacing w:line="360" w:lineRule="auto"/>
        <w:ind w:firstLine="482"/>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auto"/>
          <w:sz w:val="24"/>
          <w:szCs w:val="18"/>
          <w:lang w:val="en-US" w:eastAsia="zh-CN"/>
        </w:rPr>
      </w:pPr>
      <w:r>
        <w:rPr>
          <w:rFonts w:hint="default" w:ascii="Times New Roman" w:hAnsi="Times New Roman" w:eastAsia="宋体" w:cs="Times New Roman"/>
          <w:color w:val="auto"/>
          <w:sz w:val="24"/>
          <w:szCs w:val="18"/>
          <w:lang w:val="en-US" w:eastAsia="zh-CN"/>
        </w:rPr>
        <w:t>（1）一次性投资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auto"/>
          <w:sz w:val="24"/>
          <w:szCs w:val="18"/>
          <w:lang w:val="en-US" w:eastAsia="zh-CN"/>
        </w:rPr>
      </w:pPr>
      <w:r>
        <w:rPr>
          <w:rFonts w:hint="default" w:ascii="Times New Roman" w:hAnsi="Times New Roman" w:eastAsia="宋体" w:cs="Times New Roman"/>
          <w:color w:val="auto"/>
          <w:sz w:val="24"/>
          <w:szCs w:val="18"/>
          <w:lang w:val="en-US" w:eastAsia="zh-CN"/>
        </w:rPr>
        <w:t>根据项目废水治理方案，项目废水治理设施环保投入为</w:t>
      </w:r>
      <w:r>
        <w:rPr>
          <w:rFonts w:hint="eastAsia" w:ascii="Times New Roman" w:hAnsi="Times New Roman" w:eastAsia="宋体" w:cs="Times New Roman"/>
          <w:color w:val="auto"/>
          <w:sz w:val="24"/>
          <w:szCs w:val="18"/>
          <w:lang w:val="en-US" w:eastAsia="zh-CN"/>
        </w:rPr>
        <w:t>1800</w:t>
      </w:r>
      <w:r>
        <w:rPr>
          <w:rFonts w:hint="default" w:ascii="Times New Roman" w:hAnsi="Times New Roman" w:eastAsia="宋体" w:cs="Times New Roman"/>
          <w:color w:val="auto"/>
          <w:sz w:val="24"/>
          <w:szCs w:val="18"/>
          <w:lang w:val="en-US" w:eastAsia="zh-CN"/>
        </w:rPr>
        <w:t>万元，占项目总投资41784.07万元的</w:t>
      </w:r>
      <w:r>
        <w:rPr>
          <w:rFonts w:hint="eastAsia" w:ascii="Times New Roman" w:hAnsi="Times New Roman" w:eastAsia="宋体" w:cs="Times New Roman"/>
          <w:color w:val="auto"/>
          <w:sz w:val="24"/>
          <w:szCs w:val="18"/>
          <w:lang w:val="en-US" w:eastAsia="zh-CN"/>
        </w:rPr>
        <w:t>4.3</w:t>
      </w:r>
      <w:r>
        <w:rPr>
          <w:rFonts w:hint="default" w:ascii="Times New Roman" w:hAnsi="Times New Roman" w:eastAsia="宋体" w:cs="Times New Roman"/>
          <w:color w:val="auto"/>
          <w:sz w:val="24"/>
          <w:szCs w:val="18"/>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auto"/>
          <w:sz w:val="24"/>
          <w:szCs w:val="18"/>
          <w:lang w:val="en-US" w:eastAsia="zh-CN"/>
        </w:rPr>
      </w:pPr>
      <w:r>
        <w:rPr>
          <w:rFonts w:hint="eastAsia" w:ascii="Times New Roman" w:hAnsi="Times New Roman" w:eastAsia="宋体" w:cs="Times New Roman"/>
          <w:color w:val="auto"/>
          <w:sz w:val="24"/>
          <w:szCs w:val="18"/>
          <w:lang w:val="en-US" w:eastAsia="zh-CN"/>
        </w:rPr>
        <w:t>（2）</w:t>
      </w:r>
      <w:r>
        <w:rPr>
          <w:rFonts w:hint="default" w:ascii="Times New Roman" w:hAnsi="Times New Roman" w:eastAsia="宋体" w:cs="Times New Roman"/>
          <w:color w:val="auto"/>
          <w:sz w:val="24"/>
          <w:szCs w:val="18"/>
          <w:lang w:val="en-US" w:eastAsia="zh-CN"/>
        </w:rPr>
        <w:t>运行费用</w:t>
      </w:r>
    </w:p>
    <w:p>
      <w:pPr>
        <w:pStyle w:val="24"/>
        <w:keepNext w:val="0"/>
        <w:keepLines w:val="0"/>
        <w:pageBreakBefore w:val="0"/>
        <w:widowControl w:val="0"/>
        <w:kinsoku/>
        <w:wordWrap/>
        <w:overflowPunct/>
        <w:topLinePunct w:val="0"/>
        <w:autoSpaceDN/>
        <w:bidi w:val="0"/>
        <w:adjustRightInd/>
        <w:snapToGrid/>
        <w:spacing w:after="0" w:line="360" w:lineRule="auto"/>
        <w:ind w:left="0" w:firstLine="480"/>
        <w:textAlignment w:val="auto"/>
        <w:outlineLvl w:val="9"/>
        <w:rPr>
          <w:rFonts w:hint="default" w:ascii="Times New Roman" w:hAnsi="Times New Roman" w:eastAsia="宋体" w:cs="Times New Roman"/>
          <w:iCs/>
          <w:color w:val="auto"/>
          <w:sz w:val="24"/>
          <w:szCs w:val="24"/>
          <w:lang w:val="en-US" w:eastAsia="zh-CN"/>
        </w:rPr>
      </w:pPr>
      <w:r>
        <w:rPr>
          <w:rFonts w:hint="eastAsia" w:ascii="Times New Roman" w:hAnsi="Times New Roman" w:eastAsia="宋体" w:cs="Times New Roman"/>
          <w:iCs/>
          <w:color w:val="auto"/>
          <w:sz w:val="24"/>
          <w:szCs w:val="24"/>
          <w:lang w:val="en-US" w:eastAsia="zh-CN"/>
        </w:rPr>
        <w:t>①</w:t>
      </w:r>
      <w:r>
        <w:rPr>
          <w:rFonts w:hint="eastAsia" w:ascii="Times New Roman" w:hAnsi="Times New Roman" w:cs="Times New Roman"/>
          <w:iCs/>
          <w:color w:val="auto"/>
          <w:sz w:val="24"/>
          <w:szCs w:val="24"/>
          <w:lang w:val="en-US" w:eastAsia="zh-CN"/>
        </w:rPr>
        <w:t>蒸发器运行费用</w:t>
      </w:r>
    </w:p>
    <w:p>
      <w:pPr>
        <w:pStyle w:val="24"/>
        <w:keepNext w:val="0"/>
        <w:keepLines w:val="0"/>
        <w:pageBreakBefore w:val="0"/>
        <w:widowControl w:val="0"/>
        <w:kinsoku/>
        <w:wordWrap/>
        <w:overflowPunct/>
        <w:topLinePunct w:val="0"/>
        <w:autoSpaceDN/>
        <w:bidi w:val="0"/>
        <w:adjustRightInd/>
        <w:snapToGrid/>
        <w:spacing w:after="0" w:line="360" w:lineRule="auto"/>
        <w:ind w:left="0" w:firstLine="480"/>
        <w:textAlignment w:val="auto"/>
        <w:outlineLvl w:val="9"/>
        <w:rPr>
          <w:rFonts w:hint="eastAsia" w:ascii="Times New Roman" w:hAnsi="Times New Roman" w:eastAsia="宋体" w:cs="Times New Roman"/>
          <w:iCs/>
          <w:color w:val="auto"/>
          <w:sz w:val="24"/>
          <w:szCs w:val="24"/>
          <w:lang w:val="en-US" w:eastAsia="zh-CN"/>
        </w:rPr>
      </w:pPr>
      <w:r>
        <w:rPr>
          <w:rFonts w:hint="eastAsia" w:ascii="Times New Roman" w:hAnsi="Times New Roman" w:eastAsia="宋体" w:cs="Times New Roman"/>
          <w:iCs/>
          <w:color w:val="auto"/>
          <w:sz w:val="24"/>
          <w:szCs w:val="24"/>
          <w:lang w:val="en-US" w:eastAsia="zh-CN"/>
        </w:rPr>
        <w:t>根据</w:t>
      </w:r>
      <w:r>
        <w:rPr>
          <w:rFonts w:hint="eastAsia" w:ascii="Times New Roman" w:hAnsi="Times New Roman" w:cs="Times New Roman"/>
          <w:iCs/>
          <w:color w:val="auto"/>
          <w:sz w:val="24"/>
          <w:szCs w:val="24"/>
          <w:lang w:val="en-US" w:eastAsia="zh-CN"/>
        </w:rPr>
        <w:t>项目废水治理方案</w:t>
      </w:r>
      <w:r>
        <w:rPr>
          <w:rFonts w:hint="eastAsia" w:ascii="Times New Roman" w:hAnsi="Times New Roman" w:eastAsia="宋体" w:cs="Times New Roman"/>
          <w:iCs/>
          <w:color w:val="auto"/>
          <w:sz w:val="24"/>
          <w:szCs w:val="24"/>
          <w:lang w:val="en-US" w:eastAsia="zh-CN"/>
        </w:rPr>
        <w:t>，</w:t>
      </w:r>
      <w:r>
        <w:rPr>
          <w:rFonts w:hint="eastAsia" w:ascii="Times New Roman" w:hAnsi="Times New Roman" w:cs="Times New Roman"/>
          <w:iCs/>
          <w:color w:val="auto"/>
          <w:sz w:val="24"/>
          <w:szCs w:val="24"/>
          <w:lang w:val="en-US" w:eastAsia="zh-CN"/>
        </w:rPr>
        <w:t>含银废液</w:t>
      </w:r>
      <w:r>
        <w:rPr>
          <w:rFonts w:hint="eastAsia" w:ascii="Times New Roman" w:hAnsi="Times New Roman" w:eastAsia="宋体" w:cs="Times New Roman"/>
          <w:iCs/>
          <w:color w:val="auto"/>
          <w:sz w:val="24"/>
          <w:szCs w:val="24"/>
          <w:lang w:val="en-US" w:eastAsia="zh-CN"/>
        </w:rPr>
        <w:t>三效蒸发器吨水运行成本为52.6元，年运行费用78.9万元；污水站三效蒸发器吨水运行成本为52.6元，年运行费用94.68万元。</w:t>
      </w:r>
    </w:p>
    <w:p>
      <w:pPr>
        <w:pStyle w:val="24"/>
        <w:keepNext w:val="0"/>
        <w:keepLines w:val="0"/>
        <w:pageBreakBefore w:val="0"/>
        <w:widowControl w:val="0"/>
        <w:kinsoku/>
        <w:wordWrap/>
        <w:overflowPunct/>
        <w:topLinePunct w:val="0"/>
        <w:autoSpaceDN/>
        <w:bidi w:val="0"/>
        <w:adjustRightInd/>
        <w:snapToGrid/>
        <w:spacing w:after="0" w:line="360" w:lineRule="auto"/>
        <w:ind w:left="0" w:firstLine="480"/>
        <w:textAlignment w:val="auto"/>
        <w:outlineLvl w:val="9"/>
        <w:rPr>
          <w:rFonts w:hint="eastAsia" w:ascii="Times New Roman" w:hAnsi="Times New Roman" w:cs="Times New Roman"/>
          <w:iCs/>
          <w:color w:val="auto"/>
          <w:sz w:val="24"/>
          <w:szCs w:val="24"/>
          <w:lang w:val="en-US" w:eastAsia="zh-CN"/>
        </w:rPr>
      </w:pPr>
      <w:r>
        <w:rPr>
          <w:rFonts w:hint="eastAsia" w:ascii="Times New Roman" w:hAnsi="Times New Roman" w:eastAsia="宋体" w:cs="Times New Roman"/>
          <w:iCs/>
          <w:color w:val="auto"/>
          <w:sz w:val="24"/>
          <w:szCs w:val="24"/>
          <w:lang w:val="en-US" w:eastAsia="zh-CN"/>
        </w:rPr>
        <w:t>②</w:t>
      </w:r>
      <w:r>
        <w:rPr>
          <w:rFonts w:hint="eastAsia" w:ascii="Times New Roman" w:hAnsi="Times New Roman" w:cs="Times New Roman"/>
          <w:iCs/>
          <w:color w:val="auto"/>
          <w:sz w:val="24"/>
          <w:szCs w:val="24"/>
          <w:lang w:val="en-US" w:eastAsia="zh-CN"/>
        </w:rPr>
        <w:t>综合污水站运行费用</w:t>
      </w:r>
    </w:p>
    <w:p>
      <w:pPr>
        <w:pStyle w:val="24"/>
        <w:keepNext w:val="0"/>
        <w:keepLines w:val="0"/>
        <w:pageBreakBefore w:val="0"/>
        <w:widowControl w:val="0"/>
        <w:kinsoku/>
        <w:wordWrap/>
        <w:overflowPunct/>
        <w:topLinePunct w:val="0"/>
        <w:autoSpaceDN/>
        <w:bidi w:val="0"/>
        <w:adjustRightInd/>
        <w:snapToGrid/>
        <w:spacing w:after="0" w:line="360" w:lineRule="auto"/>
        <w:ind w:left="0" w:firstLine="480"/>
        <w:textAlignment w:val="auto"/>
        <w:outlineLvl w:val="9"/>
        <w:rPr>
          <w:rFonts w:hint="default" w:ascii="Times New Roman" w:hAnsi="Times New Roman" w:eastAsia="宋体" w:cs="Times New Roman"/>
          <w:iCs/>
          <w:color w:val="auto"/>
          <w:sz w:val="24"/>
          <w:szCs w:val="24"/>
        </w:rPr>
      </w:pPr>
      <w:r>
        <w:rPr>
          <w:rFonts w:hint="eastAsia" w:ascii="Times New Roman" w:hAnsi="Times New Roman" w:cs="Times New Roman"/>
          <w:iCs/>
          <w:color w:val="auto"/>
          <w:sz w:val="24"/>
          <w:szCs w:val="24"/>
          <w:lang w:val="en-US" w:eastAsia="zh-CN"/>
        </w:rPr>
        <w:t>A、</w:t>
      </w:r>
      <w:r>
        <w:rPr>
          <w:rFonts w:hint="default" w:ascii="Times New Roman" w:hAnsi="Times New Roman" w:eastAsia="宋体" w:cs="Times New Roman"/>
          <w:iCs/>
          <w:color w:val="auto"/>
          <w:sz w:val="24"/>
          <w:szCs w:val="24"/>
        </w:rPr>
        <w:t>电费</w:t>
      </w:r>
    </w:p>
    <w:p>
      <w:pPr>
        <w:keepNext w:val="0"/>
        <w:keepLines w:val="0"/>
        <w:pageBreakBefore w:val="0"/>
        <w:widowControl w:val="0"/>
        <w:kinsoku/>
        <w:wordWrap/>
        <w:overflowPunct/>
        <w:topLinePunct w:val="0"/>
        <w:autoSpaceDN/>
        <w:bidi w:val="0"/>
        <w:adjustRightInd/>
        <w:snapToGrid/>
        <w:spacing w:line="360" w:lineRule="auto"/>
        <w:ind w:left="0" w:firstLine="480"/>
        <w:textAlignment w:val="auto"/>
        <w:outlineLvl w:val="9"/>
        <w:rPr>
          <w:rFonts w:hint="default" w:ascii="Times New Roman" w:hAnsi="Times New Roman" w:eastAsia="宋体" w:cs="Times New Roman"/>
          <w:iCs/>
          <w:color w:val="auto"/>
          <w:sz w:val="24"/>
          <w:szCs w:val="24"/>
        </w:rPr>
      </w:pPr>
      <w:r>
        <w:rPr>
          <w:rFonts w:hint="default" w:ascii="Times New Roman" w:hAnsi="Times New Roman" w:eastAsia="宋体" w:cs="Times New Roman"/>
          <w:iCs/>
          <w:color w:val="auto"/>
          <w:sz w:val="24"/>
          <w:szCs w:val="24"/>
          <w:lang w:val="en-US" w:eastAsia="zh-CN"/>
        </w:rPr>
        <w:t>根据污水设施配套用</w:t>
      </w:r>
      <w:r>
        <w:rPr>
          <w:rFonts w:hint="eastAsia" w:ascii="Times New Roman" w:hAnsi="Times New Roman" w:eastAsia="宋体" w:cs="Times New Roman"/>
          <w:iCs/>
          <w:color w:val="auto"/>
          <w:sz w:val="24"/>
          <w:szCs w:val="24"/>
          <w:lang w:val="en-US" w:eastAsia="zh-CN"/>
        </w:rPr>
        <w:t>电</w:t>
      </w:r>
      <w:r>
        <w:rPr>
          <w:rFonts w:hint="default" w:ascii="Times New Roman" w:hAnsi="Times New Roman" w:eastAsia="宋体" w:cs="Times New Roman"/>
          <w:iCs/>
          <w:color w:val="auto"/>
          <w:sz w:val="24"/>
          <w:szCs w:val="24"/>
          <w:lang w:val="en-US" w:eastAsia="zh-CN"/>
        </w:rPr>
        <w:t>负荷，</w:t>
      </w:r>
      <w:r>
        <w:rPr>
          <w:rFonts w:hint="default" w:ascii="Times New Roman" w:hAnsi="Times New Roman" w:eastAsia="宋体" w:cs="Times New Roman"/>
          <w:iCs/>
          <w:color w:val="auto"/>
          <w:sz w:val="24"/>
          <w:szCs w:val="24"/>
        </w:rPr>
        <w:t>电费为</w:t>
      </w:r>
      <w:r>
        <w:rPr>
          <w:rFonts w:hint="default" w:ascii="Times New Roman" w:hAnsi="Times New Roman" w:eastAsia="宋体" w:cs="Times New Roman"/>
          <w:color w:val="auto"/>
          <w:sz w:val="24"/>
          <w:szCs w:val="24"/>
        </w:rPr>
        <w:t>0.6</w:t>
      </w:r>
      <w:r>
        <w:rPr>
          <w:rFonts w:hint="default" w:ascii="Times New Roman" w:hAnsi="Times New Roman" w:eastAsia="宋体" w:cs="Times New Roman"/>
          <w:iCs/>
          <w:color w:val="auto"/>
          <w:sz w:val="24"/>
          <w:szCs w:val="24"/>
        </w:rPr>
        <w:t>元/(</w:t>
      </w:r>
      <w:r>
        <w:rPr>
          <w:rFonts w:hint="default" w:ascii="Times New Roman" w:hAnsi="Times New Roman" w:eastAsia="宋体" w:cs="Times New Roman"/>
          <w:color w:val="auto"/>
          <w:sz w:val="24"/>
          <w:szCs w:val="24"/>
        </w:rPr>
        <w:t>KW·h</w:t>
      </w:r>
      <w:r>
        <w:rPr>
          <w:rFonts w:hint="default" w:ascii="Times New Roman" w:hAnsi="Times New Roman" w:eastAsia="宋体" w:cs="Times New Roman"/>
          <w:iCs/>
          <w:color w:val="auto"/>
          <w:sz w:val="24"/>
          <w:szCs w:val="24"/>
        </w:rPr>
        <w:t>)计</w:t>
      </w:r>
      <w:r>
        <w:rPr>
          <w:rFonts w:hint="default" w:ascii="Times New Roman" w:hAnsi="Times New Roman" w:eastAsia="宋体" w:cs="Times New Roman"/>
          <w:iCs/>
          <w:color w:val="auto"/>
          <w:sz w:val="24"/>
          <w:szCs w:val="24"/>
          <w:lang w:eastAsia="zh-CN"/>
        </w:rPr>
        <w:t>，</w:t>
      </w:r>
      <w:r>
        <w:rPr>
          <w:rFonts w:hint="default" w:ascii="Times New Roman" w:hAnsi="Times New Roman" w:eastAsia="宋体" w:cs="Times New Roman"/>
          <w:iCs/>
          <w:color w:val="auto"/>
          <w:sz w:val="24"/>
          <w:szCs w:val="24"/>
        </w:rPr>
        <w:t>实标消耗功率为消耗容量的</w:t>
      </w:r>
      <w:r>
        <w:rPr>
          <w:rFonts w:hint="eastAsia" w:ascii="Times New Roman" w:hAnsi="Times New Roman" w:eastAsia="宋体" w:cs="Times New Roman"/>
          <w:color w:val="auto"/>
          <w:sz w:val="24"/>
          <w:szCs w:val="24"/>
          <w:lang w:val="en-US" w:eastAsia="zh-CN"/>
        </w:rPr>
        <w:t>75</w:t>
      </w:r>
      <w:r>
        <w:rPr>
          <w:rFonts w:hint="default" w:ascii="Times New Roman" w:hAnsi="Times New Roman" w:eastAsia="宋体" w:cs="Times New Roman"/>
          <w:color w:val="auto"/>
          <w:sz w:val="24"/>
          <w:szCs w:val="24"/>
        </w:rPr>
        <w:t>%</w:t>
      </w:r>
      <w:r>
        <w:rPr>
          <w:rFonts w:hint="default" w:ascii="Times New Roman" w:hAnsi="Times New Roman" w:eastAsia="宋体" w:cs="Times New Roman"/>
          <w:iCs/>
          <w:color w:val="auto"/>
          <w:sz w:val="24"/>
          <w:szCs w:val="24"/>
          <w:lang w:eastAsia="zh-CN"/>
        </w:rPr>
        <w:t>，</w:t>
      </w:r>
      <w:r>
        <w:rPr>
          <w:rFonts w:hint="default" w:ascii="Times New Roman" w:hAnsi="Times New Roman" w:eastAsia="宋体" w:cs="Times New Roman"/>
          <w:color w:val="auto"/>
          <w:sz w:val="24"/>
          <w:szCs w:val="24"/>
        </w:rPr>
        <w:t>E1=</w:t>
      </w:r>
      <w:r>
        <w:rPr>
          <w:rFonts w:hint="eastAsia" w:ascii="Times New Roman" w:hAnsi="Times New Roman" w:eastAsia="宋体" w:cs="Times New Roman"/>
          <w:color w:val="auto"/>
          <w:sz w:val="24"/>
          <w:szCs w:val="24"/>
          <w:lang w:val="en-US" w:eastAsia="zh-CN"/>
        </w:rPr>
        <w:t>1188</w:t>
      </w:r>
      <w:r>
        <w:rPr>
          <w:rFonts w:hint="default" w:ascii="Times New Roman" w:hAnsi="Times New Roman" w:eastAsia="宋体" w:cs="Times New Roman"/>
          <w:iCs/>
          <w:color w:val="auto"/>
          <w:sz w:val="24"/>
          <w:szCs w:val="24"/>
        </w:rPr>
        <w:t>元。</w:t>
      </w:r>
    </w:p>
    <w:p>
      <w:pPr>
        <w:keepNext w:val="0"/>
        <w:keepLines w:val="0"/>
        <w:pageBreakBefore w:val="0"/>
        <w:widowControl w:val="0"/>
        <w:kinsoku/>
        <w:wordWrap/>
        <w:overflowPunct/>
        <w:topLinePunct w:val="0"/>
        <w:autoSpaceDN/>
        <w:bidi w:val="0"/>
        <w:adjustRightInd/>
        <w:snapToGrid/>
        <w:spacing w:line="360" w:lineRule="auto"/>
        <w:ind w:left="0" w:firstLine="480"/>
        <w:textAlignment w:val="auto"/>
        <w:outlineLvl w:val="9"/>
        <w:rPr>
          <w:rFonts w:hint="default" w:ascii="Times New Roman" w:hAnsi="Times New Roman" w:eastAsia="宋体" w:cs="Times New Roman"/>
          <w:iCs/>
          <w:color w:val="auto"/>
          <w:sz w:val="24"/>
          <w:szCs w:val="24"/>
        </w:rPr>
      </w:pPr>
      <w:r>
        <w:rPr>
          <w:rFonts w:hint="eastAsia" w:ascii="Times New Roman" w:hAnsi="Times New Roman" w:eastAsia="宋体" w:cs="Times New Roman"/>
          <w:iCs/>
          <w:color w:val="auto"/>
          <w:sz w:val="24"/>
          <w:szCs w:val="24"/>
          <w:lang w:val="en-US" w:eastAsia="zh-CN"/>
        </w:rPr>
        <w:t>B、</w:t>
      </w:r>
      <w:r>
        <w:rPr>
          <w:rFonts w:hint="default" w:ascii="Times New Roman" w:hAnsi="Times New Roman" w:eastAsia="宋体" w:cs="Times New Roman"/>
          <w:iCs/>
          <w:color w:val="auto"/>
          <w:sz w:val="24"/>
          <w:szCs w:val="24"/>
        </w:rPr>
        <w:t>药剂费</w:t>
      </w:r>
    </w:p>
    <w:p>
      <w:pPr>
        <w:keepNext w:val="0"/>
        <w:keepLines w:val="0"/>
        <w:pageBreakBefore w:val="0"/>
        <w:widowControl w:val="0"/>
        <w:kinsoku/>
        <w:wordWrap/>
        <w:overflowPunct/>
        <w:topLinePunct w:val="0"/>
        <w:autoSpaceDN/>
        <w:bidi w:val="0"/>
        <w:adjustRightInd/>
        <w:snapToGrid/>
        <w:spacing w:line="360" w:lineRule="auto"/>
        <w:ind w:left="0" w:firstLine="480"/>
        <w:textAlignment w:val="auto"/>
        <w:outlineLvl w:val="9"/>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a、</w:t>
      </w:r>
      <w:r>
        <w:rPr>
          <w:rFonts w:hint="default" w:ascii="Times New Roman" w:hAnsi="Times New Roman" w:eastAsia="宋体" w:cs="Times New Roman"/>
          <w:color w:val="auto"/>
          <w:sz w:val="24"/>
          <w:szCs w:val="24"/>
        </w:rPr>
        <w:t>氢氧化钠每日费用为</w:t>
      </w:r>
      <w:r>
        <w:rPr>
          <w:rFonts w:hint="eastAsia" w:ascii="Times New Roman" w:hAnsi="Times New Roman" w:eastAsia="宋体" w:cs="Times New Roman"/>
          <w:color w:val="auto"/>
          <w:sz w:val="24"/>
          <w:szCs w:val="24"/>
          <w:lang w:val="en-US" w:eastAsia="zh-CN"/>
        </w:rPr>
        <w:t>13</w:t>
      </w:r>
      <w:r>
        <w:rPr>
          <w:rFonts w:hint="default" w:ascii="Times New Roman" w:hAnsi="Times New Roman" w:eastAsia="宋体" w:cs="Times New Roman"/>
          <w:color w:val="auto"/>
          <w:sz w:val="24"/>
          <w:szCs w:val="24"/>
        </w:rPr>
        <w:t>0元。（根据原水PH值的变化）</w:t>
      </w:r>
    </w:p>
    <w:p>
      <w:pPr>
        <w:keepNext w:val="0"/>
        <w:keepLines w:val="0"/>
        <w:pageBreakBefore w:val="0"/>
        <w:widowControl w:val="0"/>
        <w:kinsoku/>
        <w:wordWrap/>
        <w:overflowPunct/>
        <w:topLinePunct w:val="0"/>
        <w:autoSpaceDN/>
        <w:bidi w:val="0"/>
        <w:adjustRightInd/>
        <w:snapToGrid/>
        <w:spacing w:line="360" w:lineRule="auto"/>
        <w:ind w:left="0" w:firstLine="480"/>
        <w:textAlignment w:val="auto"/>
        <w:outlineLvl w:val="9"/>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b、</w:t>
      </w:r>
      <w:r>
        <w:rPr>
          <w:rFonts w:hint="default" w:ascii="Times New Roman" w:hAnsi="Times New Roman" w:eastAsia="宋体" w:cs="Times New Roman"/>
          <w:color w:val="auto"/>
          <w:sz w:val="24"/>
          <w:szCs w:val="24"/>
        </w:rPr>
        <w:t>PAC每日费用为150元。</w:t>
      </w:r>
    </w:p>
    <w:p>
      <w:pPr>
        <w:keepNext w:val="0"/>
        <w:keepLines w:val="0"/>
        <w:pageBreakBefore w:val="0"/>
        <w:widowControl w:val="0"/>
        <w:kinsoku/>
        <w:wordWrap/>
        <w:overflowPunct/>
        <w:topLinePunct w:val="0"/>
        <w:autoSpaceDN/>
        <w:bidi w:val="0"/>
        <w:adjustRightInd/>
        <w:snapToGrid/>
        <w:spacing w:line="360" w:lineRule="auto"/>
        <w:ind w:left="0" w:firstLine="480"/>
        <w:textAlignment w:val="auto"/>
        <w:outlineLvl w:val="9"/>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c、</w:t>
      </w:r>
      <w:r>
        <w:rPr>
          <w:rFonts w:hint="default" w:ascii="Times New Roman" w:hAnsi="Times New Roman" w:eastAsia="宋体" w:cs="Times New Roman"/>
          <w:color w:val="auto"/>
          <w:sz w:val="24"/>
          <w:szCs w:val="24"/>
        </w:rPr>
        <w:t>PAM每日费用为</w:t>
      </w:r>
      <w:r>
        <w:rPr>
          <w:rFonts w:hint="eastAsia" w:ascii="Times New Roman" w:hAnsi="Times New Roman" w:eastAsia="宋体" w:cs="Times New Roman"/>
          <w:color w:val="auto"/>
          <w:sz w:val="24"/>
          <w:szCs w:val="24"/>
          <w:lang w:val="en-US" w:eastAsia="zh-CN"/>
        </w:rPr>
        <w:t>18</w:t>
      </w:r>
      <w:r>
        <w:rPr>
          <w:rFonts w:hint="default" w:ascii="Times New Roman" w:hAnsi="Times New Roman" w:eastAsia="宋体" w:cs="Times New Roman"/>
          <w:color w:val="auto"/>
          <w:sz w:val="24"/>
          <w:szCs w:val="24"/>
        </w:rPr>
        <w:t>元。</w:t>
      </w:r>
    </w:p>
    <w:p>
      <w:pPr>
        <w:keepNext w:val="0"/>
        <w:keepLines w:val="0"/>
        <w:pageBreakBefore w:val="0"/>
        <w:widowControl w:val="0"/>
        <w:kinsoku/>
        <w:wordWrap/>
        <w:overflowPunct/>
        <w:topLinePunct w:val="0"/>
        <w:autoSpaceDN/>
        <w:bidi w:val="0"/>
        <w:adjustRightInd/>
        <w:snapToGrid/>
        <w:spacing w:line="360" w:lineRule="auto"/>
        <w:ind w:left="0" w:firstLine="480"/>
        <w:textAlignment w:val="auto"/>
        <w:outlineLvl w:val="9"/>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d、UF+RO系统每日药剂投加费用为：95元（含盐酸、氢氧化钠、次氯酸钠、阻垢剂、还原剂、非氧化杀菌剂等）。</w:t>
      </w:r>
    </w:p>
    <w:p>
      <w:pPr>
        <w:keepNext w:val="0"/>
        <w:keepLines w:val="0"/>
        <w:pageBreakBefore w:val="0"/>
        <w:widowControl w:val="0"/>
        <w:kinsoku/>
        <w:wordWrap/>
        <w:overflowPunct/>
        <w:topLinePunct w:val="0"/>
        <w:autoSpaceDN/>
        <w:bidi w:val="0"/>
        <w:adjustRightInd/>
        <w:snapToGrid/>
        <w:spacing w:line="360" w:lineRule="auto"/>
        <w:ind w:left="0" w:firstLine="48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则每日药剂费为:</w:t>
      </w:r>
    </w:p>
    <w:p>
      <w:pPr>
        <w:keepNext w:val="0"/>
        <w:keepLines w:val="0"/>
        <w:pageBreakBefore w:val="0"/>
        <w:widowControl w:val="0"/>
        <w:kinsoku/>
        <w:wordWrap/>
        <w:overflowPunct/>
        <w:topLinePunct w:val="0"/>
        <w:autoSpaceDN/>
        <w:bidi w:val="0"/>
        <w:adjustRightInd/>
        <w:snapToGrid/>
        <w:spacing w:line="360" w:lineRule="auto"/>
        <w:ind w:left="0" w:firstLine="48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E2 =</w:t>
      </w:r>
      <w:r>
        <w:rPr>
          <w:rFonts w:hint="eastAsia" w:ascii="Times New Roman" w:hAnsi="Times New Roman" w:eastAsia="宋体" w:cs="Times New Roman"/>
          <w:color w:val="auto"/>
          <w:sz w:val="24"/>
          <w:szCs w:val="24"/>
          <w:lang w:val="en-US" w:eastAsia="zh-CN"/>
        </w:rPr>
        <w:t>130</w:t>
      </w:r>
      <w:r>
        <w:rPr>
          <w:rFonts w:hint="default" w:ascii="Times New Roman" w:hAnsi="Times New Roman" w:eastAsia="宋体" w:cs="Times New Roman"/>
          <w:color w:val="auto"/>
          <w:sz w:val="24"/>
          <w:szCs w:val="24"/>
        </w:rPr>
        <w:t xml:space="preserve"> + 150 + </w:t>
      </w:r>
      <w:r>
        <w:rPr>
          <w:rFonts w:hint="eastAsia" w:ascii="Times New Roman" w:hAnsi="Times New Roman" w:eastAsia="宋体" w:cs="Times New Roman"/>
          <w:color w:val="auto"/>
          <w:sz w:val="24"/>
          <w:szCs w:val="24"/>
          <w:lang w:val="en-US" w:eastAsia="zh-CN"/>
        </w:rPr>
        <w:t>18</w:t>
      </w:r>
      <w:r>
        <w:rPr>
          <w:rFonts w:hint="default" w:ascii="Times New Roman" w:hAnsi="Times New Roman" w:eastAsia="宋体" w:cs="Times New Roman"/>
          <w:color w:val="auto"/>
          <w:sz w:val="24"/>
          <w:szCs w:val="24"/>
        </w:rPr>
        <w:t xml:space="preserve"> + </w:t>
      </w:r>
      <w:r>
        <w:rPr>
          <w:rFonts w:hint="eastAsia" w:ascii="Times New Roman" w:hAnsi="Times New Roman" w:eastAsia="宋体" w:cs="Times New Roman"/>
          <w:color w:val="auto"/>
          <w:sz w:val="24"/>
          <w:szCs w:val="24"/>
          <w:lang w:val="en-US" w:eastAsia="zh-CN"/>
        </w:rPr>
        <w:t>95</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393</w:t>
      </w:r>
      <w:r>
        <w:rPr>
          <w:rFonts w:hint="default" w:ascii="Times New Roman" w:hAnsi="Times New Roman" w:eastAsia="宋体" w:cs="Times New Roman"/>
          <w:color w:val="auto"/>
          <w:sz w:val="24"/>
          <w:szCs w:val="24"/>
        </w:rPr>
        <w:t>元 。</w:t>
      </w:r>
    </w:p>
    <w:p>
      <w:pPr>
        <w:keepNext w:val="0"/>
        <w:keepLines w:val="0"/>
        <w:pageBreakBefore w:val="0"/>
        <w:widowControl w:val="0"/>
        <w:kinsoku/>
        <w:wordWrap/>
        <w:overflowPunct/>
        <w:topLinePunct w:val="0"/>
        <w:autoSpaceDN/>
        <w:bidi w:val="0"/>
        <w:adjustRightInd/>
        <w:snapToGrid/>
        <w:spacing w:line="360" w:lineRule="auto"/>
        <w:ind w:left="0" w:firstLine="480"/>
        <w:textAlignment w:val="auto"/>
        <w:outlineLvl w:val="9"/>
        <w:rPr>
          <w:rFonts w:hint="default" w:ascii="Times New Roman" w:hAnsi="Times New Roman" w:eastAsia="宋体" w:cs="Times New Roman"/>
          <w:iCs/>
          <w:color w:val="auto"/>
          <w:sz w:val="24"/>
          <w:szCs w:val="24"/>
        </w:rPr>
      </w:pPr>
      <w:r>
        <w:rPr>
          <w:rFonts w:hint="eastAsia" w:ascii="Times New Roman" w:hAnsi="Times New Roman" w:eastAsia="宋体" w:cs="Times New Roman"/>
          <w:iCs/>
          <w:color w:val="auto"/>
          <w:sz w:val="24"/>
          <w:szCs w:val="24"/>
          <w:lang w:val="en-US" w:eastAsia="zh-CN"/>
        </w:rPr>
        <w:t>C、</w:t>
      </w:r>
      <w:r>
        <w:rPr>
          <w:rFonts w:hint="default" w:ascii="Times New Roman" w:hAnsi="Times New Roman" w:eastAsia="宋体" w:cs="Times New Roman"/>
          <w:iCs/>
          <w:color w:val="auto"/>
          <w:sz w:val="24"/>
          <w:szCs w:val="24"/>
        </w:rPr>
        <w:t>人工费</w:t>
      </w:r>
    </w:p>
    <w:p>
      <w:pPr>
        <w:keepNext w:val="0"/>
        <w:keepLines w:val="0"/>
        <w:pageBreakBefore w:val="0"/>
        <w:widowControl w:val="0"/>
        <w:kinsoku/>
        <w:wordWrap/>
        <w:overflowPunct/>
        <w:topLinePunct w:val="0"/>
        <w:autoSpaceDN/>
        <w:bidi w:val="0"/>
        <w:adjustRightInd/>
        <w:snapToGrid/>
        <w:spacing w:line="360" w:lineRule="auto"/>
        <w:ind w:left="0" w:firstLine="480"/>
        <w:textAlignment w:val="auto"/>
        <w:outlineLvl w:val="9"/>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每人每月工资4000元，共5人</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则每日人工费为</w:t>
      </w:r>
      <w:r>
        <w:rPr>
          <w:rFonts w:hint="default" w:ascii="Times New Roman" w:hAnsi="Times New Roman" w:eastAsia="宋体" w:cs="Times New Roman"/>
          <w:color w:val="auto"/>
          <w:sz w:val="24"/>
          <w:szCs w:val="24"/>
          <w:lang w:eastAsia="zh-CN"/>
        </w:rPr>
        <w:t>：</w:t>
      </w:r>
    </w:p>
    <w:p>
      <w:pPr>
        <w:keepNext w:val="0"/>
        <w:keepLines w:val="0"/>
        <w:pageBreakBefore w:val="0"/>
        <w:widowControl w:val="0"/>
        <w:kinsoku/>
        <w:wordWrap/>
        <w:overflowPunct/>
        <w:topLinePunct w:val="0"/>
        <w:autoSpaceDN/>
        <w:bidi w:val="0"/>
        <w:adjustRightInd/>
        <w:snapToGrid/>
        <w:spacing w:line="360" w:lineRule="auto"/>
        <w:ind w:left="0" w:firstLine="48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E3= 4000×5/30 = 666元。</w:t>
      </w:r>
    </w:p>
    <w:p>
      <w:pPr>
        <w:keepNext w:val="0"/>
        <w:keepLines w:val="0"/>
        <w:pageBreakBefore w:val="0"/>
        <w:widowControl w:val="0"/>
        <w:kinsoku/>
        <w:wordWrap/>
        <w:overflowPunct/>
        <w:topLinePunct w:val="0"/>
        <w:autoSpaceDN/>
        <w:bidi w:val="0"/>
        <w:adjustRightInd/>
        <w:snapToGrid/>
        <w:spacing w:line="360" w:lineRule="auto"/>
        <w:ind w:left="0" w:firstLine="480"/>
        <w:textAlignment w:val="auto"/>
        <w:outlineLvl w:val="9"/>
        <w:rPr>
          <w:rFonts w:hint="eastAsia" w:ascii="Times New Roman" w:hAnsi="Times New Roman" w:eastAsia="宋体" w:cs="Times New Roman"/>
          <w:color w:val="auto"/>
          <w:sz w:val="24"/>
          <w:szCs w:val="24"/>
          <w:lang w:val="en-US" w:eastAsia="zh-CN"/>
        </w:rPr>
      </w:pPr>
      <w:bookmarkStart w:id="350" w:name="_Toc6665"/>
      <w:bookmarkStart w:id="351" w:name="_Toc24832"/>
      <w:bookmarkStart w:id="352" w:name="_Toc7268"/>
      <w:r>
        <w:rPr>
          <w:rFonts w:hint="eastAsia" w:ascii="Times New Roman" w:hAnsi="Times New Roman" w:eastAsia="宋体" w:cs="Times New Roman"/>
          <w:color w:val="auto"/>
          <w:sz w:val="24"/>
          <w:szCs w:val="24"/>
          <w:lang w:val="en-US" w:eastAsia="zh-CN"/>
        </w:rPr>
        <w:t>D、日常消耗费</w:t>
      </w:r>
      <w:bookmarkEnd w:id="350"/>
      <w:bookmarkEnd w:id="351"/>
      <w:bookmarkEnd w:id="352"/>
    </w:p>
    <w:p>
      <w:pPr>
        <w:keepNext w:val="0"/>
        <w:keepLines w:val="0"/>
        <w:pageBreakBefore w:val="0"/>
        <w:widowControl w:val="0"/>
        <w:kinsoku/>
        <w:wordWrap/>
        <w:overflowPunct/>
        <w:topLinePunct w:val="0"/>
        <w:autoSpaceDN/>
        <w:bidi w:val="0"/>
        <w:adjustRightInd/>
        <w:snapToGrid/>
        <w:spacing w:line="360" w:lineRule="auto"/>
        <w:ind w:left="0" w:firstLine="480"/>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主要含压滤机滤布、超滤膜、反渗透膜、其他（如文件、资料、办公用品、劳保用品、培训费等）。折合每天消耗费E4=72元。</w:t>
      </w:r>
    </w:p>
    <w:p>
      <w:pPr>
        <w:keepNext w:val="0"/>
        <w:keepLines w:val="0"/>
        <w:pageBreakBefore w:val="0"/>
        <w:widowControl w:val="0"/>
        <w:kinsoku/>
        <w:wordWrap/>
        <w:overflowPunct/>
        <w:topLinePunct w:val="0"/>
        <w:autoSpaceDN/>
        <w:bidi w:val="0"/>
        <w:adjustRightInd/>
        <w:snapToGrid/>
        <w:spacing w:line="360" w:lineRule="auto"/>
        <w:ind w:left="0" w:firstLine="480"/>
        <w:textAlignment w:val="auto"/>
        <w:outlineLvl w:val="9"/>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E、</w:t>
      </w:r>
      <w:r>
        <w:rPr>
          <w:rFonts w:hint="default" w:ascii="Times New Roman" w:hAnsi="Times New Roman" w:eastAsia="宋体" w:cs="Times New Roman"/>
          <w:color w:val="auto"/>
          <w:sz w:val="24"/>
          <w:szCs w:val="24"/>
        </w:rPr>
        <w:t>每日运行费用</w:t>
      </w:r>
    </w:p>
    <w:p>
      <w:pPr>
        <w:keepNext w:val="0"/>
        <w:keepLines w:val="0"/>
        <w:pageBreakBefore w:val="0"/>
        <w:widowControl w:val="0"/>
        <w:kinsoku/>
        <w:wordWrap/>
        <w:overflowPunct/>
        <w:topLinePunct w:val="0"/>
        <w:autoSpaceDN/>
        <w:bidi w:val="0"/>
        <w:adjustRightInd/>
        <w:snapToGrid/>
        <w:spacing w:line="360" w:lineRule="auto"/>
        <w:ind w:left="0" w:firstLine="480"/>
        <w:textAlignment w:val="auto"/>
        <w:outlineLvl w:val="9"/>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F</w:t>
      </w:r>
      <w:r>
        <w:rPr>
          <w:rFonts w:hint="default" w:ascii="Times New Roman" w:hAnsi="Times New Roman" w:eastAsia="宋体" w:cs="Times New Roman"/>
          <w:color w:val="auto"/>
          <w:sz w:val="24"/>
          <w:szCs w:val="24"/>
        </w:rPr>
        <w:t>=E1+E2+E3</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E</w:t>
      </w: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1188</w:t>
      </w:r>
      <w:r>
        <w:rPr>
          <w:rFonts w:hint="default" w:ascii="Times New Roman" w:hAnsi="Times New Roman" w:eastAsia="宋体" w:cs="Times New Roman"/>
          <w:color w:val="auto"/>
          <w:sz w:val="24"/>
          <w:szCs w:val="24"/>
        </w:rPr>
        <w:t>+1190+666</w:t>
      </w:r>
      <w:r>
        <w:rPr>
          <w:rFonts w:hint="eastAsia" w:ascii="Times New Roman" w:hAnsi="Times New Roman" w:eastAsia="宋体" w:cs="Times New Roman"/>
          <w:color w:val="auto"/>
          <w:sz w:val="24"/>
          <w:szCs w:val="24"/>
          <w:lang w:val="en-US" w:eastAsia="zh-CN"/>
        </w:rPr>
        <w:t>+72</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2319</w:t>
      </w:r>
      <w:r>
        <w:rPr>
          <w:rFonts w:hint="default" w:ascii="Times New Roman" w:hAnsi="Times New Roman" w:eastAsia="宋体" w:cs="Times New Roman"/>
          <w:color w:val="auto"/>
          <w:sz w:val="24"/>
          <w:szCs w:val="24"/>
        </w:rPr>
        <w:t>元。</w:t>
      </w:r>
    </w:p>
    <w:p>
      <w:pPr>
        <w:keepNext w:val="0"/>
        <w:keepLines w:val="0"/>
        <w:pageBreakBefore w:val="0"/>
        <w:widowControl w:val="0"/>
        <w:kinsoku/>
        <w:wordWrap/>
        <w:overflowPunct/>
        <w:topLinePunct w:val="0"/>
        <w:autoSpaceDE/>
        <w:autoSpaceDN/>
        <w:bidi w:val="0"/>
        <w:adjustRightInd/>
        <w:snapToGrid/>
        <w:spacing w:line="360" w:lineRule="auto"/>
        <w:ind w:left="0" w:firstLine="480"/>
        <w:textAlignment w:val="auto"/>
        <w:outlineLvl w:val="9"/>
        <w:rPr>
          <w:rFonts w:hint="eastAsia" w:ascii="Times New Roman" w:hAnsi="Times New Roman" w:eastAsia="宋体" w:cs="Times New Roman"/>
          <w:color w:val="auto"/>
          <w:sz w:val="24"/>
          <w:szCs w:val="18"/>
          <w:lang w:val="en-US" w:eastAsia="zh-CN"/>
        </w:rPr>
      </w:pPr>
      <w:r>
        <w:rPr>
          <w:rFonts w:hint="default" w:ascii="Times New Roman" w:hAnsi="Times New Roman" w:eastAsia="宋体" w:cs="Times New Roman"/>
          <w:color w:val="auto"/>
          <w:sz w:val="24"/>
          <w:szCs w:val="24"/>
        </w:rPr>
        <w:t>每</w:t>
      </w:r>
      <w:r>
        <w:rPr>
          <w:rFonts w:hint="default" w:ascii="Times New Roman" w:hAnsi="Times New Roman" w:eastAsia="宋体" w:cs="Times New Roman"/>
          <w:color w:val="auto"/>
          <w:sz w:val="24"/>
          <w:szCs w:val="24"/>
          <w:lang w:val="en-US" w:eastAsia="zh-CN"/>
        </w:rPr>
        <w:t>吨</w:t>
      </w:r>
      <w:r>
        <w:rPr>
          <w:rFonts w:hint="default" w:ascii="Times New Roman" w:hAnsi="Times New Roman" w:eastAsia="宋体" w:cs="Times New Roman"/>
          <w:color w:val="auto"/>
          <w:sz w:val="24"/>
          <w:szCs w:val="24"/>
        </w:rPr>
        <w:t>废水处理费用</w:t>
      </w:r>
      <w:r>
        <w:rPr>
          <w:rFonts w:hint="default" w:ascii="Times New Roman" w:hAnsi="Times New Roman" w:eastAsia="宋体" w:cs="Times New Roman"/>
          <w:b/>
          <w:bCs/>
          <w:color w:val="auto"/>
          <w:sz w:val="24"/>
          <w:szCs w:val="24"/>
        </w:rPr>
        <w:t>吨水处理费用为：</w:t>
      </w:r>
      <w:r>
        <w:rPr>
          <w:rFonts w:hint="eastAsia" w:ascii="Times New Roman" w:hAnsi="Times New Roman" w:eastAsia="宋体" w:cs="Times New Roman"/>
          <w:b/>
          <w:bCs/>
          <w:color w:val="auto"/>
          <w:sz w:val="24"/>
          <w:szCs w:val="24"/>
          <w:lang w:val="en-US" w:eastAsia="zh-CN"/>
        </w:rPr>
        <w:t>10.3</w:t>
      </w:r>
      <w:r>
        <w:rPr>
          <w:rFonts w:hint="default" w:ascii="Times New Roman" w:hAnsi="Times New Roman" w:eastAsia="宋体" w:cs="Times New Roman"/>
          <w:b/>
          <w:bCs/>
          <w:color w:val="auto"/>
          <w:sz w:val="24"/>
          <w:szCs w:val="24"/>
        </w:rPr>
        <w:t>元/m</w:t>
      </w:r>
      <w:r>
        <w:rPr>
          <w:rFonts w:hint="default" w:ascii="Times New Roman" w:hAnsi="Times New Roman" w:eastAsia="宋体" w:cs="Times New Roman"/>
          <w:b/>
          <w:bCs/>
          <w:color w:val="auto"/>
          <w:sz w:val="24"/>
          <w:szCs w:val="24"/>
          <w:vertAlign w:val="superscript"/>
        </w:rPr>
        <w:t>3</w:t>
      </w:r>
      <w:r>
        <w:rPr>
          <w:rFonts w:hint="eastAsia" w:ascii="Times New Roman" w:hAnsi="Times New Roman" w:eastAsia="宋体" w:cs="Times New Roman"/>
          <w:b/>
          <w:bCs/>
          <w:color w:val="auto"/>
          <w:sz w:val="24"/>
          <w:szCs w:val="24"/>
          <w:lang w:eastAsia="zh-CN"/>
        </w:rPr>
        <w:t>，</w:t>
      </w:r>
      <w:r>
        <w:rPr>
          <w:rFonts w:hint="eastAsia" w:ascii="Times New Roman" w:hAnsi="Times New Roman" w:eastAsia="宋体" w:cs="Times New Roman"/>
          <w:color w:val="auto"/>
          <w:sz w:val="24"/>
          <w:szCs w:val="18"/>
          <w:lang w:val="en-US" w:eastAsia="zh-CN"/>
        </w:rPr>
        <w:t>项目废水年运行费用为69.57万元。</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eastAsia" w:ascii="Times New Roman" w:hAnsi="Times New Roman" w:eastAsia="宋体" w:cs="Times New Roman"/>
          <w:color w:val="auto"/>
          <w:sz w:val="24"/>
          <w:szCs w:val="18"/>
          <w:lang w:val="en-US" w:eastAsia="zh-CN"/>
        </w:rPr>
      </w:pPr>
      <w:r>
        <w:rPr>
          <w:rFonts w:hint="eastAsia" w:ascii="Times New Roman" w:hAnsi="Times New Roman" w:eastAsia="宋体" w:cs="Times New Roman"/>
          <w:color w:val="auto"/>
          <w:sz w:val="24"/>
          <w:szCs w:val="18"/>
          <w:lang w:val="en-US" w:eastAsia="zh-CN"/>
        </w:rPr>
        <w:t>综上，项目废水运行费用为243.15万元，占项目税后利润18579.57的1.31%，占比低，在企业承受范围内。</w:t>
      </w:r>
    </w:p>
    <w:p>
      <w:pPr>
        <w:keepNext w:val="0"/>
        <w:keepLines w:val="0"/>
        <w:pageBreakBefore w:val="0"/>
        <w:widowControl w:val="0"/>
        <w:kinsoku/>
        <w:wordWrap/>
        <w:overflowPunct/>
        <w:topLinePunct w:val="0"/>
        <w:autoSpaceDE/>
        <w:autoSpaceDN/>
        <w:bidi w:val="0"/>
        <w:adjustRightInd/>
        <w:snapToGrid/>
        <w:spacing w:line="360" w:lineRule="auto"/>
        <w:ind w:left="0" w:firstLine="560"/>
        <w:textAlignment w:val="auto"/>
        <w:outlineLvl w:val="9"/>
        <w:rPr>
          <w:rFonts w:hint="default" w:ascii="Times New Roman" w:hAnsi="Times New Roman" w:eastAsia="宋体" w:cs="Times New Roman"/>
          <w:color w:val="auto"/>
          <w:sz w:val="24"/>
          <w:szCs w:val="18"/>
          <w:lang w:val="en-US" w:eastAsia="zh-CN"/>
        </w:rPr>
      </w:pPr>
      <w:r>
        <w:rPr>
          <w:rFonts w:hint="eastAsia" w:ascii="Times New Roman" w:hAnsi="Times New Roman" w:eastAsia="宋体" w:cs="Times New Roman"/>
          <w:color w:val="auto"/>
          <w:sz w:val="24"/>
          <w:szCs w:val="18"/>
          <w:lang w:val="en-US" w:eastAsia="zh-CN"/>
        </w:rPr>
        <w:t>综上，项目废水治理方案经济上是可行的。</w:t>
      </w:r>
    </w:p>
    <w:p>
      <w:pPr>
        <w:widowControl/>
        <w:spacing w:line="360" w:lineRule="auto"/>
        <w:ind w:firstLine="0"/>
        <w:jc w:val="left"/>
        <w:outlineLvl w:val="1"/>
        <w:rPr>
          <w:rFonts w:hint="default" w:ascii="Times New Roman" w:hAnsi="Times New Roman" w:eastAsia="黑体" w:cs="Times New Roman"/>
          <w:color w:val="auto"/>
          <w:sz w:val="32"/>
          <w:szCs w:val="30"/>
        </w:rPr>
      </w:pPr>
      <w:bookmarkStart w:id="353" w:name="_Toc22412"/>
      <w:r>
        <w:rPr>
          <w:rFonts w:hint="default" w:ascii="Times New Roman" w:hAnsi="Times New Roman" w:eastAsia="黑体" w:cs="Times New Roman"/>
          <w:color w:val="auto"/>
          <w:sz w:val="32"/>
          <w:szCs w:val="30"/>
        </w:rPr>
        <w:t>7.3大气污染防治措施及可行性分析</w:t>
      </w:r>
      <w:bookmarkEnd w:id="353"/>
    </w:p>
    <w:p>
      <w:pPr>
        <w:snapToGrid w:val="0"/>
        <w:spacing w:line="360" w:lineRule="auto"/>
        <w:ind w:firstLine="482"/>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7.3.2 工艺废气治理措施可行性分析</w:t>
      </w:r>
    </w:p>
    <w:p>
      <w:pPr>
        <w:spacing w:line="360" w:lineRule="auto"/>
        <w:ind w:firstLine="482"/>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（1）含氮废气处理措施</w:t>
      </w:r>
    </w:p>
    <w:p>
      <w:pPr>
        <w:spacing w:line="360" w:lineRule="auto"/>
        <w:ind w:firstLine="480"/>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rPr>
        <w:t>根据工程分析，</w:t>
      </w:r>
      <w:r>
        <w:rPr>
          <w:rFonts w:hint="eastAsia" w:ascii="Times New Roman" w:hAnsi="Times New Roman" w:eastAsia="宋体" w:cs="Times New Roman"/>
          <w:color w:val="auto"/>
          <w:sz w:val="24"/>
          <w:szCs w:val="22"/>
          <w:lang w:eastAsia="zh-CN"/>
        </w:rPr>
        <w:t>电子级硝酸生产废气主要成分为氮氧化物（</w:t>
      </w:r>
      <w:r>
        <w:rPr>
          <w:rFonts w:hint="eastAsia" w:ascii="Times New Roman" w:hAnsi="Times New Roman" w:eastAsia="宋体" w:cs="Times New Roman"/>
          <w:color w:val="auto"/>
          <w:sz w:val="24"/>
          <w:szCs w:val="22"/>
          <w:lang w:val="en-US" w:eastAsia="zh-CN"/>
        </w:rPr>
        <w:t>NO</w:t>
      </w:r>
      <w:r>
        <w:rPr>
          <w:rFonts w:hint="eastAsia" w:ascii="Times New Roman" w:hAnsi="Times New Roman" w:eastAsia="宋体" w:cs="Times New Roman"/>
          <w:color w:val="auto"/>
          <w:sz w:val="24"/>
          <w:szCs w:val="22"/>
          <w:vertAlign w:val="subscript"/>
          <w:lang w:val="en-US" w:eastAsia="zh-CN"/>
        </w:rPr>
        <w:t>2</w:t>
      </w:r>
      <w:r>
        <w:rPr>
          <w:rFonts w:hint="eastAsia" w:ascii="Times New Roman" w:hAnsi="Times New Roman" w:eastAsia="宋体" w:cs="Times New Roman"/>
          <w:color w:val="auto"/>
          <w:sz w:val="24"/>
          <w:szCs w:val="22"/>
          <w:lang w:val="en-US" w:eastAsia="zh-CN"/>
        </w:rPr>
        <w:t>、HNO</w:t>
      </w:r>
      <w:r>
        <w:rPr>
          <w:rFonts w:hint="eastAsia" w:ascii="Times New Roman" w:hAnsi="Times New Roman" w:eastAsia="宋体" w:cs="Times New Roman"/>
          <w:color w:val="auto"/>
          <w:sz w:val="24"/>
          <w:szCs w:val="22"/>
          <w:vertAlign w:val="subscript"/>
          <w:lang w:val="en-US" w:eastAsia="zh-CN"/>
        </w:rPr>
        <w:t>3</w:t>
      </w:r>
      <w:r>
        <w:rPr>
          <w:rFonts w:hint="eastAsia" w:ascii="Times New Roman" w:hAnsi="Times New Roman" w:eastAsia="宋体" w:cs="Times New Roman"/>
          <w:color w:val="auto"/>
          <w:sz w:val="24"/>
          <w:szCs w:val="22"/>
          <w:lang w:eastAsia="zh-CN"/>
        </w:rPr>
        <w:t>），硝酸银生产废气也均为氮氧化物（</w:t>
      </w:r>
      <w:r>
        <w:rPr>
          <w:rFonts w:hint="eastAsia" w:ascii="Times New Roman" w:hAnsi="Times New Roman" w:eastAsia="宋体" w:cs="Times New Roman"/>
          <w:color w:val="auto"/>
          <w:sz w:val="24"/>
          <w:szCs w:val="22"/>
          <w:lang w:val="en-US" w:eastAsia="zh-CN"/>
        </w:rPr>
        <w:t>NO、NO</w:t>
      </w:r>
      <w:r>
        <w:rPr>
          <w:rFonts w:hint="eastAsia" w:ascii="Times New Roman" w:hAnsi="Times New Roman" w:eastAsia="宋体" w:cs="Times New Roman"/>
          <w:color w:val="auto"/>
          <w:sz w:val="24"/>
          <w:szCs w:val="22"/>
          <w:vertAlign w:val="subscript"/>
          <w:lang w:val="en-US" w:eastAsia="zh-CN"/>
        </w:rPr>
        <w:t>2</w:t>
      </w:r>
      <w:r>
        <w:rPr>
          <w:rFonts w:hint="eastAsia" w:ascii="Times New Roman" w:hAnsi="Times New Roman" w:eastAsia="宋体" w:cs="Times New Roman"/>
          <w:color w:val="auto"/>
          <w:sz w:val="24"/>
          <w:szCs w:val="22"/>
          <w:lang w:val="en-US" w:eastAsia="zh-CN"/>
        </w:rPr>
        <w:t>、HNO</w:t>
      </w:r>
      <w:r>
        <w:rPr>
          <w:rFonts w:hint="eastAsia" w:ascii="Times New Roman" w:hAnsi="Times New Roman" w:eastAsia="宋体" w:cs="Times New Roman"/>
          <w:color w:val="auto"/>
          <w:sz w:val="24"/>
          <w:szCs w:val="22"/>
          <w:vertAlign w:val="subscript"/>
          <w:lang w:val="en-US" w:eastAsia="zh-CN"/>
        </w:rPr>
        <w:t>3</w:t>
      </w:r>
      <w:r>
        <w:rPr>
          <w:rFonts w:hint="eastAsia" w:ascii="Times New Roman" w:hAnsi="Times New Roman" w:eastAsia="宋体" w:cs="Times New Roman"/>
          <w:color w:val="auto"/>
          <w:sz w:val="24"/>
          <w:szCs w:val="22"/>
          <w:lang w:eastAsia="zh-CN"/>
        </w:rPr>
        <w:t>），且两个产品生产线都在车间二生产，故针对这两个产品产生的氮氧化物生产废气设置一套废气处理设施进行处理。采用的工艺为：车间内废气管道收集</w:t>
      </w:r>
      <w:r>
        <w:rPr>
          <w:rFonts w:hint="eastAsia" w:ascii="Times New Roman" w:hAnsi="Times New Roman" w:eastAsia="宋体" w:cs="Times New Roman"/>
          <w:color w:val="auto"/>
          <w:sz w:val="24"/>
          <w:szCs w:val="22"/>
          <w:lang w:val="en-US" w:eastAsia="zh-CN"/>
        </w:rPr>
        <w:t>+二级水吸收+强氧化吸收+二级碱吸收+</w:t>
      </w:r>
      <w:r>
        <w:rPr>
          <w:rFonts w:hint="default" w:ascii="Times New Roman" w:hAnsi="Times New Roman" w:eastAsia="宋体" w:cs="Times New Roman"/>
          <w:color w:val="auto"/>
          <w:sz w:val="24"/>
          <w:szCs w:val="22"/>
        </w:rPr>
        <w:t>2</w:t>
      </w:r>
      <w:r>
        <w:rPr>
          <w:rFonts w:hint="eastAsia" w:ascii="Times New Roman" w:hAnsi="Times New Roman" w:eastAsia="宋体" w:cs="Times New Roman"/>
          <w:color w:val="auto"/>
          <w:sz w:val="24"/>
          <w:szCs w:val="22"/>
          <w:lang w:val="en-US" w:eastAsia="zh-CN"/>
        </w:rPr>
        <w:t>5</w:t>
      </w:r>
      <w:r>
        <w:rPr>
          <w:rFonts w:hint="default" w:ascii="Times New Roman" w:hAnsi="Times New Roman" w:eastAsia="宋体" w:cs="Times New Roman"/>
          <w:color w:val="auto"/>
          <w:sz w:val="24"/>
          <w:szCs w:val="22"/>
        </w:rPr>
        <w:t>m</w:t>
      </w:r>
      <w:r>
        <w:rPr>
          <w:rFonts w:hint="eastAsia" w:ascii="Times New Roman" w:hAnsi="Times New Roman" w:eastAsia="宋体" w:cs="Times New Roman"/>
          <w:color w:val="auto"/>
          <w:sz w:val="24"/>
          <w:szCs w:val="22"/>
          <w:lang w:val="en-US" w:eastAsia="zh-CN"/>
        </w:rPr>
        <w:t>烟囱高空排放。其中硝酸银溶银废气经双氧水预洗塔后的尾气进入尾气处理设施。</w:t>
      </w:r>
    </w:p>
    <w:p>
      <w:pPr>
        <w:spacing w:line="360" w:lineRule="auto"/>
        <w:ind w:firstLine="480"/>
        <w:rPr>
          <w:rFonts w:hint="eastAsia" w:ascii="Times New Roman" w:hAnsi="Times New Roman" w:eastAsia="宋体" w:cs="Times New Roman"/>
          <w:color w:val="auto"/>
          <w:sz w:val="24"/>
          <w:szCs w:val="22"/>
          <w:lang w:eastAsia="zh-CN"/>
        </w:rPr>
      </w:pPr>
      <w:r>
        <w:rPr>
          <w:rFonts w:hint="eastAsia" w:ascii="Times New Roman" w:hAnsi="Times New Roman" w:eastAsia="宋体" w:cs="Times New Roman"/>
          <w:color w:val="auto"/>
          <w:sz w:val="24"/>
          <w:szCs w:val="22"/>
          <w:lang w:eastAsia="zh-CN"/>
        </w:rPr>
        <w:t>工业中，控制氮氧化物的排放的方法一般有干法和湿法两种，干法一般是将NO</w:t>
      </w:r>
      <w:r>
        <w:rPr>
          <w:rFonts w:hint="eastAsia" w:ascii="Times New Roman" w:hAnsi="Times New Roman" w:eastAsia="宋体" w:cs="Times New Roman"/>
          <w:color w:val="auto"/>
          <w:sz w:val="24"/>
          <w:szCs w:val="22"/>
          <w:vertAlign w:val="subscript"/>
          <w:lang w:eastAsia="zh-CN"/>
        </w:rPr>
        <w:t>X</w:t>
      </w:r>
      <w:r>
        <w:rPr>
          <w:rFonts w:hint="eastAsia" w:ascii="Times New Roman" w:hAnsi="Times New Roman" w:eastAsia="宋体" w:cs="Times New Roman"/>
          <w:color w:val="auto"/>
          <w:sz w:val="24"/>
          <w:szCs w:val="22"/>
          <w:lang w:eastAsia="zh-CN"/>
        </w:rPr>
        <w:t>分解或者用还原性气体对NO</w:t>
      </w:r>
      <w:r>
        <w:rPr>
          <w:rFonts w:hint="eastAsia" w:ascii="Times New Roman" w:hAnsi="Times New Roman" w:eastAsia="宋体" w:cs="Times New Roman"/>
          <w:color w:val="auto"/>
          <w:sz w:val="24"/>
          <w:szCs w:val="22"/>
          <w:vertAlign w:val="subscript"/>
          <w:lang w:eastAsia="zh-CN"/>
        </w:rPr>
        <w:t>X</w:t>
      </w:r>
      <w:r>
        <w:rPr>
          <w:rFonts w:hint="eastAsia" w:ascii="Times New Roman" w:hAnsi="Times New Roman" w:eastAsia="宋体" w:cs="Times New Roman"/>
          <w:color w:val="auto"/>
          <w:sz w:val="24"/>
          <w:szCs w:val="22"/>
          <w:lang w:eastAsia="zh-CN"/>
        </w:rPr>
        <w:t>进行选择性或非选择性还原，因此，实质上干法并没有降低N排放量，限制了干法不能大规模应用在各种硝酸工业中；湿法既在特定的工艺条件和特定设备下，采用一定的吸收剂来吸收处理NO</w:t>
      </w:r>
      <w:r>
        <w:rPr>
          <w:rFonts w:hint="eastAsia" w:ascii="Times New Roman" w:hAnsi="Times New Roman" w:eastAsia="宋体" w:cs="Times New Roman"/>
          <w:color w:val="auto"/>
          <w:sz w:val="24"/>
          <w:szCs w:val="22"/>
          <w:vertAlign w:val="subscript"/>
          <w:lang w:eastAsia="zh-CN"/>
        </w:rPr>
        <w:t>X</w:t>
      </w:r>
      <w:r>
        <w:rPr>
          <w:rFonts w:hint="eastAsia" w:ascii="Times New Roman" w:hAnsi="Times New Roman" w:eastAsia="宋体" w:cs="Times New Roman"/>
          <w:color w:val="auto"/>
          <w:sz w:val="24"/>
          <w:szCs w:val="22"/>
          <w:lang w:eastAsia="zh-CN"/>
        </w:rPr>
        <w:t>是目前工业中最常用的方法。但NO</w:t>
      </w:r>
      <w:r>
        <w:rPr>
          <w:rFonts w:hint="eastAsia" w:ascii="Times New Roman" w:hAnsi="Times New Roman" w:eastAsia="宋体" w:cs="Times New Roman"/>
          <w:color w:val="auto"/>
          <w:sz w:val="24"/>
          <w:szCs w:val="22"/>
          <w:vertAlign w:val="subscript"/>
          <w:lang w:eastAsia="zh-CN"/>
        </w:rPr>
        <w:t>X</w:t>
      </w:r>
      <w:r>
        <w:rPr>
          <w:rFonts w:hint="eastAsia" w:ascii="Times New Roman" w:hAnsi="Times New Roman" w:eastAsia="宋体" w:cs="Times New Roman"/>
          <w:color w:val="auto"/>
          <w:sz w:val="24"/>
          <w:szCs w:val="22"/>
          <w:lang w:eastAsia="zh-CN"/>
        </w:rPr>
        <w:t>气体的吸收过程在气相和液相中都存在数种可逆与不可逆反应，同时，加上NO</w:t>
      </w:r>
      <w:r>
        <w:rPr>
          <w:rFonts w:hint="eastAsia" w:ascii="Times New Roman" w:hAnsi="Times New Roman" w:eastAsia="宋体" w:cs="Times New Roman"/>
          <w:color w:val="auto"/>
          <w:sz w:val="24"/>
          <w:szCs w:val="22"/>
          <w:vertAlign w:val="subscript"/>
          <w:lang w:eastAsia="zh-CN"/>
        </w:rPr>
        <w:t>X</w:t>
      </w:r>
      <w:r>
        <w:rPr>
          <w:rFonts w:hint="eastAsia" w:ascii="Times New Roman" w:hAnsi="Times New Roman" w:eastAsia="宋体" w:cs="Times New Roman"/>
          <w:color w:val="auto"/>
          <w:sz w:val="24"/>
          <w:szCs w:val="22"/>
          <w:lang w:eastAsia="zh-CN"/>
        </w:rPr>
        <w:t>吸收是放热过程，不利于吸收过程的进行，使其处理难度较大，目前多采用高压法来解决此问题。但高压法必然带来较高的能量消耗，和对设备的强度、制造、控制、安全等等提出更高的要求。</w:t>
      </w:r>
    </w:p>
    <w:p>
      <w:pPr>
        <w:spacing w:line="360" w:lineRule="auto"/>
        <w:ind w:firstLine="480"/>
        <w:rPr>
          <w:rFonts w:hint="eastAsia" w:ascii="Times New Roman" w:hAnsi="Times New Roman" w:eastAsia="宋体" w:cs="Times New Roman"/>
          <w:color w:val="auto"/>
          <w:sz w:val="24"/>
          <w:szCs w:val="22"/>
          <w:lang w:eastAsia="zh-CN"/>
        </w:rPr>
      </w:pPr>
      <w:r>
        <w:rPr>
          <w:rFonts w:hint="eastAsia" w:ascii="Times New Roman" w:hAnsi="Times New Roman" w:eastAsia="宋体" w:cs="Times New Roman"/>
          <w:color w:val="auto"/>
          <w:sz w:val="24"/>
          <w:szCs w:val="22"/>
          <w:lang w:eastAsia="zh-CN"/>
        </w:rPr>
        <w:t>本技术是在常压下实现的，由于常压操作对设备强度等要求不高，因此可以在一定程度上降低投资成本。采用多塔串联处理含氮氧化物硝酸工业工艺尾气，其中前部分为水吸收，中间用氧化剂吸收，后部分采用碱吸收。从硝酸工业生产工段出来的工艺尾气，混入一定量的富氧空气后，首先进入水吸收塔，一方面氮氧化物迅速被液相吸收形成稀酸，另一方面吸收过程生成的稀硝酸会对氮氧化物起到氧化作用，提高氮氧化物的氧化度，使其更加利于吸收。</w:t>
      </w:r>
    </w:p>
    <w:p>
      <w:pP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①水洗塔</w:t>
      </w:r>
    </w:p>
    <w:p>
      <w:pPr>
        <w:spacing w:line="360" w:lineRule="auto"/>
        <w:ind w:firstLine="480"/>
        <w:rPr>
          <w:rFonts w:hint="eastAsia"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本项目电子级硝酸和硝酸银生产废气的污染物为酸性气体</w:t>
      </w:r>
      <w:r>
        <w:rPr>
          <w:rFonts w:hint="eastAsia" w:ascii="Times New Roman" w:hAnsi="Times New Roman" w:eastAsia="宋体" w:cs="Times New Roman"/>
          <w:color w:val="auto"/>
          <w:sz w:val="24"/>
          <w:szCs w:val="22"/>
          <w:lang w:eastAsia="zh-CN"/>
        </w:rPr>
        <w:t>（</w:t>
      </w:r>
      <w:r>
        <w:rPr>
          <w:rFonts w:hint="eastAsia" w:ascii="Times New Roman" w:hAnsi="Times New Roman" w:eastAsia="宋体" w:cs="Times New Roman"/>
          <w:color w:val="auto"/>
          <w:sz w:val="24"/>
          <w:szCs w:val="22"/>
          <w:lang w:val="en-US" w:eastAsia="zh-CN"/>
        </w:rPr>
        <w:t>NO、NO</w:t>
      </w:r>
      <w:r>
        <w:rPr>
          <w:rFonts w:hint="eastAsia" w:ascii="Times New Roman" w:hAnsi="Times New Roman" w:eastAsia="宋体" w:cs="Times New Roman"/>
          <w:color w:val="auto"/>
          <w:sz w:val="24"/>
          <w:szCs w:val="22"/>
          <w:vertAlign w:val="subscript"/>
          <w:lang w:val="en-US" w:eastAsia="zh-CN"/>
        </w:rPr>
        <w:t>2</w:t>
      </w:r>
      <w:r>
        <w:rPr>
          <w:rFonts w:hint="eastAsia" w:ascii="Times New Roman" w:hAnsi="Times New Roman" w:eastAsia="宋体" w:cs="Times New Roman"/>
          <w:color w:val="auto"/>
          <w:sz w:val="24"/>
          <w:szCs w:val="22"/>
          <w:lang w:val="en-US" w:eastAsia="zh-CN"/>
        </w:rPr>
        <w:t>、HNO</w:t>
      </w:r>
      <w:r>
        <w:rPr>
          <w:rFonts w:hint="eastAsia" w:ascii="Times New Roman" w:hAnsi="Times New Roman" w:eastAsia="宋体" w:cs="Times New Roman"/>
          <w:color w:val="auto"/>
          <w:sz w:val="24"/>
          <w:szCs w:val="22"/>
          <w:vertAlign w:val="subscript"/>
          <w:lang w:val="en-US" w:eastAsia="zh-CN"/>
        </w:rPr>
        <w:t>3</w:t>
      </w:r>
      <w:r>
        <w:rPr>
          <w:rFonts w:hint="eastAsia" w:ascii="Times New Roman" w:hAnsi="Times New Roman" w:eastAsia="宋体" w:cs="Times New Roman"/>
          <w:color w:val="auto"/>
          <w:sz w:val="24"/>
          <w:szCs w:val="22"/>
          <w:lang w:eastAsia="zh-CN"/>
        </w:rPr>
        <w:t>）</w:t>
      </w:r>
      <w:r>
        <w:rPr>
          <w:rFonts w:hint="eastAsia" w:ascii="Times New Roman" w:hAnsi="Times New Roman" w:eastAsia="宋体" w:cs="Times New Roman"/>
          <w:color w:val="auto"/>
          <w:sz w:val="24"/>
          <w:szCs w:val="22"/>
          <w:lang w:val="en-US" w:eastAsia="zh-CN"/>
        </w:rPr>
        <w:t>，对于酸性气体的吸收，可归纳为物理吸收和化学吸收。物理吸收是指酸性气体单纯地被水吸收，其特点是随水温的增加，被吸收的气体量减少。物理吸收的程度，取决于气-液平衡，只要气相中被吸收的分压大于液相呈平衡时该气体的的分压。吸收过程就会进行，由于物理吸收的推动力很小，吸收速率较低。所以，水吸收烟气中的酸性气体，吸收效率并不显著。而化学吸收有极高的吸收率，其原理是：被吸收的酸性气体和碱液发生化学反应，使其组分发生变化，有效降低了碱液表面吸收酸性气体的分压，增加了吸收过程的推动力。</w:t>
      </w:r>
    </w:p>
    <w:p>
      <w:pPr>
        <w:spacing w:line="360" w:lineRule="auto"/>
        <w:ind w:firstLine="480"/>
        <w:rPr>
          <w:rFonts w:hint="default"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水洗塔拟采用微分接触逆流操作，塔内以拉西环作填料，作为气液接触的基本构件。废气由塔底进入塔体，由下而上传过填料层，最后从塔顶排除，吸收塔由塔上部进入塔体，通过液体分布装置均匀地喷淋到填料层中沿着填料层表面向下流动，直至塔底经水泵再循环使用。由于上升气流和下降吸收剂在填料层中不断接触，所以上升气流中溶质的浓度越来越低，到塔顶时达到洗涤要求排出塔外。</w:t>
      </w:r>
    </w:p>
    <w:p>
      <w:pP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②强氧化吸收塔</w:t>
      </w:r>
    </w:p>
    <w:p>
      <w:pPr>
        <w:spacing w:line="360" w:lineRule="auto"/>
        <w:ind w:firstLine="480"/>
        <w:rPr>
          <w:rFonts w:hint="default"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从水洗塔出来的尾气进入强氧化吸收塔（</w:t>
      </w:r>
      <w:r>
        <w:rPr>
          <w:rFonts w:hint="default" w:ascii="Times New Roman" w:hAnsi="Times New Roman" w:eastAsia="宋体" w:cs="Times New Roman"/>
          <w:color w:val="auto"/>
          <w:sz w:val="24"/>
          <w:szCs w:val="22"/>
          <w:lang w:val="en-US" w:eastAsia="zh-CN"/>
        </w:rPr>
        <w:t>具体过程为废气中的NO在双氧水提供的氧的氧化作用下生成NO</w:t>
      </w:r>
      <w:r>
        <w:rPr>
          <w:rFonts w:hint="default" w:ascii="Times New Roman" w:hAnsi="Times New Roman" w:eastAsia="宋体" w:cs="Times New Roman"/>
          <w:color w:val="auto"/>
          <w:sz w:val="24"/>
          <w:szCs w:val="22"/>
          <w:vertAlign w:val="subscript"/>
          <w:lang w:val="en-US" w:eastAsia="zh-CN"/>
        </w:rPr>
        <w:t>2</w:t>
      </w:r>
      <w:r>
        <w:rPr>
          <w:rFonts w:hint="default" w:ascii="Times New Roman" w:hAnsi="Times New Roman" w:eastAsia="宋体" w:cs="Times New Roman"/>
          <w:color w:val="auto"/>
          <w:sz w:val="24"/>
          <w:szCs w:val="22"/>
          <w:lang w:val="en-US" w:eastAsia="zh-CN"/>
        </w:rPr>
        <w:t>（2NO+3H</w:t>
      </w:r>
      <w:r>
        <w:rPr>
          <w:rFonts w:hint="default" w:ascii="Times New Roman" w:hAnsi="Times New Roman" w:eastAsia="宋体" w:cs="Times New Roman"/>
          <w:color w:val="auto"/>
          <w:sz w:val="24"/>
          <w:szCs w:val="22"/>
          <w:vertAlign w:val="subscript"/>
          <w:lang w:val="en-US" w:eastAsia="zh-CN"/>
        </w:rPr>
        <w:t>2</w:t>
      </w:r>
      <w:r>
        <w:rPr>
          <w:rFonts w:hint="default" w:ascii="Times New Roman" w:hAnsi="Times New Roman" w:eastAsia="宋体" w:cs="Times New Roman"/>
          <w:color w:val="auto"/>
          <w:sz w:val="24"/>
          <w:szCs w:val="22"/>
          <w:lang w:val="en-US" w:eastAsia="zh-CN"/>
        </w:rPr>
        <w:t>O</w:t>
      </w:r>
      <w:r>
        <w:rPr>
          <w:rFonts w:hint="default" w:ascii="Times New Roman" w:hAnsi="Times New Roman" w:eastAsia="宋体" w:cs="Times New Roman"/>
          <w:color w:val="auto"/>
          <w:sz w:val="24"/>
          <w:szCs w:val="22"/>
          <w:vertAlign w:val="subscript"/>
          <w:lang w:val="en-US" w:eastAsia="zh-CN"/>
        </w:rPr>
        <w:t>2</w:t>
      </w:r>
      <w:r>
        <w:rPr>
          <w:rFonts w:hint="default" w:ascii="Times New Roman" w:hAnsi="Times New Roman" w:eastAsia="宋体" w:cs="Times New Roman"/>
          <w:color w:val="auto"/>
          <w:sz w:val="24"/>
          <w:szCs w:val="22"/>
          <w:lang w:val="en-US" w:eastAsia="zh-CN"/>
        </w:rPr>
        <w:t>=2HNO</w:t>
      </w:r>
      <w:r>
        <w:rPr>
          <w:rFonts w:hint="default" w:ascii="Times New Roman" w:hAnsi="Times New Roman" w:eastAsia="宋体" w:cs="Times New Roman"/>
          <w:color w:val="auto"/>
          <w:sz w:val="24"/>
          <w:szCs w:val="22"/>
          <w:vertAlign w:val="subscript"/>
          <w:lang w:val="en-US" w:eastAsia="zh-CN"/>
        </w:rPr>
        <w:t>3</w:t>
      </w:r>
      <w:r>
        <w:rPr>
          <w:rFonts w:hint="default" w:ascii="Times New Roman" w:hAnsi="Times New Roman" w:eastAsia="宋体" w:cs="Times New Roman"/>
          <w:color w:val="auto"/>
          <w:sz w:val="24"/>
          <w:szCs w:val="22"/>
          <w:lang w:val="en-US" w:eastAsia="zh-CN"/>
        </w:rPr>
        <w:t>+2H</w:t>
      </w:r>
      <w:r>
        <w:rPr>
          <w:rFonts w:hint="default" w:ascii="Times New Roman" w:hAnsi="Times New Roman" w:eastAsia="宋体" w:cs="Times New Roman"/>
          <w:color w:val="auto"/>
          <w:sz w:val="24"/>
          <w:szCs w:val="22"/>
          <w:vertAlign w:val="subscript"/>
          <w:lang w:val="en-US" w:eastAsia="zh-CN"/>
        </w:rPr>
        <w:t>2</w:t>
      </w:r>
      <w:r>
        <w:rPr>
          <w:rFonts w:hint="default" w:ascii="Times New Roman" w:hAnsi="Times New Roman" w:eastAsia="宋体" w:cs="Times New Roman"/>
          <w:color w:val="auto"/>
          <w:sz w:val="24"/>
          <w:szCs w:val="22"/>
          <w:lang w:val="en-US" w:eastAsia="zh-CN"/>
        </w:rPr>
        <w:t>O），并进一步在氧的氧化作用下生成HNO</w:t>
      </w:r>
      <w:r>
        <w:rPr>
          <w:rFonts w:hint="default" w:ascii="Times New Roman" w:hAnsi="Times New Roman" w:eastAsia="宋体" w:cs="Times New Roman"/>
          <w:color w:val="auto"/>
          <w:sz w:val="24"/>
          <w:szCs w:val="22"/>
          <w:vertAlign w:val="subscript"/>
          <w:lang w:val="en-US" w:eastAsia="zh-CN"/>
        </w:rPr>
        <w:t>3</w:t>
      </w:r>
      <w:r>
        <w:rPr>
          <w:rFonts w:hint="default" w:ascii="Times New Roman" w:hAnsi="Times New Roman" w:eastAsia="宋体" w:cs="Times New Roman"/>
          <w:color w:val="auto"/>
          <w:sz w:val="24"/>
          <w:szCs w:val="22"/>
          <w:lang w:val="en-US" w:eastAsia="zh-CN"/>
        </w:rPr>
        <w:t>，HNO</w:t>
      </w:r>
      <w:r>
        <w:rPr>
          <w:rFonts w:hint="default" w:ascii="Times New Roman" w:hAnsi="Times New Roman" w:eastAsia="宋体" w:cs="Times New Roman"/>
          <w:color w:val="auto"/>
          <w:sz w:val="24"/>
          <w:szCs w:val="22"/>
          <w:vertAlign w:val="subscript"/>
          <w:lang w:val="en-US" w:eastAsia="zh-CN"/>
        </w:rPr>
        <w:t>3</w:t>
      </w:r>
      <w:r>
        <w:rPr>
          <w:rFonts w:hint="default" w:ascii="Times New Roman" w:hAnsi="Times New Roman" w:eastAsia="宋体" w:cs="Times New Roman"/>
          <w:color w:val="auto"/>
          <w:sz w:val="24"/>
          <w:szCs w:val="22"/>
          <w:lang w:val="en-US" w:eastAsia="zh-CN"/>
        </w:rPr>
        <w:t>溶入水中形成硝酸溶液</w:t>
      </w:r>
      <w:r>
        <w:rPr>
          <w:rFonts w:hint="eastAsia" w:ascii="Times New Roman" w:hAnsi="Times New Roman" w:eastAsia="宋体" w:cs="Times New Roman"/>
          <w:color w:val="auto"/>
          <w:sz w:val="24"/>
          <w:szCs w:val="22"/>
          <w:lang w:val="en-US" w:eastAsia="zh-CN"/>
        </w:rPr>
        <w:t>）。</w:t>
      </w:r>
    </w:p>
    <w:p>
      <w:pP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③碱洗塔</w:t>
      </w:r>
    </w:p>
    <w:p>
      <w:pPr>
        <w:spacing w:line="360" w:lineRule="auto"/>
        <w:ind w:firstLine="48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碱液喷淋塔主要适用于硫酸、硝酸、氢氟酸、盐酸等工艺操作过程中产生酸性气体的废气治理环保设备，碱液喷淋塔具有净化效率高、结构紧凑，占地面积小、耐腐蚀，耐老化性能好，重量轻，便于安装、运输及维修管理等特点。</w:t>
      </w:r>
    </w:p>
    <w:p>
      <w:pPr>
        <w:spacing w:line="360" w:lineRule="auto"/>
        <w:ind w:firstLine="48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碱液喷淋塔工作原理：</w:t>
      </w:r>
    </w:p>
    <w:p>
      <w:pPr>
        <w:spacing w:line="360" w:lineRule="auto"/>
        <w:ind w:firstLine="480"/>
        <w:rPr>
          <w:rFonts w:hint="eastAsia"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为了</w:t>
      </w:r>
      <w:r>
        <w:rPr>
          <w:rFonts w:hint="eastAsia" w:ascii="Times New Roman" w:hAnsi="Times New Roman" w:eastAsia="宋体" w:cs="Times New Roman"/>
          <w:color w:val="auto"/>
          <w:sz w:val="24"/>
          <w:szCs w:val="22"/>
          <w:lang w:eastAsia="zh-CN"/>
        </w:rPr>
        <w:t>进一步吸收氮氧化物，且保证废气中无</w:t>
      </w:r>
      <w:r>
        <w:rPr>
          <w:rFonts w:hint="eastAsia" w:ascii="Times New Roman" w:hAnsi="Times New Roman" w:eastAsia="宋体" w:cs="Times New Roman"/>
          <w:color w:val="auto"/>
          <w:sz w:val="24"/>
          <w:szCs w:val="22"/>
          <w:lang w:val="en-US" w:eastAsia="zh-CN"/>
        </w:rPr>
        <w:t>NO存在，</w:t>
      </w:r>
      <w:r>
        <w:rPr>
          <w:rFonts w:hint="eastAsia" w:ascii="Times New Roman" w:hAnsi="Times New Roman" w:eastAsia="宋体" w:cs="Times New Roman"/>
          <w:color w:val="auto"/>
          <w:sz w:val="24"/>
          <w:szCs w:val="22"/>
          <w:lang w:eastAsia="zh-CN"/>
        </w:rPr>
        <w:t>在进入</w:t>
      </w:r>
      <w:r>
        <w:rPr>
          <w:rFonts w:hint="default" w:ascii="Times New Roman" w:hAnsi="Times New Roman" w:eastAsia="宋体" w:cs="Times New Roman"/>
          <w:color w:val="auto"/>
          <w:sz w:val="24"/>
          <w:szCs w:val="22"/>
        </w:rPr>
        <w:t>碱液喷淋塔</w:t>
      </w:r>
      <w:r>
        <w:rPr>
          <w:rFonts w:hint="eastAsia" w:ascii="Times New Roman" w:hAnsi="Times New Roman" w:eastAsia="宋体" w:cs="Times New Roman"/>
          <w:color w:val="auto"/>
          <w:sz w:val="24"/>
          <w:szCs w:val="22"/>
          <w:lang w:eastAsia="zh-CN"/>
        </w:rPr>
        <w:t>前，需要用捕沫器将雾沫夹带或是气流中的酸雾捕集下来，将这部分液体返回到酸塔底部。穿过捕沫器的气体再次由底部进入碱吸收塔内</w:t>
      </w:r>
      <w:r>
        <w:rPr>
          <w:rFonts w:hint="eastAsia" w:ascii="Times New Roman" w:hAnsi="Times New Roman" w:eastAsia="宋体" w:cs="Times New Roman"/>
          <w:color w:val="auto"/>
          <w:sz w:val="24"/>
          <w:szCs w:val="22"/>
          <w:lang w:val="en-US" w:eastAsia="zh-CN"/>
        </w:rPr>
        <w:t>，</w:t>
      </w:r>
      <w:r>
        <w:rPr>
          <w:rFonts w:hint="default" w:ascii="Times New Roman" w:hAnsi="Times New Roman" w:eastAsia="宋体" w:cs="Times New Roman"/>
          <w:color w:val="auto"/>
          <w:sz w:val="24"/>
          <w:szCs w:val="22"/>
        </w:rPr>
        <w:t>在碱液喷淋塔内部，中和液经喷淋系统喷洒而下，与废气中的酸性气体发生中和反应从而起到净化效果。为了提高净化塔的净化效率，碱液喷淋塔填料采用特殊PP海胆型保尔环以增大气液接触面积。为了使中和液处于一个最佳的吸收浓度并减少人力操作，本系统采用自动加药系统对净化塔进行NaOH的补充，每套系统包括1个自动加药箱，每个自动加药箱包括1个pH计，1个计量泵，pH计根据净化塔箱体内吸收液的pH值来控制计量泵的开关，从而实现自动加药。</w:t>
      </w:r>
    </w:p>
    <w:p>
      <w:pPr>
        <w:spacing w:line="360" w:lineRule="auto"/>
        <w:ind w:firstLine="48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本项目选取二级碱洗塔，采用NaOH做吸收液，NaOH是强碱，在去除硝酸酸雾的作用能达到98%以上，因此项目选取该二级碱洗塔可行。</w:t>
      </w:r>
    </w:p>
    <w:p>
      <w:pPr>
        <w:spacing w:line="360" w:lineRule="auto"/>
        <w:ind w:firstLine="480"/>
        <w:rPr>
          <w:rFonts w:hint="eastAsia" w:ascii="宋体" w:hAnsi="宋体" w:eastAsia="宋体" w:cs="宋体"/>
          <w:color w:val="auto"/>
          <w:sz w:val="24"/>
          <w:szCs w:val="32"/>
          <w:lang w:val="en-US" w:eastAsia="zh-CN"/>
        </w:rPr>
      </w:pPr>
      <w:r>
        <w:rPr>
          <w:rFonts w:hint="eastAsia" w:ascii="宋体" w:hAnsi="宋体" w:eastAsia="宋体" w:cs="宋体"/>
          <w:color w:val="auto"/>
          <w:sz w:val="24"/>
          <w:szCs w:val="32"/>
          <w:lang w:val="en-US" w:eastAsia="zh-CN"/>
        </w:rPr>
        <w:t>反应方程式如下：</w:t>
      </w:r>
    </w:p>
    <w:p>
      <w:pPr>
        <w:spacing w:line="360" w:lineRule="auto"/>
        <w:ind w:firstLine="480"/>
        <w:rPr>
          <w:rFonts w:hint="eastAsia" w:ascii="Times New Roman" w:hAnsi="Times New Roman" w:eastAsia="宋体" w:cs="Times New Roman"/>
          <w:color w:val="auto"/>
          <w:sz w:val="24"/>
          <w:szCs w:val="22"/>
          <w:lang w:eastAsia="zh-CN"/>
        </w:rPr>
      </w:pPr>
      <w:r>
        <w:rPr>
          <w:rFonts w:hint="default" w:ascii="Times New Roman" w:hAnsi="Times New Roman" w:eastAsia="宋体" w:cs="Times New Roman"/>
          <w:color w:val="auto"/>
          <w:sz w:val="24"/>
          <w:szCs w:val="22"/>
        </w:rPr>
        <w:t>2NaOH+NO+NO</w:t>
      </w:r>
      <w:r>
        <w:rPr>
          <w:rFonts w:hint="default" w:ascii="Times New Roman" w:hAnsi="Times New Roman" w:eastAsia="宋体" w:cs="Times New Roman"/>
          <w:color w:val="auto"/>
          <w:sz w:val="24"/>
          <w:szCs w:val="22"/>
          <w:vertAlign w:val="subscript"/>
        </w:rPr>
        <w:t>2</w:t>
      </w:r>
      <w:r>
        <w:rPr>
          <w:rFonts w:hint="default" w:ascii="Times New Roman" w:hAnsi="Times New Roman" w:eastAsia="宋体" w:cs="Times New Roman"/>
          <w:color w:val="auto"/>
          <w:sz w:val="24"/>
          <w:szCs w:val="22"/>
        </w:rPr>
        <w:t>=2NaNO</w:t>
      </w:r>
      <w:r>
        <w:rPr>
          <w:rFonts w:hint="default" w:ascii="Times New Roman" w:hAnsi="Times New Roman" w:eastAsia="宋体" w:cs="Times New Roman"/>
          <w:color w:val="auto"/>
          <w:sz w:val="24"/>
          <w:szCs w:val="22"/>
          <w:vertAlign w:val="subscript"/>
        </w:rPr>
        <w:t>2</w:t>
      </w:r>
      <w:r>
        <w:rPr>
          <w:rFonts w:hint="default" w:ascii="Times New Roman" w:hAnsi="Times New Roman" w:eastAsia="宋体" w:cs="Times New Roman"/>
          <w:color w:val="auto"/>
          <w:sz w:val="24"/>
          <w:szCs w:val="22"/>
        </w:rPr>
        <w:t>+H</w:t>
      </w:r>
      <w:r>
        <w:rPr>
          <w:rFonts w:hint="default" w:ascii="Times New Roman" w:hAnsi="Times New Roman" w:eastAsia="宋体" w:cs="Times New Roman"/>
          <w:color w:val="auto"/>
          <w:sz w:val="24"/>
          <w:szCs w:val="22"/>
          <w:vertAlign w:val="subscript"/>
        </w:rPr>
        <w:t>2</w:t>
      </w:r>
      <w:r>
        <w:rPr>
          <w:rFonts w:hint="default" w:ascii="Times New Roman" w:hAnsi="Times New Roman" w:eastAsia="宋体" w:cs="Times New Roman"/>
          <w:color w:val="auto"/>
          <w:sz w:val="24"/>
          <w:szCs w:val="22"/>
        </w:rPr>
        <w:t>O，2NaOH+2NO</w:t>
      </w:r>
      <w:r>
        <w:rPr>
          <w:rFonts w:hint="default" w:ascii="Times New Roman" w:hAnsi="Times New Roman" w:eastAsia="宋体" w:cs="Times New Roman"/>
          <w:color w:val="auto"/>
          <w:sz w:val="24"/>
          <w:szCs w:val="22"/>
          <w:vertAlign w:val="subscript"/>
        </w:rPr>
        <w:t>2</w:t>
      </w:r>
      <w:r>
        <w:rPr>
          <w:rFonts w:hint="default" w:ascii="Times New Roman" w:hAnsi="Times New Roman" w:eastAsia="宋体" w:cs="Times New Roman"/>
          <w:color w:val="auto"/>
          <w:sz w:val="24"/>
          <w:szCs w:val="22"/>
        </w:rPr>
        <w:t>=NaNO</w:t>
      </w:r>
      <w:r>
        <w:rPr>
          <w:rFonts w:hint="default" w:ascii="Times New Roman" w:hAnsi="Times New Roman" w:eastAsia="宋体" w:cs="Times New Roman"/>
          <w:color w:val="auto"/>
          <w:sz w:val="24"/>
          <w:szCs w:val="22"/>
          <w:vertAlign w:val="subscript"/>
        </w:rPr>
        <w:t>2</w:t>
      </w:r>
      <w:r>
        <w:rPr>
          <w:rFonts w:hint="default" w:ascii="Times New Roman" w:hAnsi="Times New Roman" w:eastAsia="宋体" w:cs="Times New Roman"/>
          <w:color w:val="auto"/>
          <w:sz w:val="24"/>
          <w:szCs w:val="22"/>
        </w:rPr>
        <w:t>+NaNO</w:t>
      </w:r>
      <w:r>
        <w:rPr>
          <w:rFonts w:hint="default" w:ascii="Times New Roman" w:hAnsi="Times New Roman" w:eastAsia="宋体" w:cs="Times New Roman"/>
          <w:color w:val="auto"/>
          <w:sz w:val="24"/>
          <w:szCs w:val="22"/>
          <w:vertAlign w:val="subscript"/>
        </w:rPr>
        <w:t>3</w:t>
      </w:r>
      <w:r>
        <w:rPr>
          <w:rFonts w:hint="default" w:ascii="Times New Roman" w:hAnsi="Times New Roman" w:eastAsia="宋体" w:cs="Times New Roman"/>
          <w:color w:val="auto"/>
          <w:sz w:val="24"/>
          <w:szCs w:val="22"/>
        </w:rPr>
        <w:t>+H</w:t>
      </w:r>
      <w:r>
        <w:rPr>
          <w:rFonts w:hint="default" w:ascii="Times New Roman" w:hAnsi="Times New Roman" w:eastAsia="宋体" w:cs="Times New Roman"/>
          <w:color w:val="auto"/>
          <w:sz w:val="24"/>
          <w:szCs w:val="22"/>
          <w:vertAlign w:val="subscript"/>
        </w:rPr>
        <w:t>2</w:t>
      </w:r>
      <w:r>
        <w:rPr>
          <w:rFonts w:hint="default" w:ascii="Times New Roman" w:hAnsi="Times New Roman" w:eastAsia="宋体" w:cs="Times New Roman"/>
          <w:color w:val="auto"/>
          <w:sz w:val="24"/>
          <w:szCs w:val="22"/>
        </w:rPr>
        <w:t>O</w:t>
      </w:r>
    </w:p>
    <w:p>
      <w:pPr>
        <w:spacing w:line="360" w:lineRule="auto"/>
        <w:ind w:firstLine="480"/>
        <w:rPr>
          <w:rFonts w:hint="eastAsia" w:ascii="Times New Roman" w:hAnsi="Times New Roman" w:eastAsia="宋体" w:cs="Times New Roman"/>
          <w:color w:val="auto"/>
          <w:sz w:val="24"/>
          <w:szCs w:val="22"/>
          <w:lang w:eastAsia="zh-CN"/>
        </w:rPr>
      </w:pPr>
      <w:r>
        <w:rPr>
          <w:rFonts w:hint="eastAsia" w:ascii="Times New Roman" w:hAnsi="Times New Roman" w:eastAsia="宋体" w:cs="Times New Roman"/>
          <w:color w:val="auto"/>
          <w:sz w:val="24"/>
          <w:szCs w:val="22"/>
          <w:lang w:eastAsia="zh-CN"/>
        </w:rPr>
        <w:t>在整个过程中，可以从水洗塔及氧化塔中得到稀硝酸，经混入一定比例的浓硝酸后，可返回生产工段继续使用；从碱吸收塔可以得到硝酸盐和亚硝酸盐母液，因绝大部分氮氧化物在前面工序已经被吸收彻底，因此碱吸收塔中的硝酸盐溶度较低，且产生量较少，直接进入污水处理站进行处理。</w:t>
      </w:r>
    </w:p>
    <w:p>
      <w:pPr>
        <w:spacing w:line="360" w:lineRule="auto"/>
        <w:ind w:firstLine="480"/>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4"/>
          <w:szCs w:val="22"/>
        </w:rPr>
        <w:t>本项目电子级硝酸生产废气</w:t>
      </w:r>
      <w:r>
        <w:rPr>
          <w:rFonts w:hint="eastAsia" w:ascii="Times New Roman" w:hAnsi="Times New Roman" w:eastAsia="宋体" w:cs="Times New Roman"/>
          <w:color w:val="auto"/>
          <w:sz w:val="24"/>
          <w:szCs w:val="22"/>
          <w:lang w:val="en-US" w:eastAsia="zh-CN"/>
        </w:rPr>
        <w:t>经</w:t>
      </w:r>
      <w:r>
        <w:rPr>
          <w:rFonts w:hint="default" w:ascii="Times New Roman" w:hAnsi="Times New Roman" w:eastAsia="宋体" w:cs="Times New Roman"/>
          <w:color w:val="auto"/>
          <w:sz w:val="24"/>
          <w:szCs w:val="22"/>
          <w:lang w:eastAsia="zh-CN"/>
        </w:rPr>
        <w:t>二级水吸收</w:t>
      </w:r>
      <w:r>
        <w:rPr>
          <w:rFonts w:hint="default" w:ascii="Times New Roman" w:hAnsi="Times New Roman" w:eastAsia="宋体" w:cs="Times New Roman"/>
          <w:color w:val="auto"/>
          <w:sz w:val="24"/>
          <w:szCs w:val="22"/>
          <w:lang w:val="en-US" w:eastAsia="zh-CN"/>
        </w:rPr>
        <w:t>+强氧化吸收+</w:t>
      </w:r>
      <w:r>
        <w:rPr>
          <w:rFonts w:hint="default" w:ascii="Times New Roman" w:hAnsi="Times New Roman" w:eastAsia="宋体" w:cs="Times New Roman"/>
          <w:color w:val="auto"/>
          <w:sz w:val="24"/>
          <w:szCs w:val="22"/>
          <w:lang w:eastAsia="zh-CN"/>
        </w:rPr>
        <w:t>二级碱吸收</w:t>
      </w:r>
      <w:r>
        <w:rPr>
          <w:rFonts w:hint="default" w:ascii="Times New Roman" w:hAnsi="Times New Roman" w:eastAsia="宋体" w:cs="Times New Roman"/>
          <w:color w:val="auto"/>
          <w:sz w:val="24"/>
          <w:szCs w:val="22"/>
        </w:rPr>
        <w:t>处理后由1根2</w:t>
      </w:r>
      <w:r>
        <w:rPr>
          <w:rFonts w:hint="eastAsia" w:ascii="Times New Roman" w:hAnsi="Times New Roman" w:eastAsia="宋体" w:cs="Times New Roman"/>
          <w:color w:val="auto"/>
          <w:sz w:val="24"/>
          <w:szCs w:val="22"/>
          <w:lang w:val="en-US" w:eastAsia="zh-CN"/>
        </w:rPr>
        <w:t>5</w:t>
      </w:r>
      <w:r>
        <w:rPr>
          <w:rFonts w:hint="default" w:ascii="Times New Roman" w:hAnsi="Times New Roman" w:eastAsia="宋体" w:cs="Times New Roman"/>
          <w:color w:val="auto"/>
          <w:sz w:val="24"/>
          <w:szCs w:val="22"/>
        </w:rPr>
        <w:t>m高排气筒（DA001）排放；硝酸银溶银废气经双氧水预洗塔后的尾气</w:t>
      </w:r>
      <w:r>
        <w:rPr>
          <w:rFonts w:hint="eastAsia" w:ascii="Times New Roman" w:hAnsi="Times New Roman" w:eastAsia="宋体" w:cs="Times New Roman"/>
          <w:color w:val="auto"/>
          <w:sz w:val="24"/>
          <w:szCs w:val="22"/>
          <w:lang w:val="en-US" w:eastAsia="zh-CN"/>
        </w:rPr>
        <w:t>经</w:t>
      </w:r>
      <w:r>
        <w:rPr>
          <w:rFonts w:hint="default" w:ascii="Times New Roman" w:hAnsi="Times New Roman" w:eastAsia="宋体" w:cs="Times New Roman"/>
          <w:color w:val="auto"/>
          <w:sz w:val="24"/>
          <w:szCs w:val="22"/>
          <w:lang w:eastAsia="zh-CN"/>
        </w:rPr>
        <w:t>二级水吸收</w:t>
      </w:r>
      <w:r>
        <w:rPr>
          <w:rFonts w:hint="default" w:ascii="Times New Roman" w:hAnsi="Times New Roman" w:eastAsia="宋体" w:cs="Times New Roman"/>
          <w:color w:val="auto"/>
          <w:sz w:val="24"/>
          <w:szCs w:val="22"/>
          <w:lang w:val="en-US" w:eastAsia="zh-CN"/>
        </w:rPr>
        <w:t>+强氧化吸收+</w:t>
      </w:r>
      <w:r>
        <w:rPr>
          <w:rFonts w:hint="default" w:ascii="Times New Roman" w:hAnsi="Times New Roman" w:eastAsia="宋体" w:cs="Times New Roman"/>
          <w:color w:val="auto"/>
          <w:sz w:val="24"/>
          <w:szCs w:val="22"/>
          <w:lang w:eastAsia="zh-CN"/>
        </w:rPr>
        <w:t>二级碱吸收</w:t>
      </w:r>
      <w:r>
        <w:rPr>
          <w:rFonts w:hint="default" w:ascii="Times New Roman" w:hAnsi="Times New Roman" w:eastAsia="宋体" w:cs="Times New Roman"/>
          <w:color w:val="auto"/>
          <w:sz w:val="24"/>
          <w:szCs w:val="22"/>
        </w:rPr>
        <w:t>后DA001排放。</w:t>
      </w:r>
      <w:r>
        <w:rPr>
          <w:rFonts w:hint="eastAsia" w:ascii="Times New Roman" w:hAnsi="Times New Roman" w:eastAsia="宋体" w:cs="Times New Roman"/>
          <w:color w:val="auto"/>
          <w:sz w:val="24"/>
          <w:szCs w:val="22"/>
          <w:lang w:val="en-US" w:eastAsia="zh-CN"/>
        </w:rPr>
        <w:t>根据设计单位提供的资料，</w:t>
      </w:r>
      <w:r>
        <w:rPr>
          <w:rFonts w:hint="default" w:ascii="Times New Roman" w:hAnsi="Times New Roman" w:eastAsia="宋体" w:cs="Times New Roman"/>
          <w:color w:val="auto"/>
          <w:sz w:val="24"/>
          <w:szCs w:val="24"/>
        </w:rPr>
        <w:t>处理效率为9</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2"/>
        </w:rPr>
        <w:t>处理后氮氧化物的排放浓度</w:t>
      </w:r>
      <w:r>
        <w:rPr>
          <w:rFonts w:hint="eastAsia" w:ascii="Times New Roman" w:hAnsi="Times New Roman" w:eastAsia="宋体" w:cs="Times New Roman"/>
          <w:color w:val="auto"/>
          <w:sz w:val="24"/>
          <w:szCs w:val="22"/>
          <w:lang w:val="en-US" w:eastAsia="zh-CN"/>
        </w:rPr>
        <w:t>41.9</w:t>
      </w:r>
      <w:r>
        <w:rPr>
          <w:rFonts w:hint="default" w:ascii="Times New Roman" w:hAnsi="Times New Roman" w:eastAsia="宋体" w:cs="Times New Roman"/>
          <w:color w:val="auto"/>
          <w:sz w:val="24"/>
          <w:szCs w:val="22"/>
        </w:rPr>
        <w:t>mg/m</w:t>
      </w:r>
      <w:r>
        <w:rPr>
          <w:rFonts w:hint="default" w:ascii="Times New Roman" w:hAnsi="Times New Roman" w:eastAsia="宋体" w:cs="Times New Roman"/>
          <w:color w:val="auto"/>
          <w:sz w:val="24"/>
          <w:szCs w:val="22"/>
          <w:vertAlign w:val="superscript"/>
        </w:rPr>
        <w:t>3</w:t>
      </w:r>
      <w:r>
        <w:rPr>
          <w:rFonts w:hint="default" w:ascii="Times New Roman" w:hAnsi="Times New Roman" w:eastAsia="宋体" w:cs="Times New Roman"/>
          <w:color w:val="auto"/>
          <w:sz w:val="24"/>
          <w:szCs w:val="22"/>
        </w:rPr>
        <w:t>，能够满足《无机化学工业污染物排放标准》(GB13571-2015)表4中标准要求，其治理措施可行。</w:t>
      </w:r>
    </w:p>
    <w:p>
      <w:pPr>
        <w:spacing w:line="360" w:lineRule="auto"/>
        <w:ind w:left="560" w:firstLine="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（2）含氨</w:t>
      </w:r>
      <w:r>
        <w:rPr>
          <w:rFonts w:hint="eastAsia" w:ascii="Times New Roman" w:hAnsi="Times New Roman" w:eastAsia="宋体" w:cs="Times New Roman"/>
          <w:b/>
          <w:color w:val="auto"/>
          <w:sz w:val="24"/>
          <w:szCs w:val="24"/>
          <w:lang w:val="en-US" w:eastAsia="zh-CN"/>
        </w:rPr>
        <w:t>有机</w:t>
      </w:r>
      <w:r>
        <w:rPr>
          <w:rFonts w:hint="default" w:ascii="Times New Roman" w:hAnsi="Times New Roman" w:eastAsia="宋体" w:cs="Times New Roman"/>
          <w:b/>
          <w:color w:val="auto"/>
          <w:sz w:val="24"/>
          <w:szCs w:val="24"/>
        </w:rPr>
        <w:t>废气</w:t>
      </w:r>
    </w:p>
    <w:p>
      <w:pPr>
        <w:spacing w:line="360" w:lineRule="auto"/>
        <w:ind w:firstLine="48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根据工程分析，分散废气、乙醇精馏不凝气、干燥废气</w:t>
      </w:r>
      <w:r>
        <w:rPr>
          <w:rFonts w:hint="eastAsia" w:ascii="Times New Roman" w:hAnsi="Times New Roman" w:eastAsia="宋体" w:cs="Times New Roman"/>
          <w:color w:val="auto"/>
          <w:sz w:val="24"/>
          <w:szCs w:val="22"/>
          <w:lang w:val="en-US" w:eastAsia="zh-CN"/>
        </w:rPr>
        <w:t>经</w:t>
      </w:r>
      <w:r>
        <w:rPr>
          <w:rFonts w:hint="default" w:ascii="Times New Roman" w:hAnsi="Times New Roman" w:eastAsia="宋体" w:cs="Times New Roman"/>
          <w:color w:val="auto"/>
          <w:sz w:val="24"/>
          <w:szCs w:val="22"/>
          <w:lang w:eastAsia="zh-CN"/>
        </w:rPr>
        <w:t>二级</w:t>
      </w:r>
      <w:r>
        <w:rPr>
          <w:rFonts w:hint="default" w:ascii="Times New Roman" w:hAnsi="Times New Roman" w:eastAsia="宋体" w:cs="Times New Roman"/>
          <w:color w:val="auto"/>
          <w:sz w:val="24"/>
          <w:szCs w:val="22"/>
        </w:rPr>
        <w:t>水洗</w:t>
      </w:r>
      <w:r>
        <w:rPr>
          <w:rFonts w:hint="default" w:ascii="Times New Roman" w:hAnsi="Times New Roman" w:eastAsia="宋体" w:cs="Times New Roman"/>
          <w:color w:val="auto"/>
          <w:sz w:val="24"/>
          <w:szCs w:val="22"/>
          <w:lang w:val="en-US" w:eastAsia="zh-CN"/>
        </w:rPr>
        <w:t>+高效除雾装置+活性炭吸附</w:t>
      </w:r>
      <w:r>
        <w:rPr>
          <w:rFonts w:hint="default" w:ascii="Times New Roman" w:hAnsi="Times New Roman" w:eastAsia="宋体" w:cs="Times New Roman"/>
          <w:color w:val="auto"/>
          <w:sz w:val="24"/>
          <w:szCs w:val="22"/>
        </w:rPr>
        <w:t>处理后由2</w:t>
      </w:r>
      <w:r>
        <w:rPr>
          <w:rFonts w:hint="eastAsia" w:ascii="Times New Roman" w:hAnsi="Times New Roman" w:eastAsia="宋体" w:cs="Times New Roman"/>
          <w:color w:val="auto"/>
          <w:sz w:val="24"/>
          <w:szCs w:val="22"/>
          <w:lang w:val="en-US" w:eastAsia="zh-CN"/>
        </w:rPr>
        <w:t>5</w:t>
      </w:r>
      <w:r>
        <w:rPr>
          <w:rFonts w:hint="default" w:ascii="Times New Roman" w:hAnsi="Times New Roman" w:eastAsia="宋体" w:cs="Times New Roman"/>
          <w:color w:val="auto"/>
          <w:sz w:val="24"/>
          <w:szCs w:val="22"/>
        </w:rPr>
        <w:t>m高排气筒DA002排放</w:t>
      </w:r>
      <w:r>
        <w:rPr>
          <w:rFonts w:hint="eastAsia" w:ascii="Times New Roman" w:hAnsi="Times New Roman" w:eastAsia="宋体" w:cs="Times New Roman"/>
          <w:color w:val="auto"/>
          <w:sz w:val="24"/>
          <w:szCs w:val="22"/>
          <w:lang w:eastAsia="zh-CN"/>
        </w:rPr>
        <w:t>。</w:t>
      </w:r>
      <w:r>
        <w:rPr>
          <w:rFonts w:hint="eastAsia" w:ascii="Times New Roman" w:hAnsi="Times New Roman" w:eastAsia="宋体" w:cs="Times New Roman"/>
          <w:color w:val="auto"/>
          <w:sz w:val="24"/>
          <w:szCs w:val="22"/>
          <w:lang w:val="en-US" w:eastAsia="zh-CN"/>
        </w:rPr>
        <w:t>含银废液三效蒸发器不凝气、</w:t>
      </w:r>
      <w:r>
        <w:rPr>
          <w:rFonts w:hint="default" w:ascii="Times New Roman" w:hAnsi="Times New Roman" w:eastAsia="宋体" w:cs="Times New Roman"/>
          <w:color w:val="auto"/>
          <w:sz w:val="24"/>
          <w:szCs w:val="22"/>
        </w:rPr>
        <w:t>超细银粉反应废气先经氨回收塔回收氨气后再</w:t>
      </w:r>
      <w:r>
        <w:rPr>
          <w:rFonts w:hint="eastAsia" w:ascii="Times New Roman" w:hAnsi="Times New Roman" w:eastAsia="宋体" w:cs="Times New Roman"/>
          <w:color w:val="auto"/>
          <w:sz w:val="24"/>
          <w:szCs w:val="22"/>
          <w:lang w:val="en-US" w:eastAsia="zh-CN"/>
        </w:rPr>
        <w:t>经</w:t>
      </w:r>
      <w:r>
        <w:rPr>
          <w:rFonts w:hint="default" w:ascii="Times New Roman" w:hAnsi="Times New Roman" w:eastAsia="宋体" w:cs="Times New Roman"/>
          <w:color w:val="auto"/>
          <w:sz w:val="24"/>
          <w:szCs w:val="22"/>
          <w:lang w:eastAsia="zh-CN"/>
        </w:rPr>
        <w:t>二级水吸收</w:t>
      </w:r>
      <w:r>
        <w:rPr>
          <w:rFonts w:hint="default" w:ascii="Times New Roman" w:hAnsi="Times New Roman" w:eastAsia="宋体" w:cs="Times New Roman"/>
          <w:color w:val="auto"/>
          <w:sz w:val="24"/>
          <w:szCs w:val="22"/>
          <w:lang w:val="en-US" w:eastAsia="zh-CN"/>
        </w:rPr>
        <w:t>+</w:t>
      </w:r>
      <w:r>
        <w:rPr>
          <w:rFonts w:hint="default" w:ascii="Times New Roman" w:hAnsi="Times New Roman" w:eastAsia="宋体" w:cs="Times New Roman"/>
          <w:color w:val="auto"/>
          <w:sz w:val="24"/>
          <w:szCs w:val="22"/>
          <w:lang w:eastAsia="zh-CN"/>
        </w:rPr>
        <w:t>二级</w:t>
      </w:r>
      <w:r>
        <w:rPr>
          <w:rFonts w:hint="default" w:ascii="Times New Roman" w:hAnsi="Times New Roman" w:eastAsia="宋体" w:cs="Times New Roman"/>
          <w:color w:val="auto"/>
          <w:sz w:val="24"/>
          <w:szCs w:val="22"/>
        </w:rPr>
        <w:t>水洗</w:t>
      </w:r>
      <w:r>
        <w:rPr>
          <w:rFonts w:hint="default" w:ascii="Times New Roman" w:hAnsi="Times New Roman" w:eastAsia="宋体" w:cs="Times New Roman"/>
          <w:color w:val="auto"/>
          <w:sz w:val="24"/>
          <w:szCs w:val="22"/>
          <w:lang w:val="en-US" w:eastAsia="zh-CN"/>
        </w:rPr>
        <w:t>+高效除雾装置+活性炭吸附</w:t>
      </w:r>
      <w:r>
        <w:rPr>
          <w:rFonts w:hint="default" w:ascii="Times New Roman" w:hAnsi="Times New Roman" w:eastAsia="宋体" w:cs="Times New Roman"/>
          <w:color w:val="auto"/>
          <w:sz w:val="24"/>
          <w:szCs w:val="22"/>
        </w:rPr>
        <w:t>处理后由2</w:t>
      </w:r>
      <w:r>
        <w:rPr>
          <w:rFonts w:hint="eastAsia" w:ascii="Times New Roman" w:hAnsi="Times New Roman" w:eastAsia="宋体" w:cs="Times New Roman"/>
          <w:color w:val="auto"/>
          <w:sz w:val="24"/>
          <w:szCs w:val="22"/>
          <w:lang w:val="en-US" w:eastAsia="zh-CN"/>
        </w:rPr>
        <w:t>5</w:t>
      </w:r>
      <w:r>
        <w:rPr>
          <w:rFonts w:hint="default" w:ascii="Times New Roman" w:hAnsi="Times New Roman" w:eastAsia="宋体" w:cs="Times New Roman"/>
          <w:color w:val="auto"/>
          <w:sz w:val="24"/>
          <w:szCs w:val="22"/>
        </w:rPr>
        <w:t>m高排气筒（DA002）排放。</w:t>
      </w:r>
    </w:p>
    <w:p>
      <w:pPr>
        <w:spacing w:line="360" w:lineRule="auto"/>
        <w:ind w:firstLine="48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洗涤塔的结构：吸收塔将塔体、吸收液槽、循环泵、吸收液管道系统组合成一套完整的设备。洗涤塔的适用范围:吸收塔适应于化工、轻工、印染、医药、钢铁、机械、电子、仪表电镀等工业部门生产过程中排放如硫酸雾、氯化氢气体及氟化氢气体、铬酸雾、氰氢酸气体、硫化氢、氨气、碱蒸气等水溶性气体。超细银粉生产线反应废气为甲醛、氨</w:t>
      </w:r>
      <w:r>
        <w:rPr>
          <w:rFonts w:hint="eastAsia" w:ascii="Times New Roman" w:hAnsi="Times New Roman" w:eastAsia="宋体" w:cs="Times New Roman"/>
          <w:color w:val="auto"/>
          <w:sz w:val="24"/>
          <w:szCs w:val="22"/>
          <w:lang w:eastAsia="zh-CN"/>
        </w:rPr>
        <w:t>、</w:t>
      </w:r>
      <w:r>
        <w:rPr>
          <w:rFonts w:hint="eastAsia" w:ascii="Times New Roman" w:hAnsi="Times New Roman" w:eastAsia="宋体" w:cs="Times New Roman"/>
          <w:color w:val="auto"/>
          <w:sz w:val="24"/>
          <w:szCs w:val="22"/>
          <w:lang w:val="en-US" w:eastAsia="zh-CN"/>
        </w:rPr>
        <w:t>乙醇</w:t>
      </w:r>
      <w:r>
        <w:rPr>
          <w:rFonts w:hint="default" w:ascii="Times New Roman" w:hAnsi="Times New Roman" w:eastAsia="宋体" w:cs="Times New Roman"/>
          <w:color w:val="auto"/>
          <w:sz w:val="24"/>
          <w:szCs w:val="22"/>
        </w:rPr>
        <w:t>均为水溶性气体，因此，采用</w:t>
      </w:r>
      <w:r>
        <w:rPr>
          <w:rFonts w:hint="eastAsia" w:ascii="Times New Roman" w:hAnsi="Times New Roman" w:eastAsia="宋体" w:cs="Times New Roman"/>
          <w:color w:val="auto"/>
          <w:sz w:val="24"/>
          <w:szCs w:val="22"/>
          <w:lang w:val="en-US" w:eastAsia="zh-CN"/>
        </w:rPr>
        <w:t>水吸收、水洗</w:t>
      </w:r>
      <w:r>
        <w:rPr>
          <w:rFonts w:hint="default" w:ascii="Times New Roman" w:hAnsi="Times New Roman" w:eastAsia="宋体" w:cs="Times New Roman"/>
          <w:color w:val="auto"/>
          <w:sz w:val="24"/>
          <w:szCs w:val="22"/>
        </w:rPr>
        <w:t>可行。</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auto"/>
          <w:spacing w:val="8"/>
          <w:sz w:val="24"/>
          <w:szCs w:val="24"/>
        </w:rPr>
      </w:pPr>
      <w:r>
        <w:rPr>
          <w:rFonts w:hint="default" w:ascii="Times New Roman" w:hAnsi="Times New Roman" w:eastAsia="宋体" w:cs="Times New Roman"/>
          <w:color w:val="auto"/>
          <w:sz w:val="24"/>
          <w:szCs w:val="24"/>
        </w:rPr>
        <w:t>目前国内针对有机废气常用的处理方法主要有两类：一类是破坏性方法，如燃烧法等主要用于处理无回收价值或有一定的毒性的气体；另一类是非破坏性的，即吸收法、吸附法、冷凝法，以及新发展的生物膜法、脉冲电晕法、臭氧分解法、等离子体分解法等。</w:t>
      </w:r>
      <w:r>
        <w:rPr>
          <w:rFonts w:hint="default" w:ascii="Times New Roman" w:hAnsi="Times New Roman" w:eastAsia="宋体" w:cs="Times New Roman"/>
          <w:color w:val="auto"/>
          <w:spacing w:val="8"/>
          <w:sz w:val="24"/>
          <w:szCs w:val="24"/>
        </w:rPr>
        <w:t>各处理措施原理及适用范围见表7.3-2。</w:t>
      </w:r>
    </w:p>
    <w:p>
      <w:pPr>
        <w:snapToGrid w:val="0"/>
        <w:spacing w:line="360" w:lineRule="auto"/>
        <w:ind w:firstLine="0"/>
        <w:jc w:val="center"/>
        <w:outlineLvl w:val="4"/>
        <w:rPr>
          <w:rFonts w:hint="default" w:ascii="Times New Roman" w:hAnsi="Times New Roman" w:eastAsia="黑体" w:cs="Times New Roman"/>
          <w:bCs/>
          <w:color w:val="auto"/>
          <w:kern w:val="0"/>
          <w:sz w:val="24"/>
          <w:szCs w:val="24"/>
          <w:lang w:val="en-GB" w:eastAsia="zh-TW"/>
        </w:rPr>
      </w:pPr>
      <w:bookmarkStart w:id="354" w:name="_Toc21846_WPSOffice_Level3"/>
      <w:r>
        <w:rPr>
          <w:rFonts w:hint="default" w:ascii="Times New Roman" w:hAnsi="Times New Roman" w:eastAsia="黑体" w:cs="Times New Roman"/>
          <w:bCs/>
          <w:color w:val="auto"/>
          <w:kern w:val="0"/>
          <w:sz w:val="24"/>
          <w:szCs w:val="24"/>
          <w:lang w:val="en-GB" w:eastAsia="zh-TW"/>
        </w:rPr>
        <w:t>表</w:t>
      </w:r>
      <w:r>
        <w:rPr>
          <w:rFonts w:hint="default" w:ascii="Times New Roman" w:hAnsi="Times New Roman" w:eastAsia="黑体" w:cs="Times New Roman"/>
          <w:bCs/>
          <w:color w:val="auto"/>
          <w:kern w:val="0"/>
          <w:sz w:val="24"/>
          <w:szCs w:val="24"/>
        </w:rPr>
        <w:t>7.3-2</w:t>
      </w:r>
      <w:r>
        <w:rPr>
          <w:rFonts w:hint="default" w:ascii="Times New Roman" w:hAnsi="Times New Roman" w:eastAsia="黑体" w:cs="Times New Roman"/>
          <w:bCs/>
          <w:color w:val="auto"/>
          <w:kern w:val="0"/>
          <w:sz w:val="24"/>
          <w:szCs w:val="24"/>
          <w:lang w:val="en-GB" w:eastAsia="zh-TW"/>
        </w:rPr>
        <w:t xml:space="preserve">  有机废气处理措施原理及适用范围</w:t>
      </w:r>
      <w:bookmarkEnd w:id="354"/>
    </w:p>
    <w:tbl>
      <w:tblPr>
        <w:tblStyle w:val="90"/>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087"/>
        <w:gridCol w:w="4543"/>
        <w:gridCol w:w="355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jc w:val="center"/>
        </w:trPr>
        <w:tc>
          <w:tcPr>
            <w:tcW w:w="1087" w:type="dxa"/>
            <w:tcBorders>
              <w:left w:val="single" w:color="auto" w:sz="4" w:space="0"/>
            </w:tcBorders>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bookmarkStart w:id="355" w:name="_Toc29689"/>
            <w:r>
              <w:rPr>
                <w:rFonts w:hint="default" w:ascii="Times New Roman" w:hAnsi="Times New Roman" w:eastAsia="宋体" w:cs="Times New Roman"/>
                <w:color w:val="auto"/>
                <w:sz w:val="21"/>
                <w:szCs w:val="21"/>
              </w:rPr>
              <w:t>净化方法</w:t>
            </w:r>
            <w:bookmarkEnd w:id="355"/>
          </w:p>
        </w:tc>
        <w:tc>
          <w:tcPr>
            <w:tcW w:w="4543" w:type="dxa"/>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bookmarkStart w:id="356" w:name="_Toc15028"/>
            <w:r>
              <w:rPr>
                <w:rFonts w:hint="default" w:ascii="Times New Roman" w:hAnsi="Times New Roman" w:eastAsia="宋体" w:cs="Times New Roman"/>
                <w:color w:val="auto"/>
                <w:sz w:val="21"/>
                <w:szCs w:val="21"/>
              </w:rPr>
              <w:t>原理</w:t>
            </w:r>
            <w:bookmarkEnd w:id="356"/>
          </w:p>
        </w:tc>
        <w:tc>
          <w:tcPr>
            <w:tcW w:w="3554" w:type="dxa"/>
            <w:tcBorders>
              <w:right w:val="single" w:color="auto" w:sz="4" w:space="0"/>
            </w:tcBorders>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bookmarkStart w:id="357" w:name="_Toc10223"/>
            <w:r>
              <w:rPr>
                <w:rFonts w:hint="default" w:ascii="Times New Roman" w:hAnsi="Times New Roman" w:eastAsia="宋体" w:cs="Times New Roman"/>
                <w:color w:val="auto"/>
                <w:sz w:val="21"/>
                <w:szCs w:val="21"/>
              </w:rPr>
              <w:t>适用范围</w:t>
            </w:r>
            <w:bookmarkEnd w:id="357"/>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087" w:type="dxa"/>
            <w:tcBorders>
              <w:left w:val="single" w:color="auto" w:sz="4" w:space="0"/>
            </w:tcBorders>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bookmarkStart w:id="358" w:name="_Toc26475"/>
            <w:r>
              <w:rPr>
                <w:rFonts w:hint="default" w:ascii="Times New Roman" w:hAnsi="Times New Roman" w:eastAsia="宋体" w:cs="Times New Roman"/>
                <w:color w:val="auto"/>
                <w:sz w:val="21"/>
                <w:szCs w:val="21"/>
              </w:rPr>
              <w:t>冷凝法</w:t>
            </w:r>
            <w:bookmarkEnd w:id="358"/>
          </w:p>
        </w:tc>
        <w:tc>
          <w:tcPr>
            <w:tcW w:w="4543" w:type="dxa"/>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bookmarkStart w:id="359" w:name="_Toc6256"/>
            <w:r>
              <w:rPr>
                <w:rFonts w:hint="default" w:ascii="Times New Roman" w:hAnsi="Times New Roman" w:eastAsia="宋体" w:cs="Times New Roman"/>
                <w:color w:val="auto"/>
                <w:sz w:val="21"/>
                <w:szCs w:val="21"/>
              </w:rPr>
              <w:t>采用低温、使有机物冷却组份冷却至露点以下，液化回收</w:t>
            </w:r>
            <w:bookmarkEnd w:id="359"/>
          </w:p>
        </w:tc>
        <w:tc>
          <w:tcPr>
            <w:tcW w:w="3554" w:type="dxa"/>
            <w:tcBorders>
              <w:right w:val="single" w:color="auto" w:sz="4" w:space="0"/>
            </w:tcBorders>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bookmarkStart w:id="360" w:name="_Toc11897"/>
            <w:r>
              <w:rPr>
                <w:rFonts w:hint="default" w:ascii="Times New Roman" w:hAnsi="Times New Roman" w:eastAsia="宋体" w:cs="Times New Roman"/>
                <w:color w:val="auto"/>
                <w:sz w:val="21"/>
                <w:szCs w:val="21"/>
              </w:rPr>
              <w:t>适用于高浓度废气净化(对沸点小于38℃的有机废气不适用)</w:t>
            </w:r>
            <w:bookmarkEnd w:id="360"/>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087" w:type="dxa"/>
            <w:tcBorders>
              <w:left w:val="single" w:color="auto" w:sz="4" w:space="0"/>
            </w:tcBorders>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bookmarkStart w:id="361" w:name="_Toc9821"/>
            <w:r>
              <w:rPr>
                <w:rFonts w:hint="default" w:ascii="Times New Roman" w:hAnsi="Times New Roman" w:eastAsia="宋体" w:cs="Times New Roman"/>
                <w:color w:val="auto"/>
                <w:sz w:val="21"/>
                <w:szCs w:val="21"/>
              </w:rPr>
              <w:t>活性炭吸附法</w:t>
            </w:r>
            <w:bookmarkEnd w:id="361"/>
          </w:p>
        </w:tc>
        <w:tc>
          <w:tcPr>
            <w:tcW w:w="4543" w:type="dxa"/>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活性炭是一种很细小的炭粒，有很大的表面积，而 且炭粒中还有更细小的孔毛细管。这种毛细管具有 很强的吸附能力，由于炭粒的表面积很大，所以能 与气体充分接触，当这些气体碰到毛细管就被吸 附，起净化作用，去除率可达 90%以上。</w:t>
            </w:r>
          </w:p>
        </w:tc>
        <w:tc>
          <w:tcPr>
            <w:tcW w:w="3554" w:type="dxa"/>
            <w:tcBorders>
              <w:right w:val="single" w:color="auto" w:sz="4" w:space="0"/>
            </w:tcBorders>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bookmarkStart w:id="362" w:name="_Toc1144"/>
            <w:r>
              <w:rPr>
                <w:rFonts w:hint="default" w:ascii="Times New Roman" w:hAnsi="Times New Roman" w:eastAsia="宋体" w:cs="Times New Roman"/>
                <w:color w:val="auto"/>
                <w:sz w:val="21"/>
                <w:szCs w:val="21"/>
              </w:rPr>
              <w:t>适用于中低浓度废气的净化</w:t>
            </w:r>
            <w:bookmarkEnd w:id="362"/>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087" w:type="dxa"/>
            <w:tcBorders>
              <w:left w:val="single" w:color="auto" w:sz="4" w:space="0"/>
            </w:tcBorders>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bookmarkStart w:id="363" w:name="_Toc13509"/>
            <w:r>
              <w:rPr>
                <w:rFonts w:hint="default" w:ascii="Times New Roman" w:hAnsi="Times New Roman" w:eastAsia="宋体" w:cs="Times New Roman"/>
                <w:color w:val="auto"/>
                <w:sz w:val="21"/>
                <w:szCs w:val="21"/>
              </w:rPr>
              <w:t>吸收法</w:t>
            </w:r>
            <w:bookmarkEnd w:id="363"/>
          </w:p>
        </w:tc>
        <w:tc>
          <w:tcPr>
            <w:tcW w:w="4543" w:type="dxa"/>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bookmarkStart w:id="364" w:name="_Toc5028"/>
            <w:r>
              <w:rPr>
                <w:rFonts w:hint="default" w:ascii="Times New Roman" w:hAnsi="Times New Roman" w:eastAsia="宋体" w:cs="Times New Roman"/>
                <w:color w:val="auto"/>
                <w:sz w:val="21"/>
                <w:szCs w:val="21"/>
              </w:rPr>
              <w:t>用适当的吸收剂对废气中有机组份进行物理吸收，温度范围为常温</w:t>
            </w:r>
            <w:bookmarkEnd w:id="364"/>
          </w:p>
        </w:tc>
        <w:tc>
          <w:tcPr>
            <w:tcW w:w="3554" w:type="dxa"/>
            <w:tcBorders>
              <w:right w:val="single" w:color="auto" w:sz="4" w:space="0"/>
            </w:tcBorders>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bookmarkStart w:id="365" w:name="_Toc27684"/>
            <w:r>
              <w:rPr>
                <w:rFonts w:hint="default" w:ascii="Times New Roman" w:hAnsi="Times New Roman" w:eastAsia="宋体" w:cs="Times New Roman"/>
                <w:color w:val="auto"/>
                <w:sz w:val="21"/>
                <w:szCs w:val="21"/>
              </w:rPr>
              <w:t>对废气浓度限制较小，适用于含有颗粒物的废气净化</w:t>
            </w:r>
            <w:bookmarkEnd w:id="365"/>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087" w:type="dxa"/>
            <w:tcBorders>
              <w:left w:val="single" w:color="auto" w:sz="4" w:space="0"/>
            </w:tcBorders>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bookmarkStart w:id="366" w:name="_Toc30205"/>
            <w:r>
              <w:rPr>
                <w:rFonts w:hint="default" w:ascii="Times New Roman" w:hAnsi="Times New Roman" w:eastAsia="宋体" w:cs="Times New Roman"/>
                <w:color w:val="auto"/>
                <w:sz w:val="21"/>
                <w:szCs w:val="21"/>
              </w:rPr>
              <w:t>燃烧法</w:t>
            </w:r>
            <w:bookmarkEnd w:id="366"/>
          </w:p>
        </w:tc>
        <w:tc>
          <w:tcPr>
            <w:tcW w:w="4543" w:type="dxa"/>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bookmarkStart w:id="367" w:name="_Toc21451"/>
            <w:r>
              <w:rPr>
                <w:rFonts w:hint="default" w:ascii="Times New Roman" w:hAnsi="Times New Roman" w:eastAsia="宋体" w:cs="Times New Roman"/>
                <w:color w:val="auto"/>
                <w:sz w:val="21"/>
                <w:szCs w:val="21"/>
              </w:rPr>
              <w:t>将废气中的有机物作为燃料烧掉或将其高温下进行氧化分解，温度范围为600~1100℃</w:t>
            </w:r>
            <w:bookmarkEnd w:id="367"/>
          </w:p>
        </w:tc>
        <w:tc>
          <w:tcPr>
            <w:tcW w:w="3554" w:type="dxa"/>
            <w:tcBorders>
              <w:right w:val="single" w:color="auto" w:sz="4" w:space="0"/>
            </w:tcBorders>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bookmarkStart w:id="368" w:name="_Toc5972"/>
            <w:r>
              <w:rPr>
                <w:rFonts w:hint="default" w:ascii="Times New Roman" w:hAnsi="Times New Roman" w:eastAsia="宋体" w:cs="Times New Roman"/>
                <w:color w:val="auto"/>
                <w:sz w:val="21"/>
                <w:szCs w:val="21"/>
              </w:rPr>
              <w:t>适用于中、高浓度范围无回收价值或有一定的毒性的废气净化</w:t>
            </w:r>
            <w:bookmarkEnd w:id="368"/>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087" w:type="dxa"/>
            <w:tcBorders>
              <w:left w:val="single" w:color="auto" w:sz="4" w:space="0"/>
            </w:tcBorders>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bookmarkStart w:id="369" w:name="_Toc28648"/>
            <w:r>
              <w:rPr>
                <w:rFonts w:hint="default" w:ascii="Times New Roman" w:hAnsi="Times New Roman" w:eastAsia="宋体" w:cs="Times New Roman"/>
                <w:color w:val="auto"/>
                <w:sz w:val="21"/>
                <w:szCs w:val="21"/>
              </w:rPr>
              <w:t>催化燃烧法</w:t>
            </w:r>
            <w:bookmarkEnd w:id="369"/>
          </w:p>
        </w:tc>
        <w:tc>
          <w:tcPr>
            <w:tcW w:w="4543" w:type="dxa"/>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bookmarkStart w:id="370" w:name="_Toc97"/>
            <w:r>
              <w:rPr>
                <w:rFonts w:hint="default" w:ascii="Times New Roman" w:hAnsi="Times New Roman" w:eastAsia="宋体" w:cs="Times New Roman"/>
                <w:color w:val="auto"/>
                <w:sz w:val="21"/>
                <w:szCs w:val="21"/>
              </w:rPr>
              <w:t>在氧化催化剂作用下，将碳氢化合物氧化成CO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和H</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O，温度范围为200~400℃</w:t>
            </w:r>
            <w:bookmarkEnd w:id="370"/>
          </w:p>
        </w:tc>
        <w:tc>
          <w:tcPr>
            <w:tcW w:w="3554" w:type="dxa"/>
            <w:tcBorders>
              <w:right w:val="single" w:color="auto" w:sz="4" w:space="0"/>
            </w:tcBorders>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bookmarkStart w:id="371" w:name="_Toc10544"/>
            <w:r>
              <w:rPr>
                <w:rFonts w:hint="default" w:ascii="Times New Roman" w:hAnsi="Times New Roman" w:eastAsia="宋体" w:cs="Times New Roman"/>
                <w:color w:val="auto"/>
                <w:sz w:val="21"/>
                <w:szCs w:val="21"/>
              </w:rPr>
              <w:t>适用于各种浓度的废气净化，适用于连续排气的场合</w:t>
            </w:r>
            <w:bookmarkEnd w:id="371"/>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087" w:type="dxa"/>
            <w:tcBorders>
              <w:left w:val="single" w:color="auto" w:sz="4" w:space="0"/>
            </w:tcBorders>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RTO</w:t>
            </w:r>
          </w:p>
        </w:tc>
        <w:tc>
          <w:tcPr>
            <w:tcW w:w="4543" w:type="dxa"/>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在高温下将可燃废气氧化成对应的氧化物和水，从而净化废气。</w:t>
            </w:r>
          </w:p>
        </w:tc>
        <w:tc>
          <w:tcPr>
            <w:tcW w:w="3554" w:type="dxa"/>
            <w:tcBorders>
              <w:right w:val="single" w:color="auto" w:sz="4" w:space="0"/>
            </w:tcBorders>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适用于各种浓度的废气净化，废气分解效率达99.5%以上。</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087" w:type="dxa"/>
            <w:tcBorders>
              <w:left w:val="single" w:color="auto" w:sz="4" w:space="0"/>
            </w:tcBorders>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bookmarkStart w:id="372" w:name="_Toc3773"/>
            <w:r>
              <w:rPr>
                <w:rFonts w:hint="default" w:ascii="Times New Roman" w:hAnsi="Times New Roman" w:eastAsia="宋体" w:cs="Times New Roman"/>
                <w:color w:val="auto"/>
                <w:sz w:val="21"/>
                <w:szCs w:val="21"/>
              </w:rPr>
              <w:t>等离子体分解法</w:t>
            </w:r>
            <w:bookmarkEnd w:id="372"/>
          </w:p>
        </w:tc>
        <w:tc>
          <w:tcPr>
            <w:tcW w:w="4543" w:type="dxa"/>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bookmarkStart w:id="373" w:name="_Toc27136"/>
            <w:r>
              <w:rPr>
                <w:rFonts w:hint="default" w:ascii="Times New Roman" w:hAnsi="Times New Roman" w:eastAsia="宋体" w:cs="Times New Roman"/>
                <w:color w:val="auto"/>
                <w:sz w:val="21"/>
                <w:szCs w:val="21"/>
              </w:rPr>
              <w:t>具有很强的氧化性，能在极短的时间内氧化分解甲硫醇、氨、硫化氢等</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"http://www.baike.com/sowiki/%E6%B1%A1%E6%9F%93%E5%9B%A0%E5%AD%90?prd=content_doc_search" \o "污染因子"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污染因子</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，最终生成二氧化碳和水等稳定无害的小分子</w:t>
            </w:r>
            <w:bookmarkEnd w:id="373"/>
          </w:p>
        </w:tc>
        <w:tc>
          <w:tcPr>
            <w:tcW w:w="3554" w:type="dxa"/>
            <w:tcBorders>
              <w:right w:val="single" w:color="auto" w:sz="4" w:space="0"/>
            </w:tcBorders>
            <w:noWrap w:val="0"/>
            <w:vAlign w:val="center"/>
          </w:tcPr>
          <w:p>
            <w:pPr>
              <w:spacing w:line="240" w:lineRule="auto"/>
              <w:ind w:firstLine="0"/>
              <w:jc w:val="center"/>
              <w:outlineLvl w:val="2"/>
              <w:rPr>
                <w:rFonts w:hint="default" w:ascii="Times New Roman" w:hAnsi="Times New Roman" w:eastAsia="宋体" w:cs="Times New Roman"/>
                <w:color w:val="auto"/>
                <w:sz w:val="21"/>
                <w:szCs w:val="21"/>
              </w:rPr>
            </w:pPr>
            <w:bookmarkStart w:id="374" w:name="_Toc3182"/>
            <w:r>
              <w:rPr>
                <w:rFonts w:hint="default" w:ascii="Times New Roman" w:hAnsi="Times New Roman" w:eastAsia="宋体" w:cs="Times New Roman"/>
                <w:color w:val="auto"/>
                <w:sz w:val="21"/>
                <w:szCs w:val="21"/>
              </w:rPr>
              <w:t>适用于各种浓度的废气净化</w:t>
            </w:r>
            <w:bookmarkEnd w:id="374"/>
          </w:p>
        </w:tc>
      </w:tr>
    </w:tbl>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工程分析内容，项目分散离心、干燥、精馏产生的废气主要为乙醇，由于乙醇易溶于水的特点，本项目采用采用两级高效水洗涤塔进行吸收，可以高效去除废气中绝大部分的乙醇废气，再通过高效除雾装置，将废气中的水雾有效的分离，确保废气保持干燥状态进入活性炭吸附装置，经活性炭吸附装置，可以保证有机废气的稳定达标排放。</w:t>
      </w:r>
    </w:p>
    <w:p>
      <w:pPr>
        <w:spacing w:line="360" w:lineRule="auto"/>
        <w:ind w:firstLine="480"/>
        <w:rPr>
          <w:rFonts w:hint="eastAsia"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rPr>
        <w:t>超细银粉</w:t>
      </w:r>
      <w:r>
        <w:rPr>
          <w:rFonts w:hint="eastAsia" w:ascii="Times New Roman" w:hAnsi="Times New Roman" w:eastAsia="宋体" w:cs="Times New Roman"/>
          <w:color w:val="auto"/>
          <w:sz w:val="24"/>
          <w:szCs w:val="22"/>
          <w:lang w:val="en-US" w:eastAsia="zh-CN"/>
        </w:rPr>
        <w:t>反应废气、含银废液三效蒸发器不凝气中的主要成分均为氨气，氨溶于水时，氨分子跟水分子通过氢键结合成一水合氨(NH</w:t>
      </w:r>
      <w:r>
        <w:rPr>
          <w:rFonts w:hint="eastAsia" w:ascii="Times New Roman" w:hAnsi="Times New Roman" w:eastAsia="宋体" w:cs="Times New Roman"/>
          <w:color w:val="auto"/>
          <w:sz w:val="24"/>
          <w:szCs w:val="22"/>
          <w:vertAlign w:val="subscript"/>
          <w:lang w:val="en-US" w:eastAsia="zh-CN"/>
        </w:rPr>
        <w:t>3</w:t>
      </w:r>
      <w:r>
        <w:rPr>
          <w:rFonts w:hint="eastAsia" w:ascii="Times New Roman" w:hAnsi="Times New Roman" w:eastAsia="宋体" w:cs="Times New Roman"/>
          <w:color w:val="auto"/>
          <w:sz w:val="24"/>
          <w:szCs w:val="22"/>
          <w:lang w:val="en-US" w:eastAsia="zh-CN"/>
        </w:rPr>
        <w:t>+H</w:t>
      </w:r>
      <w:r>
        <w:rPr>
          <w:rFonts w:hint="eastAsia" w:ascii="Times New Roman" w:hAnsi="Times New Roman" w:eastAsia="宋体" w:cs="Times New Roman"/>
          <w:color w:val="auto"/>
          <w:sz w:val="24"/>
          <w:szCs w:val="22"/>
          <w:vertAlign w:val="subscript"/>
          <w:lang w:val="en-US" w:eastAsia="zh-CN"/>
        </w:rPr>
        <w:t>2</w:t>
      </w:r>
      <w:r>
        <w:rPr>
          <w:rFonts w:hint="eastAsia" w:ascii="Times New Roman" w:hAnsi="Times New Roman" w:eastAsia="宋体" w:cs="Times New Roman"/>
          <w:color w:val="auto"/>
          <w:sz w:val="24"/>
          <w:szCs w:val="22"/>
          <w:lang w:val="en-US" w:eastAsia="zh-CN"/>
        </w:rPr>
        <w:t>O)，低温水洗主要是采用低温冷却喷淋，多级循环水洗后氨气回收成氨水再利用。本项目采用低温水洗法处理工艺吸收绝大部分氨气，残余的微量氨气进入“分散离心、干燥、精馏产生的废气处理设施合并进行后续处置，因此部分废气量不大，与有机废气处理设施合并进行后续处置既能保证废气稳定达标排放，又能减少整体投资。其吸收工艺工作原理如下：氨气通过风机的抽引送入两级高效低温水洗塔。氨气吸收塔主要利用流体力学的相关原理，气体跟吸收液在管道内混合，当吸收液跟气体混合后通过管道，这时气液两相跟管壁接触面大，接触表面液体不断得到冷却，气液激烈碰撞以使气液充分混合后，随着液体的重力作用落入循环水箱中形成氨水。由于吸收塔的进气管大出气管小，所以塔内产生微正压，从而达到高效吸收的目的。为了防止氨水挥发，将残留含氨尾气引入有机废气处理装置（两级水洗塔+高效除雾装置+活性炭吸附箱）进一步处理，吸收挥发的氨气，从而达到环保要求。氨气吸收系统要控制三要素：</w:t>
      </w:r>
    </w:p>
    <w:p>
      <w:pPr>
        <w:numPr>
          <w:ilvl w:val="0"/>
          <w:numId w:val="17"/>
        </w:numPr>
        <w:spacing w:line="360" w:lineRule="auto"/>
        <w:ind w:firstLine="480"/>
        <w:rPr>
          <w:rFonts w:hint="eastAsia"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吸收时间---吸收液反复对气体的吸收循环的时间。</w:t>
      </w:r>
    </w:p>
    <w:p>
      <w:pPr>
        <w:numPr>
          <w:ilvl w:val="0"/>
          <w:numId w:val="17"/>
        </w:numPr>
        <w:spacing w:line="360" w:lineRule="auto"/>
        <w:ind w:firstLine="480"/>
        <w:rPr>
          <w:rFonts w:hint="default" w:ascii="Times New Roman" w:hAnsi="Times New Roman" w:eastAsia="宋体" w:cs="Times New Roman"/>
          <w:color w:val="auto"/>
          <w:sz w:val="24"/>
          <w:szCs w:val="22"/>
        </w:rPr>
      </w:pPr>
      <w:r>
        <w:rPr>
          <w:rFonts w:hint="eastAsia" w:ascii="Times New Roman" w:hAnsi="Times New Roman" w:eastAsia="宋体" w:cs="Times New Roman"/>
          <w:color w:val="auto"/>
          <w:sz w:val="24"/>
          <w:szCs w:val="22"/>
          <w:lang w:val="en-US" w:eastAsia="zh-CN"/>
        </w:rPr>
        <w:t>吸收液温度---氨气碰到水在被水吸收的过程中会产生大量的温度，如果不加以冷却，那么气体本身的温度再加上吸收时产生的温度，导致塔内温度急剧上升，阻止了氨气溶于水的过程，吸收液很快就饱和了，如果把吸收液用冷却水降温，那么吸收过程又重新恢复，吸收液的温度越低吸收效果越好（在0上的温度）。</w:t>
      </w:r>
    </w:p>
    <w:p>
      <w:pPr>
        <w:numPr>
          <w:ilvl w:val="0"/>
          <w:numId w:val="17"/>
        </w:numPr>
        <w:spacing w:line="360" w:lineRule="auto"/>
        <w:ind w:firstLine="480"/>
        <w:rPr>
          <w:rFonts w:hint="default" w:ascii="Times New Roman" w:hAnsi="Times New Roman" w:eastAsia="宋体" w:cs="Times New Roman"/>
          <w:color w:val="auto"/>
          <w:sz w:val="24"/>
          <w:szCs w:val="22"/>
        </w:rPr>
      </w:pPr>
      <w:r>
        <w:rPr>
          <w:rFonts w:hint="eastAsia" w:ascii="Times New Roman" w:hAnsi="Times New Roman" w:eastAsia="宋体" w:cs="Times New Roman"/>
          <w:color w:val="auto"/>
          <w:sz w:val="24"/>
          <w:szCs w:val="22"/>
          <w:lang w:val="en-US" w:eastAsia="zh-CN"/>
        </w:rPr>
        <w:t>气体压力---气体压力越高，吸收的效果更好，可以缩短吸收时间，提高氨水浓度，从而降低设备的运行成本</w:t>
      </w:r>
      <w:r>
        <w:rPr>
          <w:rFonts w:hint="default" w:ascii="Times New Roman" w:hAnsi="Times New Roman" w:eastAsia="宋体" w:cs="Times New Roman"/>
          <w:color w:val="auto"/>
          <w:sz w:val="24"/>
          <w:szCs w:val="22"/>
        </w:rPr>
        <w:t>。</w:t>
      </w:r>
    </w:p>
    <w:p>
      <w:pPr>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szCs w:val="22"/>
        </w:rPr>
        <w:t>本项目超细银粉生产线含氨废气（氨气、甲醛）</w:t>
      </w:r>
      <w:r>
        <w:rPr>
          <w:rFonts w:hint="eastAsia" w:ascii="Times New Roman" w:hAnsi="Times New Roman" w:eastAsia="宋体" w:cs="Times New Roman"/>
          <w:color w:val="auto"/>
          <w:sz w:val="24"/>
          <w:szCs w:val="22"/>
          <w:lang w:val="en-US" w:eastAsia="zh-CN"/>
        </w:rPr>
        <w:t>和含银废液三效蒸发器不凝气（氨、非甲烷总烃）</w:t>
      </w:r>
      <w:r>
        <w:rPr>
          <w:rFonts w:hint="default" w:ascii="Times New Roman" w:hAnsi="Times New Roman" w:eastAsia="宋体" w:cs="Times New Roman"/>
          <w:color w:val="auto"/>
          <w:sz w:val="24"/>
          <w:szCs w:val="22"/>
        </w:rPr>
        <w:t>采用</w:t>
      </w:r>
      <w:r>
        <w:rPr>
          <w:rFonts w:hint="default" w:ascii="Times New Roman" w:hAnsi="Times New Roman" w:eastAsia="宋体" w:cs="Times New Roman"/>
          <w:color w:val="auto"/>
          <w:sz w:val="24"/>
          <w:szCs w:val="22"/>
          <w:lang w:eastAsia="zh-CN"/>
        </w:rPr>
        <w:t>二级水吸收</w:t>
      </w:r>
      <w:r>
        <w:rPr>
          <w:rFonts w:hint="default" w:ascii="Times New Roman" w:hAnsi="Times New Roman" w:eastAsia="宋体" w:cs="Times New Roman"/>
          <w:color w:val="auto"/>
          <w:sz w:val="24"/>
          <w:szCs w:val="22"/>
          <w:lang w:val="en-US" w:eastAsia="zh-CN"/>
        </w:rPr>
        <w:t>+</w:t>
      </w:r>
      <w:r>
        <w:rPr>
          <w:rFonts w:hint="default" w:ascii="Times New Roman" w:hAnsi="Times New Roman" w:eastAsia="宋体" w:cs="Times New Roman"/>
          <w:color w:val="auto"/>
          <w:sz w:val="24"/>
          <w:szCs w:val="22"/>
          <w:lang w:eastAsia="zh-CN"/>
        </w:rPr>
        <w:t>二级</w:t>
      </w:r>
      <w:r>
        <w:rPr>
          <w:rFonts w:hint="default" w:ascii="Times New Roman" w:hAnsi="Times New Roman" w:eastAsia="宋体" w:cs="Times New Roman"/>
          <w:color w:val="auto"/>
          <w:sz w:val="24"/>
          <w:szCs w:val="22"/>
        </w:rPr>
        <w:t>水洗</w:t>
      </w:r>
      <w:r>
        <w:rPr>
          <w:rFonts w:hint="default" w:ascii="Times New Roman" w:hAnsi="Times New Roman" w:eastAsia="宋体" w:cs="Times New Roman"/>
          <w:color w:val="auto"/>
          <w:sz w:val="24"/>
          <w:szCs w:val="22"/>
          <w:lang w:val="en-US" w:eastAsia="zh-CN"/>
        </w:rPr>
        <w:t>+高效除雾装置+活性炭吸附</w:t>
      </w:r>
      <w:r>
        <w:rPr>
          <w:rFonts w:hint="default" w:ascii="Times New Roman" w:hAnsi="Times New Roman" w:eastAsia="宋体" w:cs="Times New Roman"/>
          <w:color w:val="auto"/>
          <w:sz w:val="24"/>
          <w:szCs w:val="22"/>
        </w:rPr>
        <w:t>处理</w:t>
      </w:r>
      <w:r>
        <w:rPr>
          <w:rFonts w:hint="eastAsia"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分散废气、乙醇精馏不凝气、干燥废气</w:t>
      </w:r>
      <w:r>
        <w:rPr>
          <w:rFonts w:hint="eastAsia" w:ascii="Times New Roman" w:hAnsi="Times New Roman" w:eastAsia="宋体" w:cs="Times New Roman"/>
          <w:color w:val="auto"/>
          <w:sz w:val="24"/>
          <w:szCs w:val="22"/>
          <w:lang w:eastAsia="zh-CN"/>
        </w:rPr>
        <w:t>（</w:t>
      </w:r>
      <w:r>
        <w:rPr>
          <w:rFonts w:hint="eastAsia" w:ascii="Times New Roman" w:hAnsi="Times New Roman" w:eastAsia="宋体" w:cs="Times New Roman"/>
          <w:color w:val="auto"/>
          <w:sz w:val="24"/>
          <w:szCs w:val="22"/>
          <w:lang w:val="en-US" w:eastAsia="zh-CN"/>
        </w:rPr>
        <w:t>主要为乙醇</w:t>
      </w:r>
      <w:r>
        <w:rPr>
          <w:rFonts w:hint="eastAsia" w:ascii="Times New Roman" w:hAnsi="Times New Roman" w:eastAsia="宋体" w:cs="Times New Roman"/>
          <w:color w:val="auto"/>
          <w:sz w:val="24"/>
          <w:szCs w:val="22"/>
          <w:lang w:eastAsia="zh-CN"/>
        </w:rPr>
        <w:t>）</w:t>
      </w:r>
      <w:r>
        <w:rPr>
          <w:rFonts w:hint="eastAsia" w:ascii="Times New Roman" w:hAnsi="Times New Roman" w:eastAsia="宋体" w:cs="Times New Roman"/>
          <w:color w:val="auto"/>
          <w:sz w:val="24"/>
          <w:szCs w:val="22"/>
          <w:lang w:val="en-US" w:eastAsia="zh-CN"/>
        </w:rPr>
        <w:t>经</w:t>
      </w:r>
      <w:r>
        <w:rPr>
          <w:rFonts w:hint="default" w:ascii="Times New Roman" w:hAnsi="Times New Roman" w:eastAsia="宋体" w:cs="Times New Roman"/>
          <w:color w:val="auto"/>
          <w:sz w:val="24"/>
          <w:szCs w:val="22"/>
          <w:lang w:eastAsia="zh-CN"/>
        </w:rPr>
        <w:t>二级</w:t>
      </w:r>
      <w:r>
        <w:rPr>
          <w:rFonts w:hint="default" w:ascii="Times New Roman" w:hAnsi="Times New Roman" w:eastAsia="宋体" w:cs="Times New Roman"/>
          <w:color w:val="auto"/>
          <w:sz w:val="24"/>
          <w:szCs w:val="22"/>
        </w:rPr>
        <w:t>水洗</w:t>
      </w:r>
      <w:r>
        <w:rPr>
          <w:rFonts w:hint="default" w:ascii="Times New Roman" w:hAnsi="Times New Roman" w:eastAsia="宋体" w:cs="Times New Roman"/>
          <w:color w:val="auto"/>
          <w:sz w:val="24"/>
          <w:szCs w:val="22"/>
          <w:lang w:val="en-US" w:eastAsia="zh-CN"/>
        </w:rPr>
        <w:t>+高效除雾装置+活性炭吸附</w:t>
      </w:r>
      <w:r>
        <w:rPr>
          <w:rFonts w:hint="default" w:ascii="Times New Roman" w:hAnsi="Times New Roman" w:eastAsia="宋体" w:cs="Times New Roman"/>
          <w:color w:val="auto"/>
          <w:sz w:val="24"/>
          <w:szCs w:val="22"/>
        </w:rPr>
        <w:t>处理</w:t>
      </w:r>
      <w:r>
        <w:rPr>
          <w:rFonts w:hint="eastAsia"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经处理后氨的排放浓度为</w:t>
      </w:r>
      <w:r>
        <w:rPr>
          <w:rFonts w:hint="eastAsia" w:ascii="Times New Roman" w:hAnsi="Times New Roman" w:eastAsia="宋体" w:cs="Times New Roman"/>
          <w:color w:val="auto"/>
          <w:sz w:val="24"/>
          <w:szCs w:val="22"/>
          <w:lang w:val="en-US" w:eastAsia="zh-CN"/>
        </w:rPr>
        <w:t>1.27</w:t>
      </w:r>
      <w:r>
        <w:rPr>
          <w:rFonts w:hint="default" w:ascii="Times New Roman" w:hAnsi="Times New Roman" w:eastAsia="宋体" w:cs="Times New Roman"/>
          <w:color w:val="auto"/>
          <w:sz w:val="24"/>
          <w:szCs w:val="22"/>
        </w:rPr>
        <w:t>mg/m</w:t>
      </w:r>
      <w:r>
        <w:rPr>
          <w:rFonts w:hint="default" w:ascii="Times New Roman" w:hAnsi="Times New Roman" w:eastAsia="宋体" w:cs="Times New Roman"/>
          <w:color w:val="auto"/>
          <w:sz w:val="24"/>
          <w:szCs w:val="22"/>
          <w:vertAlign w:val="superscript"/>
        </w:rPr>
        <w:t>3</w:t>
      </w:r>
      <w:r>
        <w:rPr>
          <w:rFonts w:hint="default" w:ascii="Times New Roman" w:hAnsi="Times New Roman" w:eastAsia="宋体" w:cs="Times New Roman"/>
          <w:color w:val="auto"/>
          <w:sz w:val="24"/>
          <w:szCs w:val="22"/>
        </w:rPr>
        <w:t>，能够满足《无机化学工业污染物排放标准》(GB13571-2015)表</w:t>
      </w:r>
      <w:r>
        <w:rPr>
          <w:rFonts w:hint="eastAsia" w:ascii="Times New Roman" w:hAnsi="Times New Roman" w:eastAsia="宋体" w:cs="Times New Roman"/>
          <w:color w:val="auto"/>
          <w:sz w:val="24"/>
          <w:szCs w:val="22"/>
          <w:lang w:val="en-US" w:eastAsia="zh-CN"/>
        </w:rPr>
        <w:t>4</w:t>
      </w:r>
      <w:r>
        <w:rPr>
          <w:rFonts w:hint="default" w:ascii="Times New Roman" w:hAnsi="Times New Roman" w:eastAsia="宋体" w:cs="Times New Roman"/>
          <w:color w:val="auto"/>
          <w:sz w:val="24"/>
          <w:szCs w:val="22"/>
        </w:rPr>
        <w:t>中标准要求；经处理后甲醛的排放速率为</w:t>
      </w:r>
      <w:r>
        <w:rPr>
          <w:rFonts w:hint="eastAsia" w:ascii="Times New Roman" w:hAnsi="Times New Roman" w:eastAsia="宋体" w:cs="Times New Roman"/>
          <w:color w:val="auto"/>
          <w:sz w:val="24"/>
          <w:szCs w:val="22"/>
          <w:lang w:val="en-US" w:eastAsia="zh-CN"/>
        </w:rPr>
        <w:t>0.0004</w:t>
      </w:r>
      <w:r>
        <w:rPr>
          <w:rFonts w:hint="default" w:ascii="Times New Roman" w:hAnsi="Times New Roman" w:eastAsia="宋体" w:cs="Times New Roman"/>
          <w:color w:val="auto"/>
          <w:sz w:val="24"/>
          <w:szCs w:val="22"/>
        </w:rPr>
        <w:t>kg/h，排放浓度为</w:t>
      </w:r>
      <w:r>
        <w:rPr>
          <w:rFonts w:hint="eastAsia" w:ascii="Times New Roman" w:hAnsi="Times New Roman" w:eastAsia="宋体" w:cs="Times New Roman"/>
          <w:color w:val="auto"/>
          <w:sz w:val="24"/>
          <w:szCs w:val="22"/>
          <w:lang w:val="en-US" w:eastAsia="zh-CN"/>
        </w:rPr>
        <w:t>0.03</w:t>
      </w:r>
      <w:r>
        <w:rPr>
          <w:rFonts w:hint="default" w:ascii="Times New Roman" w:hAnsi="Times New Roman" w:eastAsia="宋体" w:cs="Times New Roman"/>
          <w:color w:val="auto"/>
          <w:sz w:val="24"/>
          <w:szCs w:val="22"/>
        </w:rPr>
        <w:t>mg/m</w:t>
      </w:r>
      <w:r>
        <w:rPr>
          <w:rFonts w:hint="default" w:ascii="Times New Roman" w:hAnsi="Times New Roman" w:eastAsia="宋体" w:cs="Times New Roman"/>
          <w:color w:val="auto"/>
          <w:sz w:val="24"/>
          <w:szCs w:val="22"/>
          <w:vertAlign w:val="superscript"/>
        </w:rPr>
        <w:t>3</w:t>
      </w:r>
      <w:r>
        <w:rPr>
          <w:rFonts w:hint="default" w:ascii="Times New Roman" w:hAnsi="Times New Roman" w:eastAsia="宋体" w:cs="Times New Roman"/>
          <w:color w:val="auto"/>
          <w:sz w:val="24"/>
          <w:szCs w:val="22"/>
        </w:rPr>
        <w:t>，</w:t>
      </w:r>
      <w:r>
        <w:rPr>
          <w:rFonts w:hint="default" w:ascii="Times New Roman" w:hAnsi="Times New Roman" w:eastAsia="宋体" w:cs="Times New Roman"/>
          <w:snapToGrid w:val="0"/>
          <w:color w:val="auto"/>
          <w:sz w:val="24"/>
          <w:szCs w:val="21"/>
        </w:rPr>
        <w:t>非甲烷总烃排放速率、排放浓度为</w:t>
      </w:r>
      <w:r>
        <w:rPr>
          <w:rFonts w:hint="eastAsia" w:ascii="Times New Roman" w:hAnsi="Times New Roman" w:eastAsia="宋体" w:cs="Times New Roman"/>
          <w:color w:val="auto"/>
          <w:sz w:val="24"/>
          <w:szCs w:val="24"/>
          <w:lang w:val="en-US" w:eastAsia="zh-CN"/>
        </w:rPr>
        <w:t>0.524</w:t>
      </w:r>
      <w:r>
        <w:rPr>
          <w:rFonts w:hint="default" w:ascii="Times New Roman" w:hAnsi="Times New Roman" w:eastAsia="宋体" w:cs="Times New Roman"/>
          <w:color w:val="auto"/>
          <w:sz w:val="24"/>
          <w:szCs w:val="24"/>
        </w:rPr>
        <w:t>kg/h、</w:t>
      </w:r>
      <w:r>
        <w:rPr>
          <w:rFonts w:hint="eastAsia" w:ascii="Times New Roman" w:hAnsi="Times New Roman" w:eastAsia="宋体" w:cs="Times New Roman"/>
          <w:color w:val="auto"/>
          <w:sz w:val="24"/>
          <w:szCs w:val="24"/>
          <w:lang w:val="en-US" w:eastAsia="zh-CN"/>
        </w:rPr>
        <w:t>34.93</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均</w:t>
      </w:r>
      <w:r>
        <w:rPr>
          <w:rFonts w:hint="default" w:ascii="Times New Roman" w:hAnsi="Times New Roman" w:eastAsia="宋体" w:cs="Times New Roman"/>
          <w:color w:val="auto"/>
          <w:sz w:val="24"/>
          <w:szCs w:val="22"/>
        </w:rPr>
        <w:t>能够满足</w:t>
      </w:r>
      <w:r>
        <w:rPr>
          <w:rFonts w:hint="default" w:ascii="Times New Roman" w:hAnsi="Times New Roman" w:eastAsia="宋体" w:cs="Times New Roman"/>
          <w:color w:val="auto"/>
          <w:kern w:val="0"/>
          <w:sz w:val="24"/>
          <w:szCs w:val="24"/>
        </w:rPr>
        <w:t>《工业企业挥发性有机物排放标准》（DB35/1782-2018）表1其他行业排放标准</w:t>
      </w:r>
      <w:r>
        <w:rPr>
          <w:rFonts w:hint="eastAsia"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其治理措施可行。</w:t>
      </w:r>
    </w:p>
    <w:p>
      <w:pPr>
        <w:spacing w:line="360" w:lineRule="auto"/>
        <w:ind w:firstLine="482"/>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w:t>
      </w:r>
      <w:r>
        <w:rPr>
          <w:rFonts w:hint="eastAsia" w:ascii="Times New Roman" w:hAnsi="Times New Roman" w:eastAsia="宋体" w:cs="Times New Roman"/>
          <w:b/>
          <w:color w:val="auto"/>
          <w:sz w:val="24"/>
          <w:szCs w:val="24"/>
          <w:lang w:val="en-US" w:eastAsia="zh-CN"/>
        </w:rPr>
        <w:t>3</w:t>
      </w:r>
      <w:r>
        <w:rPr>
          <w:rFonts w:hint="default" w:ascii="Times New Roman" w:hAnsi="Times New Roman" w:eastAsia="宋体" w:cs="Times New Roman"/>
          <w:b/>
          <w:color w:val="auto"/>
          <w:sz w:val="24"/>
          <w:szCs w:val="24"/>
        </w:rPr>
        <w:t>）超细银粉生产线含尘废气</w:t>
      </w:r>
    </w:p>
    <w:p>
      <w:pPr>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根据工程分析，</w:t>
      </w:r>
      <w:r>
        <w:rPr>
          <w:rFonts w:hint="default" w:ascii="Times New Roman" w:hAnsi="Times New Roman" w:eastAsia="宋体" w:cs="Times New Roman"/>
          <w:color w:val="auto"/>
          <w:sz w:val="24"/>
          <w:lang w:eastAsia="zh-CN"/>
        </w:rPr>
        <w:t>抗坏血酸投料废气</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超细银粉生产线破碎和包装过程会有废气产生，其主要污染因子为颗粒物，废气经</w:t>
      </w:r>
      <w:r>
        <w:rPr>
          <w:rFonts w:hint="eastAsia" w:ascii="Times New Roman" w:hAnsi="Times New Roman" w:eastAsia="宋体" w:cs="Times New Roman"/>
          <w:color w:val="auto"/>
          <w:sz w:val="24"/>
          <w:lang w:eastAsia="zh-CN"/>
        </w:rPr>
        <w:t>布袋除尘器</w:t>
      </w:r>
      <w:r>
        <w:rPr>
          <w:rFonts w:hint="default" w:ascii="Times New Roman" w:hAnsi="Times New Roman" w:eastAsia="宋体" w:cs="Times New Roman"/>
          <w:color w:val="auto"/>
          <w:sz w:val="24"/>
        </w:rPr>
        <w:t>后进入由2</w:t>
      </w:r>
      <w:r>
        <w:rPr>
          <w:rFonts w:hint="eastAsia"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rPr>
        <w:t>m高排气筒（DA00</w:t>
      </w:r>
      <w:r>
        <w:rPr>
          <w:rFonts w:hint="eastAsia"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rPr>
        <w:t>）排放。废气经布袋除尘器回收粉尘，除尘效率99%。</w:t>
      </w:r>
    </w:p>
    <w:p>
      <w:pPr>
        <w:widowControl/>
        <w:spacing w:line="360" w:lineRule="auto"/>
        <w:ind w:firstLine="480"/>
        <w:jc w:val="left"/>
        <w:rPr>
          <w:rFonts w:hint="default" w:ascii="Times New Roman" w:hAnsi="Times New Roman" w:eastAsia="宋体" w:cs="Times New Roman"/>
          <w:color w:val="auto"/>
          <w:kern w:val="0"/>
          <w:sz w:val="24"/>
        </w:rPr>
      </w:pPr>
      <w:r>
        <w:rPr>
          <w:rFonts w:hint="eastAsia" w:ascii="Times New Roman" w:hAnsi="Times New Roman" w:eastAsia="宋体" w:cs="Times New Roman"/>
          <w:color w:val="auto"/>
          <w:kern w:val="0"/>
          <w:sz w:val="24"/>
          <w:lang w:val="en-US" w:eastAsia="zh-CN"/>
        </w:rPr>
        <w:t>布袋除尘器</w:t>
      </w:r>
      <w:r>
        <w:rPr>
          <w:rFonts w:hint="default" w:ascii="Times New Roman" w:hAnsi="Times New Roman" w:eastAsia="宋体" w:cs="Times New Roman"/>
          <w:color w:val="auto"/>
          <w:kern w:val="0"/>
          <w:sz w:val="24"/>
        </w:rPr>
        <w:t>特点: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auto"/>
          <w:sz w:val="24"/>
          <w:szCs w:val="22"/>
        </w:rPr>
      </w:pPr>
      <w:r>
        <w:rPr>
          <w:rFonts w:hint="eastAsia" w:ascii="宋体" w:hAnsi="宋体" w:eastAsia="宋体" w:cs="宋体"/>
          <w:color w:val="auto"/>
          <w:sz w:val="24"/>
          <w:szCs w:val="22"/>
        </w:rPr>
        <w:t>①</w:t>
      </w:r>
      <w:r>
        <w:rPr>
          <w:rFonts w:hint="default" w:ascii="Times New Roman" w:hAnsi="Times New Roman" w:eastAsia="宋体" w:cs="Times New Roman"/>
          <w:color w:val="auto"/>
          <w:sz w:val="24"/>
          <w:szCs w:val="22"/>
        </w:rPr>
        <w:t>除尘效率很高，一般都可以达到99%，可捕集粒径大于0.3微米的细小粉尘颗粒，能满足严格的环保要求。</w:t>
      </w:r>
      <w:r>
        <w:rPr>
          <w:rFonts w:hint="default" w:ascii="Times New Roman" w:hAnsi="Times New Roman" w:eastAsia="宋体" w:cs="Times New Roman"/>
          <w:color w:val="auto"/>
          <w:sz w:val="24"/>
          <w:szCs w:val="22"/>
        </w:rPr>
        <w:br w:type="textWrapping"/>
      </w:r>
      <w:r>
        <w:rPr>
          <w:rFonts w:hint="eastAsia" w:ascii="Times New Roman" w:hAnsi="Times New Roman" w:eastAsia="宋体" w:cs="Times New Roman"/>
          <w:color w:val="auto"/>
          <w:sz w:val="24"/>
          <w:szCs w:val="22"/>
          <w:lang w:val="en-US" w:eastAsia="zh-CN"/>
        </w:rPr>
        <w:t xml:space="preserve">   </w:t>
      </w:r>
      <w:r>
        <w:rPr>
          <w:rFonts w:hint="eastAsia" w:ascii="宋体" w:hAnsi="宋体" w:eastAsia="宋体" w:cs="宋体"/>
          <w:color w:val="auto"/>
          <w:sz w:val="24"/>
          <w:szCs w:val="22"/>
        </w:rPr>
        <w:t>②</w:t>
      </w:r>
      <w:r>
        <w:rPr>
          <w:rFonts w:hint="default" w:ascii="宋体" w:hAnsi="宋体" w:eastAsia="宋体" w:cs="宋体"/>
          <w:color w:val="auto"/>
          <w:sz w:val="24"/>
          <w:szCs w:val="22"/>
        </w:rPr>
        <w:t>性能稳定。处理风量、气体含尘量、温度等工作条件的变化，对袋式除尘器的除尘效果影响不大。</w:t>
      </w:r>
      <w:r>
        <w:rPr>
          <w:rFonts w:hint="eastAsia" w:ascii="宋体" w:hAnsi="宋体" w:eastAsia="宋体" w:cs="宋体"/>
          <w:color w:val="auto"/>
          <w:sz w:val="24"/>
          <w:szCs w:val="22"/>
        </w:rPr>
        <w:br w:type="textWrapping"/>
      </w:r>
      <w:r>
        <w:rPr>
          <w:rFonts w:hint="eastAsia" w:ascii="宋体" w:hAnsi="宋体" w:eastAsia="宋体" w:cs="宋体"/>
          <w:color w:val="auto"/>
          <w:sz w:val="24"/>
          <w:szCs w:val="22"/>
          <w:lang w:val="en-US" w:eastAsia="zh-CN"/>
        </w:rPr>
        <w:t xml:space="preserve">    </w:t>
      </w:r>
      <w:r>
        <w:rPr>
          <w:rFonts w:hint="eastAsia" w:ascii="宋体" w:hAnsi="宋体" w:eastAsia="宋体" w:cs="宋体"/>
          <w:color w:val="auto"/>
          <w:sz w:val="24"/>
          <w:szCs w:val="22"/>
        </w:rPr>
        <w:t>③</w:t>
      </w:r>
      <w:r>
        <w:rPr>
          <w:rFonts w:hint="default" w:ascii="宋体" w:hAnsi="宋体" w:eastAsia="宋体" w:cs="宋体"/>
          <w:color w:val="auto"/>
          <w:sz w:val="24"/>
          <w:szCs w:val="22"/>
        </w:rPr>
        <w:t>粉尘处理容易。袋式除尘器是一种干式净化设备，不需用水，所以不存在污水处理或泥浆处理问题，收集的粉尘容易回收利用。</w:t>
      </w:r>
      <w:r>
        <w:rPr>
          <w:rFonts w:hint="eastAsia" w:ascii="宋体" w:hAnsi="宋体" w:eastAsia="宋体" w:cs="宋体"/>
          <w:color w:val="auto"/>
          <w:sz w:val="24"/>
          <w:szCs w:val="22"/>
        </w:rPr>
        <w:br w:type="textWrapping"/>
      </w:r>
      <w:r>
        <w:rPr>
          <w:rFonts w:hint="eastAsia" w:ascii="宋体" w:hAnsi="宋体" w:eastAsia="宋体" w:cs="宋体"/>
          <w:color w:val="auto"/>
          <w:sz w:val="24"/>
          <w:szCs w:val="22"/>
          <w:lang w:val="en-US" w:eastAsia="zh-CN"/>
        </w:rPr>
        <w:t xml:space="preserve">    </w:t>
      </w:r>
      <w:r>
        <w:rPr>
          <w:rFonts w:hint="eastAsia" w:ascii="宋体" w:hAnsi="宋体" w:eastAsia="宋体" w:cs="宋体"/>
          <w:color w:val="auto"/>
          <w:sz w:val="24"/>
          <w:szCs w:val="22"/>
        </w:rPr>
        <w:t>④</w:t>
      </w:r>
      <w:r>
        <w:rPr>
          <w:rFonts w:hint="default" w:ascii="宋体" w:hAnsi="宋体" w:eastAsia="宋体" w:cs="宋体"/>
          <w:color w:val="auto"/>
          <w:sz w:val="24"/>
          <w:szCs w:val="22"/>
        </w:rPr>
        <w:t>布袋除尘器结构比较简单，运行比较稳定，初始投资较少，维护方便。</w:t>
      </w:r>
    </w:p>
    <w:p>
      <w:pPr>
        <w:numPr>
          <w:ilvl w:val="0"/>
          <w:numId w:val="0"/>
        </w:numPr>
        <w:spacing w:line="360" w:lineRule="auto"/>
        <w:ind w:firstLine="48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布袋除尘器</w:t>
      </w:r>
      <w:r>
        <w:rPr>
          <w:rFonts w:hint="default" w:ascii="Times New Roman" w:hAnsi="Times New Roman" w:eastAsia="宋体" w:cs="Times New Roman"/>
          <w:color w:val="auto"/>
          <w:sz w:val="24"/>
          <w:szCs w:val="24"/>
        </w:rPr>
        <w:t>的去除效率高达99%以上，根据工程分析可知，项目</w:t>
      </w:r>
      <w:r>
        <w:rPr>
          <w:rFonts w:hint="default" w:ascii="Times New Roman" w:hAnsi="Times New Roman" w:eastAsia="宋体" w:cs="Times New Roman"/>
          <w:color w:val="auto"/>
          <w:sz w:val="24"/>
        </w:rPr>
        <w:t>破碎废气</w:t>
      </w:r>
      <w:r>
        <w:rPr>
          <w:rFonts w:hint="default" w:ascii="Times New Roman" w:hAnsi="Times New Roman" w:eastAsia="宋体" w:cs="Times New Roman"/>
          <w:color w:val="auto"/>
          <w:sz w:val="24"/>
          <w:szCs w:val="24"/>
        </w:rPr>
        <w:t>颗粒物排放的排放速率、排放浓度分别0.0</w:t>
      </w:r>
      <w:r>
        <w:rPr>
          <w:rFonts w:hint="eastAsia" w:ascii="Times New Roman" w:hAnsi="Times New Roman" w:eastAsia="宋体" w:cs="Times New Roman"/>
          <w:color w:val="auto"/>
          <w:sz w:val="24"/>
          <w:szCs w:val="24"/>
          <w:lang w:val="en-US" w:eastAsia="zh-CN"/>
        </w:rPr>
        <w:t>25</w:t>
      </w:r>
      <w:r>
        <w:rPr>
          <w:rFonts w:hint="default" w:ascii="Times New Roman" w:hAnsi="Times New Roman" w:eastAsia="宋体" w:cs="Times New Roman"/>
          <w:color w:val="auto"/>
          <w:sz w:val="24"/>
          <w:szCs w:val="24"/>
        </w:rPr>
        <w:t>kg/h、</w:t>
      </w:r>
      <w:r>
        <w:rPr>
          <w:rFonts w:hint="eastAsia" w:ascii="Times New Roman" w:hAnsi="Times New Roman" w:eastAsia="宋体" w:cs="Times New Roman"/>
          <w:color w:val="auto"/>
          <w:sz w:val="24"/>
          <w:szCs w:val="24"/>
          <w:lang w:val="en-US" w:eastAsia="zh-CN"/>
        </w:rPr>
        <w:t>0.5</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，均能够达到</w:t>
      </w:r>
      <w:r>
        <w:rPr>
          <w:rFonts w:hint="default" w:ascii="Times New Roman" w:hAnsi="Times New Roman" w:eastAsia="宋体" w:cs="Times New Roman"/>
          <w:color w:val="auto"/>
          <w:sz w:val="24"/>
          <w:szCs w:val="24"/>
          <w:lang w:val="en-GB"/>
        </w:rPr>
        <w:t>《无机化学工业污染物排放标准》（GB3157</w:t>
      </w:r>
      <w:r>
        <w:rPr>
          <w:rFonts w:hint="default" w:ascii="Times New Roman" w:hAnsi="Times New Roman" w:eastAsia="宋体" w:cs="Times New Roman"/>
          <w:color w:val="auto"/>
          <w:sz w:val="24"/>
          <w:szCs w:val="24"/>
        </w:rPr>
        <w:t>3</w:t>
      </w:r>
      <w:r>
        <w:rPr>
          <w:rFonts w:hint="default" w:ascii="Times New Roman" w:hAnsi="Times New Roman" w:eastAsia="宋体" w:cs="Times New Roman"/>
          <w:color w:val="auto"/>
          <w:sz w:val="24"/>
          <w:szCs w:val="24"/>
          <w:lang w:val="en-GB"/>
        </w:rPr>
        <w:t>-2015）</w:t>
      </w:r>
      <w:r>
        <w:rPr>
          <w:rFonts w:hint="default" w:ascii="Times New Roman" w:hAnsi="Times New Roman" w:eastAsia="宋体" w:cs="Times New Roman"/>
          <w:color w:val="auto"/>
          <w:sz w:val="24"/>
          <w:szCs w:val="24"/>
        </w:rPr>
        <w:t>表3</w:t>
      </w:r>
      <w:r>
        <w:rPr>
          <w:rFonts w:hint="default" w:ascii="Times New Roman" w:hAnsi="Times New Roman" w:eastAsia="宋体" w:cs="Times New Roman"/>
          <w:color w:val="auto"/>
          <w:sz w:val="24"/>
          <w:szCs w:val="24"/>
          <w:lang w:val="en-GB"/>
        </w:rPr>
        <w:t>限值要求</w:t>
      </w:r>
      <w:r>
        <w:rPr>
          <w:rFonts w:hint="default" w:ascii="Times New Roman" w:hAnsi="Times New Roman" w:eastAsia="宋体" w:cs="Times New Roman"/>
          <w:color w:val="auto"/>
          <w:sz w:val="24"/>
          <w:szCs w:val="24"/>
        </w:rPr>
        <w:t>，对周边大气环境影响不大。</w:t>
      </w:r>
    </w:p>
    <w:p>
      <w:pPr>
        <w:spacing w:line="360" w:lineRule="auto"/>
        <w:ind w:firstLine="482"/>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w:t>
      </w:r>
      <w:r>
        <w:rPr>
          <w:rFonts w:hint="eastAsia" w:ascii="Times New Roman" w:hAnsi="Times New Roman" w:eastAsia="宋体" w:cs="Times New Roman"/>
          <w:b/>
          <w:color w:val="auto"/>
          <w:sz w:val="24"/>
          <w:szCs w:val="24"/>
          <w:lang w:val="en-US" w:eastAsia="zh-CN"/>
        </w:rPr>
        <w:t>4</w:t>
      </w:r>
      <w:r>
        <w:rPr>
          <w:rFonts w:hint="default" w:ascii="Times New Roman" w:hAnsi="Times New Roman" w:eastAsia="宋体" w:cs="Times New Roman"/>
          <w:b/>
          <w:color w:val="auto"/>
          <w:sz w:val="24"/>
          <w:szCs w:val="24"/>
        </w:rPr>
        <w:t>))</w:t>
      </w:r>
      <w:r>
        <w:rPr>
          <w:rFonts w:hint="eastAsia" w:ascii="Times New Roman" w:hAnsi="Times New Roman" w:eastAsia="宋体" w:cs="Times New Roman"/>
          <w:b/>
          <w:color w:val="auto"/>
          <w:sz w:val="24"/>
          <w:szCs w:val="24"/>
          <w:lang w:val="en-US" w:eastAsia="zh-CN"/>
        </w:rPr>
        <w:t>污水站配套三效蒸发汽</w:t>
      </w:r>
    </w:p>
    <w:p>
      <w:pPr>
        <w:pStyle w:val="2"/>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8"/>
          <w:highlight w:val="none"/>
          <w:lang w:val="en-US" w:eastAsia="zh-CN"/>
        </w:rPr>
        <w:t>污水站经生化+超滤反渗透后的浓水进入三效蒸发器</w:t>
      </w:r>
      <w:r>
        <w:rPr>
          <w:rFonts w:hint="eastAsia" w:ascii="Times New Roman" w:hAnsi="Times New Roman" w:eastAsia="宋体" w:cs="Times New Roman"/>
          <w:color w:val="auto"/>
          <w:sz w:val="24"/>
          <w:szCs w:val="28"/>
          <w:highlight w:val="none"/>
          <w:lang w:eastAsia="zh-CN"/>
        </w:rPr>
        <w:t>，</w:t>
      </w:r>
      <w:r>
        <w:rPr>
          <w:rFonts w:hint="eastAsia" w:ascii="Times New Roman" w:hAnsi="Times New Roman" w:eastAsia="宋体" w:cs="Times New Roman"/>
          <w:color w:val="auto"/>
          <w:sz w:val="24"/>
          <w:szCs w:val="28"/>
          <w:highlight w:val="none"/>
          <w:lang w:val="en-US" w:eastAsia="zh-CN"/>
        </w:rPr>
        <w:t>浓水主要含硝酸钠、硝酸铵，</w:t>
      </w:r>
      <w:r>
        <w:rPr>
          <w:rFonts w:hint="eastAsia" w:ascii="Times New Roman" w:hAnsi="Times New Roman" w:eastAsia="宋体" w:cs="Times New Roman"/>
          <w:color w:val="auto"/>
          <w:sz w:val="24"/>
          <w:szCs w:val="28"/>
          <w:lang w:val="en-US" w:eastAsia="zh-CN"/>
        </w:rPr>
        <w:t>三效</w:t>
      </w:r>
      <w:r>
        <w:rPr>
          <w:rFonts w:hint="default" w:ascii="Times New Roman" w:hAnsi="Times New Roman" w:eastAsia="宋体" w:cs="Times New Roman"/>
          <w:color w:val="auto"/>
          <w:sz w:val="24"/>
          <w:szCs w:val="28"/>
        </w:rPr>
        <w:t>蒸发器</w:t>
      </w:r>
      <w:r>
        <w:rPr>
          <w:rFonts w:hint="eastAsia" w:ascii="Times New Roman" w:hAnsi="Times New Roman" w:eastAsia="宋体" w:cs="Times New Roman"/>
          <w:color w:val="auto"/>
          <w:sz w:val="24"/>
          <w:szCs w:val="28"/>
          <w:lang w:val="en-US" w:eastAsia="zh-CN"/>
        </w:rPr>
        <w:t>蒸汽主要为水蒸汽，含少量氨、有机废气，通过15m高排气筒DA005排放，定期对DA005进行氨、有机废气监控</w:t>
      </w:r>
      <w:r>
        <w:rPr>
          <w:rFonts w:hint="default" w:ascii="Times New Roman" w:hAnsi="Times New Roman" w:eastAsia="宋体" w:cs="Times New Roman"/>
          <w:color w:val="auto"/>
          <w:sz w:val="24"/>
          <w:szCs w:val="28"/>
        </w:rPr>
        <w:t>。</w:t>
      </w:r>
    </w:p>
    <w:p>
      <w:pPr>
        <w:spacing w:line="360" w:lineRule="auto"/>
        <w:ind w:firstLine="482"/>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w:t>
      </w:r>
      <w:r>
        <w:rPr>
          <w:rFonts w:hint="eastAsia" w:ascii="Times New Roman" w:hAnsi="Times New Roman" w:eastAsia="宋体" w:cs="Times New Roman"/>
          <w:b/>
          <w:color w:val="auto"/>
          <w:sz w:val="24"/>
          <w:szCs w:val="24"/>
          <w:lang w:val="en-US" w:eastAsia="zh-CN"/>
        </w:rPr>
        <w:t>5</w:t>
      </w:r>
      <w:r>
        <w:rPr>
          <w:rFonts w:hint="default" w:ascii="Times New Roman" w:hAnsi="Times New Roman" w:eastAsia="宋体" w:cs="Times New Roman"/>
          <w:b/>
          <w:color w:val="auto"/>
          <w:sz w:val="24"/>
          <w:szCs w:val="24"/>
        </w:rPr>
        <w:t>))</w:t>
      </w:r>
      <w:r>
        <w:rPr>
          <w:rFonts w:hint="default" w:ascii="Times New Roman" w:hAnsi="Times New Roman" w:eastAsia="宋体" w:cs="Times New Roman"/>
          <w:b/>
          <w:color w:val="auto"/>
          <w:sz w:val="24"/>
          <w:szCs w:val="24"/>
          <w:lang w:val="en-US" w:eastAsia="zh-CN"/>
        </w:rPr>
        <w:t>罐区废气、危废间废气和</w:t>
      </w:r>
      <w:r>
        <w:rPr>
          <w:rFonts w:hint="default" w:ascii="Times New Roman" w:hAnsi="Times New Roman" w:eastAsia="宋体" w:cs="Times New Roman"/>
          <w:b/>
          <w:color w:val="auto"/>
          <w:sz w:val="24"/>
          <w:szCs w:val="24"/>
        </w:rPr>
        <w:t>污水站废气</w:t>
      </w:r>
    </w:p>
    <w:p>
      <w:pPr>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根据工程分析，</w:t>
      </w:r>
      <w:r>
        <w:rPr>
          <w:rFonts w:hint="default" w:ascii="Times New Roman" w:hAnsi="Times New Roman" w:eastAsia="宋体" w:cs="Times New Roman"/>
          <w:color w:val="auto"/>
          <w:sz w:val="24"/>
          <w:lang w:val="en-US" w:eastAsia="zh-CN"/>
        </w:rPr>
        <w:t>罐区废气、危废间废气</w:t>
      </w:r>
      <w:r>
        <w:rPr>
          <w:rFonts w:hint="default" w:ascii="Times New Roman" w:hAnsi="Times New Roman" w:eastAsia="宋体" w:cs="Times New Roman"/>
          <w:color w:val="auto"/>
          <w:sz w:val="24"/>
        </w:rPr>
        <w:t>和污水站生化系统废气的主要污染因子为氨、非甲烷总烃</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氮氧化物</w:t>
      </w:r>
      <w:r>
        <w:rPr>
          <w:rFonts w:hint="default" w:ascii="Times New Roman" w:hAnsi="Times New Roman" w:eastAsia="宋体" w:cs="Times New Roman"/>
          <w:color w:val="auto"/>
          <w:sz w:val="24"/>
        </w:rPr>
        <w:t>，本次评价采用</w:t>
      </w:r>
      <w:r>
        <w:rPr>
          <w:rFonts w:hint="default" w:ascii="Times New Roman" w:hAnsi="Times New Roman" w:eastAsia="宋体" w:cs="Times New Roman"/>
          <w:color w:val="auto"/>
          <w:sz w:val="24"/>
          <w:lang w:eastAsia="zh-CN"/>
        </w:rPr>
        <w:t>氧化吸收</w:t>
      </w:r>
      <w:r>
        <w:rPr>
          <w:rFonts w:hint="default" w:ascii="Times New Roman" w:hAnsi="Times New Roman" w:eastAsia="宋体" w:cs="Times New Roman"/>
          <w:color w:val="auto"/>
          <w:sz w:val="24"/>
          <w:lang w:val="en-US" w:eastAsia="zh-CN"/>
        </w:rPr>
        <w:t>+碱吸收+生物除臭</w:t>
      </w:r>
      <w:r>
        <w:rPr>
          <w:rFonts w:hint="default" w:ascii="Times New Roman" w:hAnsi="Times New Roman" w:eastAsia="宋体" w:cs="Times New Roman"/>
          <w:color w:val="auto"/>
          <w:sz w:val="24"/>
        </w:rPr>
        <w:t>处理+</w:t>
      </w:r>
      <w:r>
        <w:rPr>
          <w:rFonts w:hint="default" w:ascii="Times New Roman" w:hAnsi="Times New Roman" w:eastAsia="宋体" w:cs="Times New Roman"/>
          <w:color w:val="auto"/>
          <w:sz w:val="24"/>
          <w:lang w:val="en-US" w:eastAsia="zh-CN"/>
        </w:rPr>
        <w:t>15</w:t>
      </w:r>
      <w:r>
        <w:rPr>
          <w:rFonts w:hint="default" w:ascii="Times New Roman" w:hAnsi="Times New Roman" w:eastAsia="宋体" w:cs="Times New Roman"/>
          <w:color w:val="auto"/>
          <w:sz w:val="24"/>
        </w:rPr>
        <w:t>m高排气筒排放处理措施。</w:t>
      </w:r>
    </w:p>
    <w:p>
      <w:pPr>
        <w:spacing w:line="360" w:lineRule="auto"/>
        <w:ind w:firstLine="480"/>
        <w:rPr>
          <w:rFonts w:hint="default"/>
          <w:color w:val="auto"/>
        </w:rPr>
      </w:pPr>
      <w:r>
        <w:rPr>
          <w:rFonts w:hint="default" w:ascii="Times New Roman" w:hAnsi="Times New Roman" w:eastAsia="宋体" w:cs="Times New Roman"/>
          <w:color w:val="auto"/>
          <w:sz w:val="24"/>
        </w:rPr>
        <w:t>目前对污水处理站恶臭及有机废气的处理方法主要有生物滴滤除臭、化学洗涤除臭、活性炭吸附除臭等。这几种工艺各有优劣。技术对比见表7.3-3。</w:t>
      </w:r>
      <w:bookmarkStart w:id="375" w:name="_Ref40866746"/>
      <w:bookmarkEnd w:id="375"/>
      <w:bookmarkStart w:id="376" w:name="_Ref41574271"/>
    </w:p>
    <w:p>
      <w:pPr>
        <w:snapToGrid w:val="0"/>
        <w:spacing w:line="360" w:lineRule="auto"/>
        <w:ind w:firstLine="0"/>
        <w:jc w:val="center"/>
        <w:outlineLvl w:val="4"/>
        <w:rPr>
          <w:rFonts w:hint="default" w:ascii="Times New Roman" w:hAnsi="Times New Roman" w:eastAsia="黑体" w:cs="Times New Roman"/>
          <w:bCs/>
          <w:color w:val="auto"/>
          <w:kern w:val="0"/>
          <w:sz w:val="24"/>
          <w:szCs w:val="24"/>
          <w:lang w:val="en-GB" w:eastAsia="zh-TW"/>
        </w:rPr>
      </w:pPr>
      <w:r>
        <w:rPr>
          <w:rFonts w:hint="default" w:ascii="Times New Roman" w:hAnsi="Times New Roman" w:eastAsia="黑体" w:cs="Times New Roman"/>
          <w:bCs/>
          <w:color w:val="auto"/>
          <w:kern w:val="0"/>
          <w:sz w:val="24"/>
          <w:szCs w:val="24"/>
          <w:lang w:val="en-GB" w:eastAsia="zh-TW"/>
        </w:rPr>
        <w:t>表</w:t>
      </w:r>
      <w:bookmarkEnd w:id="376"/>
      <w:r>
        <w:rPr>
          <w:rFonts w:hint="default" w:ascii="Times New Roman" w:hAnsi="Times New Roman" w:eastAsia="黑体" w:cs="Times New Roman"/>
          <w:bCs/>
          <w:color w:val="auto"/>
          <w:kern w:val="0"/>
          <w:sz w:val="24"/>
          <w:szCs w:val="24"/>
        </w:rPr>
        <w:t>7</w:t>
      </w:r>
      <w:r>
        <w:rPr>
          <w:rFonts w:hint="default" w:ascii="Times New Roman" w:hAnsi="Times New Roman" w:eastAsia="黑体" w:cs="Times New Roman"/>
          <w:bCs/>
          <w:color w:val="auto"/>
          <w:kern w:val="0"/>
          <w:sz w:val="24"/>
          <w:szCs w:val="24"/>
          <w:lang w:val="en-GB" w:eastAsia="zh-TW"/>
        </w:rPr>
        <w:t>.3-3 除臭技术对比</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2"/>
        <w:gridCol w:w="3037"/>
        <w:gridCol w:w="2473"/>
        <w:gridCol w:w="2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362"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 xml:space="preserve"> 技术方法</w:t>
            </w:r>
          </w:p>
          <w:p>
            <w:pPr>
              <w:widowControl/>
              <w:spacing w:line="280" w:lineRule="exact"/>
              <w:ind w:firstLine="0"/>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对比项目</w:t>
            </w:r>
          </w:p>
        </w:tc>
        <w:tc>
          <w:tcPr>
            <w:tcW w:w="3037"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生物滴滤除臭法</w:t>
            </w:r>
          </w:p>
        </w:tc>
        <w:tc>
          <w:tcPr>
            <w:tcW w:w="2473"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化学洗涤除臭法</w:t>
            </w:r>
          </w:p>
        </w:tc>
        <w:tc>
          <w:tcPr>
            <w:tcW w:w="2472"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活性炭吸附脱臭法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362"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除臭原理</w:t>
            </w:r>
          </w:p>
        </w:tc>
        <w:tc>
          <w:tcPr>
            <w:tcW w:w="3037"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利用自然界细菌和微生物对臭气的吸附、吸收、消化和降解过程来自然除臭。</w:t>
            </w:r>
          </w:p>
        </w:tc>
        <w:tc>
          <w:tcPr>
            <w:tcW w:w="2473"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利用酸、碱性气体的化学反应去除恶臭气体。例如硫化氢、甲硫醇、甲硫醚、二硫化碳等强酸性气体用氢氧化钠去除，氨气等碱性气体用硫酸去除。</w:t>
            </w:r>
          </w:p>
        </w:tc>
        <w:tc>
          <w:tcPr>
            <w:tcW w:w="2472"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活性炭炭体内部有许多孔道。具有很大的比表面积，表面弱电力可以吸收并在自身内保存臭气物质，而具有处理异味气体的功能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362"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系统组成</w:t>
            </w:r>
          </w:p>
        </w:tc>
        <w:tc>
          <w:tcPr>
            <w:tcW w:w="3037"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气态收集输送系统：构筑物封闭加盖、管路、风机组成；</w:t>
            </w:r>
          </w:p>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加湿、过滤系统：加湿喷淋器+水泵+加热/降温器；</w:t>
            </w:r>
          </w:p>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生物过滤系统，由过滤池、滤料+附件组成；</w:t>
            </w:r>
          </w:p>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生物氧化，生物介质球+氧化池；</w:t>
            </w:r>
          </w:p>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DCS控制系统。</w:t>
            </w:r>
          </w:p>
        </w:tc>
        <w:tc>
          <w:tcPr>
            <w:tcW w:w="2473"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洗涤塔；</w:t>
            </w:r>
          </w:p>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塔内填料；</w:t>
            </w:r>
          </w:p>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填料支撑装置；</w:t>
            </w:r>
          </w:p>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液体分布器；</w:t>
            </w:r>
          </w:p>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循环泵；</w:t>
            </w:r>
          </w:p>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加药及监控系统；</w:t>
            </w:r>
          </w:p>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除雾装置。</w:t>
            </w:r>
          </w:p>
        </w:tc>
        <w:tc>
          <w:tcPr>
            <w:tcW w:w="2472"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活性炭吸收器；</w:t>
            </w:r>
          </w:p>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防腐风机；</w:t>
            </w:r>
          </w:p>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排风扇；</w:t>
            </w:r>
          </w:p>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耐腐蚀排放管道阀门；</w:t>
            </w:r>
          </w:p>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差压计；</w:t>
            </w:r>
          </w:p>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控制面板。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362"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工艺过程</w:t>
            </w:r>
          </w:p>
        </w:tc>
        <w:tc>
          <w:tcPr>
            <w:tcW w:w="3037"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恶臭气体在适宜条件下通过长满微生物固体填料（载体），恶臭物质先被吸收、微生物氧化分解，完成废气的除臭过程。</w:t>
            </w:r>
          </w:p>
        </w:tc>
        <w:tc>
          <w:tcPr>
            <w:tcW w:w="2473"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需处理气体进入洗涤塔，在填料中与化学吸收液混合发生化学反应生成没有臭味的物质，完成除臭的过程。</w:t>
            </w:r>
          </w:p>
        </w:tc>
        <w:tc>
          <w:tcPr>
            <w:tcW w:w="2472"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需处理气体进入洗涤塔，在填料中与化学吸收液混合发生化学反应生成没有臭味的物质，完成除臭的过程。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362"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特点</w:t>
            </w:r>
          </w:p>
        </w:tc>
        <w:tc>
          <w:tcPr>
            <w:tcW w:w="3037"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优点：绿色除臭方法，不产生二次污染，操作维护简单、自动化操作、无需人工值守，运行稳定，抗冲击负荷能力强。</w:t>
            </w:r>
          </w:p>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缺点：占地面积大，需定期更换填料。</w:t>
            </w:r>
          </w:p>
        </w:tc>
        <w:tc>
          <w:tcPr>
            <w:tcW w:w="2473"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优点：系统，安装简便，安装高度低；系统自动化程度高、维修简便；处理效率高；系统压力损失小，运行能耗低；</w:t>
            </w:r>
          </w:p>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缺点：产生化学吸收液，还需对废液进行处理。</w:t>
            </w:r>
          </w:p>
        </w:tc>
        <w:tc>
          <w:tcPr>
            <w:tcW w:w="2472"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优点：处理气量灵活多变，能够使用于低温环境、间断、连续操作方便、能耗少，维护简便。</w:t>
            </w:r>
          </w:p>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缺点：活性炭需要再生或定期更换。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362"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恶臭物质除去效果</w:t>
            </w:r>
          </w:p>
        </w:tc>
        <w:tc>
          <w:tcPr>
            <w:tcW w:w="3037"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90%</w:t>
            </w:r>
          </w:p>
        </w:tc>
        <w:tc>
          <w:tcPr>
            <w:tcW w:w="2473"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90%</w:t>
            </w:r>
          </w:p>
        </w:tc>
        <w:tc>
          <w:tcPr>
            <w:tcW w:w="2472"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362"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适用范围</w:t>
            </w:r>
          </w:p>
        </w:tc>
        <w:tc>
          <w:tcPr>
            <w:tcW w:w="3037"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污水处理站、排污泵站、垃圾处理、石油化工等。</w:t>
            </w:r>
          </w:p>
        </w:tc>
        <w:tc>
          <w:tcPr>
            <w:tcW w:w="2473"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适合各行业的工业尾气治理。</w:t>
            </w:r>
          </w:p>
        </w:tc>
        <w:tc>
          <w:tcPr>
            <w:tcW w:w="2472"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适合各行业的工业尾气治理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362"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投资</w:t>
            </w:r>
          </w:p>
        </w:tc>
        <w:tc>
          <w:tcPr>
            <w:tcW w:w="3037"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低</w:t>
            </w:r>
          </w:p>
        </w:tc>
        <w:tc>
          <w:tcPr>
            <w:tcW w:w="2473"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高</w:t>
            </w:r>
          </w:p>
        </w:tc>
        <w:tc>
          <w:tcPr>
            <w:tcW w:w="2472"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362"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运行费用</w:t>
            </w:r>
          </w:p>
        </w:tc>
        <w:tc>
          <w:tcPr>
            <w:tcW w:w="3037"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低</w:t>
            </w:r>
          </w:p>
        </w:tc>
        <w:tc>
          <w:tcPr>
            <w:tcW w:w="2473"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较高</w:t>
            </w:r>
          </w:p>
        </w:tc>
        <w:tc>
          <w:tcPr>
            <w:tcW w:w="2472" w:type="dxa"/>
            <w:noWrap w:val="0"/>
            <w:vAlign w:val="center"/>
          </w:tcPr>
          <w:p>
            <w:pPr>
              <w:widowControl/>
              <w:spacing w:line="280" w:lineRule="exac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较高</w:t>
            </w:r>
          </w:p>
        </w:tc>
      </w:tr>
    </w:tbl>
    <w:p>
      <w:pPr>
        <w:keepNext w:val="0"/>
        <w:keepLines w:val="0"/>
        <w:pageBreakBefore w:val="0"/>
        <w:widowControl/>
        <w:kinsoku/>
        <w:wordWrap/>
        <w:overflowPunct/>
        <w:topLinePunct w:val="0"/>
        <w:autoSpaceDE/>
        <w:autoSpaceDN/>
        <w:bidi w:val="0"/>
        <w:adjustRightInd/>
        <w:snapToGrid w:val="0"/>
        <w:spacing w:line="360" w:lineRule="auto"/>
        <w:ind w:firstLine="480"/>
        <w:jc w:val="left"/>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根据</w:t>
      </w:r>
      <w:r>
        <w:rPr>
          <w:rFonts w:hint="default" w:ascii="Times New Roman" w:hAnsi="Times New Roman" w:eastAsia="宋体" w:cs="Times New Roman"/>
          <w:color w:val="auto"/>
          <w:kern w:val="0"/>
          <w:sz w:val="24"/>
          <w:szCs w:val="24"/>
        </w:rPr>
        <w:fldChar w:fldCharType="begin"/>
      </w:r>
      <w:r>
        <w:rPr>
          <w:rFonts w:hint="default" w:ascii="Times New Roman" w:hAnsi="Times New Roman" w:eastAsia="宋体" w:cs="Times New Roman"/>
          <w:color w:val="auto"/>
          <w:kern w:val="0"/>
          <w:sz w:val="24"/>
          <w:szCs w:val="24"/>
        </w:rPr>
        <w:instrText xml:space="preserve"> REF _Ref41574271 \h  \* MERGEFORMAT </w:instrText>
      </w:r>
      <w:r>
        <w:rPr>
          <w:rFonts w:hint="default" w:ascii="Times New Roman" w:hAnsi="Times New Roman" w:eastAsia="宋体" w:cs="Times New Roman"/>
          <w:color w:val="auto"/>
          <w:kern w:val="0"/>
          <w:sz w:val="24"/>
          <w:szCs w:val="24"/>
        </w:rPr>
        <w:fldChar w:fldCharType="separate"/>
      </w:r>
      <w:r>
        <w:rPr>
          <w:rFonts w:hint="default" w:ascii="Times New Roman" w:hAnsi="Times New Roman" w:eastAsia="宋体" w:cs="Times New Roman"/>
          <w:color w:val="auto"/>
          <w:kern w:val="0"/>
          <w:sz w:val="24"/>
          <w:szCs w:val="24"/>
        </w:rPr>
        <w:t>表7</w:t>
      </w:r>
      <w:r>
        <w:rPr>
          <w:rFonts w:hint="default" w:ascii="Times New Roman" w:hAnsi="Times New Roman" w:eastAsia="宋体" w:cs="Times New Roman"/>
          <w:color w:val="auto"/>
          <w:kern w:val="0"/>
          <w:sz w:val="24"/>
          <w:szCs w:val="24"/>
        </w:rPr>
        <w:fldChar w:fldCharType="end"/>
      </w:r>
      <w:r>
        <w:rPr>
          <w:rFonts w:hint="default" w:ascii="Times New Roman" w:hAnsi="Times New Roman" w:eastAsia="宋体" w:cs="Times New Roman"/>
          <w:color w:val="auto"/>
          <w:kern w:val="0"/>
          <w:sz w:val="24"/>
          <w:szCs w:val="24"/>
        </w:rPr>
        <w:t>.3-3分析可知，本项目污水处理站密闭收集废气</w:t>
      </w:r>
      <w:r>
        <w:rPr>
          <w:rFonts w:hint="eastAsia" w:ascii="Times New Roman" w:hAnsi="Times New Roman" w:eastAsia="宋体" w:cs="Times New Roman"/>
          <w:color w:val="auto"/>
          <w:kern w:val="0"/>
          <w:sz w:val="24"/>
          <w:szCs w:val="24"/>
          <w:lang w:eastAsia="zh-CN"/>
        </w:rPr>
        <w:t>、</w:t>
      </w:r>
      <w:r>
        <w:rPr>
          <w:rFonts w:hint="eastAsia" w:ascii="Times New Roman" w:hAnsi="Times New Roman" w:eastAsia="宋体" w:cs="Times New Roman"/>
          <w:color w:val="auto"/>
          <w:kern w:val="0"/>
          <w:sz w:val="24"/>
          <w:szCs w:val="24"/>
          <w:lang w:val="en-US" w:eastAsia="zh-CN"/>
        </w:rPr>
        <w:t>罐区废气、危废间废气</w:t>
      </w:r>
      <w:r>
        <w:rPr>
          <w:rFonts w:hint="default" w:ascii="Times New Roman" w:hAnsi="Times New Roman" w:eastAsia="宋体" w:cs="Times New Roman"/>
          <w:color w:val="auto"/>
          <w:kern w:val="0"/>
          <w:sz w:val="24"/>
          <w:szCs w:val="24"/>
        </w:rPr>
        <w:t>采用</w:t>
      </w:r>
      <w:r>
        <w:rPr>
          <w:rFonts w:hint="default" w:ascii="Times New Roman" w:hAnsi="Times New Roman" w:eastAsia="宋体" w:cs="Times New Roman"/>
          <w:color w:val="auto"/>
          <w:sz w:val="24"/>
          <w:szCs w:val="22"/>
          <w:lang w:eastAsia="zh-CN"/>
        </w:rPr>
        <w:t>氧化吸收</w:t>
      </w:r>
      <w:r>
        <w:rPr>
          <w:rFonts w:hint="default" w:ascii="Times New Roman" w:hAnsi="Times New Roman" w:eastAsia="宋体" w:cs="Times New Roman"/>
          <w:color w:val="auto"/>
          <w:sz w:val="24"/>
          <w:szCs w:val="22"/>
          <w:lang w:val="en-US" w:eastAsia="zh-CN"/>
        </w:rPr>
        <w:t>+碱吸收+生物除臭</w:t>
      </w:r>
      <w:r>
        <w:rPr>
          <w:rFonts w:hint="default" w:ascii="Times New Roman" w:hAnsi="Times New Roman" w:eastAsia="宋体" w:cs="Times New Roman"/>
          <w:color w:val="auto"/>
          <w:sz w:val="24"/>
          <w:szCs w:val="22"/>
        </w:rPr>
        <w:t>处理+</w:t>
      </w:r>
      <w:r>
        <w:rPr>
          <w:rFonts w:hint="eastAsia" w:ascii="Times New Roman" w:hAnsi="Times New Roman" w:eastAsia="宋体" w:cs="Times New Roman"/>
          <w:color w:val="auto"/>
          <w:sz w:val="24"/>
          <w:szCs w:val="22"/>
          <w:lang w:val="en-US" w:eastAsia="zh-CN"/>
        </w:rPr>
        <w:t>15</w:t>
      </w:r>
      <w:r>
        <w:rPr>
          <w:rFonts w:hint="default" w:ascii="Times New Roman" w:hAnsi="Times New Roman" w:eastAsia="宋体" w:cs="Times New Roman"/>
          <w:color w:val="auto"/>
          <w:sz w:val="24"/>
          <w:szCs w:val="22"/>
        </w:rPr>
        <w:t>m高排气筒</w:t>
      </w:r>
      <w:r>
        <w:rPr>
          <w:rFonts w:hint="default" w:ascii="Times New Roman" w:hAnsi="Times New Roman" w:eastAsia="宋体" w:cs="Times New Roman"/>
          <w:color w:val="auto"/>
          <w:kern w:val="0"/>
          <w:sz w:val="24"/>
          <w:szCs w:val="24"/>
        </w:rPr>
        <w:t>，处理技术可靠，处理过程洁净、不产生二次污染。</w:t>
      </w:r>
    </w:p>
    <w:p>
      <w:pPr>
        <w:keepNext w:val="0"/>
        <w:keepLines w:val="0"/>
        <w:pageBreakBefore w:val="0"/>
        <w:tabs>
          <w:tab w:val="left" w:pos="4320"/>
          <w:tab w:val="left" w:pos="4500"/>
          <w:tab w:val="left" w:pos="7380"/>
        </w:tabs>
        <w:kinsoku/>
        <w:wordWrap/>
        <w:overflowPunct/>
        <w:topLinePunct w:val="0"/>
        <w:autoSpaceDE/>
        <w:autoSpaceDN/>
        <w:bidi w:val="0"/>
        <w:adjustRightInd/>
        <w:snapToGrid w:val="0"/>
        <w:spacing w:line="360" w:lineRule="auto"/>
        <w:ind w:firstLine="480"/>
        <w:textAlignment w:val="auto"/>
        <w:outlineLvl w:val="9"/>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根据《上海市工业固体源挥发性有机物治理技术指引》章节2.1.1 颗粒活性炭吸附装置：“一套完善的吸附装置可以长期保持VOCs去除效率不低于90%”，故本评价去除效率取90%。同时，根据建设单位提供的资料，“</w:t>
      </w:r>
      <w:r>
        <w:rPr>
          <w:rFonts w:hint="default" w:ascii="Times New Roman" w:hAnsi="Times New Roman" w:eastAsia="宋体" w:cs="Times New Roman"/>
          <w:color w:val="auto"/>
          <w:sz w:val="24"/>
          <w:szCs w:val="22"/>
          <w:lang w:eastAsia="zh-CN"/>
        </w:rPr>
        <w:t>氧化吸收</w:t>
      </w:r>
      <w:r>
        <w:rPr>
          <w:rFonts w:hint="default" w:ascii="Times New Roman" w:hAnsi="Times New Roman" w:eastAsia="宋体" w:cs="Times New Roman"/>
          <w:color w:val="auto"/>
          <w:sz w:val="24"/>
          <w:szCs w:val="22"/>
          <w:lang w:val="en-US" w:eastAsia="zh-CN"/>
        </w:rPr>
        <w:t>+碱吸收+生物除臭</w:t>
      </w:r>
      <w:r>
        <w:rPr>
          <w:rFonts w:hint="default" w:ascii="Times New Roman" w:hAnsi="Times New Roman" w:eastAsia="宋体" w:cs="Times New Roman"/>
          <w:color w:val="auto"/>
          <w:sz w:val="24"/>
          <w:szCs w:val="22"/>
        </w:rPr>
        <w:t>处理+</w:t>
      </w:r>
      <w:r>
        <w:rPr>
          <w:rFonts w:hint="eastAsia" w:ascii="Times New Roman" w:hAnsi="Times New Roman" w:eastAsia="宋体" w:cs="Times New Roman"/>
          <w:color w:val="auto"/>
          <w:sz w:val="24"/>
          <w:szCs w:val="22"/>
          <w:lang w:val="en-US" w:eastAsia="zh-CN"/>
        </w:rPr>
        <w:t>15</w:t>
      </w:r>
      <w:r>
        <w:rPr>
          <w:rFonts w:hint="default" w:ascii="Times New Roman" w:hAnsi="Times New Roman" w:eastAsia="宋体" w:cs="Times New Roman"/>
          <w:color w:val="auto"/>
          <w:sz w:val="24"/>
          <w:szCs w:val="22"/>
        </w:rPr>
        <w:t>m高排气筒”对氨</w:t>
      </w:r>
      <w:r>
        <w:rPr>
          <w:rFonts w:hint="eastAsia" w:ascii="Times New Roman" w:hAnsi="Times New Roman" w:eastAsia="宋体" w:cs="Times New Roman"/>
          <w:color w:val="auto"/>
          <w:sz w:val="24"/>
          <w:szCs w:val="22"/>
          <w:lang w:eastAsia="zh-CN"/>
        </w:rPr>
        <w:t>、</w:t>
      </w:r>
      <w:r>
        <w:rPr>
          <w:rFonts w:hint="eastAsia" w:ascii="Times New Roman" w:hAnsi="Times New Roman" w:eastAsia="宋体" w:cs="Times New Roman"/>
          <w:color w:val="auto"/>
          <w:sz w:val="24"/>
          <w:szCs w:val="22"/>
          <w:lang w:val="en-US" w:eastAsia="zh-CN"/>
        </w:rPr>
        <w:t>非甲烷总烃、氮氧化物</w:t>
      </w:r>
      <w:r>
        <w:rPr>
          <w:rFonts w:hint="default" w:ascii="Times New Roman" w:hAnsi="Times New Roman" w:eastAsia="宋体" w:cs="Times New Roman"/>
          <w:color w:val="auto"/>
          <w:sz w:val="24"/>
          <w:szCs w:val="22"/>
        </w:rPr>
        <w:t>的处理效率可达9</w:t>
      </w:r>
      <w:r>
        <w:rPr>
          <w:rFonts w:hint="eastAsia" w:ascii="Times New Roman" w:hAnsi="Times New Roman" w:eastAsia="宋体" w:cs="Times New Roman"/>
          <w:color w:val="auto"/>
          <w:sz w:val="24"/>
          <w:szCs w:val="22"/>
          <w:lang w:val="en-US" w:eastAsia="zh-CN"/>
        </w:rPr>
        <w:t>5</w:t>
      </w:r>
      <w:r>
        <w:rPr>
          <w:rFonts w:hint="default" w:ascii="Times New Roman" w:hAnsi="Times New Roman" w:eastAsia="宋体" w:cs="Times New Roman"/>
          <w:color w:val="auto"/>
          <w:sz w:val="24"/>
          <w:szCs w:val="22"/>
        </w:rPr>
        <w:t>%以上，经处理后</w:t>
      </w:r>
      <w:r>
        <w:rPr>
          <w:rFonts w:hint="default" w:ascii="Times New Roman" w:hAnsi="Times New Roman" w:eastAsia="宋体" w:cs="Times New Roman"/>
          <w:snapToGrid w:val="0"/>
          <w:color w:val="auto"/>
          <w:sz w:val="24"/>
          <w:szCs w:val="21"/>
        </w:rPr>
        <w:t>非甲烷总烃排放速率、排放浓度为</w:t>
      </w:r>
      <w:r>
        <w:rPr>
          <w:rFonts w:hint="eastAsia" w:ascii="Times New Roman" w:hAnsi="Times New Roman" w:eastAsia="宋体" w:cs="Times New Roman"/>
          <w:color w:val="auto"/>
          <w:sz w:val="24"/>
          <w:szCs w:val="24"/>
          <w:lang w:val="en-US" w:eastAsia="zh-CN"/>
        </w:rPr>
        <w:t>0.0032</w:t>
      </w:r>
      <w:r>
        <w:rPr>
          <w:rFonts w:hint="default" w:ascii="Times New Roman" w:hAnsi="Times New Roman" w:eastAsia="宋体" w:cs="Times New Roman"/>
          <w:color w:val="auto"/>
          <w:sz w:val="24"/>
          <w:szCs w:val="24"/>
        </w:rPr>
        <w:t>kg/h、</w:t>
      </w:r>
      <w:r>
        <w:rPr>
          <w:rFonts w:hint="eastAsia" w:ascii="Times New Roman" w:hAnsi="Times New Roman" w:eastAsia="宋体" w:cs="Times New Roman"/>
          <w:color w:val="auto"/>
          <w:sz w:val="24"/>
          <w:szCs w:val="24"/>
          <w:lang w:val="en-US" w:eastAsia="zh-CN"/>
        </w:rPr>
        <w:t>0.21</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均</w:t>
      </w:r>
      <w:r>
        <w:rPr>
          <w:rFonts w:hint="default" w:ascii="Times New Roman" w:hAnsi="Times New Roman" w:eastAsia="宋体" w:cs="Times New Roman"/>
          <w:color w:val="auto"/>
          <w:sz w:val="24"/>
          <w:szCs w:val="22"/>
        </w:rPr>
        <w:t>能够满足</w:t>
      </w:r>
      <w:r>
        <w:rPr>
          <w:rFonts w:hint="default" w:ascii="Times New Roman" w:hAnsi="Times New Roman" w:eastAsia="宋体" w:cs="Times New Roman"/>
          <w:color w:val="auto"/>
          <w:kern w:val="0"/>
          <w:sz w:val="24"/>
          <w:szCs w:val="24"/>
        </w:rPr>
        <w:t>《工业企业挥发性有机物排放标准》（DB35/1782-2018）表1其他行业排放标准</w:t>
      </w:r>
      <w:r>
        <w:rPr>
          <w:rFonts w:hint="eastAsia"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氨</w:t>
      </w:r>
      <w:r>
        <w:rPr>
          <w:rFonts w:hint="eastAsia" w:ascii="Times New Roman" w:hAnsi="Times New Roman" w:eastAsia="宋体" w:cs="Times New Roman"/>
          <w:color w:val="auto"/>
          <w:sz w:val="24"/>
          <w:szCs w:val="22"/>
          <w:lang w:val="en-US" w:eastAsia="zh-CN"/>
        </w:rPr>
        <w:t>和氮氧化物</w:t>
      </w:r>
      <w:r>
        <w:rPr>
          <w:rFonts w:hint="default" w:ascii="Times New Roman" w:hAnsi="Times New Roman" w:eastAsia="宋体" w:cs="Times New Roman"/>
          <w:color w:val="auto"/>
          <w:sz w:val="24"/>
          <w:szCs w:val="22"/>
        </w:rPr>
        <w:t>的排放浓度</w:t>
      </w:r>
      <w:r>
        <w:rPr>
          <w:rFonts w:hint="eastAsia" w:ascii="Times New Roman" w:hAnsi="Times New Roman" w:eastAsia="宋体" w:cs="Times New Roman"/>
          <w:color w:val="auto"/>
          <w:sz w:val="24"/>
          <w:szCs w:val="22"/>
          <w:lang w:val="en-US" w:eastAsia="zh-CN"/>
        </w:rPr>
        <w:t>分别</w:t>
      </w:r>
      <w:r>
        <w:rPr>
          <w:rFonts w:hint="default" w:ascii="Times New Roman" w:hAnsi="Times New Roman" w:eastAsia="宋体" w:cs="Times New Roman"/>
          <w:color w:val="auto"/>
          <w:sz w:val="24"/>
          <w:szCs w:val="22"/>
        </w:rPr>
        <w:t>为</w:t>
      </w:r>
      <w:r>
        <w:rPr>
          <w:rFonts w:hint="eastAsia" w:ascii="Times New Roman" w:hAnsi="Times New Roman" w:eastAsia="宋体" w:cs="Times New Roman"/>
          <w:color w:val="auto"/>
          <w:sz w:val="24"/>
          <w:szCs w:val="22"/>
          <w:lang w:val="en-US" w:eastAsia="zh-CN"/>
        </w:rPr>
        <w:t>1.14</w:t>
      </w:r>
      <w:r>
        <w:rPr>
          <w:rFonts w:hint="default" w:ascii="Times New Roman" w:hAnsi="Times New Roman" w:eastAsia="宋体" w:cs="Times New Roman"/>
          <w:color w:val="auto"/>
          <w:sz w:val="24"/>
          <w:szCs w:val="22"/>
        </w:rPr>
        <w:t>mg/m</w:t>
      </w:r>
      <w:r>
        <w:rPr>
          <w:rFonts w:hint="default" w:ascii="Times New Roman" w:hAnsi="Times New Roman" w:eastAsia="宋体" w:cs="Times New Roman"/>
          <w:color w:val="auto"/>
          <w:sz w:val="24"/>
          <w:szCs w:val="22"/>
          <w:vertAlign w:val="superscript"/>
        </w:rPr>
        <w:t>3</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0.13</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2"/>
        </w:rPr>
        <w:t>，能够满足《无机化学工业污染物排放标准》(GB13571-2015)表</w:t>
      </w:r>
      <w:r>
        <w:rPr>
          <w:rFonts w:hint="eastAsia" w:ascii="Times New Roman" w:hAnsi="Times New Roman" w:eastAsia="宋体" w:cs="Times New Roman"/>
          <w:color w:val="auto"/>
          <w:sz w:val="24"/>
          <w:szCs w:val="22"/>
          <w:lang w:val="en-US" w:eastAsia="zh-CN"/>
        </w:rPr>
        <w:t>4</w:t>
      </w:r>
      <w:r>
        <w:rPr>
          <w:rFonts w:hint="default" w:ascii="Times New Roman" w:hAnsi="Times New Roman" w:eastAsia="宋体" w:cs="Times New Roman"/>
          <w:color w:val="auto"/>
          <w:sz w:val="24"/>
          <w:szCs w:val="22"/>
        </w:rPr>
        <w:t>中标准要求；因此，</w:t>
      </w:r>
      <w:r>
        <w:rPr>
          <w:rFonts w:hint="eastAsia" w:ascii="Times New Roman" w:hAnsi="Times New Roman" w:eastAsia="宋体" w:cs="Times New Roman"/>
          <w:color w:val="auto"/>
          <w:sz w:val="24"/>
          <w:szCs w:val="22"/>
          <w:lang w:val="en-US" w:eastAsia="zh-CN"/>
        </w:rPr>
        <w:t>罐区废气、危废间废气</w:t>
      </w:r>
      <w:r>
        <w:rPr>
          <w:rFonts w:hint="default" w:ascii="Times New Roman" w:hAnsi="Times New Roman" w:eastAsia="宋体" w:cs="Times New Roman"/>
          <w:color w:val="auto"/>
          <w:sz w:val="24"/>
          <w:szCs w:val="22"/>
        </w:rPr>
        <w:t>和污水站生化系统废气用“</w:t>
      </w:r>
      <w:r>
        <w:rPr>
          <w:rFonts w:hint="default" w:ascii="Times New Roman" w:hAnsi="Times New Roman" w:eastAsia="宋体" w:cs="Times New Roman"/>
          <w:color w:val="auto"/>
          <w:sz w:val="24"/>
          <w:szCs w:val="22"/>
          <w:lang w:eastAsia="zh-CN"/>
        </w:rPr>
        <w:t>氧化吸收</w:t>
      </w:r>
      <w:r>
        <w:rPr>
          <w:rFonts w:hint="default" w:ascii="Times New Roman" w:hAnsi="Times New Roman" w:eastAsia="宋体" w:cs="Times New Roman"/>
          <w:color w:val="auto"/>
          <w:sz w:val="24"/>
          <w:szCs w:val="22"/>
          <w:lang w:val="en-US" w:eastAsia="zh-CN"/>
        </w:rPr>
        <w:t>+碱吸收+生物除臭</w:t>
      </w:r>
      <w:r>
        <w:rPr>
          <w:rFonts w:hint="default" w:ascii="Times New Roman" w:hAnsi="Times New Roman" w:eastAsia="宋体" w:cs="Times New Roman"/>
          <w:color w:val="auto"/>
          <w:sz w:val="24"/>
          <w:szCs w:val="22"/>
        </w:rPr>
        <w:t>处理+</w:t>
      </w:r>
      <w:r>
        <w:rPr>
          <w:rFonts w:hint="eastAsia" w:ascii="Times New Roman" w:hAnsi="Times New Roman" w:eastAsia="宋体" w:cs="Times New Roman"/>
          <w:color w:val="auto"/>
          <w:sz w:val="24"/>
          <w:szCs w:val="22"/>
          <w:lang w:val="en-US" w:eastAsia="zh-CN"/>
        </w:rPr>
        <w:t>15</w:t>
      </w:r>
      <w:r>
        <w:rPr>
          <w:rFonts w:hint="default" w:ascii="Times New Roman" w:hAnsi="Times New Roman" w:eastAsia="宋体" w:cs="Times New Roman"/>
          <w:color w:val="auto"/>
          <w:sz w:val="24"/>
          <w:szCs w:val="22"/>
        </w:rPr>
        <w:t>m高排气筒”工艺处理后可实现达标排放，工艺可行。</w:t>
      </w:r>
    </w:p>
    <w:p>
      <w:pPr>
        <w:keepNext/>
        <w:keepLines/>
        <w:tabs>
          <w:tab w:val="left" w:pos="680"/>
        </w:tabs>
        <w:spacing w:line="360" w:lineRule="auto"/>
        <w:ind w:firstLine="0"/>
        <w:textAlignment w:val="baseline"/>
        <w:outlineLvl w:val="2"/>
        <w:rPr>
          <w:rFonts w:hint="default" w:ascii="Times New Roman" w:hAnsi="Times New Roman" w:eastAsia="黑体" w:cs="Times New Roman"/>
          <w:b/>
          <w:color w:val="auto"/>
          <w:kern w:val="0"/>
          <w:sz w:val="30"/>
          <w:szCs w:val="30"/>
        </w:rPr>
      </w:pPr>
      <w:r>
        <w:rPr>
          <w:rFonts w:hint="default" w:ascii="Times New Roman" w:hAnsi="Times New Roman" w:eastAsia="黑体" w:cs="Times New Roman"/>
          <w:b/>
          <w:color w:val="auto"/>
          <w:kern w:val="0"/>
          <w:sz w:val="30"/>
          <w:szCs w:val="30"/>
        </w:rPr>
        <w:t>7.3.3无组织排放废气控制措施</w:t>
      </w:r>
    </w:p>
    <w:p>
      <w:pPr>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（1）装置区无组织废气防治措施</w:t>
      </w:r>
    </w:p>
    <w:p>
      <w:pPr>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创建“无泄漏工厂”是化工企业的基本要求之一，对减少环境污染，改善厂容厂貌，实现安全生产，提高企业经济效益都有较大的益处。根据化工企业调查情况来看，减少无组织废气排放主要从整治设备状况和提高设备维护管理水平着手并加以落实。</w:t>
      </w:r>
    </w:p>
    <w:p>
      <w:pPr>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①提高技术装备水平</w:t>
      </w:r>
    </w:p>
    <w:p>
      <w:pPr>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设备性能的好坏与污染物排放量直接相关。在本项目的实施过程中，建设单位应重视对先进设备的投入，根据现有生产经验和设备使用情况，尽可能选用密封性能好的生产设备，在设计上合理布置生产布局，减少物料输送距离，并尽可能采用管道密闭输送。</w:t>
      </w:r>
    </w:p>
    <w:p>
      <w:pPr>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在工艺条件控制方面，必须采用自动控制，发挥计算机技术在化学工业中的重要作用，使反应条件控制更为精确，提高反应中物料转化率，减少废弃物的产生量。</w:t>
      </w:r>
    </w:p>
    <w:p>
      <w:pPr>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②各氨水采用配备液位显示和高位报警功能，并带N</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气体加压功能，减少氨水挥发，控制氨的无组织排放。</w:t>
      </w:r>
    </w:p>
    <w:p>
      <w:pPr>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③建立设备管理网络体系，形成保证设备正常运行和正常维修保养的一系列工作程序。日常维护保养也落实到人，形成了专业管理和群众管理相结合，维修与保养相结合，从上到下的设备管理和维修网络，为整个公司设备保持完好状况，提供保障。</w:t>
      </w:r>
    </w:p>
    <w:p>
      <w:pPr>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（2）罐区无组织废气防治措施</w:t>
      </w:r>
    </w:p>
    <w:p>
      <w:pPr>
        <w:spacing w:line="360" w:lineRule="auto"/>
        <w:ind w:firstLine="480"/>
        <w:rPr>
          <w:rFonts w:hint="default" w:ascii="Times New Roman" w:hAnsi="Times New Roman" w:eastAsia="宋体" w:cs="Times New Roman"/>
          <w:color w:val="auto"/>
          <w:sz w:val="24"/>
          <w:szCs w:val="21"/>
        </w:rPr>
      </w:pPr>
      <w:r>
        <w:rPr>
          <w:rFonts w:hint="eastAsia" w:ascii="Times New Roman" w:hAnsi="Times New Roman" w:eastAsia="宋体" w:cs="Times New Roman"/>
          <w:color w:val="auto"/>
          <w:sz w:val="24"/>
          <w:szCs w:val="22"/>
          <w:lang w:val="en-US" w:eastAsia="zh-CN"/>
        </w:rPr>
        <w:t>罐区废气</w:t>
      </w:r>
      <w:r>
        <w:rPr>
          <w:rFonts w:hint="default" w:ascii="Times New Roman" w:hAnsi="Times New Roman" w:eastAsia="宋体" w:cs="Times New Roman"/>
          <w:color w:val="auto"/>
          <w:sz w:val="24"/>
          <w:szCs w:val="22"/>
        </w:rPr>
        <w:t>经集气收集后进入</w:t>
      </w:r>
      <w:r>
        <w:rPr>
          <w:rFonts w:hint="default" w:ascii="Times New Roman" w:hAnsi="Times New Roman" w:eastAsia="宋体" w:cs="Times New Roman"/>
          <w:color w:val="auto"/>
          <w:sz w:val="24"/>
          <w:szCs w:val="22"/>
          <w:lang w:eastAsia="zh-CN"/>
        </w:rPr>
        <w:t>氧化吸收</w:t>
      </w:r>
      <w:r>
        <w:rPr>
          <w:rFonts w:hint="default" w:ascii="Times New Roman" w:hAnsi="Times New Roman" w:eastAsia="宋体" w:cs="Times New Roman"/>
          <w:color w:val="auto"/>
          <w:sz w:val="24"/>
          <w:szCs w:val="22"/>
          <w:lang w:val="en-US" w:eastAsia="zh-CN"/>
        </w:rPr>
        <w:t>+碱吸收+生物除臭</w:t>
      </w:r>
      <w:r>
        <w:rPr>
          <w:rFonts w:hint="default" w:ascii="Times New Roman" w:hAnsi="Times New Roman" w:eastAsia="宋体" w:cs="Times New Roman"/>
          <w:color w:val="auto"/>
          <w:sz w:val="24"/>
          <w:szCs w:val="22"/>
        </w:rPr>
        <w:t>处理由</w:t>
      </w:r>
      <w:r>
        <w:rPr>
          <w:rFonts w:hint="eastAsia" w:ascii="Times New Roman" w:hAnsi="Times New Roman" w:eastAsia="宋体" w:cs="Times New Roman"/>
          <w:color w:val="auto"/>
          <w:sz w:val="24"/>
          <w:szCs w:val="22"/>
          <w:lang w:val="en-US" w:eastAsia="zh-CN"/>
        </w:rPr>
        <w:t>15</w:t>
      </w:r>
      <w:r>
        <w:rPr>
          <w:rFonts w:hint="default" w:ascii="Times New Roman" w:hAnsi="Times New Roman" w:eastAsia="宋体" w:cs="Times New Roman"/>
          <w:color w:val="auto"/>
          <w:sz w:val="24"/>
          <w:szCs w:val="22"/>
        </w:rPr>
        <w:t>m高排气筒（DA003）排放。</w:t>
      </w:r>
    </w:p>
    <w:p>
      <w:pPr>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（3）污水处理站恶臭气体无组织控制措施</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auto"/>
          <w:sz w:val="24"/>
        </w:rPr>
        <w:t>①生产废水格栅井加盖板，减少气体的散发；</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②水泵等主要设备1 用1 备或多台并联运行，避免事故排放；</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③各种处理池停产修理时，池底积泥会暴露出来散发臭气，应采及时清除淤泥；</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④污水站实时投加或喷洒化学除臭剂进行除臭；</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⑤定期清理调节池、污泥池等工艺单元中的浮渣，及时处置工艺过程中产生的污泥</w:t>
      </w:r>
    </w:p>
    <w:p>
      <w:pPr>
        <w:spacing w:line="360" w:lineRule="auto"/>
        <w:ind w:firstLine="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等污染物，避免长时间堆放散发臭味，干污泥应采用加盖封闭的运输车外运处置，以免</w:t>
      </w:r>
    </w:p>
    <w:p>
      <w:pPr>
        <w:spacing w:line="360" w:lineRule="auto"/>
        <w:ind w:firstLine="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在处置过程对外环境造成二次污染。</w:t>
      </w:r>
    </w:p>
    <w:p>
      <w:pPr>
        <w:spacing w:line="360" w:lineRule="auto"/>
        <w:ind w:firstLine="48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采取以上措施后，可最大控制无组织的排放量，降低无组织废气影响。因此，项目无组织废气治理措施可行。</w:t>
      </w:r>
    </w:p>
    <w:p>
      <w:pPr>
        <w:keepNext/>
        <w:keepLines/>
        <w:tabs>
          <w:tab w:val="left" w:pos="680"/>
        </w:tabs>
        <w:spacing w:line="360" w:lineRule="auto"/>
        <w:ind w:firstLine="0"/>
        <w:textAlignment w:val="baseline"/>
        <w:outlineLvl w:val="2"/>
        <w:rPr>
          <w:rFonts w:hint="default" w:ascii="Times New Roman" w:hAnsi="Times New Roman" w:eastAsia="黑体" w:cs="Times New Roman"/>
          <w:b/>
          <w:color w:val="auto"/>
          <w:kern w:val="0"/>
          <w:sz w:val="30"/>
          <w:szCs w:val="30"/>
        </w:rPr>
      </w:pPr>
      <w:r>
        <w:rPr>
          <w:rFonts w:hint="default" w:ascii="Times New Roman" w:hAnsi="Times New Roman" w:eastAsia="黑体" w:cs="Times New Roman"/>
          <w:b/>
          <w:color w:val="auto"/>
          <w:kern w:val="0"/>
          <w:sz w:val="30"/>
          <w:szCs w:val="30"/>
        </w:rPr>
        <w:t>7.3.</w:t>
      </w:r>
      <w:r>
        <w:rPr>
          <w:rFonts w:hint="eastAsia" w:ascii="Times New Roman" w:hAnsi="Times New Roman" w:eastAsia="黑体" w:cs="Times New Roman"/>
          <w:b/>
          <w:color w:val="auto"/>
          <w:kern w:val="0"/>
          <w:sz w:val="30"/>
          <w:szCs w:val="30"/>
          <w:lang w:val="en-US" w:eastAsia="zh-CN"/>
        </w:rPr>
        <w:t>4</w:t>
      </w:r>
      <w:r>
        <w:rPr>
          <w:rFonts w:hint="eastAsia" w:ascii="Times New Roman" w:hAnsi="Times New Roman" w:eastAsia="黑体" w:cs="Times New Roman"/>
          <w:b/>
          <w:color w:val="auto"/>
          <w:kern w:val="0"/>
          <w:sz w:val="30"/>
          <w:szCs w:val="30"/>
        </w:rPr>
        <w:t>挥发性有机物无组织排放控制措施符合性分析</w:t>
      </w:r>
    </w:p>
    <w:p>
      <w:pPr>
        <w:pStyle w:val="857"/>
        <w:spacing w:before="0"/>
        <w:ind w:firstLine="480"/>
        <w:rPr>
          <w:rFonts w:ascii="Times New Roman" w:hAnsi="Times New Roman" w:cs="Times New Roman"/>
          <w:color w:val="auto"/>
        </w:rPr>
        <w:sectPr>
          <w:headerReference r:id="rId21" w:type="default"/>
          <w:footerReference r:id="rId22" w:type="default"/>
          <w:pgSz w:w="11906" w:h="16838"/>
          <w:pgMar w:top="1304" w:right="1304" w:bottom="1304" w:left="1474" w:header="1191" w:footer="992" w:gutter="0"/>
          <w:cols w:space="720" w:num="1"/>
          <w:docGrid w:type="lines" w:linePitch="312" w:charSpace="0"/>
        </w:sectPr>
      </w:pPr>
      <w:r>
        <w:rPr>
          <w:rFonts w:ascii="Times New Roman" w:hAnsi="Times New Roman" w:cs="Times New Roman"/>
          <w:color w:val="auto"/>
        </w:rPr>
        <w:t>本项目无组织废气主要为挥发性有机废气，无组织挥发性有机废气控制措施执行《挥发性有机物无组织排放控制标准》(GB37822-2019)，本次评价主要分析VOCs物料储存、物料转移和输送、工艺过程、设备与管线组件、敞开液面等各无组织产排节点采取控制措施与(GB37822-2019)的符合性，具体见</w:t>
      </w:r>
      <w:r>
        <w:rPr>
          <w:rFonts w:ascii="Times New Roman" w:hAnsi="Times New Roman" w:cs="Times New Roman"/>
          <w:color w:val="auto"/>
        </w:rPr>
        <w:fldChar w:fldCharType="begin"/>
      </w:r>
      <w:r>
        <w:rPr>
          <w:rFonts w:ascii="Times New Roman" w:hAnsi="Times New Roman" w:cs="Times New Roman"/>
          <w:color w:val="auto"/>
        </w:rPr>
        <w:instrText xml:space="preserve"> REF _Ref41574289 \h  \* MERGEFORMAT </w:instrText>
      </w:r>
      <w:r>
        <w:rPr>
          <w:rFonts w:ascii="Times New Roman" w:hAnsi="Times New Roman" w:cs="Times New Roman"/>
          <w:color w:val="auto"/>
        </w:rPr>
        <w:fldChar w:fldCharType="separate"/>
      </w:r>
      <w:r>
        <w:rPr>
          <w:rFonts w:ascii="Times New Roman" w:hAnsi="Times New Roman" w:cs="Times New Roman"/>
          <w:b w:val="0"/>
          <w:color w:val="auto"/>
          <w:szCs w:val="20"/>
        </w:rPr>
        <w:t>表</w:t>
      </w:r>
      <w:r>
        <w:rPr>
          <w:rFonts w:ascii="Times New Roman" w:hAnsi="Times New Roman" w:cs="Times New Roman"/>
          <w:color w:val="auto"/>
        </w:rPr>
        <w:fldChar w:fldCharType="end"/>
      </w:r>
      <w:r>
        <w:rPr>
          <w:rFonts w:hint="eastAsia" w:ascii="Times New Roman" w:hAnsi="Times New Roman" w:cs="Times New Roman"/>
          <w:color w:val="auto"/>
          <w:lang w:val="en-US" w:eastAsia="zh-CN"/>
        </w:rPr>
        <w:t>7</w:t>
      </w:r>
      <w:r>
        <w:rPr>
          <w:rFonts w:hint="eastAsia" w:ascii="Times New Roman" w:hAnsi="Times New Roman" w:cs="Times New Roman"/>
          <w:color w:val="auto"/>
        </w:rPr>
        <w:t>.3-</w:t>
      </w:r>
      <w:r>
        <w:rPr>
          <w:rFonts w:hint="eastAsia" w:ascii="Times New Roman" w:hAnsi="Times New Roman" w:cs="Times New Roman"/>
          <w:color w:val="auto"/>
          <w:lang w:val="en-US" w:eastAsia="zh-CN"/>
        </w:rPr>
        <w:t>4</w:t>
      </w:r>
      <w:r>
        <w:rPr>
          <w:rFonts w:ascii="Times New Roman" w:hAnsi="Times New Roman" w:cs="Times New Roman"/>
          <w:color w:val="auto"/>
        </w:rPr>
        <w:t>。根据</w:t>
      </w:r>
      <w:r>
        <w:rPr>
          <w:rFonts w:ascii="Times New Roman" w:hAnsi="Times New Roman" w:cs="Times New Roman"/>
          <w:color w:val="auto"/>
        </w:rPr>
        <w:fldChar w:fldCharType="begin"/>
      </w:r>
      <w:r>
        <w:rPr>
          <w:rFonts w:ascii="Times New Roman" w:hAnsi="Times New Roman" w:cs="Times New Roman"/>
          <w:color w:val="auto"/>
        </w:rPr>
        <w:instrText xml:space="preserve"> REF _Ref41574289 \h  \* MERGEFORMAT </w:instrText>
      </w:r>
      <w:r>
        <w:rPr>
          <w:rFonts w:ascii="Times New Roman" w:hAnsi="Times New Roman" w:cs="Times New Roman"/>
          <w:color w:val="auto"/>
        </w:rPr>
        <w:fldChar w:fldCharType="separate"/>
      </w:r>
      <w:r>
        <w:rPr>
          <w:rFonts w:ascii="Times New Roman" w:hAnsi="Times New Roman" w:cs="Times New Roman"/>
          <w:b w:val="0"/>
          <w:color w:val="auto"/>
          <w:szCs w:val="20"/>
        </w:rPr>
        <w:t>表</w:t>
      </w:r>
      <w:r>
        <w:rPr>
          <w:rFonts w:ascii="Times New Roman" w:hAnsi="Times New Roman" w:cs="Times New Roman"/>
          <w:color w:val="auto"/>
        </w:rPr>
        <w:fldChar w:fldCharType="end"/>
      </w:r>
      <w:r>
        <w:rPr>
          <w:rFonts w:hint="eastAsia" w:ascii="Times New Roman" w:hAnsi="Times New Roman" w:cs="Times New Roman"/>
          <w:color w:val="auto"/>
          <w:lang w:val="en-US" w:eastAsia="zh-CN"/>
        </w:rPr>
        <w:t>7</w:t>
      </w:r>
      <w:r>
        <w:rPr>
          <w:rFonts w:hint="eastAsia" w:ascii="Times New Roman" w:hAnsi="Times New Roman" w:cs="Times New Roman"/>
          <w:color w:val="auto"/>
        </w:rPr>
        <w:t>.3-</w:t>
      </w:r>
      <w:r>
        <w:rPr>
          <w:rFonts w:hint="eastAsia" w:ascii="Times New Roman" w:hAnsi="Times New Roman" w:cs="Times New Roman"/>
          <w:color w:val="auto"/>
          <w:lang w:val="en-US" w:eastAsia="zh-CN"/>
        </w:rPr>
        <w:t>4</w:t>
      </w:r>
      <w:r>
        <w:rPr>
          <w:rFonts w:ascii="Times New Roman" w:hAnsi="Times New Roman" w:cs="Times New Roman"/>
          <w:color w:val="auto"/>
        </w:rPr>
        <w:t>可知，VOCs物料储存、转移和输送无组织排放控制措施，工艺过程、设备与管线组件VOCs泄漏控制措施，敞开液面VOCs无组织排放控制措施等均能满足《挥发性有机物无组织排放控制标准》(GB37822-2019)中的控制要求。</w:t>
      </w:r>
    </w:p>
    <w:p>
      <w:pPr>
        <w:pStyle w:val="723"/>
        <w:spacing w:line="240" w:lineRule="auto"/>
        <w:ind w:firstLine="0"/>
        <w:jc w:val="center"/>
        <w:outlineLvl w:val="4"/>
        <w:rPr>
          <w:rFonts w:ascii="Times New Roman"/>
          <w:b/>
          <w:color w:val="auto"/>
          <w:szCs w:val="24"/>
        </w:rPr>
      </w:pPr>
      <w:bookmarkStart w:id="377" w:name="_Ref41574289"/>
      <w:r>
        <w:rPr>
          <w:rFonts w:ascii="Times New Roman"/>
          <w:b/>
          <w:color w:val="auto"/>
          <w:szCs w:val="24"/>
        </w:rPr>
        <w:t xml:space="preserve">表 </w:t>
      </w:r>
      <w:bookmarkEnd w:id="377"/>
      <w:r>
        <w:rPr>
          <w:rFonts w:hint="eastAsia" w:ascii="Times New Roman"/>
          <w:b/>
          <w:color w:val="auto"/>
          <w:szCs w:val="24"/>
        </w:rPr>
        <w:t>7.3-</w:t>
      </w:r>
      <w:r>
        <w:rPr>
          <w:rFonts w:hint="eastAsia" w:ascii="Times New Roman"/>
          <w:b/>
          <w:color w:val="auto"/>
          <w:szCs w:val="24"/>
          <w:lang w:val="en-US" w:eastAsia="zh-CN"/>
        </w:rPr>
        <w:t>4</w:t>
      </w:r>
      <w:r>
        <w:rPr>
          <w:rFonts w:ascii="Times New Roman"/>
          <w:b/>
          <w:color w:val="auto"/>
          <w:szCs w:val="24"/>
        </w:rPr>
        <w:t xml:space="preserve"> </w:t>
      </w:r>
      <w:r>
        <w:rPr>
          <w:rFonts w:hint="eastAsia" w:ascii="Times New Roman"/>
          <w:b/>
          <w:color w:val="auto"/>
          <w:szCs w:val="24"/>
        </w:rPr>
        <w:t xml:space="preserve"> 项目</w:t>
      </w:r>
      <w:r>
        <w:rPr>
          <w:rFonts w:ascii="Times New Roman"/>
          <w:b/>
          <w:color w:val="auto"/>
          <w:szCs w:val="24"/>
        </w:rPr>
        <w:t>VOCs无组织排放控制措施与 (GB37822-2019)符合性</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9"/>
        <w:gridCol w:w="984"/>
        <w:gridCol w:w="6580"/>
        <w:gridCol w:w="4215"/>
        <w:gridCol w:w="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tblHeader/>
        </w:trPr>
        <w:tc>
          <w:tcPr>
            <w:tcW w:w="2123" w:type="dxa"/>
            <w:gridSpan w:val="2"/>
            <w:noWrap w:val="0"/>
            <w:tcMar>
              <w:top w:w="15" w:type="dxa"/>
              <w:left w:w="15" w:type="dxa"/>
              <w:bottom w:w="15" w:type="dxa"/>
              <w:right w:w="15" w:type="dxa"/>
            </w:tcMar>
            <w:vAlign w:val="center"/>
          </w:tcPr>
          <w:p>
            <w:pPr>
              <w:pStyle w:val="6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控制环节</w:t>
            </w:r>
          </w:p>
        </w:tc>
        <w:tc>
          <w:tcPr>
            <w:tcW w:w="6580" w:type="dxa"/>
            <w:noWrap w:val="0"/>
            <w:tcMar>
              <w:top w:w="15" w:type="dxa"/>
              <w:left w:w="15" w:type="dxa"/>
              <w:bottom w:w="15" w:type="dxa"/>
              <w:right w:w="15" w:type="dxa"/>
            </w:tcMar>
            <w:vAlign w:val="center"/>
          </w:tcPr>
          <w:p>
            <w:pPr>
              <w:pStyle w:val="6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《挥发性有机物无组织排放控制标准》(GB37822-2019)控制要求</w:t>
            </w:r>
          </w:p>
        </w:tc>
        <w:tc>
          <w:tcPr>
            <w:tcW w:w="4215" w:type="dxa"/>
            <w:noWrap w:val="0"/>
            <w:tcMar>
              <w:top w:w="15" w:type="dxa"/>
              <w:left w:w="15" w:type="dxa"/>
              <w:bottom w:w="15" w:type="dxa"/>
              <w:right w:w="15" w:type="dxa"/>
            </w:tcMar>
            <w:vAlign w:val="center"/>
          </w:tcPr>
          <w:p>
            <w:pPr>
              <w:pStyle w:val="6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本项目情况</w:t>
            </w:r>
          </w:p>
        </w:tc>
        <w:tc>
          <w:tcPr>
            <w:tcW w:w="816" w:type="dxa"/>
            <w:noWrap w:val="0"/>
            <w:tcMar>
              <w:top w:w="15" w:type="dxa"/>
              <w:left w:w="15" w:type="dxa"/>
              <w:bottom w:w="15" w:type="dxa"/>
              <w:right w:w="15" w:type="dxa"/>
            </w:tcMar>
            <w:vAlign w:val="center"/>
          </w:tcPr>
          <w:p>
            <w:pPr>
              <w:pStyle w:val="6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trPr>
        <w:tc>
          <w:tcPr>
            <w:tcW w:w="1139" w:type="dxa"/>
            <w:vMerge w:val="restart"/>
            <w:noWrap w:val="0"/>
            <w:tcMar>
              <w:top w:w="15" w:type="dxa"/>
              <w:left w:w="15" w:type="dxa"/>
              <w:bottom w:w="15" w:type="dxa"/>
              <w:right w:w="15" w:type="dxa"/>
            </w:tcMar>
            <w:vAlign w:val="center"/>
          </w:tcPr>
          <w:p>
            <w:pPr>
              <w:pStyle w:val="6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VOCs物料储存无组织排放控制要求</w:t>
            </w:r>
          </w:p>
        </w:tc>
        <w:tc>
          <w:tcPr>
            <w:tcW w:w="984" w:type="dxa"/>
            <w:noWrap w:val="0"/>
            <w:tcMar>
              <w:top w:w="15" w:type="dxa"/>
              <w:left w:w="15" w:type="dxa"/>
              <w:bottom w:w="15" w:type="dxa"/>
              <w:right w:w="15" w:type="dxa"/>
            </w:tcMar>
            <w:vAlign w:val="center"/>
          </w:tcPr>
          <w:p>
            <w:pPr>
              <w:pStyle w:val="6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基本要求</w:t>
            </w:r>
          </w:p>
        </w:tc>
        <w:tc>
          <w:tcPr>
            <w:tcW w:w="6580" w:type="dxa"/>
            <w:noWrap w:val="0"/>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①VOCs物料应储存于密闭的容器、包装袋、储罐、储库、料仓中。</w:t>
            </w:r>
          </w:p>
          <w:p>
            <w:pPr>
              <w:keepNext w:val="0"/>
              <w:keepLines w:val="0"/>
              <w:pageBreakBefore w:val="0"/>
              <w:widowControl w:val="0"/>
              <w:kinsoku/>
              <w:wordWrap/>
              <w:overflowPunct/>
              <w:topLinePunct w:val="0"/>
              <w:autoSpaceDE/>
              <w:autoSpaceDN/>
              <w:bidi w:val="0"/>
              <w:adjustRightInd w:val="0"/>
              <w:snapToGrid w:val="0"/>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②盛装VOCs物料的容器或包装袋应存放与室内，或存放与设置有雨棚、遮阳和防渗设施的专用场地。盛装VOCs物料的容器或包装袋在非取用状态时应加盖、封口，保持密闭。</w:t>
            </w:r>
          </w:p>
        </w:tc>
        <w:tc>
          <w:tcPr>
            <w:tcW w:w="4215" w:type="dxa"/>
            <w:noWrap w:val="0"/>
            <w:tcMar>
              <w:top w:w="15" w:type="dxa"/>
              <w:left w:w="15" w:type="dxa"/>
              <w:bottom w:w="15" w:type="dxa"/>
              <w:right w:w="15" w:type="dxa"/>
            </w:tcMar>
            <w:vAlign w:val="center"/>
          </w:tcPr>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项目VOCs物料储存于密闭的储罐中。</w:t>
            </w:r>
          </w:p>
        </w:tc>
        <w:tc>
          <w:tcPr>
            <w:tcW w:w="816" w:type="dxa"/>
            <w:noWrap w:val="0"/>
            <w:tcMar>
              <w:top w:w="15" w:type="dxa"/>
              <w:left w:w="15" w:type="dxa"/>
              <w:bottom w:w="15" w:type="dxa"/>
              <w:right w:w="15" w:type="dxa"/>
            </w:tcMar>
            <w:vAlign w:val="center"/>
          </w:tcPr>
          <w:p>
            <w:pPr>
              <w:pStyle w:val="450"/>
              <w:tabs>
                <w:tab w:val="left" w:pos="0"/>
                <w:tab w:val="clear" w:pos="1980"/>
                <w:tab w:val="clear" w:pos="3825"/>
                <w:tab w:val="clear" w:pos="4680"/>
              </w:tabs>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trPr>
        <w:tc>
          <w:tcPr>
            <w:vMerge w:val="continue"/>
            <w:noWrap w:val="0"/>
            <w:tcMar>
              <w:top w:w="15" w:type="dxa"/>
              <w:left w:w="15" w:type="dxa"/>
              <w:bottom w:w="15" w:type="dxa"/>
              <w:right w:w="15" w:type="dxa"/>
            </w:tcMar>
          </w:tcPr>
          <w:p/>
        </w:tc>
        <w:tc>
          <w:tcPr>
            <w:tcW w:w="984" w:type="dxa"/>
            <w:noWrap w:val="0"/>
            <w:tcMar>
              <w:top w:w="15" w:type="dxa"/>
              <w:left w:w="15" w:type="dxa"/>
              <w:bottom w:w="15" w:type="dxa"/>
              <w:right w:w="15" w:type="dxa"/>
            </w:tcMar>
            <w:vAlign w:val="center"/>
          </w:tcPr>
          <w:p>
            <w:pPr>
              <w:pStyle w:val="6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挥发性有机液体储罐</w:t>
            </w:r>
          </w:p>
        </w:tc>
        <w:tc>
          <w:tcPr>
            <w:tcW w:w="6580" w:type="dxa"/>
            <w:noWrap w:val="0"/>
            <w:tcMar>
              <w:top w:w="15" w:type="dxa"/>
              <w:left w:w="15" w:type="dxa"/>
              <w:bottom w:w="15" w:type="dxa"/>
              <w:right w:w="15" w:type="dxa"/>
            </w:tcMar>
            <w:vAlign w:val="center"/>
          </w:tcPr>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①储存真实蒸气压≥76.6kPa的挥发性有机液体储罐，应采用低压罐、压力罐或其他等效措施。</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②储存真实蒸气压≥27.6kPa但＜76.6kPa且储罐容积≥75m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的挥发性有机液体储罐，以及储存真实蒸气压≥5.2kPa但＜27.6kPa且储罐容积≥150m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的挥发性有机液体储罐，应符合下列规定之一：</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a采用浮顶罐；对于内浮顶罐，浮顶与罐壁之间应采浸液式密封、机械式鞋形密封等高效密封方式；对于外浮顶罐，浮顶与罐壁之间应采用双重密封，且一次性密封应采用浸液式密封、机械式鞋形密封等高效密封方式。</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b采用固定顶罐，排放的废气应收集处理并满足相关行业排放标准的要求（无行业排放标准的应满足GB16297的要求），或者处理效率不低于90%。</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c采用气相平衡系统。</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d采取其他等效措施。</w:t>
            </w:r>
          </w:p>
        </w:tc>
        <w:tc>
          <w:tcPr>
            <w:tcW w:w="4215" w:type="dxa"/>
            <w:noWrap w:val="0"/>
            <w:tcMar>
              <w:top w:w="15" w:type="dxa"/>
              <w:left w:w="15" w:type="dxa"/>
              <w:bottom w:w="15" w:type="dxa"/>
              <w:right w:w="15" w:type="dxa"/>
            </w:tcMar>
            <w:vAlign w:val="center"/>
          </w:tcPr>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本项目为最大限度减少储罐呼吸阀排出有害气体，在储罐结构设计上充分考虑环保因素，</w:t>
            </w:r>
            <w:r>
              <w:rPr>
                <w:rFonts w:hint="eastAsia" w:ascii="Times New Roman" w:hAnsi="Times New Roman" w:eastAsia="宋体" w:cs="Times New Roman"/>
                <w:color w:val="auto"/>
                <w:sz w:val="21"/>
                <w:szCs w:val="21"/>
                <w:lang w:val="en-US" w:eastAsia="zh-CN"/>
              </w:rPr>
              <w:t>乙醇</w:t>
            </w:r>
            <w:r>
              <w:rPr>
                <w:rFonts w:hint="default" w:ascii="Times New Roman" w:hAnsi="Times New Roman" w:eastAsia="宋体" w:cs="Times New Roman"/>
                <w:color w:val="auto"/>
                <w:sz w:val="21"/>
                <w:szCs w:val="21"/>
              </w:rPr>
              <w:t>储罐采用固定顶罐并</w:t>
            </w:r>
            <w:r>
              <w:rPr>
                <w:rFonts w:hint="eastAsia" w:ascii="Times New Roman" w:hAnsi="Times New Roman" w:eastAsia="宋体" w:cs="Times New Roman"/>
                <w:color w:val="auto"/>
                <w:sz w:val="21"/>
                <w:szCs w:val="21"/>
                <w:lang w:val="en-US" w:eastAsia="zh-CN"/>
              </w:rPr>
              <w:t>采用</w:t>
            </w:r>
            <w:r>
              <w:rPr>
                <w:rFonts w:hint="default" w:ascii="Times New Roman" w:hAnsi="Times New Roman" w:eastAsia="宋体" w:cs="Times New Roman"/>
                <w:color w:val="auto"/>
                <w:sz w:val="21"/>
                <w:szCs w:val="21"/>
                <w:lang w:eastAsia="zh-CN"/>
              </w:rPr>
              <w:t>氧化吸收</w:t>
            </w:r>
            <w:r>
              <w:rPr>
                <w:rFonts w:hint="default" w:ascii="Times New Roman" w:hAnsi="Times New Roman" w:eastAsia="宋体" w:cs="Times New Roman"/>
                <w:color w:val="auto"/>
                <w:sz w:val="21"/>
                <w:szCs w:val="21"/>
                <w:lang w:val="en-US" w:eastAsia="zh-CN"/>
              </w:rPr>
              <w:t>+碱吸收+生物除臭</w:t>
            </w:r>
            <w:r>
              <w:rPr>
                <w:rFonts w:hint="default" w:ascii="Times New Roman" w:hAnsi="Times New Roman" w:eastAsia="宋体" w:cs="Times New Roman"/>
                <w:color w:val="auto"/>
                <w:sz w:val="21"/>
                <w:szCs w:val="21"/>
              </w:rPr>
              <w:t>处理。</w:t>
            </w:r>
          </w:p>
        </w:tc>
        <w:tc>
          <w:tcPr>
            <w:tcW w:w="816" w:type="dxa"/>
            <w:noWrap w:val="0"/>
            <w:tcMar>
              <w:top w:w="15" w:type="dxa"/>
              <w:left w:w="15" w:type="dxa"/>
              <w:bottom w:w="15" w:type="dxa"/>
              <w:right w:w="15" w:type="dxa"/>
            </w:tcMar>
            <w:vAlign w:val="center"/>
          </w:tcPr>
          <w:p>
            <w:pPr>
              <w:pStyle w:val="450"/>
              <w:tabs>
                <w:tab w:val="left" w:pos="0"/>
                <w:tab w:val="clear" w:pos="1980"/>
                <w:tab w:val="clear" w:pos="3825"/>
                <w:tab w:val="clear" w:pos="4680"/>
              </w:tabs>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trPr>
        <w:tc>
          <w:tcPr>
            <w:tcW w:w="1139" w:type="dxa"/>
            <w:vMerge w:val="restart"/>
            <w:noWrap w:val="0"/>
            <w:tcMar>
              <w:top w:w="15" w:type="dxa"/>
              <w:left w:w="15" w:type="dxa"/>
              <w:bottom w:w="15" w:type="dxa"/>
              <w:right w:w="15" w:type="dxa"/>
            </w:tcMar>
            <w:vAlign w:val="center"/>
          </w:tcPr>
          <w:p>
            <w:pPr>
              <w:pStyle w:val="6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VOCs物料转移和输送无组织排放控制要求</w:t>
            </w:r>
          </w:p>
        </w:tc>
        <w:tc>
          <w:tcPr>
            <w:tcW w:w="984" w:type="dxa"/>
            <w:noWrap w:val="0"/>
            <w:tcMar>
              <w:top w:w="15" w:type="dxa"/>
              <w:left w:w="15" w:type="dxa"/>
              <w:bottom w:w="15" w:type="dxa"/>
              <w:right w:w="15" w:type="dxa"/>
            </w:tcMar>
            <w:vAlign w:val="center"/>
          </w:tcPr>
          <w:p>
            <w:pPr>
              <w:pStyle w:val="6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基本要求</w:t>
            </w:r>
          </w:p>
        </w:tc>
        <w:tc>
          <w:tcPr>
            <w:tcW w:w="6580" w:type="dxa"/>
            <w:noWrap w:val="0"/>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①液态VOCs物料应采用密闭管道输送。采用非管道输送方式转移液态VOCs物料时，应采用密闭容器、罐车。</w:t>
            </w:r>
          </w:p>
          <w:p>
            <w:pPr>
              <w:keepNext w:val="0"/>
              <w:keepLines w:val="0"/>
              <w:pageBreakBefore w:val="0"/>
              <w:widowControl w:val="0"/>
              <w:kinsoku/>
              <w:wordWrap/>
              <w:overflowPunct/>
              <w:topLinePunct w:val="0"/>
              <w:autoSpaceDE/>
              <w:autoSpaceDN/>
              <w:bidi w:val="0"/>
              <w:adjustRightInd w:val="0"/>
              <w:snapToGrid w:val="0"/>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②粉状、粒状VOCs物料应采用气力输送设备、管状带式输送机、螺旋输送机等密闭输送方式，或者采用密闭的包装袋、容器或罐车进行物料转移。</w:t>
            </w:r>
          </w:p>
        </w:tc>
        <w:tc>
          <w:tcPr>
            <w:tcW w:w="4215" w:type="dxa"/>
            <w:noWrap w:val="0"/>
            <w:tcMar>
              <w:top w:w="15" w:type="dxa"/>
              <w:left w:w="15" w:type="dxa"/>
              <w:bottom w:w="15" w:type="dxa"/>
              <w:right w:w="15" w:type="dxa"/>
            </w:tcMar>
            <w:vAlign w:val="center"/>
          </w:tcPr>
          <w:p>
            <w:pPr>
              <w:adjustRightInd w:val="0"/>
              <w:snapToGrid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①本项目液态VOCs物料采用密闭管道输送。</w:t>
            </w:r>
          </w:p>
          <w:p>
            <w:pPr>
              <w:adjustRightInd w:val="0"/>
              <w:snapToGrid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②项目无粉状、粒状VOCs物料。</w:t>
            </w:r>
          </w:p>
          <w:p>
            <w:pPr>
              <w:pStyle w:val="687"/>
              <w:jc w:val="left"/>
              <w:rPr>
                <w:rFonts w:hint="default" w:ascii="Times New Roman" w:hAnsi="Times New Roman" w:eastAsia="宋体" w:cs="Times New Roman"/>
                <w:color w:val="auto"/>
                <w:sz w:val="21"/>
                <w:szCs w:val="21"/>
              </w:rPr>
            </w:pPr>
          </w:p>
        </w:tc>
        <w:tc>
          <w:tcPr>
            <w:tcW w:w="816" w:type="dxa"/>
            <w:noWrap w:val="0"/>
            <w:tcMar>
              <w:top w:w="15" w:type="dxa"/>
              <w:left w:w="15" w:type="dxa"/>
              <w:bottom w:w="15" w:type="dxa"/>
              <w:right w:w="15" w:type="dxa"/>
            </w:tcMar>
            <w:vAlign w:val="center"/>
          </w:tcPr>
          <w:p>
            <w:pPr>
              <w:pStyle w:val="450"/>
              <w:tabs>
                <w:tab w:val="left" w:pos="0"/>
                <w:tab w:val="clear" w:pos="1980"/>
                <w:tab w:val="clear" w:pos="3825"/>
                <w:tab w:val="clear" w:pos="4680"/>
              </w:tabs>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trPr>
        <w:tc>
          <w:tcPr>
            <w:vMerge w:val="continue"/>
            <w:noWrap w:val="0"/>
            <w:tcMar>
              <w:top w:w="15" w:type="dxa"/>
              <w:left w:w="15" w:type="dxa"/>
              <w:bottom w:w="15" w:type="dxa"/>
              <w:right w:w="15" w:type="dxa"/>
            </w:tcMar>
          </w:tcPr>
          <w:p/>
        </w:tc>
        <w:tc>
          <w:tcPr>
            <w:tcW w:w="984" w:type="dxa"/>
            <w:noWrap w:val="0"/>
            <w:tcMar>
              <w:top w:w="15" w:type="dxa"/>
              <w:left w:w="15" w:type="dxa"/>
              <w:bottom w:w="15" w:type="dxa"/>
              <w:right w:w="15" w:type="dxa"/>
            </w:tcMar>
            <w:vAlign w:val="center"/>
          </w:tcPr>
          <w:p>
            <w:pPr>
              <w:pStyle w:val="6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挥发性有机液体装载</w:t>
            </w:r>
          </w:p>
        </w:tc>
        <w:tc>
          <w:tcPr>
            <w:tcW w:w="6580" w:type="dxa"/>
            <w:noWrap w:val="0"/>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①挥发性有机液体应采用底部装载方式；若采用顶部浸没式装载，出料管口距离槽（罐）底部高度应小于200mm；</w:t>
            </w:r>
          </w:p>
          <w:p>
            <w:pPr>
              <w:keepNext w:val="0"/>
              <w:keepLines w:val="0"/>
              <w:pageBreakBefore w:val="0"/>
              <w:widowControl w:val="0"/>
              <w:kinsoku/>
              <w:wordWrap/>
              <w:overflowPunct/>
              <w:topLinePunct w:val="0"/>
              <w:autoSpaceDE/>
              <w:autoSpaceDN/>
              <w:bidi w:val="0"/>
              <w:adjustRightInd w:val="0"/>
              <w:snapToGrid w:val="0"/>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②装载物料真实蒸气压≥27.6kPa且单一装载设施的年装载量≥500m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的，以及装载物料真实蒸气压≥5.2kPa但＜27.6kPa且单一装载设施的年装载量≥2500m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的，装载过程应符合下列规定之一：</w:t>
            </w:r>
          </w:p>
          <w:p>
            <w:pPr>
              <w:keepNext w:val="0"/>
              <w:keepLines w:val="0"/>
              <w:pageBreakBefore w:val="0"/>
              <w:widowControl w:val="0"/>
              <w:kinsoku/>
              <w:wordWrap/>
              <w:overflowPunct/>
              <w:topLinePunct w:val="0"/>
              <w:autoSpaceDE/>
              <w:autoSpaceDN/>
              <w:bidi w:val="0"/>
              <w:adjustRightInd w:val="0"/>
              <w:snapToGrid w:val="0"/>
              <w:ind w:firstLine="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a、排放的废气应收集处理并满足相关行业排放标准的要求（无行业排放标准的应满足GB16297的要求），或者处理效率不低于80%；</w:t>
            </w:r>
          </w:p>
          <w:p>
            <w:pPr>
              <w:pStyle w:val="687"/>
              <w:keepNext w:val="0"/>
              <w:keepLines w:val="0"/>
              <w:pageBreakBefore w:val="0"/>
              <w:widowControl w:val="0"/>
              <w:kinsoku/>
              <w:wordWrap/>
              <w:overflowPunct/>
              <w:topLinePunct w:val="0"/>
              <w:autoSpaceDE/>
              <w:autoSpaceDN/>
              <w:bidi w:val="0"/>
              <w:adjustRightInd w:val="0"/>
              <w:snapToGrid w:val="0"/>
              <w:ind w:firstLine="0"/>
              <w:jc w:val="left"/>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b、排放的废气连接至气相平衡系统</w:t>
            </w:r>
          </w:p>
        </w:tc>
        <w:tc>
          <w:tcPr>
            <w:tcW w:w="4215" w:type="dxa"/>
            <w:noWrap w:val="0"/>
            <w:tcMar>
              <w:top w:w="15" w:type="dxa"/>
              <w:left w:w="15" w:type="dxa"/>
              <w:bottom w:w="15" w:type="dxa"/>
              <w:right w:w="15" w:type="dxa"/>
            </w:tcMar>
            <w:vAlign w:val="center"/>
          </w:tcPr>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本项目对挥发性有机液体进行装载时，采取全密闭、底部装载方式。</w:t>
            </w:r>
          </w:p>
        </w:tc>
        <w:tc>
          <w:tcPr>
            <w:tcW w:w="816" w:type="dxa"/>
            <w:noWrap w:val="0"/>
            <w:tcMar>
              <w:top w:w="15" w:type="dxa"/>
              <w:left w:w="15" w:type="dxa"/>
              <w:bottom w:w="15" w:type="dxa"/>
              <w:right w:w="15" w:type="dxa"/>
            </w:tcMar>
            <w:vAlign w:val="center"/>
          </w:tcPr>
          <w:p>
            <w:pPr>
              <w:pStyle w:val="450"/>
              <w:tabs>
                <w:tab w:val="left" w:pos="0"/>
                <w:tab w:val="clear" w:pos="1980"/>
                <w:tab w:val="clear" w:pos="3825"/>
                <w:tab w:val="clear" w:pos="4680"/>
              </w:tabs>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139" w:type="dxa"/>
            <w:vMerge w:val="restart"/>
            <w:noWrap w:val="0"/>
            <w:tcMar>
              <w:top w:w="15" w:type="dxa"/>
              <w:left w:w="15" w:type="dxa"/>
              <w:bottom w:w="15" w:type="dxa"/>
              <w:right w:w="15" w:type="dxa"/>
            </w:tcMar>
            <w:vAlign w:val="center"/>
          </w:tcPr>
          <w:p>
            <w:pPr>
              <w:pStyle w:val="6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工艺过程VOCs无组织排放控制要求</w:t>
            </w:r>
          </w:p>
        </w:tc>
        <w:tc>
          <w:tcPr>
            <w:tcW w:w="984" w:type="dxa"/>
            <w:noWrap w:val="0"/>
            <w:tcMar>
              <w:top w:w="15" w:type="dxa"/>
              <w:left w:w="15" w:type="dxa"/>
              <w:bottom w:w="15" w:type="dxa"/>
              <w:right w:w="15" w:type="dxa"/>
            </w:tcMar>
            <w:vAlign w:val="center"/>
          </w:tcPr>
          <w:p>
            <w:pPr>
              <w:pStyle w:val="6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物料投加和卸放</w:t>
            </w:r>
          </w:p>
        </w:tc>
        <w:tc>
          <w:tcPr>
            <w:tcW w:w="6580" w:type="dxa"/>
            <w:noWrap w:val="0"/>
            <w:tcMar>
              <w:top w:w="15" w:type="dxa"/>
              <w:left w:w="15" w:type="dxa"/>
              <w:bottom w:w="15" w:type="dxa"/>
              <w:right w:w="15" w:type="dxa"/>
            </w:tcMar>
            <w:vAlign w:val="center"/>
          </w:tcPr>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①液态VOCs物料应采用密闭管道输送方式或采用高位槽（罐）、桶泵等给料方式密闭投加。无法密闭投加的，应在密闭空间内操作，或进行局部气体收集，废气应排至VOCs废气收集处理系统；</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②粉状、粒状VOCs物料应采用气力输送方式或采用密闭固体投料器等给料方式密闭投加。无法密闭投加的，应在密闭空间内操作，或进行局部气体收集，废气应排至VOCs废气收集处理系统；</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③VOCs物料卸（出、放）料过程应密闭，卸料废气应排至VOCs废气收集处理系统；无法密闭的，应采取局部气体收集措施，废气应排至VOCs废气收集处理系统。</w:t>
            </w:r>
          </w:p>
        </w:tc>
        <w:tc>
          <w:tcPr>
            <w:tcW w:w="4215" w:type="dxa"/>
            <w:noWrap w:val="0"/>
            <w:tcMar>
              <w:top w:w="15" w:type="dxa"/>
              <w:left w:w="15" w:type="dxa"/>
              <w:bottom w:w="15" w:type="dxa"/>
              <w:right w:w="15" w:type="dxa"/>
            </w:tcMar>
            <w:vAlign w:val="center"/>
          </w:tcPr>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①液态VOCs物料采用密闭管道输送方式；</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②项目无粉状、粒状VOCs物料；</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③VOCs物料卸（出、放）料过程密闭。</w:t>
            </w:r>
          </w:p>
        </w:tc>
        <w:tc>
          <w:tcPr>
            <w:tcW w:w="816" w:type="dxa"/>
            <w:noWrap w:val="0"/>
            <w:tcMar>
              <w:top w:w="15" w:type="dxa"/>
              <w:left w:w="15" w:type="dxa"/>
              <w:bottom w:w="15" w:type="dxa"/>
              <w:right w:w="15" w:type="dxa"/>
            </w:tcMar>
            <w:vAlign w:val="center"/>
          </w:tcPr>
          <w:p>
            <w:pPr>
              <w:pStyle w:val="450"/>
              <w:tabs>
                <w:tab w:val="left" w:pos="0"/>
                <w:tab w:val="clear" w:pos="1980"/>
                <w:tab w:val="clear" w:pos="3825"/>
                <w:tab w:val="clear" w:pos="4680"/>
              </w:tabs>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vMerge w:val="continue"/>
            <w:noWrap w:val="0"/>
            <w:tcMar>
              <w:top w:w="15" w:type="dxa"/>
              <w:left w:w="15" w:type="dxa"/>
              <w:bottom w:w="15" w:type="dxa"/>
              <w:right w:w="15" w:type="dxa"/>
            </w:tcMar>
          </w:tcPr>
          <w:p/>
        </w:tc>
        <w:tc>
          <w:tcPr>
            <w:tcW w:w="984" w:type="dxa"/>
            <w:noWrap w:val="0"/>
            <w:tcMar>
              <w:top w:w="15" w:type="dxa"/>
              <w:left w:w="15" w:type="dxa"/>
              <w:bottom w:w="15" w:type="dxa"/>
              <w:right w:w="15" w:type="dxa"/>
            </w:tcMar>
            <w:vAlign w:val="center"/>
          </w:tcPr>
          <w:p>
            <w:pPr>
              <w:pStyle w:val="6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化学反应</w:t>
            </w:r>
          </w:p>
        </w:tc>
        <w:tc>
          <w:tcPr>
            <w:tcW w:w="6580" w:type="dxa"/>
            <w:noWrap w:val="0"/>
            <w:tcMar>
              <w:top w:w="15" w:type="dxa"/>
              <w:left w:w="15" w:type="dxa"/>
              <w:bottom w:w="15" w:type="dxa"/>
              <w:right w:w="15" w:type="dxa"/>
            </w:tcMar>
            <w:vAlign w:val="center"/>
          </w:tcPr>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①反应设备进料置换废气、挥发排气、反应尾气等应排至VOCs废气收集处理系统；</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②在反应期间，反应设备的进料口、出料口、检修口、搅拌口、观察孔等开口(孔)在不操作时应保持密闭。</w:t>
            </w:r>
          </w:p>
        </w:tc>
        <w:tc>
          <w:tcPr>
            <w:tcW w:w="4215" w:type="dxa"/>
            <w:noWrap w:val="0"/>
            <w:tcMar>
              <w:top w:w="15" w:type="dxa"/>
              <w:left w:w="15" w:type="dxa"/>
              <w:bottom w:w="15" w:type="dxa"/>
              <w:right w:w="15" w:type="dxa"/>
            </w:tcMar>
            <w:vAlign w:val="center"/>
          </w:tcPr>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①反应设备进料置换废气、挥发排气、反应尾气等排至VOCs废气收集处理系统；</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②在反应期间，反应设备的进料口、出料口、检修口、搅拌口、观察孔等开口(孔)在不操作时保持密闭。</w:t>
            </w:r>
          </w:p>
        </w:tc>
        <w:tc>
          <w:tcPr>
            <w:tcW w:w="816" w:type="dxa"/>
            <w:noWrap w:val="0"/>
            <w:tcMar>
              <w:top w:w="15" w:type="dxa"/>
              <w:left w:w="15" w:type="dxa"/>
              <w:bottom w:w="15" w:type="dxa"/>
              <w:right w:w="15" w:type="dxa"/>
            </w:tcMar>
            <w:vAlign w:val="center"/>
          </w:tcPr>
          <w:p>
            <w:pPr>
              <w:pStyle w:val="450"/>
              <w:tabs>
                <w:tab w:val="left" w:pos="0"/>
                <w:tab w:val="clear" w:pos="1980"/>
                <w:tab w:val="clear" w:pos="3825"/>
                <w:tab w:val="clear" w:pos="4680"/>
              </w:tabs>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vMerge w:val="continue"/>
            <w:noWrap w:val="0"/>
            <w:tcMar>
              <w:top w:w="15" w:type="dxa"/>
              <w:left w:w="15" w:type="dxa"/>
              <w:bottom w:w="15" w:type="dxa"/>
              <w:right w:w="15" w:type="dxa"/>
            </w:tcMar>
          </w:tcPr>
          <w:p/>
        </w:tc>
        <w:tc>
          <w:tcPr>
            <w:tcW w:w="984" w:type="dxa"/>
            <w:noWrap w:val="0"/>
            <w:tcMar>
              <w:top w:w="15" w:type="dxa"/>
              <w:left w:w="15" w:type="dxa"/>
              <w:bottom w:w="15" w:type="dxa"/>
              <w:right w:w="15" w:type="dxa"/>
            </w:tcMar>
            <w:vAlign w:val="center"/>
          </w:tcPr>
          <w:p>
            <w:pPr>
              <w:pStyle w:val="6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分离精制</w:t>
            </w:r>
          </w:p>
        </w:tc>
        <w:tc>
          <w:tcPr>
            <w:tcW w:w="6580" w:type="dxa"/>
            <w:noWrap w:val="0"/>
            <w:tcMar>
              <w:top w:w="15" w:type="dxa"/>
              <w:left w:w="15" w:type="dxa"/>
              <w:bottom w:w="15" w:type="dxa"/>
              <w:right w:w="15" w:type="dxa"/>
            </w:tcMar>
            <w:vAlign w:val="center"/>
          </w:tcPr>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①离心、过滤单元操作应采用密闭式离心机、压滤机等设备，离心、过滤废气应排至VOCs废气收集处理系统。未采用密闭设备的，应在密闭空间内操作，或进行局部气体收集，废气应排至VOCs废气收集处理系统；</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②干燥单元操作应采用密闭干燥设备，干燥废气应排至VOCs废气收集处理系统。未采用密闭设备的，应在密闭空间内操作，或进行局部气体收集，废气应排至VOCs废气收集处理系统；</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③吸收、洗涤、蒸馏/精馏、萃取、结晶等单元操作排放的废气，冷凝单元操作排放的不凝尾气，吸附单元操作的脱附尾气等应排至VOCs废气收集处理系统；</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④分离精制后的VOCs母液应密闭收集，母液储槽（罐）产生的废气应排至VOCs废气收集处理系统。</w:t>
            </w:r>
          </w:p>
        </w:tc>
        <w:tc>
          <w:tcPr>
            <w:tcW w:w="4215" w:type="dxa"/>
            <w:noWrap w:val="0"/>
            <w:tcMar>
              <w:top w:w="15" w:type="dxa"/>
              <w:left w:w="15" w:type="dxa"/>
              <w:bottom w:w="15" w:type="dxa"/>
              <w:right w:w="15" w:type="dxa"/>
            </w:tcMar>
            <w:vAlign w:val="center"/>
          </w:tcPr>
          <w:p>
            <w:pPr>
              <w:adjustRightInd w:val="0"/>
              <w:snapToGrid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①本项目离心、过滤单元操作应采用密闭式离心机、压滤机等设备，离心、过滤废气排至VOCs废气收集处理系统；</w:t>
            </w:r>
          </w:p>
          <w:p>
            <w:pPr>
              <w:adjustRightInd w:val="0"/>
              <w:snapToGrid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②干燥单元操作应采用密闭干燥设备，干燥废气应排至VOCs废气收集处理系统。</w:t>
            </w:r>
          </w:p>
          <w:p>
            <w:pPr>
              <w:adjustRightInd w:val="0"/>
              <w:snapToGrid w:val="0"/>
              <w:jc w:val="left"/>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③</w:t>
            </w:r>
            <w:r>
              <w:rPr>
                <w:rFonts w:hint="default" w:ascii="Times New Roman" w:hAnsi="Times New Roman" w:eastAsia="宋体" w:cs="Times New Roman"/>
                <w:color w:val="auto"/>
                <w:sz w:val="21"/>
                <w:szCs w:val="21"/>
              </w:rPr>
              <w:t>吸收、洗涤、蒸馏/精馏、萃取、结晶等单元操作排放的废气，冷凝单元操作排放的不凝尾气，吸附单元操作的脱附尾气等排至VOCs废气收集处理系统。</w:t>
            </w:r>
            <w:r>
              <w:rPr>
                <w:rFonts w:hint="eastAsia" w:ascii="Times New Roman" w:hAnsi="Times New Roman" w:eastAsia="宋体" w:cs="Times New Roman"/>
                <w:color w:val="auto"/>
                <w:sz w:val="21"/>
                <w:szCs w:val="21"/>
                <w:lang w:val="en-US" w:eastAsia="zh-CN"/>
              </w:rPr>
              <w:t xml:space="preserve"> </w:t>
            </w:r>
          </w:p>
          <w:p>
            <w:pPr>
              <w:pStyle w:val="687"/>
              <w:jc w:val="left"/>
              <w:rPr>
                <w:rFonts w:hint="default" w:ascii="Times New Roman" w:hAnsi="Times New Roman" w:eastAsia="宋体" w:cs="Times New Roman"/>
                <w:color w:val="auto"/>
                <w:sz w:val="21"/>
                <w:szCs w:val="21"/>
              </w:rPr>
            </w:pPr>
          </w:p>
        </w:tc>
        <w:tc>
          <w:tcPr>
            <w:tcW w:w="816" w:type="dxa"/>
            <w:noWrap w:val="0"/>
            <w:tcMar>
              <w:top w:w="15" w:type="dxa"/>
              <w:left w:w="15" w:type="dxa"/>
              <w:bottom w:w="15" w:type="dxa"/>
              <w:right w:w="15" w:type="dxa"/>
            </w:tcMar>
            <w:vAlign w:val="center"/>
          </w:tcPr>
          <w:p>
            <w:pPr>
              <w:pStyle w:val="450"/>
              <w:tabs>
                <w:tab w:val="left" w:pos="0"/>
                <w:tab w:val="clear" w:pos="1980"/>
                <w:tab w:val="clear" w:pos="3825"/>
                <w:tab w:val="clear" w:pos="4680"/>
              </w:tabs>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139" w:type="dxa"/>
            <w:noWrap w:val="0"/>
            <w:vAlign w:val="center"/>
          </w:tcPr>
          <w:p>
            <w:pPr>
              <w:pStyle w:val="6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其他要求</w:t>
            </w:r>
          </w:p>
        </w:tc>
        <w:tc>
          <w:tcPr>
            <w:tcW w:w="984" w:type="dxa"/>
            <w:noWrap w:val="0"/>
            <w:tcMar>
              <w:top w:w="15" w:type="dxa"/>
              <w:left w:w="15" w:type="dxa"/>
              <w:bottom w:w="15" w:type="dxa"/>
              <w:right w:w="15" w:type="dxa"/>
            </w:tcMar>
            <w:vAlign w:val="center"/>
          </w:tcPr>
          <w:p>
            <w:pPr>
              <w:pStyle w:val="6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6580" w:type="dxa"/>
            <w:noWrap w:val="0"/>
            <w:tcMar>
              <w:top w:w="15" w:type="dxa"/>
              <w:left w:w="15" w:type="dxa"/>
              <w:bottom w:w="15" w:type="dxa"/>
              <w:right w:w="15" w:type="dxa"/>
            </w:tcMar>
            <w:vAlign w:val="center"/>
          </w:tcPr>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①企业应建立台账，记录含VOCs原辅材料和含VOCs产品的名称、使用量、回收量、废弃量、去向以及VOCs含量等信息。台账保存期限不少于3年。</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载有VOCs物料的设备及其管道在开停工（车）、检维修和清洗时，应在退料阶段将残存物料退净，并用密闭容器盛装，退料过程废气应排至VOCs废气收集处理系统；清洗及吹扫过程排气应排至VOCs废气收集处理系统。</w:t>
            </w:r>
          </w:p>
        </w:tc>
        <w:tc>
          <w:tcPr>
            <w:tcW w:w="4215" w:type="dxa"/>
            <w:noWrap w:val="0"/>
            <w:tcMar>
              <w:top w:w="15" w:type="dxa"/>
              <w:left w:w="15" w:type="dxa"/>
              <w:bottom w:w="15" w:type="dxa"/>
              <w:right w:w="15" w:type="dxa"/>
            </w:tcMar>
            <w:vAlign w:val="center"/>
          </w:tcPr>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①企业生产过程中记录含VOCs原辅材料和含VOCs产品的名称、使用量、回收量、废弃量、去向以及VOCs含量等信息。台账保存期限不少于3年。</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载有VOCs物料的设备及其管道在开停工（车）、检维修和清洗时，应在退料阶段将残存物料退净，并用密闭容器盛装，退料过程废气应排至VOCs废气收集处理系统；清洗及吹扫过程排气应排至VOCs废气收集处理系统。</w:t>
            </w:r>
          </w:p>
        </w:tc>
        <w:tc>
          <w:tcPr>
            <w:tcW w:w="816" w:type="dxa"/>
            <w:noWrap w:val="0"/>
            <w:tcMar>
              <w:top w:w="15" w:type="dxa"/>
              <w:left w:w="15" w:type="dxa"/>
              <w:bottom w:w="15" w:type="dxa"/>
              <w:right w:w="15" w:type="dxa"/>
            </w:tcMar>
            <w:vAlign w:val="center"/>
          </w:tcPr>
          <w:p>
            <w:pPr>
              <w:pStyle w:val="450"/>
              <w:tabs>
                <w:tab w:val="left" w:pos="0"/>
                <w:tab w:val="clear" w:pos="1980"/>
                <w:tab w:val="clear" w:pos="3825"/>
                <w:tab w:val="clear" w:pos="4680"/>
              </w:tabs>
              <w:rPr>
                <w:rFonts w:hint="default" w:ascii="Times New Roman" w:hAnsi="Times New Roman" w:eastAsia="宋体" w:cs="Times New Roman"/>
                <w:b/>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139" w:type="dxa"/>
            <w:noWrap w:val="0"/>
            <w:tcMar>
              <w:top w:w="15" w:type="dxa"/>
              <w:left w:w="15" w:type="dxa"/>
              <w:bottom w:w="15" w:type="dxa"/>
              <w:right w:w="15" w:type="dxa"/>
            </w:tcMar>
            <w:vAlign w:val="center"/>
          </w:tcPr>
          <w:p>
            <w:pPr>
              <w:pStyle w:val="6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设备与管线组件VOCs泄漏控制要求</w:t>
            </w:r>
          </w:p>
        </w:tc>
        <w:tc>
          <w:tcPr>
            <w:tcW w:w="984" w:type="dxa"/>
            <w:noWrap w:val="0"/>
            <w:tcMar>
              <w:top w:w="15" w:type="dxa"/>
              <w:left w:w="15" w:type="dxa"/>
              <w:bottom w:w="15" w:type="dxa"/>
              <w:right w:w="15" w:type="dxa"/>
            </w:tcMar>
            <w:vAlign w:val="center"/>
          </w:tcPr>
          <w:p>
            <w:pPr>
              <w:pStyle w:val="6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6580" w:type="dxa"/>
            <w:noWrap w:val="0"/>
            <w:tcMar>
              <w:top w:w="15" w:type="dxa"/>
              <w:left w:w="15" w:type="dxa"/>
              <w:bottom w:w="15" w:type="dxa"/>
              <w:right w:w="15" w:type="dxa"/>
            </w:tcMar>
            <w:vAlign w:val="center"/>
          </w:tcPr>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①设备与管线组件包括：泵、压缩机、搅拌器、阀门、开口阀或开口管线、法兰及其他连接件、泄压设备、取样连接系统、其他密封设备。</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建立设备与管线组件泄漏检测与修复（LDAR）管理制度。每日进行目视观察，检查其密封处是否出现可见泄漏现象；泵、压缩机、搅拌器、阀门开口阀或开口管线、泄压设备至少每6个月检测一次；法兰及其他连接件、其他密封设备至少每12个月检测一次；设备与管件组件初次启用或检维修后，应在90d内进行泄漏检测。</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③泄漏检测应建立台账，记录检测时间、检测仪器读数、修复时间、采取的修复措施、修复后检测读数等。台账保存期限不少于3年。</w:t>
            </w:r>
          </w:p>
        </w:tc>
        <w:tc>
          <w:tcPr>
            <w:tcW w:w="4215" w:type="dxa"/>
            <w:noWrap w:val="0"/>
            <w:tcMar>
              <w:top w:w="15" w:type="dxa"/>
              <w:left w:w="15" w:type="dxa"/>
              <w:bottom w:w="15" w:type="dxa"/>
              <w:right w:w="15" w:type="dxa"/>
            </w:tcMar>
            <w:vAlign w:val="center"/>
          </w:tcPr>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①按要求制定泄漏检测与修复（LDAR）管理制度；按照（GB37822-2019）设置频次对设备与管线组件进行泄漏检测。</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②按要求设置泄漏检测台账，保存期不少于3年。</w:t>
            </w:r>
          </w:p>
        </w:tc>
        <w:tc>
          <w:tcPr>
            <w:tcW w:w="816" w:type="dxa"/>
            <w:noWrap w:val="0"/>
            <w:tcMar>
              <w:top w:w="15" w:type="dxa"/>
              <w:left w:w="15" w:type="dxa"/>
              <w:bottom w:w="15" w:type="dxa"/>
              <w:right w:w="15" w:type="dxa"/>
            </w:tcMar>
            <w:vAlign w:val="center"/>
          </w:tcPr>
          <w:p>
            <w:pPr>
              <w:pStyle w:val="450"/>
              <w:tabs>
                <w:tab w:val="left" w:pos="0"/>
                <w:tab w:val="clear" w:pos="1980"/>
                <w:tab w:val="clear" w:pos="3825"/>
                <w:tab w:val="clear" w:pos="4680"/>
              </w:tabs>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139" w:type="dxa"/>
            <w:noWrap w:val="0"/>
            <w:tcMar>
              <w:top w:w="15" w:type="dxa"/>
              <w:left w:w="15" w:type="dxa"/>
              <w:bottom w:w="15" w:type="dxa"/>
              <w:right w:w="15" w:type="dxa"/>
            </w:tcMar>
            <w:vAlign w:val="center"/>
          </w:tcPr>
          <w:p>
            <w:pPr>
              <w:pStyle w:val="6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敞开液面VOCs无组织排放控制要求</w:t>
            </w:r>
          </w:p>
          <w:p>
            <w:pPr>
              <w:pStyle w:val="687"/>
              <w:rPr>
                <w:rFonts w:hint="default" w:ascii="Times New Roman" w:hAnsi="Times New Roman" w:eastAsia="宋体" w:cs="Times New Roman"/>
                <w:color w:val="auto"/>
                <w:sz w:val="21"/>
                <w:szCs w:val="21"/>
              </w:rPr>
            </w:pPr>
          </w:p>
        </w:tc>
        <w:tc>
          <w:tcPr>
            <w:tcW w:w="984" w:type="dxa"/>
            <w:noWrap w:val="0"/>
            <w:tcMar>
              <w:top w:w="15" w:type="dxa"/>
              <w:left w:w="15" w:type="dxa"/>
              <w:bottom w:w="15" w:type="dxa"/>
              <w:right w:w="15" w:type="dxa"/>
            </w:tcMar>
            <w:vAlign w:val="center"/>
          </w:tcPr>
          <w:p>
            <w:pPr>
              <w:pStyle w:val="6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6580" w:type="dxa"/>
            <w:noWrap w:val="0"/>
            <w:tcMar>
              <w:top w:w="15" w:type="dxa"/>
              <w:left w:w="15" w:type="dxa"/>
              <w:bottom w:w="15" w:type="dxa"/>
              <w:right w:w="15" w:type="dxa"/>
            </w:tcMar>
            <w:vAlign w:val="center"/>
          </w:tcPr>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①废水集输系统</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对于工艺过程排放的含VOCs废水，集输系统应符合下列规定之一：</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a采用密闭管道输送，接入口和排出口采取与环境空气隔离的措施；</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b采用沟渠输送，若敞开液面上方100m处VOCs检测浓度≥</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100umol/mol，应加盖密闭，接入口和排出口采取与环境空气隔离的措施。</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②废水储存、处理设施</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含VOCs废水储存和处理设施敞开液面上方100m处VOCs检测浓度≥100umol/mol，应符合下列规定之一：</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a采用浮动顶盖；</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b采用固定顶盖，收集废气至VOCs废气收集处理系统；</w:t>
            </w:r>
          </w:p>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c其他等效措施。</w:t>
            </w:r>
          </w:p>
        </w:tc>
        <w:tc>
          <w:tcPr>
            <w:tcW w:w="4215" w:type="dxa"/>
            <w:noWrap w:val="0"/>
            <w:tcMar>
              <w:top w:w="15" w:type="dxa"/>
              <w:left w:w="15" w:type="dxa"/>
              <w:bottom w:w="15" w:type="dxa"/>
              <w:right w:w="15" w:type="dxa"/>
            </w:tcMar>
            <w:vAlign w:val="center"/>
          </w:tcPr>
          <w:p>
            <w:pPr>
              <w:pStyle w:val="687"/>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本项目生产废水采用密闭管道输送；废水储存、处理设施均进行加盖密闭处理，并通过引风机将废气负压抽吸收集废气采用</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氧化吸收</w:t>
            </w:r>
            <w:r>
              <w:rPr>
                <w:rFonts w:hint="default" w:ascii="Times New Roman" w:hAnsi="Times New Roman" w:eastAsia="宋体" w:cs="Times New Roman"/>
                <w:color w:val="auto"/>
                <w:sz w:val="21"/>
                <w:szCs w:val="21"/>
                <w:lang w:val="en-US" w:eastAsia="zh-CN"/>
              </w:rPr>
              <w:t>+碱吸收+生物除臭</w:t>
            </w:r>
            <w:r>
              <w:rPr>
                <w:rFonts w:hint="default" w:ascii="Times New Roman" w:hAnsi="Times New Roman" w:eastAsia="宋体" w:cs="Times New Roman"/>
                <w:color w:val="auto"/>
                <w:sz w:val="21"/>
                <w:szCs w:val="21"/>
              </w:rPr>
              <w:t>处理</w:t>
            </w:r>
            <w:r>
              <w:rPr>
                <w:rFonts w:hint="eastAsia" w:ascii="Times New Roman" w:hAnsi="Times New Roman" w:eastAsia="宋体" w:cs="Times New Roman"/>
                <w:color w:val="auto"/>
                <w:sz w:val="21"/>
                <w:szCs w:val="21"/>
                <w:lang w:eastAsia="zh-CN"/>
              </w:rPr>
              <w:t>”工艺进行处理，净化尾气分别通过</w:t>
            </w:r>
            <w:r>
              <w:rPr>
                <w:rFonts w:hint="eastAsia" w:ascii="Times New Roman" w:hAnsi="Times New Roman" w:eastAsia="宋体" w:cs="Times New Roman"/>
                <w:color w:val="auto"/>
                <w:sz w:val="21"/>
                <w:szCs w:val="21"/>
                <w:lang w:val="en-US" w:eastAsia="zh-CN"/>
              </w:rPr>
              <w:t>15</w:t>
            </w:r>
            <w:r>
              <w:rPr>
                <w:rFonts w:hint="eastAsia" w:ascii="Times New Roman" w:hAnsi="Times New Roman" w:eastAsia="宋体" w:cs="Times New Roman"/>
                <w:color w:val="auto"/>
                <w:sz w:val="21"/>
                <w:szCs w:val="21"/>
                <w:lang w:eastAsia="zh-CN"/>
              </w:rPr>
              <w:t>m高排气筒达标排放。</w:t>
            </w:r>
          </w:p>
        </w:tc>
        <w:tc>
          <w:tcPr>
            <w:tcW w:w="816" w:type="dxa"/>
            <w:noWrap w:val="0"/>
            <w:tcMar>
              <w:top w:w="15" w:type="dxa"/>
              <w:left w:w="15" w:type="dxa"/>
              <w:bottom w:w="15" w:type="dxa"/>
              <w:right w:w="15" w:type="dxa"/>
            </w:tcMar>
            <w:vAlign w:val="center"/>
          </w:tcPr>
          <w:p>
            <w:pPr>
              <w:pStyle w:val="450"/>
              <w:tabs>
                <w:tab w:val="left" w:pos="0"/>
                <w:tab w:val="clear" w:pos="1980"/>
                <w:tab w:val="clear" w:pos="3825"/>
                <w:tab w:val="clear" w:pos="4680"/>
              </w:tabs>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符合</w:t>
            </w:r>
          </w:p>
        </w:tc>
      </w:tr>
    </w:tbl>
    <w:p>
      <w:pPr>
        <w:pStyle w:val="24"/>
        <w:rPr>
          <w:rFonts w:hint="default" w:ascii="Times New Roman" w:hAnsi="Times New Roman" w:eastAsia="宋体" w:cs="Times New Roman"/>
          <w:color w:val="000000"/>
          <w:sz w:val="24"/>
        </w:rPr>
        <w:sectPr>
          <w:headerReference r:id="rId23" w:type="default"/>
          <w:pgSz w:w="16838" w:h="11906" w:orient="landscape"/>
          <w:pgMar w:top="1417" w:right="1417" w:bottom="1417" w:left="1417" w:header="1191" w:footer="992" w:gutter="0"/>
          <w:pgNumType w:fmt="decimal"/>
          <w:cols w:space="720" w:num="1"/>
          <w:docGrid w:type="lines" w:linePitch="312" w:charSpace="0"/>
        </w:sectPr>
      </w:pPr>
    </w:p>
    <w:p>
      <w:pPr>
        <w:spacing w:line="360" w:lineRule="auto"/>
        <w:ind w:firstLine="0"/>
        <w:outlineLvl w:val="1"/>
        <w:rPr>
          <w:rFonts w:hint="default" w:ascii="Times New Roman" w:hAnsi="Times New Roman" w:eastAsia="黑体" w:cs="Times New Roman"/>
          <w:sz w:val="32"/>
          <w:szCs w:val="30"/>
        </w:rPr>
      </w:pPr>
      <w:bookmarkStart w:id="378" w:name="_Toc5817"/>
      <w:bookmarkStart w:id="379" w:name="_Toc6819"/>
      <w:bookmarkStart w:id="380" w:name="_Toc476239522"/>
      <w:r>
        <w:rPr>
          <w:rFonts w:hint="default" w:ascii="Times New Roman" w:hAnsi="Times New Roman" w:eastAsia="黑体" w:cs="Times New Roman"/>
          <w:sz w:val="32"/>
          <w:szCs w:val="30"/>
        </w:rPr>
        <w:t>7.4噪声污染防治措施及可行性分析</w:t>
      </w:r>
      <w:bookmarkEnd w:id="378"/>
      <w:bookmarkEnd w:id="379"/>
      <w:bookmarkEnd w:id="380"/>
    </w:p>
    <w:p>
      <w:pPr>
        <w:spacing w:line="360" w:lineRule="auto"/>
        <w:ind w:firstLine="0"/>
        <w:outlineLvl w:val="2"/>
        <w:rPr>
          <w:rFonts w:hint="default" w:ascii="Times New Roman" w:hAnsi="Times New Roman" w:eastAsia="黑体" w:cs="Times New Roman"/>
          <w:sz w:val="30"/>
          <w:szCs w:val="30"/>
        </w:rPr>
      </w:pPr>
      <w:r>
        <w:rPr>
          <w:rFonts w:hint="default" w:ascii="Times New Roman" w:hAnsi="Times New Roman" w:eastAsia="黑体" w:cs="Times New Roman"/>
          <w:sz w:val="30"/>
          <w:szCs w:val="30"/>
        </w:rPr>
        <w:t>7.4.1噪声防治措施</w:t>
      </w:r>
    </w:p>
    <w:p>
      <w:pPr>
        <w:adjustRightInd w:val="0"/>
        <w:snapToGrid w:val="0"/>
        <w:spacing w:line="360" w:lineRule="auto"/>
        <w:ind w:firstLine="482"/>
        <w:rPr>
          <w:rFonts w:hint="default" w:ascii="Times New Roman" w:hAnsi="Times New Roman" w:eastAsia="宋体" w:cs="Times New Roman"/>
          <w:sz w:val="24"/>
          <w:szCs w:val="22"/>
        </w:rPr>
      </w:pPr>
      <w:r>
        <w:rPr>
          <w:rFonts w:hint="default" w:ascii="Times New Roman" w:hAnsi="Times New Roman" w:eastAsia="宋体" w:cs="Times New Roman"/>
          <w:sz w:val="24"/>
          <w:szCs w:val="22"/>
        </w:rPr>
        <w:t>项目主要高噪声设备包括各种泵类、风机、离心机、破碎机、空压机、冷却水塔等。项目运行过程拟采取的降噪措施如下：</w:t>
      </w:r>
    </w:p>
    <w:p>
      <w:pPr>
        <w:adjustRightInd w:val="0"/>
        <w:snapToGrid w:val="0"/>
        <w:spacing w:line="360" w:lineRule="auto"/>
        <w:ind w:firstLine="482"/>
        <w:rPr>
          <w:rFonts w:hint="default" w:ascii="Times New Roman" w:hAnsi="Times New Roman" w:eastAsia="宋体" w:cs="Times New Roman"/>
          <w:sz w:val="24"/>
          <w:szCs w:val="22"/>
        </w:rPr>
      </w:pPr>
      <w:r>
        <w:rPr>
          <w:rFonts w:hint="default" w:ascii="Times New Roman" w:hAnsi="Times New Roman" w:eastAsia="宋体" w:cs="Times New Roman"/>
          <w:sz w:val="24"/>
          <w:szCs w:val="22"/>
        </w:rPr>
        <w:t>（1）为各种泵、压缩机、风机、空压机等设备浇筑减震基础，安装橡胶隔振垫，靠近厂界的设备增加隔声罩。</w:t>
      </w:r>
    </w:p>
    <w:p>
      <w:pPr>
        <w:adjustRightInd w:val="0"/>
        <w:snapToGrid w:val="0"/>
        <w:spacing w:line="360" w:lineRule="auto"/>
        <w:ind w:firstLine="482"/>
        <w:rPr>
          <w:rFonts w:hint="default" w:ascii="Times New Roman" w:hAnsi="Times New Roman" w:eastAsia="宋体" w:cs="Times New Roman"/>
          <w:sz w:val="24"/>
          <w:szCs w:val="22"/>
        </w:rPr>
      </w:pPr>
      <w:r>
        <w:rPr>
          <w:rFonts w:hint="default" w:ascii="Times New Roman" w:hAnsi="Times New Roman" w:eastAsia="宋体" w:cs="Times New Roman"/>
          <w:sz w:val="24"/>
          <w:szCs w:val="22"/>
        </w:rPr>
        <w:t>（2）对风机应采取隔声、消声措施进行降噪；对震动设备，可在设备底部设置减震装置；空气放空口、风机入口加设消声器；连接水泵、空压机、风机管道需采用软接管。</w:t>
      </w:r>
    </w:p>
    <w:p>
      <w:pPr>
        <w:adjustRightInd w:val="0"/>
        <w:snapToGrid w:val="0"/>
        <w:spacing w:line="360" w:lineRule="auto"/>
        <w:ind w:firstLine="482"/>
        <w:rPr>
          <w:rFonts w:hint="default" w:ascii="Times New Roman" w:hAnsi="Times New Roman" w:eastAsia="宋体" w:cs="Times New Roman"/>
          <w:sz w:val="24"/>
          <w:szCs w:val="22"/>
        </w:rPr>
      </w:pPr>
      <w:r>
        <w:rPr>
          <w:rFonts w:hint="default" w:ascii="Times New Roman" w:hAnsi="Times New Roman" w:eastAsia="宋体" w:cs="Times New Roman"/>
          <w:sz w:val="24"/>
          <w:szCs w:val="22"/>
        </w:rPr>
        <w:t>（3）应尽量考虑合理布局，让高噪声设备远离厂界。</w:t>
      </w:r>
    </w:p>
    <w:p>
      <w:pPr>
        <w:adjustRightInd w:val="0"/>
        <w:snapToGrid w:val="0"/>
        <w:spacing w:line="360" w:lineRule="auto"/>
        <w:ind w:firstLine="482"/>
        <w:rPr>
          <w:rFonts w:hint="default" w:ascii="Times New Roman" w:hAnsi="Times New Roman" w:eastAsia="宋体" w:cs="Times New Roman"/>
          <w:sz w:val="24"/>
          <w:szCs w:val="22"/>
        </w:rPr>
      </w:pPr>
      <w:r>
        <w:rPr>
          <w:rFonts w:hint="default" w:ascii="Times New Roman" w:hAnsi="Times New Roman" w:eastAsia="宋体" w:cs="Times New Roman"/>
          <w:sz w:val="24"/>
          <w:szCs w:val="22"/>
        </w:rPr>
        <w:t>（4）噪声的产生与机械设备的运行情况也有很大关系，工厂应加强设备运行管理，对各机械设备应定期检查、维修，使各机械设备保持良好的工作状态。</w:t>
      </w:r>
    </w:p>
    <w:p>
      <w:pPr>
        <w:snapToGrid w:val="0"/>
        <w:spacing w:line="360" w:lineRule="auto"/>
        <w:ind w:firstLine="0"/>
        <w:outlineLvl w:val="2"/>
        <w:rPr>
          <w:rFonts w:hint="default" w:ascii="Times New Roman" w:hAnsi="Times New Roman" w:eastAsia="黑体" w:cs="Times New Roman"/>
          <w:sz w:val="30"/>
          <w:szCs w:val="30"/>
        </w:rPr>
      </w:pPr>
      <w:r>
        <w:rPr>
          <w:rFonts w:hint="default" w:ascii="Times New Roman" w:hAnsi="Times New Roman" w:eastAsia="黑体" w:cs="Times New Roman"/>
          <w:sz w:val="30"/>
          <w:szCs w:val="30"/>
        </w:rPr>
        <w:t>7.4.2噪声防治措施可行性分析</w:t>
      </w:r>
    </w:p>
    <w:p>
      <w:pPr>
        <w:snapToGrid w:val="0"/>
        <w:spacing w:line="360" w:lineRule="auto"/>
        <w:ind w:firstLine="480"/>
        <w:rPr>
          <w:rFonts w:hint="default" w:ascii="Times New Roman" w:hAnsi="Times New Roman" w:eastAsia="宋体" w:cs="Times New Roman"/>
          <w:color w:val="000000"/>
          <w:sz w:val="24"/>
          <w:szCs w:val="22"/>
        </w:rPr>
      </w:pPr>
      <w:r>
        <w:rPr>
          <w:rFonts w:hint="default" w:ascii="Times New Roman" w:hAnsi="Times New Roman" w:eastAsia="宋体" w:cs="Times New Roman"/>
          <w:color w:val="000000"/>
          <w:sz w:val="24"/>
          <w:szCs w:val="22"/>
        </w:rPr>
        <w:t>控制噪声最有效和最直接的措施是降低声源噪声，因此项目必须配置低噪声设备。目前，通过自行研制和引进技术，国产的低噪声机械设备性能良好，价格适中，因此，选用低噪声设备是可行的；其次，在噪声的传播途径上采取适当的措施，针对各种噪声源在表7.4-1中列出了几种控制措施，其控制措施的降噪原理、适用场合以及减噪效果。</w:t>
      </w:r>
    </w:p>
    <w:p>
      <w:pPr>
        <w:overflowPunct w:val="0"/>
        <w:spacing w:line="360" w:lineRule="auto"/>
        <w:ind w:firstLine="0"/>
        <w:jc w:val="center"/>
        <w:rPr>
          <w:rFonts w:hint="default" w:ascii="Times New Roman" w:hAnsi="Times New Roman" w:eastAsia="黑体" w:cs="Times New Roman"/>
          <w:bCs/>
          <w:color w:val="000000"/>
          <w:sz w:val="24"/>
          <w:szCs w:val="21"/>
        </w:rPr>
      </w:pPr>
      <w:r>
        <w:rPr>
          <w:rFonts w:hint="default" w:ascii="Times New Roman" w:hAnsi="Times New Roman" w:eastAsia="黑体" w:cs="Times New Roman"/>
          <w:bCs/>
          <w:color w:val="000000"/>
          <w:sz w:val="24"/>
          <w:szCs w:val="21"/>
        </w:rPr>
        <w:t>表7.4-1    噪声控制的原理与适用场合</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4"/>
        <w:gridCol w:w="4505"/>
        <w:gridCol w:w="2729"/>
        <w:gridCol w:w="11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4" w:type="dxa"/>
            <w:noWrap w:val="0"/>
            <w:vAlign w:val="center"/>
          </w:tcPr>
          <w:p>
            <w:pPr>
              <w:widowControl/>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控制措</w:t>
            </w:r>
          </w:p>
          <w:p>
            <w:pPr>
              <w:widowControl/>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施类别</w:t>
            </w:r>
          </w:p>
        </w:tc>
        <w:tc>
          <w:tcPr>
            <w:tcW w:w="4505" w:type="dxa"/>
            <w:noWrap w:val="0"/>
            <w:vAlign w:val="center"/>
          </w:tcPr>
          <w:p>
            <w:pPr>
              <w:widowControl/>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降低噪声原理</w:t>
            </w:r>
          </w:p>
        </w:tc>
        <w:tc>
          <w:tcPr>
            <w:tcW w:w="2729" w:type="dxa"/>
            <w:noWrap w:val="0"/>
            <w:vAlign w:val="center"/>
          </w:tcPr>
          <w:p>
            <w:pPr>
              <w:widowControl/>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适用场合</w:t>
            </w:r>
          </w:p>
        </w:tc>
        <w:tc>
          <w:tcPr>
            <w:tcW w:w="1196" w:type="dxa"/>
            <w:noWrap w:val="0"/>
            <w:vAlign w:val="center"/>
          </w:tcPr>
          <w:p>
            <w:pPr>
              <w:widowControl/>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减噪效果（dB）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4" w:type="dxa"/>
            <w:noWrap w:val="0"/>
            <w:vAlign w:val="center"/>
          </w:tcPr>
          <w:p>
            <w:pPr>
              <w:widowControl/>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隔振</w:t>
            </w:r>
          </w:p>
        </w:tc>
        <w:tc>
          <w:tcPr>
            <w:tcW w:w="4505" w:type="dxa"/>
            <w:noWrap w:val="0"/>
            <w:vAlign w:val="center"/>
          </w:tcPr>
          <w:p>
            <w:pPr>
              <w:widowControl/>
              <w:ind w:firstLine="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将振动设备与地板的刚性接触改为弹性接触，隔绝固体声传播，如设计隔振基础，安装隔振器等</w:t>
            </w:r>
          </w:p>
        </w:tc>
        <w:tc>
          <w:tcPr>
            <w:tcW w:w="2729" w:type="dxa"/>
            <w:noWrap w:val="0"/>
            <w:vAlign w:val="center"/>
          </w:tcPr>
          <w:p>
            <w:pPr>
              <w:widowControl/>
              <w:ind w:firstLine="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机械振动厉害，干扰居民</w:t>
            </w:r>
          </w:p>
        </w:tc>
        <w:tc>
          <w:tcPr>
            <w:tcW w:w="1196" w:type="dxa"/>
            <w:noWrap w:val="0"/>
            <w:vAlign w:val="center"/>
          </w:tcPr>
          <w:p>
            <w:pPr>
              <w:widowControl/>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4" w:type="dxa"/>
            <w:noWrap w:val="0"/>
            <w:vAlign w:val="center"/>
          </w:tcPr>
          <w:p>
            <w:pPr>
              <w:widowControl/>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减振</w:t>
            </w:r>
          </w:p>
        </w:tc>
        <w:tc>
          <w:tcPr>
            <w:tcW w:w="4505" w:type="dxa"/>
            <w:noWrap w:val="0"/>
            <w:vAlign w:val="center"/>
          </w:tcPr>
          <w:p>
            <w:pPr>
              <w:widowControl/>
              <w:ind w:firstLine="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利用内摩擦损耗大的材料涂贴在振动表面上，减少金属薄板的弯曲振动</w:t>
            </w:r>
          </w:p>
        </w:tc>
        <w:tc>
          <w:tcPr>
            <w:tcW w:w="2729" w:type="dxa"/>
            <w:noWrap w:val="0"/>
            <w:vAlign w:val="center"/>
          </w:tcPr>
          <w:p>
            <w:pPr>
              <w:widowControl/>
              <w:ind w:firstLine="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设备金属外壳、管道等振动噪声严重</w:t>
            </w:r>
          </w:p>
        </w:tc>
        <w:tc>
          <w:tcPr>
            <w:tcW w:w="1196" w:type="dxa"/>
            <w:noWrap w:val="0"/>
            <w:vAlign w:val="center"/>
          </w:tcPr>
          <w:p>
            <w:pPr>
              <w:widowControl/>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14" w:type="dxa"/>
            <w:noWrap w:val="0"/>
            <w:vAlign w:val="center"/>
          </w:tcPr>
          <w:p>
            <w:pPr>
              <w:widowControl/>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隔声</w:t>
            </w:r>
          </w:p>
        </w:tc>
        <w:tc>
          <w:tcPr>
            <w:tcW w:w="4505" w:type="dxa"/>
            <w:noWrap w:val="0"/>
            <w:vAlign w:val="center"/>
          </w:tcPr>
          <w:p>
            <w:pPr>
              <w:widowControl/>
              <w:ind w:firstLine="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利用隔声结构，将噪声源和接受点隔开，常用的有隔声罩、隔声间和隔声屏等。</w:t>
            </w:r>
          </w:p>
        </w:tc>
        <w:tc>
          <w:tcPr>
            <w:tcW w:w="2729" w:type="dxa"/>
            <w:noWrap w:val="0"/>
            <w:vAlign w:val="center"/>
          </w:tcPr>
          <w:p>
            <w:pPr>
              <w:widowControl/>
              <w:ind w:firstLine="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车间工人多，噪声设备少，用隔声罩，反之，用隔声间。二者均不允许封闭时采用隔声屏。</w:t>
            </w:r>
          </w:p>
        </w:tc>
        <w:tc>
          <w:tcPr>
            <w:tcW w:w="1196" w:type="dxa"/>
            <w:noWrap w:val="0"/>
            <w:vAlign w:val="center"/>
          </w:tcPr>
          <w:p>
            <w:pPr>
              <w:widowControl/>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4" w:type="dxa"/>
            <w:noWrap w:val="0"/>
            <w:vAlign w:val="center"/>
          </w:tcPr>
          <w:p>
            <w:pPr>
              <w:widowControl/>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消声</w:t>
            </w:r>
          </w:p>
        </w:tc>
        <w:tc>
          <w:tcPr>
            <w:tcW w:w="4505" w:type="dxa"/>
            <w:noWrap w:val="0"/>
            <w:vAlign w:val="center"/>
          </w:tcPr>
          <w:p>
            <w:pPr>
              <w:widowControl/>
              <w:ind w:firstLine="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利用阻性、抗性和小孔喷注、多孔扩散等原理，消减气流噪声。</w:t>
            </w:r>
          </w:p>
        </w:tc>
        <w:tc>
          <w:tcPr>
            <w:tcW w:w="2729" w:type="dxa"/>
            <w:noWrap w:val="0"/>
            <w:vAlign w:val="center"/>
          </w:tcPr>
          <w:p>
            <w:pPr>
              <w:widowControl/>
              <w:ind w:firstLine="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气动设备的空气动力性噪声</w:t>
            </w:r>
          </w:p>
        </w:tc>
        <w:tc>
          <w:tcPr>
            <w:tcW w:w="1196" w:type="dxa"/>
            <w:noWrap w:val="0"/>
            <w:vAlign w:val="center"/>
          </w:tcPr>
          <w:p>
            <w:pPr>
              <w:widowControl/>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4" w:type="dxa"/>
            <w:noWrap w:val="0"/>
            <w:vAlign w:val="center"/>
          </w:tcPr>
          <w:p>
            <w:pPr>
              <w:widowControl/>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吸声</w:t>
            </w:r>
          </w:p>
        </w:tc>
        <w:tc>
          <w:tcPr>
            <w:tcW w:w="4505" w:type="dxa"/>
            <w:noWrap w:val="0"/>
            <w:vAlign w:val="center"/>
          </w:tcPr>
          <w:p>
            <w:pPr>
              <w:widowControl/>
              <w:ind w:firstLine="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利用隔声材料或结构，降低厂房内反射声，如吊挂吸声体等</w:t>
            </w:r>
          </w:p>
        </w:tc>
        <w:tc>
          <w:tcPr>
            <w:tcW w:w="2729" w:type="dxa"/>
            <w:noWrap w:val="0"/>
            <w:vAlign w:val="center"/>
          </w:tcPr>
          <w:p>
            <w:pPr>
              <w:widowControl/>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车间噪声设备多且分散</w:t>
            </w:r>
          </w:p>
        </w:tc>
        <w:tc>
          <w:tcPr>
            <w:tcW w:w="1196" w:type="dxa"/>
            <w:noWrap w:val="0"/>
            <w:vAlign w:val="center"/>
          </w:tcPr>
          <w:p>
            <w:pPr>
              <w:widowControl/>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4~10</w:t>
            </w:r>
          </w:p>
        </w:tc>
      </w:tr>
    </w:tbl>
    <w:p>
      <w:pPr>
        <w:adjustRightInd w:val="0"/>
        <w:snapToGrid w:val="0"/>
        <w:spacing w:line="360" w:lineRule="auto"/>
        <w:ind w:firstLine="480"/>
        <w:rPr>
          <w:rFonts w:hint="default" w:ascii="Times New Roman" w:hAnsi="Times New Roman" w:eastAsia="宋体" w:cs="Times New Roman"/>
          <w:color w:val="000000"/>
          <w:sz w:val="24"/>
          <w:szCs w:val="22"/>
        </w:rPr>
      </w:pPr>
      <w:r>
        <w:rPr>
          <w:rFonts w:hint="default" w:ascii="Times New Roman" w:hAnsi="Times New Roman" w:eastAsia="宋体" w:cs="Times New Roman"/>
          <w:color w:val="000000"/>
          <w:sz w:val="24"/>
          <w:szCs w:val="24"/>
        </w:rPr>
        <w:t>本项目从源头、传播等环节进行了噪声的防治，噪声预测结果表明，只要建设单位认真落实上述各项噪声防治与控制措施，采取有效的隔声降噪措施，</w:t>
      </w:r>
      <w:r>
        <w:rPr>
          <w:rFonts w:hint="default" w:ascii="Times New Roman" w:hAnsi="Times New Roman" w:eastAsia="宋体" w:cs="Times New Roman"/>
          <w:color w:val="000000"/>
          <w:sz w:val="24"/>
          <w:szCs w:val="22"/>
        </w:rPr>
        <w:t>可确保厂界噪声达到《工业企业厂界环境噪声排放标准》（GB12348-2008）中3类标准要求。</w:t>
      </w:r>
    </w:p>
    <w:p>
      <w:pPr>
        <w:keepNext/>
        <w:keepLines/>
        <w:spacing w:line="360" w:lineRule="auto"/>
        <w:ind w:firstLine="0"/>
        <w:outlineLvl w:val="1"/>
        <w:rPr>
          <w:rFonts w:hint="default" w:ascii="Times New Roman" w:hAnsi="Times New Roman" w:eastAsia="黑体" w:cs="Times New Roman"/>
          <w:bCs/>
          <w:sz w:val="32"/>
          <w:szCs w:val="30"/>
        </w:rPr>
      </w:pPr>
      <w:bookmarkStart w:id="381" w:name="_Toc29960"/>
      <w:bookmarkStart w:id="382" w:name="_Toc476239524"/>
      <w:bookmarkStart w:id="383" w:name="_Toc12302"/>
      <w:r>
        <w:rPr>
          <w:rFonts w:hint="default" w:ascii="Times New Roman" w:hAnsi="Times New Roman" w:eastAsia="黑体" w:cs="Times New Roman"/>
          <w:bCs/>
          <w:sz w:val="32"/>
          <w:szCs w:val="30"/>
        </w:rPr>
        <w:t>7.5固体废物污染防治措施及可行性分析</w:t>
      </w:r>
      <w:bookmarkEnd w:id="381"/>
      <w:bookmarkEnd w:id="382"/>
      <w:bookmarkEnd w:id="383"/>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固废处置应遵循减量化、资源化和无害化原则，即首先通过清洁生产减少废弃物的产生，在无法减量化的情况下优先进行废物资源化利用，最终对不可利用废物进行无害化处置。</w:t>
      </w:r>
    </w:p>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7.5.1固废产生及处置情况</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本项目产生的固体废物有危险废物、一般工业固体废物和生活垃圾等，其中一般工业固体废物产生量约0.2t/a，</w:t>
      </w:r>
      <w:r>
        <w:rPr>
          <w:rFonts w:hint="eastAsia" w:ascii="Times New Roman" w:hAnsi="Times New Roman" w:eastAsia="宋体" w:cs="Times New Roman"/>
          <w:color w:val="auto"/>
          <w:sz w:val="24"/>
          <w:szCs w:val="24"/>
          <w:lang w:val="en-US" w:eastAsia="zh-CN"/>
        </w:rPr>
        <w:t>待鉴定固废40</w:t>
      </w:r>
      <w:r>
        <w:rPr>
          <w:rFonts w:hint="default" w:ascii="Times New Roman" w:hAnsi="Times New Roman" w:eastAsia="宋体" w:cs="Times New Roman"/>
          <w:color w:val="auto"/>
          <w:sz w:val="24"/>
          <w:szCs w:val="24"/>
        </w:rPr>
        <w:t>t/a，危险废物</w:t>
      </w:r>
      <w:r>
        <w:rPr>
          <w:rFonts w:hint="default" w:ascii="Times New Roman" w:hAnsi="Times New Roman" w:eastAsia="宋体" w:cs="Times New Roman"/>
          <w:color w:val="auto"/>
          <w:sz w:val="24"/>
          <w:szCs w:val="24"/>
          <w:lang w:val="en-US" w:eastAsia="zh-CN"/>
        </w:rPr>
        <w:t>1422.319</w:t>
      </w:r>
      <w:r>
        <w:rPr>
          <w:rFonts w:hint="default" w:ascii="Times New Roman" w:hAnsi="Times New Roman" w:eastAsia="宋体" w:cs="Times New Roman"/>
          <w:color w:val="auto"/>
          <w:sz w:val="24"/>
          <w:szCs w:val="24"/>
        </w:rPr>
        <w:t>t/a，生活垃圾约31.2t/a。项目固废产生及处置情况详见表5.4-1。</w:t>
      </w:r>
    </w:p>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7.5.2一般固废处置可行性</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本项目一般</w:t>
      </w:r>
      <w:r>
        <w:rPr>
          <w:rFonts w:hint="eastAsia" w:ascii="Times New Roman" w:hAnsi="Times New Roman" w:eastAsia="宋体" w:cs="Times New Roman"/>
          <w:color w:val="000000"/>
          <w:sz w:val="24"/>
          <w:lang w:val="en-US" w:eastAsia="zh-CN"/>
        </w:rPr>
        <w:t>工业</w:t>
      </w:r>
      <w:r>
        <w:rPr>
          <w:rFonts w:hint="default" w:ascii="Times New Roman" w:hAnsi="Times New Roman" w:eastAsia="宋体" w:cs="Times New Roman"/>
          <w:color w:val="000000"/>
          <w:sz w:val="24"/>
        </w:rPr>
        <w:t>固废为废反渗透膜，收集于项目一般工业固废暂存间内暂存，最终送一般固废填埋场处置。</w:t>
      </w:r>
      <w:r>
        <w:rPr>
          <w:rFonts w:hint="eastAsia" w:ascii="Times New Roman" w:hAnsi="Times New Roman" w:eastAsia="宋体" w:cs="Times New Roman"/>
          <w:color w:val="000000"/>
          <w:sz w:val="24"/>
          <w:lang w:val="en-US" w:eastAsia="zh-CN"/>
        </w:rPr>
        <w:t>一般固废暂存间按照</w:t>
      </w:r>
      <w:r>
        <w:rPr>
          <w:rFonts w:eastAsia="宋体"/>
          <w:sz w:val="24"/>
          <w:szCs w:val="24"/>
        </w:rPr>
        <w:t>《一般工业固体废物贮存和填埋污染控制标准》（GB18599-2020）建设，做好防渗、溢流措施，并应采取设置顶盖等防治降雨（水）的进入）</w:t>
      </w:r>
      <w:r>
        <w:rPr>
          <w:rFonts w:hint="eastAsia" w:eastAsia="宋体"/>
          <w:sz w:val="24"/>
          <w:szCs w:val="24"/>
          <w:lang w:eastAsia="zh-CN"/>
        </w:rPr>
        <w:t>。</w:t>
      </w:r>
      <w:r>
        <w:rPr>
          <w:rFonts w:hint="default" w:ascii="Times New Roman" w:hAnsi="Times New Roman" w:eastAsia="宋体" w:cs="Times New Roman"/>
          <w:color w:val="000000"/>
          <w:sz w:val="24"/>
        </w:rPr>
        <w:t>项目生活垃圾收集后，交由园区环卫部门统一收集后外运处置。</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综上，项目一般固废处置方式符合国家有关规定，也符合项目工程和实际情况，对周围环境影响很小，处置措施可行。</w:t>
      </w:r>
    </w:p>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7.5.</w:t>
      </w:r>
      <w:r>
        <w:rPr>
          <w:rFonts w:hint="eastAsia" w:ascii="Times New Roman" w:hAnsi="Times New Roman" w:eastAsia="黑体" w:cs="Times New Roman"/>
          <w:kern w:val="0"/>
          <w:sz w:val="30"/>
          <w:szCs w:val="30"/>
          <w:lang w:val="en-US" w:eastAsia="zh-CN"/>
        </w:rPr>
        <w:t>3待鉴别固废</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rPr>
      </w:pPr>
      <w:r>
        <w:rPr>
          <w:rFonts w:hint="eastAsia" w:ascii="Times New Roman" w:hAnsi="Times New Roman" w:eastAsia="宋体" w:cs="Times New Roman"/>
          <w:color w:val="000000"/>
          <w:sz w:val="24"/>
          <w:szCs w:val="24"/>
          <w:lang w:val="en-US" w:eastAsia="zh-CN"/>
        </w:rPr>
        <w:t>污水处理站产生的生化污泥，经鉴定，</w:t>
      </w:r>
      <w:r>
        <w:rPr>
          <w:rFonts w:hint="default" w:ascii="Times New Roman" w:hAnsi="Times New Roman" w:eastAsia="宋体" w:cs="Times New Roman"/>
          <w:color w:val="000000"/>
          <w:sz w:val="24"/>
          <w:szCs w:val="24"/>
        </w:rPr>
        <w:t>若属于危险废物</w:t>
      </w:r>
      <w:r>
        <w:rPr>
          <w:rFonts w:hint="eastAsia"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则应委托有资质的单位处置；否则</w:t>
      </w:r>
      <w:r>
        <w:rPr>
          <w:rFonts w:hint="eastAsia"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按一般工业固体废物处理和处置。</w:t>
      </w:r>
    </w:p>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7.5.</w:t>
      </w:r>
      <w:r>
        <w:rPr>
          <w:rFonts w:hint="eastAsia" w:ascii="Times New Roman" w:hAnsi="Times New Roman" w:eastAsia="黑体" w:cs="Times New Roman"/>
          <w:kern w:val="0"/>
          <w:sz w:val="30"/>
          <w:szCs w:val="30"/>
          <w:lang w:val="en-US" w:eastAsia="zh-CN"/>
        </w:rPr>
        <w:t>4</w:t>
      </w:r>
      <w:r>
        <w:rPr>
          <w:rFonts w:hint="default" w:ascii="Times New Roman" w:hAnsi="Times New Roman" w:eastAsia="黑体" w:cs="Times New Roman"/>
          <w:kern w:val="0"/>
          <w:sz w:val="30"/>
          <w:szCs w:val="30"/>
        </w:rPr>
        <w:t>危险废物处置可行性</w:t>
      </w:r>
    </w:p>
    <w:p>
      <w:pPr>
        <w:spacing w:line="360" w:lineRule="auto"/>
        <w:ind w:firstLine="0"/>
        <w:outlineLvl w:val="3"/>
        <w:rPr>
          <w:rFonts w:hint="default" w:ascii="Times New Roman" w:hAnsi="Times New Roman" w:eastAsia="黑体" w:cs="Times New Roman"/>
          <w:bCs/>
          <w:color w:val="auto"/>
          <w:szCs w:val="24"/>
          <w:lang w:val="en-US" w:eastAsia="zh-CN"/>
        </w:rPr>
      </w:pPr>
      <w:r>
        <w:rPr>
          <w:rFonts w:hint="eastAsia" w:ascii="Times New Roman" w:hAnsi="Times New Roman" w:eastAsia="黑体" w:cs="Times New Roman"/>
          <w:bCs/>
          <w:color w:val="auto"/>
          <w:szCs w:val="24"/>
          <w:lang w:val="en-US" w:eastAsia="zh-CN"/>
        </w:rPr>
        <w:t xml:space="preserve">7.5.4.1 </w:t>
      </w:r>
      <w:r>
        <w:rPr>
          <w:rFonts w:hint="eastAsia" w:ascii="Times New Roman" w:hAnsi="Times New Roman" w:eastAsia="黑体" w:cs="Times New Roman"/>
          <w:bCs/>
          <w:color w:val="auto"/>
          <w:szCs w:val="24"/>
        </w:rPr>
        <w:t>危废暂存间建设情况</w:t>
      </w:r>
    </w:p>
    <w:p>
      <w:pPr>
        <w:spacing w:line="360" w:lineRule="auto"/>
        <w:ind w:firstLine="480"/>
        <w:rPr>
          <w:rFonts w:hint="default" w:ascii="Times New Roman" w:hAnsi="Times New Roman" w:eastAsia="宋体" w:cs="Times New Roman"/>
          <w:color w:val="auto"/>
          <w:sz w:val="24"/>
          <w:szCs w:val="24"/>
          <w:shd w:val="clear" w:color="auto" w:fill="auto"/>
        </w:rPr>
      </w:pPr>
      <w:r>
        <w:rPr>
          <w:rFonts w:hint="eastAsia" w:ascii="Times New Roman" w:hAnsi="Times New Roman" w:eastAsia="宋体" w:cs="Times New Roman"/>
          <w:color w:val="auto"/>
          <w:sz w:val="24"/>
          <w:szCs w:val="24"/>
          <w:shd w:val="clear" w:color="auto" w:fill="auto"/>
          <w:lang w:val="en-US" w:eastAsia="zh-CN"/>
        </w:rPr>
        <w:t>（1）</w:t>
      </w:r>
      <w:r>
        <w:rPr>
          <w:rFonts w:hint="default" w:ascii="Times New Roman" w:hAnsi="Times New Roman" w:eastAsia="宋体" w:cs="Times New Roman"/>
          <w:color w:val="auto"/>
          <w:sz w:val="24"/>
          <w:szCs w:val="24"/>
          <w:shd w:val="clear" w:color="auto" w:fill="auto"/>
        </w:rPr>
        <w:t>危废暂存间选址</w:t>
      </w:r>
    </w:p>
    <w:p>
      <w:pPr>
        <w:spacing w:line="360" w:lineRule="auto"/>
        <w:ind w:firstLine="480"/>
        <w:rPr>
          <w:rFonts w:hint="default" w:ascii="Times New Roman" w:hAnsi="Times New Roman" w:eastAsia="宋体" w:cs="Times New Roman"/>
          <w:color w:val="auto"/>
          <w:sz w:val="24"/>
          <w:szCs w:val="24"/>
          <w:shd w:val="clear" w:color="auto" w:fill="auto"/>
        </w:rPr>
      </w:pPr>
      <w:r>
        <w:rPr>
          <w:rFonts w:hint="default" w:ascii="Times New Roman" w:hAnsi="Times New Roman" w:eastAsia="宋体" w:cs="Times New Roman"/>
          <w:color w:val="auto"/>
          <w:sz w:val="24"/>
          <w:szCs w:val="24"/>
          <w:shd w:val="clear" w:color="auto" w:fill="auto"/>
        </w:rPr>
        <w:t>对照《危险废物贮存污染控制标准》（GB18597-2001 及其修改单），本项目危险废物暂存场所选址可行，详见表</w:t>
      </w:r>
      <w:r>
        <w:rPr>
          <w:rFonts w:hint="eastAsia" w:ascii="Times New Roman" w:hAnsi="Times New Roman" w:eastAsia="宋体" w:cs="Times New Roman"/>
          <w:color w:val="auto"/>
          <w:sz w:val="24"/>
          <w:szCs w:val="24"/>
          <w:shd w:val="clear" w:color="auto" w:fill="auto"/>
          <w:lang w:val="en-US" w:eastAsia="zh-CN"/>
        </w:rPr>
        <w:t>7.5</w:t>
      </w:r>
      <w:r>
        <w:rPr>
          <w:rFonts w:hint="default" w:ascii="Times New Roman" w:hAnsi="Times New Roman" w:eastAsia="宋体" w:cs="Times New Roman"/>
          <w:color w:val="auto"/>
          <w:sz w:val="24"/>
          <w:szCs w:val="24"/>
          <w:shd w:val="clear" w:color="auto" w:fill="auto"/>
        </w:rPr>
        <w:t>-1。</w:t>
      </w:r>
    </w:p>
    <w:p>
      <w:pPr>
        <w:pStyle w:val="24"/>
        <w:rPr>
          <w:rFonts w:hint="default" w:ascii="Times New Roman" w:hAnsi="Times New Roman" w:eastAsia="宋体" w:cs="Times New Roman"/>
          <w:color w:val="auto"/>
          <w:sz w:val="24"/>
          <w:szCs w:val="24"/>
          <w:shd w:val="clear" w:color="auto" w:fill="auto"/>
        </w:rPr>
      </w:pPr>
    </w:p>
    <w:p>
      <w:pPr>
        <w:pStyle w:val="26"/>
        <w:rPr>
          <w:rFonts w:hint="default" w:ascii="Times New Roman" w:hAnsi="Times New Roman" w:eastAsia="宋体" w:cs="Times New Roman"/>
          <w:color w:val="auto"/>
          <w:sz w:val="24"/>
          <w:szCs w:val="24"/>
          <w:shd w:val="clear" w:color="auto" w:fill="auto"/>
        </w:rPr>
      </w:pPr>
    </w:p>
    <w:p>
      <w:pPr>
        <w:rPr>
          <w:rFonts w:hint="default"/>
          <w:color w:val="auto"/>
        </w:rPr>
      </w:pPr>
    </w:p>
    <w:p>
      <w:pPr>
        <w:pStyle w:val="688"/>
        <w:rPr>
          <w:color w:val="auto"/>
          <w:sz w:val="24"/>
          <w:szCs w:val="24"/>
        </w:rPr>
      </w:pPr>
      <w:bookmarkStart w:id="384" w:name="_Ref1562255"/>
      <w:r>
        <w:rPr>
          <w:color w:val="auto"/>
          <w:sz w:val="24"/>
          <w:szCs w:val="24"/>
        </w:rPr>
        <w:t xml:space="preserve">表 </w:t>
      </w:r>
      <w:r>
        <w:rPr>
          <w:rFonts w:hint="eastAsia"/>
          <w:color w:val="auto"/>
          <w:sz w:val="24"/>
          <w:szCs w:val="24"/>
          <w:lang w:val="en-US" w:eastAsia="zh-CN"/>
        </w:rPr>
        <w:t>7.5</w:t>
      </w:r>
      <w:r>
        <w:rPr>
          <w:color w:val="auto"/>
          <w:sz w:val="24"/>
          <w:szCs w:val="24"/>
        </w:rPr>
        <w:noBreakHyphen/>
      </w:r>
      <w:r>
        <w:rPr>
          <w:color w:val="auto"/>
          <w:sz w:val="24"/>
          <w:szCs w:val="24"/>
        </w:rPr>
        <w:fldChar w:fldCharType="begin"/>
      </w:r>
      <w:r>
        <w:rPr>
          <w:color w:val="auto"/>
          <w:sz w:val="24"/>
          <w:szCs w:val="24"/>
        </w:rPr>
        <w:instrText xml:space="preserve"> SEQ 表 \* ARABIC \s 2 </w:instrText>
      </w:r>
      <w:r>
        <w:rPr>
          <w:color w:val="auto"/>
          <w:sz w:val="24"/>
          <w:szCs w:val="24"/>
        </w:rPr>
        <w:fldChar w:fldCharType="separate"/>
      </w:r>
      <w:r>
        <w:rPr>
          <w:color w:val="auto"/>
          <w:sz w:val="24"/>
          <w:szCs w:val="24"/>
        </w:rPr>
        <w:t>1</w:t>
      </w:r>
      <w:r>
        <w:rPr>
          <w:color w:val="auto"/>
          <w:sz w:val="24"/>
          <w:szCs w:val="24"/>
        </w:rPr>
        <w:fldChar w:fldCharType="end"/>
      </w:r>
      <w:bookmarkEnd w:id="384"/>
      <w:r>
        <w:rPr>
          <w:color w:val="auto"/>
          <w:sz w:val="24"/>
          <w:szCs w:val="24"/>
        </w:rPr>
        <w:t xml:space="preserve">  本工程危险废物暂存场所选址可行性分析对照表</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85"/>
        <w:gridCol w:w="4429"/>
        <w:gridCol w:w="39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685" w:type="dxa"/>
            <w:noWrap w:val="0"/>
            <w:tcMar>
              <w:left w:w="0" w:type="dxa"/>
              <w:right w:w="0" w:type="dxa"/>
            </w:tcMar>
            <w:vAlign w:val="center"/>
          </w:tcPr>
          <w:p>
            <w:pPr>
              <w:pStyle w:val="702"/>
              <w:jc w:val="center"/>
              <w:textAlignment w:val="center"/>
              <w:rPr>
                <w:color w:val="auto"/>
                <w:sz w:val="21"/>
                <w:szCs w:val="21"/>
              </w:rPr>
            </w:pPr>
            <w:r>
              <w:rPr>
                <w:color w:val="auto"/>
                <w:sz w:val="21"/>
                <w:szCs w:val="21"/>
              </w:rPr>
              <w:t>序号</w:t>
            </w:r>
          </w:p>
        </w:tc>
        <w:tc>
          <w:tcPr>
            <w:tcW w:w="4429" w:type="dxa"/>
            <w:noWrap w:val="0"/>
            <w:tcMar>
              <w:left w:w="0" w:type="dxa"/>
              <w:right w:w="0" w:type="dxa"/>
            </w:tcMar>
            <w:vAlign w:val="center"/>
          </w:tcPr>
          <w:p>
            <w:pPr>
              <w:pStyle w:val="702"/>
              <w:jc w:val="center"/>
              <w:textAlignment w:val="center"/>
              <w:rPr>
                <w:color w:val="auto"/>
                <w:sz w:val="21"/>
                <w:szCs w:val="21"/>
              </w:rPr>
            </w:pPr>
            <w:r>
              <w:rPr>
                <w:color w:val="auto"/>
                <w:sz w:val="21"/>
                <w:szCs w:val="21"/>
              </w:rPr>
              <w:t>《危险废物贮存污染控制标准》选址要求</w:t>
            </w:r>
          </w:p>
        </w:tc>
        <w:tc>
          <w:tcPr>
            <w:tcW w:w="3968" w:type="dxa"/>
            <w:noWrap w:val="0"/>
            <w:tcMar>
              <w:left w:w="0" w:type="dxa"/>
              <w:right w:w="0" w:type="dxa"/>
            </w:tcMar>
            <w:vAlign w:val="center"/>
          </w:tcPr>
          <w:p>
            <w:pPr>
              <w:pStyle w:val="702"/>
              <w:jc w:val="center"/>
              <w:textAlignment w:val="center"/>
              <w:rPr>
                <w:color w:val="auto"/>
                <w:sz w:val="21"/>
                <w:szCs w:val="21"/>
              </w:rPr>
            </w:pPr>
            <w:r>
              <w:rPr>
                <w:color w:val="auto"/>
                <w:sz w:val="21"/>
                <w:szCs w:val="21"/>
              </w:rPr>
              <w:t>本项目符合情况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42" w:hRule="atLeast"/>
          <w:jc w:val="center"/>
        </w:trPr>
        <w:tc>
          <w:tcPr>
            <w:tcW w:w="685" w:type="dxa"/>
            <w:noWrap w:val="0"/>
            <w:tcMar>
              <w:left w:w="0" w:type="dxa"/>
              <w:right w:w="0" w:type="dxa"/>
            </w:tcMar>
            <w:vAlign w:val="center"/>
          </w:tcPr>
          <w:p>
            <w:pPr>
              <w:pStyle w:val="702"/>
              <w:jc w:val="center"/>
              <w:textAlignment w:val="center"/>
              <w:rPr>
                <w:color w:val="auto"/>
                <w:sz w:val="21"/>
                <w:szCs w:val="21"/>
              </w:rPr>
            </w:pPr>
            <w:r>
              <w:rPr>
                <w:color w:val="auto"/>
                <w:sz w:val="21"/>
                <w:szCs w:val="21"/>
              </w:rPr>
              <w:t>1</w:t>
            </w:r>
          </w:p>
        </w:tc>
        <w:tc>
          <w:tcPr>
            <w:tcW w:w="4429" w:type="dxa"/>
            <w:noWrap w:val="0"/>
            <w:tcMar>
              <w:left w:w="0" w:type="dxa"/>
              <w:right w:w="0" w:type="dxa"/>
            </w:tcMar>
            <w:vAlign w:val="center"/>
          </w:tcPr>
          <w:p>
            <w:pPr>
              <w:pStyle w:val="702"/>
              <w:jc w:val="center"/>
              <w:textAlignment w:val="center"/>
              <w:rPr>
                <w:color w:val="auto"/>
                <w:sz w:val="21"/>
                <w:szCs w:val="21"/>
              </w:rPr>
            </w:pPr>
            <w:r>
              <w:rPr>
                <w:color w:val="auto"/>
                <w:sz w:val="21"/>
                <w:szCs w:val="21"/>
              </w:rPr>
              <w:t>地质结构稳定，地震烈度不超过7度的区域内。</w:t>
            </w:r>
          </w:p>
        </w:tc>
        <w:tc>
          <w:tcPr>
            <w:tcW w:w="3968" w:type="dxa"/>
            <w:noWrap w:val="0"/>
            <w:tcMar>
              <w:left w:w="0" w:type="dxa"/>
              <w:right w:w="0" w:type="dxa"/>
            </w:tcMar>
            <w:vAlign w:val="center"/>
          </w:tcPr>
          <w:p>
            <w:pPr>
              <w:pStyle w:val="702"/>
              <w:jc w:val="center"/>
              <w:textAlignment w:val="center"/>
              <w:rPr>
                <w:color w:val="auto"/>
                <w:sz w:val="21"/>
                <w:szCs w:val="21"/>
              </w:rPr>
            </w:pPr>
            <w:r>
              <w:rPr>
                <w:color w:val="auto"/>
                <w:sz w:val="21"/>
                <w:szCs w:val="21"/>
              </w:rPr>
              <w:t>危废暂存间选址区域无活动性断裂，历史上也未曾发生过强烈的破坏性地震，区域稳定性较好。根据《中国地震烈度区划图》（2001），本区地震烈度为7度，符合要求。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85" w:type="dxa"/>
            <w:noWrap w:val="0"/>
            <w:tcMar>
              <w:left w:w="0" w:type="dxa"/>
              <w:right w:w="0" w:type="dxa"/>
            </w:tcMar>
            <w:vAlign w:val="center"/>
          </w:tcPr>
          <w:p>
            <w:pPr>
              <w:pStyle w:val="702"/>
              <w:jc w:val="center"/>
              <w:textAlignment w:val="center"/>
              <w:rPr>
                <w:color w:val="auto"/>
                <w:sz w:val="21"/>
                <w:szCs w:val="21"/>
              </w:rPr>
            </w:pPr>
            <w:r>
              <w:rPr>
                <w:color w:val="auto"/>
                <w:sz w:val="21"/>
                <w:szCs w:val="21"/>
              </w:rPr>
              <w:t>2</w:t>
            </w:r>
          </w:p>
        </w:tc>
        <w:tc>
          <w:tcPr>
            <w:tcW w:w="4429" w:type="dxa"/>
            <w:noWrap w:val="0"/>
            <w:tcMar>
              <w:left w:w="0" w:type="dxa"/>
              <w:right w:w="0" w:type="dxa"/>
            </w:tcMar>
            <w:vAlign w:val="center"/>
          </w:tcPr>
          <w:p>
            <w:pPr>
              <w:pStyle w:val="702"/>
              <w:jc w:val="center"/>
              <w:textAlignment w:val="center"/>
              <w:rPr>
                <w:color w:val="auto"/>
                <w:sz w:val="21"/>
                <w:szCs w:val="21"/>
              </w:rPr>
            </w:pPr>
            <w:r>
              <w:rPr>
                <w:color w:val="auto"/>
                <w:sz w:val="21"/>
                <w:szCs w:val="21"/>
              </w:rPr>
              <w:t>设施底部必须高于地下水最高水位。</w:t>
            </w:r>
          </w:p>
        </w:tc>
        <w:tc>
          <w:tcPr>
            <w:tcW w:w="3968" w:type="dxa"/>
            <w:noWrap w:val="0"/>
            <w:tcMar>
              <w:left w:w="0" w:type="dxa"/>
              <w:right w:w="0" w:type="dxa"/>
            </w:tcMar>
            <w:vAlign w:val="center"/>
          </w:tcPr>
          <w:p>
            <w:pPr>
              <w:pStyle w:val="702"/>
              <w:jc w:val="center"/>
              <w:textAlignment w:val="center"/>
              <w:rPr>
                <w:color w:val="auto"/>
                <w:sz w:val="21"/>
                <w:szCs w:val="21"/>
              </w:rPr>
            </w:pPr>
            <w:r>
              <w:rPr>
                <w:color w:val="auto"/>
                <w:sz w:val="21"/>
                <w:szCs w:val="21"/>
              </w:rPr>
              <w:t>根据项目区域水文地质图，项目危废暂存间位于地下水最高水位线之上。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6" w:hRule="atLeast"/>
          <w:jc w:val="center"/>
        </w:trPr>
        <w:tc>
          <w:tcPr>
            <w:tcW w:w="685" w:type="dxa"/>
            <w:noWrap w:val="0"/>
            <w:tcMar>
              <w:left w:w="0" w:type="dxa"/>
              <w:right w:w="0" w:type="dxa"/>
            </w:tcMar>
            <w:vAlign w:val="center"/>
          </w:tcPr>
          <w:p>
            <w:pPr>
              <w:pStyle w:val="702"/>
              <w:jc w:val="center"/>
              <w:textAlignment w:val="center"/>
              <w:rPr>
                <w:color w:val="auto"/>
                <w:sz w:val="21"/>
                <w:szCs w:val="21"/>
              </w:rPr>
            </w:pPr>
            <w:r>
              <w:rPr>
                <w:color w:val="auto"/>
                <w:sz w:val="21"/>
                <w:szCs w:val="21"/>
              </w:rPr>
              <w:t>3</w:t>
            </w:r>
          </w:p>
        </w:tc>
        <w:tc>
          <w:tcPr>
            <w:tcW w:w="4429" w:type="dxa"/>
            <w:noWrap w:val="0"/>
            <w:tcMar>
              <w:left w:w="0" w:type="dxa"/>
              <w:right w:w="0" w:type="dxa"/>
            </w:tcMar>
            <w:vAlign w:val="center"/>
          </w:tcPr>
          <w:p>
            <w:pPr>
              <w:pStyle w:val="702"/>
              <w:jc w:val="center"/>
              <w:textAlignment w:val="center"/>
              <w:rPr>
                <w:color w:val="auto"/>
                <w:sz w:val="21"/>
                <w:szCs w:val="21"/>
              </w:rPr>
            </w:pPr>
            <w:r>
              <w:rPr>
                <w:color w:val="auto"/>
                <w:sz w:val="21"/>
                <w:szCs w:val="21"/>
              </w:rPr>
              <w:t>应避免建在溶洞区或易遭受严重自然灾害如洪水、滑坡，泥石流、潮汐等影响的地区。</w:t>
            </w:r>
          </w:p>
        </w:tc>
        <w:tc>
          <w:tcPr>
            <w:tcW w:w="3968" w:type="dxa"/>
            <w:noWrap w:val="0"/>
            <w:tcMar>
              <w:left w:w="0" w:type="dxa"/>
              <w:right w:w="0" w:type="dxa"/>
            </w:tcMar>
            <w:vAlign w:val="center"/>
          </w:tcPr>
          <w:p>
            <w:pPr>
              <w:pStyle w:val="702"/>
              <w:jc w:val="center"/>
              <w:textAlignment w:val="center"/>
              <w:rPr>
                <w:color w:val="auto"/>
                <w:sz w:val="21"/>
                <w:szCs w:val="21"/>
              </w:rPr>
            </w:pPr>
            <w:r>
              <w:rPr>
                <w:color w:val="auto"/>
                <w:sz w:val="21"/>
                <w:szCs w:val="21"/>
              </w:rPr>
              <w:t>危废暂存间区域不存在溶洞区或易遭受严重自然灾害的区域。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85" w:type="dxa"/>
            <w:noWrap w:val="0"/>
            <w:tcMar>
              <w:left w:w="0" w:type="dxa"/>
              <w:right w:w="0" w:type="dxa"/>
            </w:tcMar>
            <w:vAlign w:val="center"/>
          </w:tcPr>
          <w:p>
            <w:pPr>
              <w:pStyle w:val="702"/>
              <w:jc w:val="center"/>
              <w:textAlignment w:val="center"/>
              <w:rPr>
                <w:color w:val="auto"/>
                <w:sz w:val="21"/>
                <w:szCs w:val="21"/>
              </w:rPr>
            </w:pPr>
            <w:r>
              <w:rPr>
                <w:color w:val="auto"/>
                <w:sz w:val="21"/>
                <w:szCs w:val="21"/>
              </w:rPr>
              <w:t>4</w:t>
            </w:r>
          </w:p>
        </w:tc>
        <w:tc>
          <w:tcPr>
            <w:tcW w:w="4429" w:type="dxa"/>
            <w:noWrap w:val="0"/>
            <w:tcMar>
              <w:left w:w="0" w:type="dxa"/>
              <w:right w:w="0" w:type="dxa"/>
            </w:tcMar>
            <w:vAlign w:val="center"/>
          </w:tcPr>
          <w:p>
            <w:pPr>
              <w:pStyle w:val="702"/>
              <w:jc w:val="center"/>
              <w:textAlignment w:val="center"/>
              <w:rPr>
                <w:color w:val="auto"/>
                <w:sz w:val="21"/>
                <w:szCs w:val="21"/>
              </w:rPr>
            </w:pPr>
            <w:r>
              <w:rPr>
                <w:color w:val="auto"/>
                <w:sz w:val="21"/>
                <w:szCs w:val="21"/>
              </w:rPr>
              <w:t>应建在易燃、易爆等危险品仓库、高压输电线路防护区域以外</w:t>
            </w:r>
          </w:p>
        </w:tc>
        <w:tc>
          <w:tcPr>
            <w:tcW w:w="3968" w:type="dxa"/>
            <w:noWrap w:val="0"/>
            <w:tcMar>
              <w:left w:w="0" w:type="dxa"/>
              <w:right w:w="0" w:type="dxa"/>
            </w:tcMar>
            <w:vAlign w:val="center"/>
          </w:tcPr>
          <w:p>
            <w:pPr>
              <w:pStyle w:val="702"/>
              <w:jc w:val="center"/>
              <w:textAlignment w:val="center"/>
              <w:rPr>
                <w:color w:val="auto"/>
                <w:sz w:val="21"/>
                <w:szCs w:val="21"/>
              </w:rPr>
            </w:pPr>
            <w:r>
              <w:rPr>
                <w:color w:val="auto"/>
                <w:sz w:val="21"/>
                <w:szCs w:val="21"/>
              </w:rPr>
              <w:t>危废暂存间周边不存在易燃易爆危险品仓库。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85" w:type="dxa"/>
            <w:noWrap w:val="0"/>
            <w:tcMar>
              <w:left w:w="0" w:type="dxa"/>
              <w:right w:w="0" w:type="dxa"/>
            </w:tcMar>
            <w:vAlign w:val="center"/>
          </w:tcPr>
          <w:p>
            <w:pPr>
              <w:pStyle w:val="702"/>
              <w:jc w:val="center"/>
              <w:textAlignment w:val="center"/>
              <w:rPr>
                <w:color w:val="auto"/>
                <w:sz w:val="21"/>
                <w:szCs w:val="21"/>
              </w:rPr>
            </w:pPr>
            <w:r>
              <w:rPr>
                <w:color w:val="auto"/>
                <w:sz w:val="21"/>
                <w:szCs w:val="21"/>
              </w:rPr>
              <w:t>5</w:t>
            </w:r>
          </w:p>
        </w:tc>
        <w:tc>
          <w:tcPr>
            <w:tcW w:w="4429" w:type="dxa"/>
            <w:noWrap w:val="0"/>
            <w:tcMar>
              <w:left w:w="0" w:type="dxa"/>
              <w:right w:w="0" w:type="dxa"/>
            </w:tcMar>
            <w:vAlign w:val="center"/>
          </w:tcPr>
          <w:p>
            <w:pPr>
              <w:pStyle w:val="702"/>
              <w:jc w:val="center"/>
              <w:textAlignment w:val="center"/>
              <w:rPr>
                <w:color w:val="auto"/>
                <w:sz w:val="21"/>
                <w:szCs w:val="21"/>
              </w:rPr>
            </w:pPr>
            <w:r>
              <w:rPr>
                <w:color w:val="auto"/>
                <w:sz w:val="21"/>
                <w:szCs w:val="21"/>
              </w:rPr>
              <w:t>应位于居民中心区常年最大风频的下风向。</w:t>
            </w:r>
          </w:p>
        </w:tc>
        <w:tc>
          <w:tcPr>
            <w:tcW w:w="3968" w:type="dxa"/>
            <w:noWrap w:val="0"/>
            <w:tcMar>
              <w:left w:w="0" w:type="dxa"/>
              <w:right w:w="0" w:type="dxa"/>
            </w:tcMar>
            <w:vAlign w:val="center"/>
          </w:tcPr>
          <w:p>
            <w:pPr>
              <w:pStyle w:val="702"/>
              <w:jc w:val="center"/>
              <w:textAlignment w:val="center"/>
              <w:rPr>
                <w:color w:val="auto"/>
                <w:sz w:val="21"/>
                <w:szCs w:val="21"/>
              </w:rPr>
            </w:pPr>
            <w:r>
              <w:rPr>
                <w:color w:val="auto"/>
                <w:highlight w:val="none"/>
                <w:u w:val="none"/>
              </w:rPr>
              <w:t>常年主导风向为NNE和NE向</w:t>
            </w:r>
            <w:r>
              <w:rPr>
                <w:color w:val="auto"/>
                <w:sz w:val="21"/>
                <w:szCs w:val="21"/>
              </w:rPr>
              <w:t>，下风向不存在居民集中区。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85" w:type="dxa"/>
            <w:noWrap w:val="0"/>
            <w:tcMar>
              <w:left w:w="0" w:type="dxa"/>
              <w:right w:w="0" w:type="dxa"/>
            </w:tcMar>
            <w:vAlign w:val="center"/>
          </w:tcPr>
          <w:p>
            <w:pPr>
              <w:pStyle w:val="702"/>
              <w:jc w:val="center"/>
              <w:textAlignment w:val="center"/>
              <w:rPr>
                <w:color w:val="auto"/>
                <w:sz w:val="21"/>
                <w:szCs w:val="21"/>
              </w:rPr>
            </w:pPr>
            <w:r>
              <w:rPr>
                <w:color w:val="auto"/>
                <w:sz w:val="21"/>
                <w:szCs w:val="21"/>
              </w:rPr>
              <w:t>6</w:t>
            </w:r>
          </w:p>
        </w:tc>
        <w:tc>
          <w:tcPr>
            <w:tcW w:w="4429" w:type="dxa"/>
            <w:noWrap w:val="0"/>
            <w:tcMar>
              <w:left w:w="0" w:type="dxa"/>
              <w:right w:w="0" w:type="dxa"/>
            </w:tcMar>
            <w:vAlign w:val="center"/>
          </w:tcPr>
          <w:p>
            <w:pPr>
              <w:pStyle w:val="702"/>
              <w:jc w:val="center"/>
              <w:textAlignment w:val="center"/>
              <w:rPr>
                <w:color w:val="auto"/>
                <w:sz w:val="21"/>
                <w:szCs w:val="21"/>
              </w:rPr>
            </w:pPr>
            <w:r>
              <w:rPr>
                <w:color w:val="auto"/>
                <w:sz w:val="21"/>
                <w:szCs w:val="21"/>
              </w:rPr>
              <w:t>集中贮存的废物堆，基础必须防渗，防渗层为至少1m 厚粘土层（渗透系数≤10</w:t>
            </w:r>
            <w:r>
              <w:rPr>
                <w:color w:val="auto"/>
                <w:sz w:val="21"/>
                <w:szCs w:val="21"/>
                <w:vertAlign w:val="superscript"/>
              </w:rPr>
              <w:t>-7</w:t>
            </w:r>
            <w:r>
              <w:rPr>
                <w:color w:val="auto"/>
                <w:sz w:val="21"/>
                <w:szCs w:val="21"/>
              </w:rPr>
              <w:t>cm/s），或2mm 厚高密度聚乙烯，或至少2mm 厚的其它人工材料，渗透系数≤10</w:t>
            </w:r>
            <w:r>
              <w:rPr>
                <w:color w:val="auto"/>
                <w:sz w:val="21"/>
                <w:szCs w:val="21"/>
                <w:vertAlign w:val="superscript"/>
              </w:rPr>
              <w:t>-10</w:t>
            </w:r>
            <w:r>
              <w:rPr>
                <w:color w:val="auto"/>
                <w:sz w:val="21"/>
                <w:szCs w:val="21"/>
              </w:rPr>
              <w:t>cm/s。</w:t>
            </w:r>
          </w:p>
        </w:tc>
        <w:tc>
          <w:tcPr>
            <w:tcW w:w="3968" w:type="dxa"/>
            <w:noWrap w:val="0"/>
            <w:tcMar>
              <w:left w:w="0" w:type="dxa"/>
              <w:right w:w="0" w:type="dxa"/>
            </w:tcMar>
            <w:vAlign w:val="center"/>
          </w:tcPr>
          <w:p>
            <w:pPr>
              <w:pStyle w:val="702"/>
              <w:jc w:val="center"/>
              <w:textAlignment w:val="center"/>
              <w:rPr>
                <w:color w:val="auto"/>
                <w:sz w:val="21"/>
                <w:szCs w:val="21"/>
              </w:rPr>
            </w:pPr>
            <w:r>
              <w:rPr>
                <w:color w:val="auto"/>
                <w:sz w:val="21"/>
                <w:szCs w:val="21"/>
              </w:rPr>
              <w:t>采用防渗措施控制渗透系数≤10</w:t>
            </w:r>
            <w:r>
              <w:rPr>
                <w:color w:val="auto"/>
                <w:sz w:val="21"/>
                <w:szCs w:val="21"/>
                <w:vertAlign w:val="superscript"/>
              </w:rPr>
              <w:t>-10</w:t>
            </w:r>
            <w:r>
              <w:rPr>
                <w:color w:val="auto"/>
                <w:sz w:val="21"/>
                <w:szCs w:val="21"/>
              </w:rPr>
              <w:t>cm/s。</w:t>
            </w:r>
          </w:p>
        </w:tc>
      </w:tr>
    </w:tbl>
    <w:p>
      <w:pPr>
        <w:jc w:val="left"/>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rPr>
        <w:t>危险废物贮存场所建设情况</w:t>
      </w:r>
    </w:p>
    <w:p>
      <w:pPr>
        <w:keepNext w:val="0"/>
        <w:keepLines w:val="0"/>
        <w:pageBreakBefore w:val="0"/>
        <w:widowControl w:val="0"/>
        <w:kinsoku/>
        <w:wordWrap/>
        <w:overflowPunct w:val="0"/>
        <w:topLinePunct w:val="0"/>
        <w:autoSpaceDE/>
        <w:autoSpaceDN/>
        <w:bidi w:val="0"/>
        <w:adjustRightInd/>
        <w:snapToGrid/>
        <w:spacing w:beforeLines="0" w:afterLines="0" w:line="360" w:lineRule="auto"/>
        <w:ind w:firstLine="480"/>
        <w:jc w:val="both"/>
        <w:textAlignment w:val="auto"/>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 xml:space="preserve">①按 </w:t>
      </w:r>
      <w:r>
        <w:rPr>
          <w:rFonts w:hint="default" w:ascii="Times New Roman" w:hAnsi="Times New Roman" w:eastAsia="TimesNewRoman" w:cs="Times New Roman"/>
          <w:color w:val="auto"/>
          <w:sz w:val="24"/>
        </w:rPr>
        <w:t>GB15562.2</w:t>
      </w:r>
      <w:r>
        <w:rPr>
          <w:rFonts w:hint="default" w:ascii="Times New Roman" w:hAnsi="Times New Roman" w:eastAsia="宋体" w:cs="Times New Roman"/>
          <w:color w:val="auto"/>
          <w:sz w:val="24"/>
        </w:rPr>
        <w:t>《环境保护图形标识</w:t>
      </w:r>
      <w:r>
        <w:rPr>
          <w:rFonts w:hint="default" w:ascii="Times New Roman" w:hAnsi="Times New Roman" w:eastAsia="TimesNewRoman" w:cs="Times New Roman"/>
          <w:color w:val="auto"/>
          <w:sz w:val="24"/>
        </w:rPr>
        <w:t>-</w:t>
      </w:r>
      <w:r>
        <w:rPr>
          <w:rFonts w:hint="default" w:ascii="Times New Roman" w:hAnsi="Times New Roman" w:eastAsia="宋体" w:cs="Times New Roman"/>
          <w:color w:val="auto"/>
          <w:sz w:val="24"/>
        </w:rPr>
        <w:t>固体废物贮存（处置）场》在收集场所醒目的地方设置危险废物警告标识。</w:t>
      </w:r>
    </w:p>
    <w:p>
      <w:pPr>
        <w:keepNext w:val="0"/>
        <w:keepLines w:val="0"/>
        <w:pageBreakBefore w:val="0"/>
        <w:widowControl w:val="0"/>
        <w:kinsoku/>
        <w:wordWrap/>
        <w:overflowPunct w:val="0"/>
        <w:topLinePunct w:val="0"/>
        <w:autoSpaceDE/>
        <w:autoSpaceDN/>
        <w:bidi w:val="0"/>
        <w:adjustRightInd/>
        <w:snapToGrid/>
        <w:spacing w:beforeLines="0" w:afterLines="0" w:line="360" w:lineRule="auto"/>
        <w:ind w:firstLine="480"/>
        <w:jc w:val="both"/>
        <w:textAlignment w:val="auto"/>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②危废暂存间防风防雨防晒，地面按《危险废物贮存污染控制标准》（</w:t>
      </w:r>
      <w:r>
        <w:rPr>
          <w:rFonts w:hint="default" w:ascii="Times New Roman" w:hAnsi="Times New Roman" w:eastAsia="TimesNewRoman" w:cs="Times New Roman"/>
          <w:color w:val="auto"/>
          <w:sz w:val="24"/>
        </w:rPr>
        <w:t>GB18597-2001</w:t>
      </w:r>
      <w:r>
        <w:rPr>
          <w:rFonts w:hint="default" w:ascii="Times New Roman" w:hAnsi="Times New Roman" w:eastAsia="宋体" w:cs="Times New Roman"/>
          <w:color w:val="auto"/>
          <w:sz w:val="24"/>
        </w:rPr>
        <w:t>）中的要求进行防腐防渗，并设置堵截渗漏的裙脚，渗透系数低于</w:t>
      </w:r>
      <w:r>
        <w:rPr>
          <w:rFonts w:hint="default" w:ascii="Times New Roman" w:hAnsi="Times New Roman" w:eastAsia="TimesNewRoman" w:cs="Times New Roman"/>
          <w:color w:val="auto"/>
          <w:sz w:val="24"/>
          <w:szCs w:val="24"/>
        </w:rPr>
        <w:t>≤</w:t>
      </w:r>
      <w:r>
        <w:rPr>
          <w:color w:val="auto"/>
          <w:sz w:val="24"/>
          <w:szCs w:val="24"/>
        </w:rPr>
        <w:t>10</w:t>
      </w:r>
      <w:r>
        <w:rPr>
          <w:color w:val="auto"/>
          <w:sz w:val="24"/>
          <w:szCs w:val="24"/>
          <w:vertAlign w:val="superscript"/>
        </w:rPr>
        <w:t>-10</w:t>
      </w:r>
      <w:r>
        <w:rPr>
          <w:rFonts w:hint="default" w:ascii="Times New Roman" w:hAnsi="Times New Roman" w:eastAsia="TimesNewRoman" w:cs="Times New Roman"/>
          <w:color w:val="auto"/>
          <w:sz w:val="24"/>
          <w:szCs w:val="24"/>
        </w:rPr>
        <w:t>cm/s</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val="0"/>
        <w:topLinePunct w:val="0"/>
        <w:autoSpaceDE/>
        <w:autoSpaceDN/>
        <w:bidi w:val="0"/>
        <w:adjustRightInd/>
        <w:snapToGrid/>
        <w:spacing w:beforeLines="0" w:afterLines="0" w:line="360" w:lineRule="auto"/>
        <w:ind w:firstLine="480"/>
        <w:jc w:val="both"/>
        <w:textAlignment w:val="auto"/>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③危险废物分别装入密闭容器后，按危废种类分区进行贮存，密闭容器不叠加堆放。</w:t>
      </w:r>
    </w:p>
    <w:p>
      <w:pPr>
        <w:keepNext w:val="0"/>
        <w:keepLines w:val="0"/>
        <w:pageBreakBefore w:val="0"/>
        <w:widowControl w:val="0"/>
        <w:kinsoku/>
        <w:wordWrap/>
        <w:overflowPunct w:val="0"/>
        <w:topLinePunct w:val="0"/>
        <w:autoSpaceDE/>
        <w:autoSpaceDN/>
        <w:bidi w:val="0"/>
        <w:adjustRightInd/>
        <w:snapToGrid/>
        <w:spacing w:beforeLines="0" w:afterLines="0" w:line="360" w:lineRule="auto"/>
        <w:ind w:firstLine="480"/>
        <w:jc w:val="both"/>
        <w:textAlignment w:val="auto"/>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④配备通讯设备、照明设施、安全防护工具。</w:t>
      </w:r>
    </w:p>
    <w:p>
      <w:pPr>
        <w:keepNext w:val="0"/>
        <w:keepLines w:val="0"/>
        <w:pageBreakBefore w:val="0"/>
        <w:widowControl w:val="0"/>
        <w:kinsoku/>
        <w:wordWrap/>
        <w:overflowPunct w:val="0"/>
        <w:topLinePunct w:val="0"/>
        <w:autoSpaceDE/>
        <w:autoSpaceDN/>
        <w:bidi w:val="0"/>
        <w:adjustRightInd/>
        <w:snapToGrid/>
        <w:spacing w:beforeLines="0" w:afterLines="0" w:line="360" w:lineRule="auto"/>
        <w:ind w:firstLine="480"/>
        <w:jc w:val="both"/>
        <w:textAlignment w:val="auto"/>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⑤库房设兼职人员管理，防止非工作人员接触危险废物，暂存库管理人员对入库和出库的危险废物种类、数量等进行登记，并填写交接记录，防止危险废物流失。</w:t>
      </w:r>
    </w:p>
    <w:p>
      <w:pPr>
        <w:pStyle w:val="630"/>
        <w:keepNext w:val="0"/>
        <w:keepLines w:val="0"/>
        <w:pageBreakBefore w:val="0"/>
        <w:kinsoku/>
        <w:wordWrap/>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hd w:val="clear" w:color="auto" w:fill="auto"/>
        </w:rPr>
      </w:pPr>
      <w:r>
        <w:rPr>
          <w:rFonts w:hint="default" w:ascii="Times New Roman" w:hAnsi="Times New Roman" w:eastAsia="宋体" w:cs="Times New Roman"/>
          <w:color w:val="auto"/>
          <w:sz w:val="24"/>
        </w:rPr>
        <w:t>⑥</w:t>
      </w:r>
      <w:r>
        <w:rPr>
          <w:rFonts w:hint="default" w:ascii="Times New Roman" w:hAnsi="Times New Roman" w:eastAsia="宋体" w:cs="Times New Roman"/>
          <w:color w:val="auto"/>
          <w:sz w:val="24"/>
          <w:szCs w:val="24"/>
        </w:rPr>
        <w:t>危险废物暂存库位于东南角，占地面积300m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hd w:val="clear" w:color="auto" w:fill="auto"/>
          <w:lang w:eastAsia="zh-CN"/>
        </w:rPr>
        <w:t>，</w:t>
      </w:r>
      <w:r>
        <w:rPr>
          <w:rFonts w:hint="default" w:ascii="Times New Roman" w:hAnsi="Times New Roman" w:eastAsia="宋体" w:cs="Times New Roman"/>
          <w:color w:val="auto"/>
          <w:shd w:val="clear" w:color="auto" w:fill="auto"/>
        </w:rPr>
        <w:t>可满足本项目危废临时贮存要求。</w:t>
      </w:r>
    </w:p>
    <w:p>
      <w:pPr>
        <w:pStyle w:val="852"/>
        <w:keepNext w:val="0"/>
        <w:keepLines w:val="0"/>
        <w:pageBreakBefore w:val="0"/>
        <w:kinsoku/>
        <w:wordWrap/>
        <w:topLinePunct w:val="0"/>
        <w:autoSpaceDE/>
        <w:autoSpaceDN/>
        <w:bidi w:val="0"/>
        <w:adjustRightInd/>
        <w:snapToGrid/>
        <w:spacing w:before="0" w:beforeLines="0" w:line="360" w:lineRule="auto"/>
        <w:ind w:firstLine="480"/>
        <w:textAlignment w:val="auto"/>
        <w:rPr>
          <w:rFonts w:hint="default" w:ascii="Times New Roman" w:hAnsi="Times New Roman" w:eastAsia="宋体" w:cs="Times New Roman"/>
          <w:color w:val="auto"/>
          <w:sz w:val="24"/>
        </w:rPr>
      </w:pPr>
      <w:r>
        <w:rPr>
          <w:rFonts w:hint="eastAsia" w:ascii="宋体" w:hAnsi="宋体" w:eastAsia="宋体" w:cs="宋体"/>
          <w:color w:val="auto"/>
          <w:shd w:val="clear" w:color="auto" w:fill="auto"/>
        </w:rPr>
        <w:t>⑦</w:t>
      </w:r>
      <w:r>
        <w:rPr>
          <w:rFonts w:ascii="Times New Roman" w:hAnsi="Times New Roman" w:eastAsia="宋体" w:cs="Times New Roman"/>
          <w:color w:val="auto"/>
          <w:sz w:val="24"/>
          <w:szCs w:val="24"/>
          <w:highlight w:val="none"/>
          <w:u w:val="none"/>
        </w:rPr>
        <w:t>必须</w:t>
      </w:r>
      <w:r>
        <w:rPr>
          <w:rFonts w:hint="eastAsia" w:ascii="Times New Roman" w:hAnsi="Times New Roman" w:eastAsia="宋体" w:cs="Times New Roman"/>
          <w:color w:val="auto"/>
          <w:sz w:val="24"/>
          <w:szCs w:val="24"/>
          <w:highlight w:val="none"/>
          <w:u w:val="none"/>
        </w:rPr>
        <w:t>设有</w:t>
      </w:r>
      <w:r>
        <w:rPr>
          <w:rFonts w:ascii="Times New Roman" w:hAnsi="Times New Roman" w:eastAsia="宋体" w:cs="Times New Roman"/>
          <w:color w:val="auto"/>
          <w:sz w:val="24"/>
          <w:szCs w:val="24"/>
          <w:highlight w:val="none"/>
          <w:u w:val="none"/>
        </w:rPr>
        <w:t>有泄漏液体收集装置</w:t>
      </w:r>
      <w:r>
        <w:rPr>
          <w:rFonts w:hint="eastAsia" w:ascii="Times New Roman" w:hAnsi="Times New Roman" w:eastAsia="宋体" w:cs="Times New Roman"/>
          <w:color w:val="auto"/>
          <w:sz w:val="24"/>
          <w:szCs w:val="24"/>
          <w:highlight w:val="none"/>
          <w:u w:val="none"/>
        </w:rPr>
        <w:t>（导流沟）</w:t>
      </w:r>
      <w:r>
        <w:rPr>
          <w:rFonts w:ascii="Times New Roman" w:hAnsi="Times New Roman" w:eastAsia="宋体" w:cs="Times New Roman"/>
          <w:color w:val="auto"/>
          <w:sz w:val="24"/>
          <w:szCs w:val="24"/>
          <w:highlight w:val="none"/>
          <w:u w:val="none"/>
        </w:rPr>
        <w:t>及气体导出口或净化装置</w:t>
      </w:r>
      <w:r>
        <w:rPr>
          <w:rFonts w:hint="default" w:ascii="Times New Roman" w:hAnsi="Times New Roman" w:cs="Times New Roman"/>
          <w:color w:val="auto"/>
          <w:highlight w:val="none"/>
          <w:u w:val="none" w:color="auto"/>
          <w:lang w:val="en-US" w:eastAsia="zh-CN"/>
        </w:rPr>
        <w:t>。</w:t>
      </w:r>
    </w:p>
    <w:p>
      <w:pPr>
        <w:spacing w:line="360" w:lineRule="auto"/>
        <w:ind w:firstLine="0"/>
        <w:outlineLvl w:val="3"/>
        <w:rPr>
          <w:rFonts w:hint="default" w:ascii="Times New Roman" w:hAnsi="Times New Roman" w:eastAsia="黑体" w:cs="Times New Roman"/>
          <w:bCs/>
          <w:color w:val="auto"/>
          <w:szCs w:val="24"/>
          <w:lang w:val="en-US" w:eastAsia="zh-CN"/>
        </w:rPr>
      </w:pPr>
      <w:r>
        <w:rPr>
          <w:rFonts w:hint="eastAsia" w:ascii="Times New Roman" w:hAnsi="Times New Roman" w:eastAsia="黑体" w:cs="Times New Roman"/>
          <w:bCs/>
          <w:color w:val="auto"/>
          <w:szCs w:val="24"/>
          <w:lang w:val="en-US" w:eastAsia="zh-CN"/>
        </w:rPr>
        <w:t>7.5.4.2</w:t>
      </w:r>
      <w:r>
        <w:rPr>
          <w:rFonts w:hint="default" w:ascii="Times New Roman" w:hAnsi="Times New Roman" w:eastAsia="黑体" w:cs="Times New Roman"/>
          <w:bCs/>
          <w:color w:val="auto"/>
          <w:szCs w:val="24"/>
          <w:lang w:val="en-US" w:eastAsia="zh-CN"/>
        </w:rPr>
        <w:t>危险废物贮存场所基本情况</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危险废物暂存库位于东南角，占地面积300m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w:t>
      </w:r>
      <w:r>
        <w:rPr>
          <w:rFonts w:ascii="Times New Roman" w:hAnsi="Times New Roman" w:eastAsia="宋体" w:cs="Times New Roman"/>
          <w:color w:val="auto"/>
          <w:sz w:val="24"/>
          <w:szCs w:val="24"/>
          <w:highlight w:val="none"/>
          <w:u w:val="none"/>
        </w:rPr>
        <w:t>本评价要求建设单位应在厂区内分类设置固体废物暂存库</w:t>
      </w:r>
      <w:r>
        <w:rPr>
          <w:rFonts w:hint="eastAsia" w:eastAsia="宋体"/>
          <w:color w:val="auto"/>
          <w:sz w:val="24"/>
          <w:szCs w:val="22"/>
          <w:lang w:val="en-GB" w:eastAsia="zh-CN"/>
        </w:rPr>
        <w:t>。</w:t>
      </w:r>
      <w:r>
        <w:rPr>
          <w:rFonts w:hint="default" w:ascii="Times New Roman" w:hAnsi="Times New Roman" w:eastAsia="宋体" w:cs="Times New Roman"/>
          <w:color w:val="auto"/>
          <w:sz w:val="24"/>
          <w:szCs w:val="24"/>
        </w:rPr>
        <w:t>危险废物定期运往有资质的单位进行处理，拟建项目危险废物贮存场所基本情况见表7.5-1。</w:t>
      </w:r>
    </w:p>
    <w:p>
      <w:pPr>
        <w:snapToGrid w:val="0"/>
        <w:spacing w:line="360" w:lineRule="auto"/>
        <w:ind w:firstLine="482"/>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p>
      <w:pPr>
        <w:spacing w:line="360" w:lineRule="auto"/>
        <w:ind w:firstLine="0"/>
        <w:outlineLvl w:val="3"/>
        <w:rPr>
          <w:rFonts w:hint="eastAsia" w:ascii="Times New Roman" w:hAnsi="Times New Roman" w:eastAsia="黑体" w:cs="Times New Roman"/>
          <w:bCs/>
          <w:color w:val="auto"/>
          <w:szCs w:val="24"/>
          <w:lang w:val="en-US" w:eastAsia="zh-CN"/>
        </w:rPr>
      </w:pPr>
      <w:r>
        <w:rPr>
          <w:rFonts w:hint="eastAsia" w:ascii="Times New Roman" w:hAnsi="Times New Roman" w:eastAsia="黑体" w:cs="Times New Roman"/>
          <w:bCs/>
          <w:color w:val="auto"/>
          <w:szCs w:val="24"/>
          <w:lang w:val="en-US" w:eastAsia="zh-CN"/>
        </w:rPr>
        <w:t>7.5.4.3危险废物暂存和转移要求</w:t>
      </w:r>
    </w:p>
    <w:p>
      <w:pPr>
        <w:spacing w:line="360" w:lineRule="auto"/>
        <w:ind w:firstLine="480"/>
        <w:rPr>
          <w:rFonts w:ascii="Times New Roman" w:hAnsi="Times New Roman" w:eastAsia="宋体" w:cs="Times New Roman"/>
          <w:color w:val="auto"/>
          <w:sz w:val="24"/>
          <w:szCs w:val="24"/>
          <w:highlight w:val="none"/>
          <w:u w:val="none"/>
        </w:rPr>
      </w:pPr>
      <w:r>
        <w:rPr>
          <w:rFonts w:ascii="Times New Roman" w:hAnsi="Times New Roman" w:eastAsia="宋体" w:cs="Times New Roman"/>
          <w:color w:val="auto"/>
          <w:sz w:val="24"/>
          <w:szCs w:val="24"/>
          <w:highlight w:val="none"/>
          <w:u w:val="none"/>
        </w:rPr>
        <w:t>为防止储存过程的二次污染，其贮存和转运过程，应严格按《危险废物贮存污染控制标准》(18597-2001)和《危险废物转移联单管理办法》要求执行，厂区内设置危险废物暂存设施，并且在明显位置悬挂危险废物标识。</w:t>
      </w:r>
    </w:p>
    <w:p>
      <w:pPr>
        <w:spacing w:line="360" w:lineRule="auto"/>
        <w:ind w:firstLine="480"/>
        <w:rPr>
          <w:rFonts w:ascii="Times New Roman" w:hAnsi="Times New Roman" w:eastAsia="宋体" w:cs="Times New Roman"/>
          <w:color w:val="auto"/>
          <w:sz w:val="24"/>
          <w:szCs w:val="24"/>
          <w:highlight w:val="none"/>
          <w:u w:val="none"/>
        </w:rPr>
      </w:pPr>
      <w:r>
        <w:rPr>
          <w:rFonts w:ascii="Times New Roman" w:hAnsi="Times New Roman" w:eastAsia="宋体" w:cs="Times New Roman"/>
          <w:color w:val="auto"/>
          <w:sz w:val="24"/>
          <w:szCs w:val="24"/>
          <w:highlight w:val="none"/>
          <w:u w:val="none"/>
        </w:rPr>
        <w:t>危险废物鉴别、暂存、转移应注意事项：</w:t>
      </w:r>
    </w:p>
    <w:p>
      <w:pPr>
        <w:spacing w:line="360" w:lineRule="auto"/>
        <w:ind w:firstLine="480"/>
        <w:rPr>
          <w:rFonts w:ascii="Times New Roman" w:hAnsi="Times New Roman" w:eastAsia="宋体" w:cs="Times New Roman"/>
          <w:color w:val="auto"/>
          <w:sz w:val="24"/>
          <w:szCs w:val="24"/>
          <w:highlight w:val="none"/>
          <w:u w:val="none"/>
        </w:rPr>
      </w:pPr>
      <w:r>
        <w:rPr>
          <w:rFonts w:ascii="Times New Roman" w:hAnsi="Times New Roman" w:eastAsia="宋体" w:cs="Times New Roman"/>
          <w:color w:val="auto"/>
          <w:sz w:val="24"/>
          <w:szCs w:val="24"/>
          <w:highlight w:val="none"/>
          <w:u w:val="none"/>
        </w:rPr>
        <w:t>（1）危险废物收集、暂存时应按腐蚀性、毒性、易燃性、反应性等危险特性对危险废物进行分类包装并设置相应的标志及标签。危险废物特性应根据其产生源特性及GB5085.1-7、HI/T298进行鉴别。</w:t>
      </w:r>
    </w:p>
    <w:p>
      <w:pPr>
        <w:spacing w:line="360" w:lineRule="auto"/>
        <w:ind w:firstLine="480"/>
        <w:rPr>
          <w:rFonts w:ascii="Times New Roman" w:hAnsi="Times New Roman" w:eastAsia="宋体" w:cs="Times New Roman"/>
          <w:color w:val="auto"/>
          <w:sz w:val="24"/>
          <w:szCs w:val="24"/>
          <w:highlight w:val="none"/>
          <w:u w:val="none"/>
        </w:rPr>
      </w:pPr>
      <w:r>
        <w:rPr>
          <w:rFonts w:ascii="Times New Roman" w:hAnsi="Times New Roman" w:eastAsia="宋体" w:cs="Times New Roman"/>
          <w:color w:val="auto"/>
          <w:sz w:val="24"/>
          <w:szCs w:val="24"/>
          <w:highlight w:val="none"/>
          <w:u w:val="none"/>
        </w:rPr>
        <w:t>（2）危险废物应使用符合国家标准的容器盛装危险废物。贮存容器必须具有耐腐蚀、耐压、密封和不与所贮存的废物发生反应等特性。贮存容器应保证完好无损并县有明显标志。</w:t>
      </w:r>
    </w:p>
    <w:p>
      <w:pPr>
        <w:spacing w:line="360" w:lineRule="auto"/>
        <w:ind w:firstLine="480"/>
        <w:rPr>
          <w:rFonts w:ascii="Times New Roman" w:hAnsi="Times New Roman" w:eastAsia="宋体" w:cs="Times New Roman"/>
          <w:color w:val="auto"/>
          <w:sz w:val="24"/>
          <w:szCs w:val="24"/>
          <w:highlight w:val="none"/>
          <w:u w:val="none"/>
        </w:rPr>
      </w:pPr>
      <w:r>
        <w:rPr>
          <w:rFonts w:ascii="Times New Roman" w:hAnsi="Times New Roman" w:eastAsia="宋体" w:cs="Times New Roman"/>
          <w:color w:val="auto"/>
          <w:sz w:val="24"/>
          <w:szCs w:val="24"/>
          <w:highlight w:val="none"/>
          <w:u w:val="none"/>
        </w:rPr>
        <w:t>（</w:t>
      </w:r>
      <w:r>
        <w:rPr>
          <w:rFonts w:hint="eastAsia" w:ascii="Times New Roman" w:hAnsi="Times New Roman" w:eastAsia="宋体" w:cs="Times New Roman"/>
          <w:color w:val="auto"/>
          <w:sz w:val="24"/>
          <w:szCs w:val="24"/>
          <w:highlight w:val="none"/>
          <w:u w:val="none"/>
          <w:lang w:val="en-US" w:eastAsia="zh-CN"/>
        </w:rPr>
        <w:t>3</w:t>
      </w:r>
      <w:r>
        <w:rPr>
          <w:rFonts w:ascii="Times New Roman" w:hAnsi="Times New Roman" w:eastAsia="宋体" w:cs="Times New Roman"/>
          <w:color w:val="auto"/>
          <w:sz w:val="24"/>
          <w:szCs w:val="24"/>
          <w:highlight w:val="none"/>
          <w:u w:val="none"/>
        </w:rPr>
        <w:t>）危险废物应分类贮存于专用贮存设施内，危险废物贮存设施应满足以下要求：</w:t>
      </w:r>
    </w:p>
    <w:p>
      <w:pPr>
        <w:spacing w:line="360" w:lineRule="auto"/>
        <w:ind w:firstLine="480"/>
        <w:rPr>
          <w:rFonts w:ascii="Times New Roman" w:hAnsi="Times New Roman" w:eastAsia="宋体" w:cs="Times New Roman"/>
          <w:color w:val="auto"/>
          <w:sz w:val="24"/>
          <w:szCs w:val="24"/>
          <w:highlight w:val="none"/>
          <w:u w:val="none"/>
        </w:rPr>
      </w:pPr>
      <w:r>
        <w:rPr>
          <w:rFonts w:ascii="Times New Roman" w:hAnsi="Times New Roman" w:eastAsia="宋体" w:cs="Times New Roman"/>
          <w:color w:val="auto"/>
          <w:sz w:val="24"/>
          <w:szCs w:val="24"/>
          <w:highlight w:val="none"/>
          <w:u w:val="none"/>
        </w:rPr>
        <w:t>a.危险废物存储场所应按照《危险废物贮存污染控制标准》(18597-2001)的规定进行设置，规模应满足转运周期的需要。必须有符合《环境保护图形标志一固体废物贮存(处置)场》(GB1562.2-1995)的专用标志；</w:t>
      </w:r>
    </w:p>
    <w:p>
      <w:pPr>
        <w:spacing w:line="360" w:lineRule="auto"/>
        <w:ind w:firstLine="480"/>
        <w:rPr>
          <w:rFonts w:ascii="Times New Roman" w:hAnsi="Times New Roman" w:eastAsia="宋体" w:cs="Times New Roman"/>
          <w:color w:val="auto"/>
          <w:sz w:val="24"/>
          <w:szCs w:val="24"/>
          <w:highlight w:val="none"/>
          <w:u w:val="none"/>
        </w:rPr>
      </w:pPr>
      <w:r>
        <w:rPr>
          <w:rFonts w:ascii="Times New Roman" w:hAnsi="Times New Roman" w:eastAsia="宋体" w:cs="Times New Roman"/>
          <w:color w:val="auto"/>
          <w:sz w:val="24"/>
          <w:szCs w:val="24"/>
          <w:highlight w:val="none"/>
          <w:u w:val="none"/>
        </w:rPr>
        <w:t>b.不相容的危险废物必须分开存放，并设有隔离间隔断；</w:t>
      </w:r>
    </w:p>
    <w:p>
      <w:pPr>
        <w:spacing w:line="360" w:lineRule="auto"/>
        <w:ind w:firstLine="480"/>
        <w:rPr>
          <w:rFonts w:ascii="Times New Roman" w:hAnsi="Times New Roman" w:eastAsia="宋体" w:cs="Times New Roman"/>
          <w:color w:val="auto"/>
          <w:sz w:val="24"/>
          <w:szCs w:val="24"/>
          <w:highlight w:val="none"/>
          <w:u w:val="none"/>
        </w:rPr>
      </w:pPr>
      <w:r>
        <w:rPr>
          <w:rFonts w:ascii="Times New Roman" w:hAnsi="Times New Roman" w:eastAsia="宋体" w:cs="Times New Roman"/>
          <w:color w:val="auto"/>
          <w:sz w:val="24"/>
          <w:szCs w:val="24"/>
          <w:highlight w:val="none"/>
          <w:u w:val="none"/>
        </w:rPr>
        <w:t>c.应建有堵截泄漏的裙角，地面与裙角要用兼顾防渗的材料建造，建筑材料必须与危险废物相容；</w:t>
      </w:r>
    </w:p>
    <w:p>
      <w:pPr>
        <w:spacing w:line="360" w:lineRule="auto"/>
        <w:ind w:firstLine="480"/>
        <w:rPr>
          <w:rFonts w:ascii="Times New Roman" w:hAnsi="Times New Roman" w:eastAsia="宋体" w:cs="Times New Roman"/>
          <w:color w:val="auto"/>
          <w:sz w:val="24"/>
          <w:szCs w:val="24"/>
          <w:highlight w:val="none"/>
          <w:u w:val="none"/>
        </w:rPr>
      </w:pPr>
      <w:r>
        <w:rPr>
          <w:rFonts w:ascii="Times New Roman" w:hAnsi="Times New Roman" w:eastAsia="宋体" w:cs="Times New Roman"/>
          <w:color w:val="auto"/>
          <w:sz w:val="24"/>
          <w:szCs w:val="24"/>
          <w:highlight w:val="none"/>
          <w:u w:val="none"/>
        </w:rPr>
        <w:t>d.必须</w:t>
      </w:r>
      <w:r>
        <w:rPr>
          <w:rFonts w:hint="eastAsia" w:ascii="Times New Roman" w:hAnsi="Times New Roman" w:eastAsia="宋体" w:cs="Times New Roman"/>
          <w:color w:val="auto"/>
          <w:sz w:val="24"/>
          <w:szCs w:val="24"/>
          <w:highlight w:val="none"/>
          <w:u w:val="none"/>
        </w:rPr>
        <w:t>设有</w:t>
      </w:r>
      <w:r>
        <w:rPr>
          <w:rFonts w:ascii="Times New Roman" w:hAnsi="Times New Roman" w:eastAsia="宋体" w:cs="Times New Roman"/>
          <w:color w:val="auto"/>
          <w:sz w:val="24"/>
          <w:szCs w:val="24"/>
          <w:highlight w:val="none"/>
          <w:u w:val="none"/>
        </w:rPr>
        <w:t>有泄漏液体收集装置</w:t>
      </w:r>
      <w:r>
        <w:rPr>
          <w:rFonts w:hint="eastAsia" w:ascii="Times New Roman" w:hAnsi="Times New Roman" w:eastAsia="宋体" w:cs="Times New Roman"/>
          <w:color w:val="auto"/>
          <w:sz w:val="24"/>
          <w:szCs w:val="24"/>
          <w:highlight w:val="none"/>
          <w:u w:val="none"/>
        </w:rPr>
        <w:t>（导流沟）</w:t>
      </w:r>
      <w:r>
        <w:rPr>
          <w:rFonts w:ascii="Times New Roman" w:hAnsi="Times New Roman" w:eastAsia="宋体" w:cs="Times New Roman"/>
          <w:color w:val="auto"/>
          <w:sz w:val="24"/>
          <w:szCs w:val="24"/>
          <w:highlight w:val="none"/>
          <w:u w:val="none"/>
        </w:rPr>
        <w:t>及气体导出口或净化装置；</w:t>
      </w:r>
    </w:p>
    <w:p>
      <w:pPr>
        <w:spacing w:line="360" w:lineRule="auto"/>
        <w:ind w:firstLine="480"/>
        <w:rPr>
          <w:rFonts w:ascii="Times New Roman" w:hAnsi="Times New Roman" w:eastAsia="宋体" w:cs="Times New Roman"/>
          <w:color w:val="auto"/>
          <w:sz w:val="24"/>
          <w:szCs w:val="24"/>
          <w:highlight w:val="none"/>
          <w:u w:val="none"/>
        </w:rPr>
      </w:pPr>
      <w:r>
        <w:rPr>
          <w:rFonts w:ascii="Times New Roman" w:hAnsi="Times New Roman" w:eastAsia="宋体" w:cs="Times New Roman"/>
          <w:color w:val="auto"/>
          <w:sz w:val="24"/>
          <w:szCs w:val="24"/>
          <w:highlight w:val="none"/>
          <w:u w:val="none"/>
        </w:rPr>
        <w:t>e.应有安全照明和观察窗口，并应设有应急防护设施；</w:t>
      </w:r>
    </w:p>
    <w:p>
      <w:pPr>
        <w:spacing w:line="360" w:lineRule="auto"/>
        <w:ind w:firstLine="480"/>
        <w:rPr>
          <w:rFonts w:ascii="Times New Roman" w:hAnsi="Times New Roman" w:eastAsia="宋体" w:cs="Times New Roman"/>
          <w:color w:val="auto"/>
          <w:sz w:val="24"/>
          <w:szCs w:val="24"/>
          <w:highlight w:val="none"/>
          <w:u w:val="none"/>
        </w:rPr>
      </w:pPr>
      <w:r>
        <w:rPr>
          <w:rFonts w:ascii="Times New Roman" w:hAnsi="Times New Roman" w:eastAsia="宋体" w:cs="Times New Roman"/>
          <w:color w:val="auto"/>
          <w:sz w:val="24"/>
          <w:szCs w:val="24"/>
          <w:highlight w:val="none"/>
          <w:u w:val="none"/>
        </w:rPr>
        <w:t>f.应有隔离设施、报警装置和防风、防晒、防雨、防渗设施以及消防设施</w:t>
      </w:r>
      <w:r>
        <w:rPr>
          <w:rFonts w:hint="eastAsia" w:ascii="Times New Roman" w:hAnsi="Times New Roman" w:eastAsia="宋体" w:cs="Times New Roman"/>
          <w:color w:val="auto"/>
          <w:sz w:val="24"/>
          <w:szCs w:val="24"/>
          <w:highlight w:val="none"/>
          <w:u w:val="none"/>
        </w:rPr>
        <w:t>；</w:t>
      </w:r>
    </w:p>
    <w:p>
      <w:pPr>
        <w:spacing w:line="360" w:lineRule="auto"/>
        <w:ind w:firstLine="480"/>
        <w:rPr>
          <w:rFonts w:ascii="Times New Roman" w:hAnsi="Times New Roman" w:eastAsia="宋体" w:cs="Times New Roman"/>
          <w:color w:val="auto"/>
          <w:sz w:val="24"/>
          <w:szCs w:val="24"/>
          <w:highlight w:val="none"/>
          <w:u w:val="none"/>
        </w:rPr>
      </w:pPr>
      <w:r>
        <w:rPr>
          <w:rFonts w:ascii="Times New Roman" w:hAnsi="Times New Roman" w:eastAsia="宋体" w:cs="Times New Roman"/>
          <w:color w:val="auto"/>
          <w:sz w:val="24"/>
          <w:szCs w:val="24"/>
          <w:highlight w:val="none"/>
          <w:u w:val="none"/>
        </w:rPr>
        <w:t>g.墙面、棚面应防吸附，用于存放装载液体、半固体危险废物容器的地方，必须有耐腐蚀的硬化地面，且表面无裂隙；</w:t>
      </w:r>
    </w:p>
    <w:p>
      <w:pPr>
        <w:spacing w:line="360" w:lineRule="auto"/>
        <w:ind w:firstLine="480"/>
        <w:rPr>
          <w:rFonts w:ascii="Times New Roman" w:hAnsi="Times New Roman" w:eastAsia="宋体" w:cs="Times New Roman"/>
          <w:color w:val="auto"/>
          <w:sz w:val="24"/>
          <w:szCs w:val="24"/>
          <w:highlight w:val="none"/>
          <w:u w:val="none"/>
        </w:rPr>
      </w:pPr>
      <w:r>
        <w:rPr>
          <w:rFonts w:ascii="Times New Roman" w:hAnsi="Times New Roman" w:eastAsia="宋体" w:cs="Times New Roman"/>
          <w:color w:val="auto"/>
          <w:sz w:val="24"/>
          <w:szCs w:val="24"/>
          <w:highlight w:val="none"/>
          <w:u w:val="none"/>
        </w:rPr>
        <w:t>（5）专人负责危废的日常收集和管理，对任何进出临时贮存所的危废都要记录在案，做好危险废物排放量及处置记录。</w:t>
      </w:r>
    </w:p>
    <w:p>
      <w:pPr>
        <w:spacing w:line="360" w:lineRule="auto"/>
        <w:ind w:firstLine="480"/>
        <w:rPr>
          <w:rFonts w:ascii="Times New Roman" w:hAnsi="Times New Roman" w:eastAsia="宋体" w:cs="Times New Roman"/>
          <w:color w:val="auto"/>
          <w:sz w:val="24"/>
          <w:szCs w:val="24"/>
          <w:highlight w:val="none"/>
          <w:u w:val="none"/>
        </w:rPr>
      </w:pPr>
      <w:r>
        <w:rPr>
          <w:rFonts w:ascii="Times New Roman" w:hAnsi="Times New Roman" w:eastAsia="宋体" w:cs="Times New Roman"/>
          <w:color w:val="auto"/>
          <w:sz w:val="24"/>
          <w:szCs w:val="24"/>
          <w:highlight w:val="none"/>
          <w:u w:val="none"/>
        </w:rPr>
        <w:t>（6）危险废物运输应由持有危险废物经营许可证的单位按照其许可证的经营范围组织实施，承担危险废物运输的单位应获得交通运输部门颁发的危险货物运输资质。</w:t>
      </w:r>
    </w:p>
    <w:p>
      <w:pPr>
        <w:spacing w:line="360" w:lineRule="auto"/>
        <w:ind w:firstLine="480"/>
        <w:rPr>
          <w:rFonts w:hint="default"/>
          <w:color w:val="auto"/>
        </w:rPr>
      </w:pPr>
      <w:r>
        <w:rPr>
          <w:rFonts w:ascii="Times New Roman" w:hAnsi="Times New Roman" w:eastAsia="宋体" w:cs="Times New Roman"/>
          <w:color w:val="auto"/>
          <w:sz w:val="24"/>
          <w:szCs w:val="24"/>
          <w:highlight w:val="none"/>
          <w:u w:val="none"/>
        </w:rPr>
        <w:t>另外，危险废物处置或利用单位必须县备相应的能力和资质，不允许将危险废物出售给没有加工或使用能力的单位和个人，废物处理之前需要对其生产技术、设备、加工处理能力进行考察，保证不会产生二次污染，废物处理之后还要进行跟踪，以便及时得到反馈信息并处理遗留问题。</w:t>
      </w:r>
    </w:p>
    <w:p>
      <w:pPr>
        <w:spacing w:line="360" w:lineRule="auto"/>
        <w:ind w:firstLine="0"/>
        <w:outlineLvl w:val="3"/>
        <w:rPr>
          <w:rFonts w:hint="default" w:ascii="Times New Roman" w:hAnsi="Times New Roman" w:eastAsia="黑体" w:cs="Times New Roman"/>
          <w:bCs/>
          <w:color w:val="auto"/>
          <w:szCs w:val="24"/>
          <w:lang w:val="en-US" w:eastAsia="zh-CN"/>
        </w:rPr>
      </w:pPr>
      <w:r>
        <w:rPr>
          <w:rFonts w:hint="eastAsia" w:ascii="Times New Roman" w:hAnsi="Times New Roman" w:eastAsia="黑体" w:cs="Times New Roman"/>
          <w:bCs/>
          <w:color w:val="auto"/>
          <w:szCs w:val="24"/>
          <w:lang w:val="en-US" w:eastAsia="zh-CN"/>
        </w:rPr>
        <w:t>7.5.4.4</w:t>
      </w:r>
      <w:r>
        <w:rPr>
          <w:rFonts w:hint="default" w:ascii="Times New Roman" w:hAnsi="Times New Roman" w:eastAsia="黑体" w:cs="Times New Roman"/>
          <w:bCs/>
          <w:color w:val="auto"/>
          <w:szCs w:val="24"/>
          <w:lang w:val="en-US" w:eastAsia="zh-CN"/>
        </w:rPr>
        <w:t>危险废物运输污染防治措施分析</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危险废物运输中应做到以下几点：</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Ⅰ危险废物的运输车辆须经主管单位检查，并持有有关单位签发的许可证，负责运输的司机应通过培训，持有证明文件。</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Ⅱ承载危险废物的车辆须有明显的标志或适当的危险符号，以引起注意。</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Ⅲ载有危险废物的车辆在公路上行驶时，需持有运输许可证，其上应注明废物来源、性质和运往地点。</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Ⅳ组织危险废物的运输单位，在事先需作出周密的运输计划和行驶路线，其中包括有效的废物泄漏情况下的应急措施。</w:t>
      </w:r>
    </w:p>
    <w:p>
      <w:pPr>
        <w:spacing w:line="360" w:lineRule="auto"/>
        <w:ind w:firstLine="0"/>
        <w:outlineLvl w:val="3"/>
        <w:rPr>
          <w:rFonts w:hint="default" w:ascii="Times New Roman" w:hAnsi="Times New Roman" w:eastAsia="黑体" w:cs="Times New Roman"/>
          <w:bCs/>
          <w:color w:val="auto"/>
          <w:szCs w:val="24"/>
          <w:lang w:val="en-US" w:eastAsia="zh-CN"/>
        </w:rPr>
      </w:pPr>
      <w:r>
        <w:rPr>
          <w:rFonts w:hint="eastAsia" w:ascii="Times New Roman" w:hAnsi="Times New Roman" w:eastAsia="黑体" w:cs="Times New Roman"/>
          <w:bCs/>
          <w:color w:val="auto"/>
          <w:szCs w:val="24"/>
          <w:lang w:val="en-US" w:eastAsia="zh-CN"/>
        </w:rPr>
        <w:t>7.5.4.5</w:t>
      </w:r>
      <w:r>
        <w:rPr>
          <w:rFonts w:hint="default" w:ascii="Times New Roman" w:hAnsi="Times New Roman" w:eastAsia="黑体" w:cs="Times New Roman"/>
          <w:bCs/>
          <w:color w:val="auto"/>
          <w:szCs w:val="24"/>
          <w:lang w:val="en-US" w:eastAsia="zh-CN"/>
        </w:rPr>
        <w:t>处置措施</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auto"/>
          <w:sz w:val="24"/>
          <w:szCs w:val="24"/>
        </w:rPr>
        <w:t>项目应在试生产前应与有资质的单位签订危险废物委托处置合同。项目应建立专门的危废产生、贮存和处置台帐，对公司每年危险废物产生、贮存和处置情况做了详细记</w:t>
      </w:r>
      <w:r>
        <w:rPr>
          <w:rFonts w:hint="default" w:ascii="Times New Roman" w:hAnsi="Times New Roman" w:eastAsia="宋体" w:cs="Times New Roman"/>
          <w:color w:val="000000"/>
          <w:sz w:val="24"/>
          <w:szCs w:val="24"/>
        </w:rPr>
        <w:t>录。公司应加强危废台帐管理制度，危险废物的运输采取危废电子联单制度，保证运输安全，防止非法转移和非法处置，保证危险废物的安全监控，防止危险废物污染事故发生。</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目前，福建省已建立福建省固体废物环境监管平台，危险废物已实行网上电子联单管理，企业运营过程产生的危险废物应按管理平台流程填报。</w:t>
      </w:r>
    </w:p>
    <w:p>
      <w:pPr>
        <w:tabs>
          <w:tab w:val="left" w:pos="5474"/>
        </w:tabs>
        <w:spacing w:line="360" w:lineRule="auto"/>
        <w:ind w:firstLine="480"/>
        <w:rPr>
          <w:rFonts w:hint="default" w:ascii="Times New Roman" w:hAnsi="Times New Roman" w:eastAsia="宋体" w:cs="Times New Roman"/>
          <w:color w:val="FF0000"/>
          <w:sz w:val="24"/>
          <w:szCs w:val="24"/>
        </w:rPr>
      </w:pPr>
      <w:r>
        <w:rPr>
          <w:rFonts w:hint="default" w:ascii="Times New Roman" w:hAnsi="Times New Roman" w:eastAsia="宋体" w:cs="Times New Roman"/>
          <w:color w:val="000000"/>
          <w:sz w:val="24"/>
          <w:szCs w:val="24"/>
        </w:rPr>
        <w:t>综上，本项目产生的各种危险固废均有合理的处理途径，不会产生二次环境污染。</w:t>
      </w:r>
    </w:p>
    <w:p>
      <w:pPr>
        <w:keepNext/>
        <w:keepLines/>
        <w:spacing w:line="360" w:lineRule="auto"/>
        <w:ind w:firstLine="0"/>
        <w:outlineLvl w:val="1"/>
        <w:rPr>
          <w:rFonts w:hint="default" w:ascii="Times New Roman" w:hAnsi="Times New Roman" w:eastAsia="黑体" w:cs="Times New Roman"/>
          <w:bCs/>
          <w:sz w:val="32"/>
          <w:szCs w:val="30"/>
        </w:rPr>
      </w:pPr>
      <w:bookmarkStart w:id="385" w:name="_Toc10182"/>
      <w:r>
        <w:rPr>
          <w:rFonts w:hint="default" w:ascii="Times New Roman" w:hAnsi="Times New Roman" w:eastAsia="黑体" w:cs="Times New Roman"/>
          <w:bCs/>
          <w:sz w:val="32"/>
          <w:szCs w:val="30"/>
        </w:rPr>
        <w:t>7.6地下水污染防治措施</w:t>
      </w:r>
      <w:bookmarkEnd w:id="385"/>
    </w:p>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7.6.1防治原则</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本项目采用主动防渗漏措施与被动防渗漏措施相结合方法，防止地下水受到污染。</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（1）主动防渗漏：对管道及</w:t>
      </w:r>
      <w:r>
        <w:rPr>
          <w:rFonts w:hint="default" w:ascii="Times New Roman" w:hAnsi="Times New Roman" w:eastAsia="宋体" w:cs="Times New Roman"/>
          <w:color w:val="000000"/>
          <w:sz w:val="24"/>
          <w:szCs w:val="24"/>
        </w:rPr>
        <w:t>初期雨水池</w:t>
      </w:r>
      <w:r>
        <w:rPr>
          <w:rFonts w:hint="default" w:ascii="Times New Roman" w:hAnsi="Times New Roman" w:eastAsia="宋体" w:cs="Times New Roman"/>
          <w:color w:val="000000"/>
          <w:sz w:val="24"/>
          <w:szCs w:val="24"/>
          <w:lang w:val="en-GB"/>
        </w:rPr>
        <w:t>采取相应的措施，以防止可能发生的污染物跑、冒、滴、漏，将泄漏环境风险事故降低到最低程度。防止危险品泄漏从源头抓起，从工程技术方面采取措施，加强储运操作防泄漏技术措施，严防运输车辆、装卸设备、及人员操作过程等发生事故或产生泄漏，一旦发生泄漏，结合“三级防控措施”，加强疏导、收集、处理措施。</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2）被动防渗漏：即末端控制措施，主要包括堆场地面的防渗措施和泄漏、渗漏污染物收集措施，即在污染区地面进行防渗处理，防止洒落地面的污染物渗入地下，并把滞留在地面的污染物及时收集起来，集中处理。</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（3）分区防治，以特殊装置区为主，一般生产区为辅；事故易发区为主，一般区为辅。</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（4）建立地下水污染监控系统和事故污染应急预案：完善和监测制度，配备先进的检测仪器和设备，科学、合理设置地下水污染监控井和排泄抽水井，达到及时发现、及时控制污染的目的。</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（5）坚持“可视化”原则，输送含有污染物的管道尽可能地上敷设，减少由于埋地管道泄漏而造成的地下水污染。</w:t>
      </w:r>
    </w:p>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7.6.2 污染分区防渗</w:t>
      </w:r>
    </w:p>
    <w:p>
      <w:pPr>
        <w:spacing w:line="360" w:lineRule="auto"/>
        <w:ind w:firstLine="0"/>
        <w:textAlignment w:val="baseline"/>
        <w:outlineLvl w:val="3"/>
        <w:rPr>
          <w:rFonts w:hint="default" w:ascii="Times New Roman" w:hAnsi="Times New Roman" w:eastAsia="黑体" w:cs="Times New Roman"/>
          <w:kern w:val="0"/>
          <w:szCs w:val="22"/>
          <w:lang w:val="en-GB"/>
        </w:rPr>
      </w:pPr>
      <w:r>
        <w:rPr>
          <w:rFonts w:hint="default" w:ascii="Times New Roman" w:hAnsi="Times New Roman" w:eastAsia="黑体" w:cs="Times New Roman"/>
          <w:kern w:val="0"/>
          <w:szCs w:val="22"/>
          <w:lang w:val="en-GB"/>
        </w:rPr>
        <w:t>7.6.2.1防渗区划分标准</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按照《石油化工工程防渗技术规范》（GB/T 50934-2013），污染防治区的防渗应根据厂区布局，按生产装置、工艺单元的不同特点，划分污染区和非污染区，采取不同的设计方案。此外根据污染物的污染性质、泄漏的途径和生产功能单元所处的位置不同，污染区又可划分为一般污染防治区、重点污染防治区。</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非污染防治区：指没有物料或污染物泄漏，不会对地下水环境造成污染的区域或部位。在非污染防治区，可不进行防渗工程施工。</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一般污染防治区：指在污染地下水环境的物料或污染物泄漏后，可及时发现和处理的区域或部位。</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重点污染防治区：指污染地下水环境的物料或污染物泄漏后，不易及时发现和处理的区域或部位。</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一般污染防治区防渗层的防渗性能不应低于1.5m厚渗透系数为1×10</w:t>
      </w:r>
      <w:r>
        <w:rPr>
          <w:rFonts w:hint="default" w:ascii="Times New Roman" w:hAnsi="Times New Roman" w:eastAsia="宋体" w:cs="Times New Roman"/>
          <w:color w:val="000000"/>
          <w:sz w:val="24"/>
          <w:szCs w:val="24"/>
          <w:vertAlign w:val="superscript"/>
        </w:rPr>
        <w:t>-7</w:t>
      </w:r>
      <w:r>
        <w:rPr>
          <w:rFonts w:hint="default" w:ascii="Times New Roman" w:hAnsi="Times New Roman" w:eastAsia="宋体" w:cs="Times New Roman"/>
          <w:color w:val="000000"/>
          <w:sz w:val="24"/>
          <w:szCs w:val="24"/>
        </w:rPr>
        <w:t>cm/s的黏土层的防渗性能，重点污染防治区防渗层的防渗性能不应低于6.0m厚渗透系数为1×10</w:t>
      </w:r>
      <w:r>
        <w:rPr>
          <w:rFonts w:hint="default" w:ascii="Times New Roman" w:hAnsi="Times New Roman" w:eastAsia="宋体" w:cs="Times New Roman"/>
          <w:color w:val="000000"/>
          <w:sz w:val="24"/>
          <w:szCs w:val="24"/>
          <w:vertAlign w:val="superscript"/>
        </w:rPr>
        <w:t>-7</w:t>
      </w:r>
      <w:r>
        <w:rPr>
          <w:rFonts w:hint="default" w:ascii="Times New Roman" w:hAnsi="Times New Roman" w:eastAsia="宋体" w:cs="Times New Roman"/>
          <w:color w:val="000000"/>
          <w:sz w:val="24"/>
          <w:szCs w:val="24"/>
        </w:rPr>
        <w:t>cm/s的黏土层的防渗性能。</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危险废物暂存场重点防渗区应按照《危险废物污染防治技术政策》等危险废物处理的相关标准、法律法规的要求，参照《危险废物填埋场污染控制标准》（GB 18598-2001）进行防渗设计：“堆放场基础必须防渗，防渗层为至少1m厚粘土层（渗透系数≤10</w:t>
      </w:r>
      <w:r>
        <w:rPr>
          <w:rFonts w:hint="default" w:ascii="Times New Roman" w:hAnsi="Times New Roman" w:eastAsia="宋体" w:cs="Times New Roman"/>
          <w:color w:val="000000"/>
          <w:sz w:val="24"/>
          <w:szCs w:val="24"/>
          <w:vertAlign w:val="superscript"/>
        </w:rPr>
        <w:t>-7</w:t>
      </w:r>
      <w:r>
        <w:rPr>
          <w:rFonts w:hint="default" w:ascii="Times New Roman" w:hAnsi="Times New Roman" w:eastAsia="宋体" w:cs="Times New Roman"/>
          <w:color w:val="000000"/>
          <w:sz w:val="24"/>
          <w:szCs w:val="24"/>
        </w:rPr>
        <w:t>cm/s，或2mm厚高密度聚乙烯，或至少2mm厚的其他人工材料，渗透系数≤10-</w:t>
      </w:r>
      <w:r>
        <w:rPr>
          <w:rFonts w:hint="default" w:ascii="Times New Roman" w:hAnsi="Times New Roman" w:eastAsia="宋体" w:cs="Times New Roman"/>
          <w:color w:val="000000"/>
          <w:sz w:val="24"/>
          <w:szCs w:val="24"/>
          <w:vertAlign w:val="superscript"/>
        </w:rPr>
        <w:t>10</w:t>
      </w:r>
      <w:r>
        <w:rPr>
          <w:rFonts w:hint="default" w:ascii="Times New Roman" w:hAnsi="Times New Roman" w:eastAsia="宋体" w:cs="Times New Roman"/>
          <w:color w:val="000000"/>
          <w:sz w:val="24"/>
          <w:szCs w:val="24"/>
        </w:rPr>
        <w:t>cm/s）”。</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一般工业固体废物暂存场应</w:t>
      </w:r>
      <w:r>
        <w:rPr>
          <w:rFonts w:hint="default" w:ascii="Times New Roman" w:hAnsi="Times New Roman" w:eastAsia="宋体" w:cs="Times New Roman"/>
          <w:color w:val="000000"/>
          <w:sz w:val="24"/>
          <w:szCs w:val="22"/>
        </w:rPr>
        <w:t>按照《一般工业固体废物贮存和填埋污染控制标准》(GB18599-2020)中的固废临时贮存场所的要求进行</w:t>
      </w:r>
      <w:r>
        <w:rPr>
          <w:rFonts w:hint="default" w:ascii="Times New Roman" w:hAnsi="Times New Roman" w:eastAsia="宋体" w:cs="Times New Roman"/>
          <w:color w:val="000000"/>
          <w:sz w:val="24"/>
          <w:szCs w:val="24"/>
        </w:rPr>
        <w:t>设计。</w:t>
      </w:r>
    </w:p>
    <w:p>
      <w:pPr>
        <w:spacing w:line="360" w:lineRule="auto"/>
        <w:ind w:firstLine="0"/>
        <w:textAlignment w:val="baseline"/>
        <w:outlineLvl w:val="3"/>
        <w:rPr>
          <w:rFonts w:hint="default" w:ascii="Times New Roman" w:hAnsi="Times New Roman" w:eastAsia="黑体" w:cs="Times New Roman"/>
          <w:kern w:val="0"/>
          <w:szCs w:val="22"/>
          <w:lang w:val="en-GB"/>
        </w:rPr>
      </w:pPr>
      <w:r>
        <w:rPr>
          <w:rFonts w:hint="default" w:ascii="Times New Roman" w:hAnsi="Times New Roman" w:eastAsia="黑体" w:cs="Times New Roman"/>
          <w:kern w:val="0"/>
          <w:szCs w:val="22"/>
          <w:lang w:val="en-GB"/>
        </w:rPr>
        <w:t>7.6.2.</w:t>
      </w:r>
      <w:r>
        <w:rPr>
          <w:rFonts w:hint="default" w:ascii="Times New Roman" w:hAnsi="Times New Roman" w:eastAsia="黑体" w:cs="Times New Roman"/>
          <w:kern w:val="0"/>
          <w:szCs w:val="22"/>
        </w:rPr>
        <w:t>2</w:t>
      </w:r>
      <w:r>
        <w:rPr>
          <w:rFonts w:hint="default" w:ascii="Times New Roman" w:hAnsi="Times New Roman" w:eastAsia="黑体" w:cs="Times New Roman"/>
          <w:kern w:val="0"/>
          <w:szCs w:val="22"/>
          <w:lang w:val="en-GB"/>
        </w:rPr>
        <w:t>防渗分区</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根据项目厂区可能泄漏至地面区域污染物的性质和生产单元的构筑方式，项目污染分区见表具体分区防渗位置可见下表</w:t>
      </w:r>
      <w:r>
        <w:rPr>
          <w:rFonts w:hint="default" w:ascii="Times New Roman" w:hAnsi="Times New Roman" w:eastAsia="宋体" w:cs="Times New Roman"/>
          <w:color w:val="000000"/>
          <w:sz w:val="24"/>
          <w:szCs w:val="24"/>
        </w:rPr>
        <w:t>7.6</w:t>
      </w:r>
      <w:r>
        <w:rPr>
          <w:rFonts w:hint="default" w:ascii="Times New Roman" w:hAnsi="Times New Roman" w:eastAsia="宋体" w:cs="Times New Roman"/>
          <w:color w:val="000000"/>
          <w:sz w:val="24"/>
          <w:szCs w:val="24"/>
          <w:lang w:val="en-GB"/>
        </w:rPr>
        <w:t>-1，防渗分区示意图见</w:t>
      </w:r>
      <w:r>
        <w:rPr>
          <w:rFonts w:hint="default" w:ascii="Times New Roman" w:hAnsi="Times New Roman" w:eastAsia="宋体" w:cs="Times New Roman"/>
          <w:color w:val="000000"/>
          <w:sz w:val="24"/>
          <w:szCs w:val="24"/>
        </w:rPr>
        <w:t>7.6</w:t>
      </w:r>
      <w:r>
        <w:rPr>
          <w:rFonts w:hint="default" w:ascii="Times New Roman" w:hAnsi="Times New Roman" w:eastAsia="宋体" w:cs="Times New Roman"/>
          <w:color w:val="000000"/>
          <w:sz w:val="24"/>
          <w:szCs w:val="24"/>
          <w:lang w:val="en-GB"/>
        </w:rPr>
        <w:t>-1。</w:t>
      </w:r>
      <w:r>
        <w:rPr>
          <w:rFonts w:hint="default" w:ascii="Times New Roman" w:hAnsi="Times New Roman" w:eastAsia="宋体" w:cs="Times New Roman"/>
          <w:color w:val="000000"/>
          <w:sz w:val="24"/>
          <w:szCs w:val="24"/>
        </w:rPr>
        <w:t>本项目</w:t>
      </w:r>
      <w:r>
        <w:rPr>
          <w:rFonts w:hint="default" w:ascii="Times New Roman" w:hAnsi="Times New Roman" w:eastAsia="宋体" w:cs="Times New Roman"/>
          <w:color w:val="000000"/>
          <w:sz w:val="24"/>
          <w:szCs w:val="24"/>
          <w:lang w:val="en-GB"/>
        </w:rPr>
        <w:t>储罐基础采用的是承台式储罐基础，根据《石油化工工程防渗技术规范》（GB/T50934-2013）</w:t>
      </w:r>
      <w:r>
        <w:rPr>
          <w:rFonts w:hint="default" w:ascii="Times New Roman" w:hAnsi="Times New Roman" w:eastAsia="宋体" w:cs="Times New Roman"/>
          <w:color w:val="000000"/>
          <w:sz w:val="24"/>
          <w:szCs w:val="24"/>
        </w:rPr>
        <w:t>中“</w:t>
      </w:r>
      <w:r>
        <w:rPr>
          <w:rFonts w:hint="default" w:ascii="Times New Roman" w:hAnsi="Times New Roman" w:eastAsia="宋体" w:cs="Times New Roman"/>
          <w:color w:val="000000"/>
          <w:sz w:val="24"/>
          <w:szCs w:val="24"/>
          <w:lang w:val="en-GB"/>
        </w:rPr>
        <w:t>承台式储罐基础</w:t>
      </w:r>
      <w:r>
        <w:rPr>
          <w:rFonts w:hint="default" w:ascii="Times New Roman" w:hAnsi="Times New Roman" w:eastAsia="宋体" w:cs="Times New Roman"/>
          <w:color w:val="000000"/>
          <w:sz w:val="24"/>
          <w:szCs w:val="24"/>
        </w:rPr>
        <w:t>为一般防渗”</w:t>
      </w:r>
      <w:r>
        <w:rPr>
          <w:rFonts w:hint="default" w:ascii="Times New Roman" w:hAnsi="Times New Roman" w:eastAsia="宋体" w:cs="Times New Roman"/>
          <w:color w:val="000000"/>
          <w:sz w:val="24"/>
          <w:szCs w:val="24"/>
          <w:lang w:val="en-GB"/>
        </w:rPr>
        <w:t>。</w:t>
      </w:r>
    </w:p>
    <w:p>
      <w:pPr>
        <w:snapToGrid w:val="0"/>
        <w:spacing w:line="360" w:lineRule="auto"/>
        <w:ind w:firstLine="482"/>
        <w:rPr>
          <w:rFonts w:hint="default" w:ascii="Times New Roman" w:hAnsi="Times New Roman" w:eastAsia="宋体" w:cs="Times New Roman"/>
          <w:b/>
          <w:bCs/>
          <w:i/>
          <w:iCs/>
          <w:sz w:val="24"/>
          <w:szCs w:val="28"/>
          <w:lang w:val="en-US" w:eastAsia="zh-CN"/>
        </w:rPr>
      </w:pPr>
      <w:r>
        <w:rPr>
          <w:rFonts w:hint="eastAsia" w:ascii="Times New Roman" w:hAnsi="Times New Roman" w:eastAsia="宋体" w:cs="Times New Roman"/>
          <w:b/>
          <w:bCs/>
          <w:i/>
          <w:iCs/>
          <w:sz w:val="24"/>
          <w:szCs w:val="28"/>
          <w:lang w:val="en-US" w:eastAsia="zh-CN"/>
        </w:rPr>
        <w:t>涉及商业机密，删除！</w:t>
      </w:r>
    </w:p>
    <w:p>
      <w:pPr>
        <w:spacing w:line="360" w:lineRule="auto"/>
        <w:ind w:firstLine="0"/>
        <w:textAlignment w:val="baseline"/>
        <w:outlineLvl w:val="3"/>
        <w:rPr>
          <w:rFonts w:hint="default" w:ascii="Times New Roman" w:hAnsi="Times New Roman" w:eastAsia="黑体" w:cs="Times New Roman"/>
          <w:kern w:val="0"/>
          <w:szCs w:val="22"/>
          <w:lang w:val="en-GB"/>
        </w:rPr>
      </w:pPr>
      <w:r>
        <w:rPr>
          <w:rFonts w:hint="default" w:ascii="Times New Roman" w:hAnsi="Times New Roman" w:eastAsia="黑体" w:cs="Times New Roman"/>
          <w:kern w:val="0"/>
          <w:szCs w:val="22"/>
          <w:lang w:val="en-GB"/>
        </w:rPr>
        <w:t>7.6.2.2不同分区防渗要求</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不同污染防治分区的防渗技术要求可按照《石油化工工程防渗技术规范》（GB/T50934-2013）中相应要求执行，对地面、罐区、水池、污水沟、水井、地下管道等按照要求采取防渗设计，见表7.6-2。</w:t>
      </w:r>
    </w:p>
    <w:p>
      <w:pPr>
        <w:snapToGrid w:val="0"/>
        <w:spacing w:line="360" w:lineRule="auto"/>
        <w:ind w:firstLine="0"/>
        <w:jc w:val="center"/>
        <w:outlineLvl w:val="4"/>
        <w:rPr>
          <w:rFonts w:hint="default" w:ascii="Times New Roman" w:hAnsi="Times New Roman" w:eastAsia="黑体" w:cs="Times New Roman"/>
          <w:bCs/>
          <w:kern w:val="0"/>
          <w:sz w:val="24"/>
          <w:szCs w:val="24"/>
          <w:lang w:val="en-GB" w:eastAsia="zh-TW"/>
        </w:rPr>
      </w:pPr>
      <w:r>
        <w:rPr>
          <w:rFonts w:hint="default" w:ascii="Times New Roman" w:hAnsi="Times New Roman" w:eastAsia="黑体" w:cs="Times New Roman"/>
          <w:bCs/>
          <w:kern w:val="0"/>
          <w:sz w:val="24"/>
          <w:szCs w:val="24"/>
          <w:lang w:val="en-GB" w:eastAsia="zh-TW"/>
        </w:rPr>
        <w:t>表7.6-2  各污染防治分区的防渗技术要求</w:t>
      </w:r>
    </w:p>
    <w:tbl>
      <w:tblPr>
        <w:tblStyle w:val="9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65"/>
        <w:gridCol w:w="74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65" w:type="dxa"/>
            <w:tcBorders>
              <w:top w:val="single" w:color="auto" w:sz="4" w:space="0"/>
              <w:left w:val="single" w:color="auto" w:sz="4" w:space="0"/>
            </w:tcBorders>
            <w:noWrap w:val="0"/>
            <w:vAlign w:val="center"/>
          </w:tcPr>
          <w:p>
            <w:pPr>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防渗分区</w:t>
            </w:r>
          </w:p>
        </w:tc>
        <w:tc>
          <w:tcPr>
            <w:tcW w:w="7422" w:type="dxa"/>
            <w:tcBorders>
              <w:top w:val="single" w:color="auto" w:sz="4" w:space="0"/>
              <w:right w:val="single" w:color="auto" w:sz="4" w:space="0"/>
            </w:tcBorders>
            <w:noWrap w:val="0"/>
            <w:vAlign w:val="center"/>
          </w:tcPr>
          <w:p>
            <w:pPr>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防渗技术要求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65" w:type="dxa"/>
            <w:tcBorders>
              <w:left w:val="single" w:color="auto" w:sz="4" w:space="0"/>
            </w:tcBorders>
            <w:noWrap w:val="0"/>
            <w:vAlign w:val="center"/>
          </w:tcPr>
          <w:p>
            <w:pPr>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重点污染防治区</w:t>
            </w:r>
          </w:p>
        </w:tc>
        <w:tc>
          <w:tcPr>
            <w:tcW w:w="7422" w:type="dxa"/>
            <w:tcBorders>
              <w:right w:val="single" w:color="auto" w:sz="4" w:space="0"/>
            </w:tcBorders>
            <w:noWrap w:val="0"/>
            <w:vAlign w:val="center"/>
          </w:tcPr>
          <w:p>
            <w:pPr>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防渗性能不应低于等效黏土防渗层Mb≥6.0m，K≤1×10</w:t>
            </w:r>
            <w:r>
              <w:rPr>
                <w:rFonts w:hint="default" w:ascii="Times New Roman" w:hAnsi="Times New Roman" w:eastAsia="宋体" w:cs="Times New Roman"/>
                <w:color w:val="000000"/>
                <w:sz w:val="21"/>
                <w:szCs w:val="21"/>
                <w:vertAlign w:val="superscript"/>
              </w:rPr>
              <w:t>-7</w:t>
            </w:r>
            <w:r>
              <w:rPr>
                <w:rFonts w:hint="default" w:ascii="Times New Roman" w:hAnsi="Times New Roman" w:eastAsia="宋体" w:cs="Times New Roman"/>
                <w:color w:val="000000"/>
                <w:sz w:val="21"/>
                <w:szCs w:val="21"/>
              </w:rPr>
              <w:t>cm/s 的防渗性能。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65" w:type="dxa"/>
            <w:tcBorders>
              <w:left w:val="single" w:color="auto" w:sz="4" w:space="0"/>
              <w:bottom w:val="single" w:color="auto" w:sz="4" w:space="0"/>
            </w:tcBorders>
            <w:noWrap w:val="0"/>
            <w:vAlign w:val="center"/>
          </w:tcPr>
          <w:p>
            <w:pPr>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一般污染防治区</w:t>
            </w:r>
          </w:p>
        </w:tc>
        <w:tc>
          <w:tcPr>
            <w:tcW w:w="7422" w:type="dxa"/>
            <w:tcBorders>
              <w:bottom w:val="single" w:color="auto" w:sz="4" w:space="0"/>
              <w:right w:val="single" w:color="auto" w:sz="4" w:space="0"/>
            </w:tcBorders>
            <w:noWrap w:val="0"/>
            <w:vAlign w:val="center"/>
          </w:tcPr>
          <w:p>
            <w:pPr>
              <w:adjustRightInd w:val="0"/>
              <w:snapToGrid w:val="0"/>
              <w:spacing w:line="240" w:lineRule="auto"/>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防渗性能不应低于等效黏土防渗层Mb≥1.5m，K≤1×10</w:t>
            </w:r>
            <w:r>
              <w:rPr>
                <w:rFonts w:hint="default" w:ascii="Times New Roman" w:hAnsi="Times New Roman" w:eastAsia="宋体" w:cs="Times New Roman"/>
                <w:color w:val="000000"/>
                <w:sz w:val="21"/>
                <w:szCs w:val="21"/>
                <w:vertAlign w:val="superscript"/>
              </w:rPr>
              <w:t>-7</w:t>
            </w:r>
            <w:r>
              <w:rPr>
                <w:rFonts w:hint="default" w:ascii="Times New Roman" w:hAnsi="Times New Roman" w:eastAsia="宋体" w:cs="Times New Roman"/>
                <w:color w:val="000000"/>
                <w:sz w:val="21"/>
                <w:szCs w:val="21"/>
              </w:rPr>
              <w:t>cm/s 的防渗性能。</w:t>
            </w:r>
          </w:p>
        </w:tc>
      </w:tr>
    </w:tbl>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①地面</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地面防渗层可采用黏土、抗渗混凝土、高密度聚乙烯（HDPE）膜、钠基膨润土防水毯或其他防渗性能等效的材料。</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当建设场地具有符合要求的黏土时，地面防渗宜采用黏土防渗层，防渗层顶面宜采用混凝土地面或设置厚度不小于200 mm的砂石层。</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混凝土防渗层可采用抗渗钢纤维混凝土、抗渗合成纤维混凝土、抗渗钢筋混凝土和抗渗素混凝土。</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混凝土防渗层的耐久性应符合现行国家标准《混凝土结构设计规范》GB 50010的要求，并应符合下列规定：</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1）混凝土的强度等级不应低于C25，抗渗等级不应低于P6，厚度不应小于100mm。</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2）钢纤维体积率宜为0.25%~1.00%。</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3）合成纤维体积率宜为0.10%~0.20%。</w:t>
      </w:r>
    </w:p>
    <w:p>
      <w:pPr>
        <w:pStyle w:val="24"/>
        <w:rPr>
          <w:rFonts w:hint="default" w:ascii="Times New Roman" w:hAnsi="Times New Roman" w:cs="Times New Roman"/>
          <w:lang w:val="en-GB"/>
        </w:rPr>
        <w:sectPr>
          <w:pgSz w:w="11906" w:h="16838"/>
          <w:pgMar w:top="1417" w:right="1417" w:bottom="1417" w:left="1417" w:header="1191" w:footer="992" w:gutter="0"/>
          <w:pgNumType w:fmt="decimal"/>
          <w:cols w:space="720" w:num="1"/>
          <w:docGrid w:type="lines" w:linePitch="312" w:charSpace="0"/>
        </w:sectPr>
      </w:pPr>
    </w:p>
    <w:p>
      <w:pPr>
        <w:adjustRightInd w:val="0"/>
        <w:snapToGrid w:val="0"/>
        <w:spacing w:line="360" w:lineRule="auto"/>
        <w:ind w:firstLine="480"/>
        <w:rPr>
          <w:rFonts w:hint="default" w:ascii="Times New Roman" w:hAnsi="Times New Roman" w:eastAsia="宋体" w:cs="Times New Roman"/>
          <w:snapToGrid w:val="0"/>
          <w:color w:val="000000"/>
          <w:sz w:val="24"/>
          <w:szCs w:val="24"/>
          <w:lang w:val="en-GB"/>
        </w:rPr>
      </w:pPr>
      <w:r>
        <w:rPr>
          <w:rFonts w:hint="default" w:ascii="Times New Roman" w:hAnsi="Times New Roman" w:eastAsia="宋体" w:cs="Times New Roman"/>
          <w:color w:val="000000"/>
          <w:sz w:val="24"/>
          <w:szCs w:val="24"/>
        </w:rPr>
        <w:t>4）混凝土的配合比设计应符合行业标准《普通混凝土配合比设计规程》JGJ 55和《纤维混凝土应用技术规程》JGJ/T 221的有关规定。</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②罐区</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承台式罐基础的防渗层应符合下列规定：</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1）承台及承台以上环墙应采用抗渗混凝土，抗渗等级不应低于P6；</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2）承台及承台以上环墙内表面宜涂刷聚合物水泥等柔性防水涂料，厚度不应小于1.0mm；</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3）承台顶面应找坡，由中心坡向四周，坡度不宜小于0.3%。</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罐基础环墙周边泄漏管宜采用高密度聚乙烯（HDPE）管，泄漏管的设置应符合现行国家标准《钢制储罐地基基础设计规范》（GB 50473）的有关规定。</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当泄漏管低于地面标高时，泄漏管对应位置处应设置检漏井，检漏井顶部设置活动防雨钢盖板。检漏井应符合下列规定：</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1）检漏井的平面尺寸宜为500mm×500mm，高出地面200mm，井底应低于泄漏管300 mm；</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2）检漏井应采用抗渗钢筋混凝土，强度等级不宜低于C30，抗渗等级不宜低于P8；</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3）检漏井壁和底板厚度不宜小于100 mm。</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③水池、污水沟、水井</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混凝土水池、污水沟和井的耐久性应符合现行国家标准《混凝土结构设计规范》（GB 50010）的有关规定，混凝土强度等级不宜低于C30。</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一般污染防治区水池应符合下列规定：</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1）结构厚度不应小于250mm；</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2）混凝土的抗渗等级不应低于P8。</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重点污染防治区水池应符合下列规定：</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1）结构厚度不应小于250mm；</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2）混凝土的抗渗等级不应低于P8，且水池的内表面应涂刷水泥基渗透结晶型或喷涂聚脲等防水涂料，或在混凝土内掺加水泥基渗透结晶型防水剂；</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3）水泥基渗透结晶型防水涂料厚度不应小于1.0mm，喷涂聚脲防水涂料厚度不应小于1.5mm；</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4）当混凝土内掺加水泥基渗透结晶型防水剂时，掺量宜为胶凝材料总量的1%~2%。</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一般污染防治区污水沟应符合下列规定：</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1）结构厚度不应小于150mm；</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2）混凝土的抗渗等级不应低于P8。</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重点污染防治区污水沟应符合下列规定：</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1）污水沟的结构厚度不应小于150mm；</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2）混凝土的抗渗等级不应低于P8，且污水沟的内表面应涂刷水泥基渗透结晶型防水涂料，或在混凝土内掺加水泥基渗透结晶型防水剂；</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3）水泥基渗透结晶型防水涂料厚度不应小于1.0mm；</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4）当混凝土内掺加水泥基渗透结晶型防水剂时，掺量宜为胶凝材料总量的1%~2%。</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重点污染防治区污水井应符合下列规定：</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1）结构厚度不应小于200mm；</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2）混凝土的抗渗等级不应低于P8，且污水井的内表面应涂刷水泥基渗透结晶型防水涂料，或在混凝土内掺加水泥基渗透结晶型防水剂；</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3）水泥基渗透结晶型防水涂料厚度不应小于1.0mm；</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4）当混凝土内掺加水泥基渗透结晶型防水剂时，掺量宜为胶凝材料总量的1%~2%。</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④地下管道</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地下管道的高密度聚乙烯（HDPE）膜防渗层应符合下列规定：</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1）高密度聚乙烯（HDPE）膜厚度不宜小于1.50mm；</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2）膜两侧应设置保护层，保护层宜采用长丝无纺土工布。</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抗渗钢筋混凝土管沟防渗应符合下列规定：</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1）沟底、沟壁和顶板的混凝土强度等级不宜低于C30，抗渗等级不应低于P8，混凝土垫层的强度等级不宜低于C15；</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2）沟底和沟壁的厚度不宜小于200mm；</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3）沟底、沟壁的内表面和顶板顶面应抹聚合物水泥防水砂浆，厚度不应小于10mm。</w:t>
      </w:r>
    </w:p>
    <w:p>
      <w:pPr>
        <w:spacing w:line="360" w:lineRule="auto"/>
        <w:ind w:firstLine="0"/>
        <w:textAlignment w:val="baseline"/>
        <w:outlineLvl w:val="3"/>
        <w:rPr>
          <w:rFonts w:hint="default" w:ascii="Times New Roman" w:hAnsi="Times New Roman" w:eastAsia="黑体" w:cs="Times New Roman"/>
          <w:kern w:val="0"/>
          <w:szCs w:val="22"/>
          <w:lang w:val="en-GB"/>
        </w:rPr>
      </w:pPr>
      <w:r>
        <w:rPr>
          <w:rFonts w:hint="default" w:ascii="Times New Roman" w:hAnsi="Times New Roman" w:eastAsia="黑体" w:cs="Times New Roman"/>
          <w:kern w:val="0"/>
          <w:szCs w:val="22"/>
          <w:lang w:val="en-GB"/>
        </w:rPr>
        <w:t>7.6.2.3管理控制</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为保证防渗工程正常施工、运行，达到设计防渗等级，应对工程质量进行管理控制：</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w:t>
      </w:r>
      <w:r>
        <w:rPr>
          <w:rFonts w:hint="default" w:ascii="Times New Roman" w:hAnsi="Times New Roman" w:eastAsia="宋体" w:cs="Times New Roman"/>
          <w:color w:val="000000"/>
          <w:sz w:val="24"/>
          <w:szCs w:val="24"/>
        </w:rPr>
        <w:t>1</w:t>
      </w:r>
      <w:r>
        <w:rPr>
          <w:rFonts w:hint="default" w:ascii="Times New Roman" w:hAnsi="Times New Roman" w:eastAsia="宋体" w:cs="Times New Roman"/>
          <w:color w:val="000000"/>
          <w:sz w:val="24"/>
          <w:szCs w:val="24"/>
          <w:lang w:val="en-GB"/>
        </w:rPr>
        <w:t>）选择具有相应资质的设计单位对工程进行设计，防渗工程的设计符合相应要求及设计规范；</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w:t>
      </w:r>
      <w:r>
        <w:rPr>
          <w:rFonts w:hint="default" w:ascii="Times New Roman" w:hAnsi="Times New Roman" w:eastAsia="宋体" w:cs="Times New Roman"/>
          <w:color w:val="000000"/>
          <w:sz w:val="24"/>
          <w:szCs w:val="24"/>
        </w:rPr>
        <w:t>2</w:t>
      </w:r>
      <w:r>
        <w:rPr>
          <w:rFonts w:hint="default" w:ascii="Times New Roman" w:hAnsi="Times New Roman" w:eastAsia="宋体" w:cs="Times New Roman"/>
          <w:color w:val="000000"/>
          <w:sz w:val="24"/>
          <w:szCs w:val="24"/>
          <w:lang w:val="en-GB"/>
        </w:rPr>
        <w:t>）工程材料符合设计要求，并按照有关规定和要求进行质量检验，保证使用材料全部合格；</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w:t>
      </w:r>
      <w:r>
        <w:rPr>
          <w:rFonts w:hint="default" w:ascii="Times New Roman" w:hAnsi="Times New Roman" w:eastAsia="宋体" w:cs="Times New Roman"/>
          <w:color w:val="000000"/>
          <w:sz w:val="24"/>
          <w:szCs w:val="24"/>
        </w:rPr>
        <w:t>3</w:t>
      </w:r>
      <w:r>
        <w:rPr>
          <w:rFonts w:hint="default" w:ascii="Times New Roman" w:hAnsi="Times New Roman" w:eastAsia="宋体" w:cs="Times New Roman"/>
          <w:color w:val="000000"/>
          <w:sz w:val="24"/>
          <w:szCs w:val="24"/>
          <w:lang w:val="en-GB"/>
        </w:rPr>
        <w:t>）聘请优秀专业施工队伍，施工方法符合规范要求；</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w:t>
      </w:r>
      <w:r>
        <w:rPr>
          <w:rFonts w:hint="default" w:ascii="Times New Roman" w:hAnsi="Times New Roman" w:eastAsia="宋体" w:cs="Times New Roman"/>
          <w:color w:val="000000"/>
          <w:sz w:val="24"/>
          <w:szCs w:val="24"/>
        </w:rPr>
        <w:t>4</w:t>
      </w:r>
      <w:r>
        <w:rPr>
          <w:rFonts w:hint="default" w:ascii="Times New Roman" w:hAnsi="Times New Roman" w:eastAsia="宋体" w:cs="Times New Roman"/>
          <w:color w:val="000000"/>
          <w:sz w:val="24"/>
          <w:szCs w:val="24"/>
          <w:lang w:val="en-GB"/>
        </w:rPr>
        <w:t>）应委托具有工程环境监理资质并经环境保护业务培训的单位对设计文件中环境保护措施的实施情况进行工程环境监理（包括地面防渗）。</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w:t>
      </w:r>
      <w:r>
        <w:rPr>
          <w:rFonts w:hint="default" w:ascii="Times New Roman" w:hAnsi="Times New Roman" w:eastAsia="宋体" w:cs="Times New Roman"/>
          <w:color w:val="000000"/>
          <w:sz w:val="24"/>
          <w:szCs w:val="24"/>
        </w:rPr>
        <w:t>5</w:t>
      </w:r>
      <w:r>
        <w:rPr>
          <w:rFonts w:hint="default" w:ascii="Times New Roman" w:hAnsi="Times New Roman" w:eastAsia="宋体" w:cs="Times New Roman"/>
          <w:color w:val="000000"/>
          <w:sz w:val="24"/>
          <w:szCs w:val="24"/>
          <w:lang w:val="en-GB"/>
        </w:rPr>
        <w:t>）工程完工后进行质量检测。在防渗设施投入使用后，要加强日常的维护管理。</w:t>
      </w:r>
    </w:p>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7.6.3地下水监测</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为了及时准确掌握厂区所在地及其周边地区地下水环境质量状况和地下水中污染物的动态变化，及时发现潜在的污染物泄漏，要建立地下水环境监测管理体系，建立地下水环境影响跟踪监测制度，以便及时发现问题，采取措施。</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（1）跟踪监测计划</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根据项目所在地环境水文地质条件和建设项目特点设置跟踪监测计划，具体如下：</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①监测点位：根据《环境影响评价技术导则 地下水环境》（HJ610-2016）要求，二级评价的建设项目一般不少于3个跟踪监测点位，应至少在建设项目场地上游、下游各布设1个。本次评价建议在厂区内上游设置1个、厂区内污水处理站附近1个、下游设置1个，共3个地下水跟踪监测点位；</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②监测因子：以《地下水质量标准》（GB/T 14848-2017）表1中地下水质量常规指标为主，包括pH、总硬度、耗氧量、溶解性总固体、氨氮、氰化物、氯化物、硝酸盐、亚硝酸盐、硫酸盐、挥发性酚类、砷、汞、镉、六价铬、铅、银、甲醛；</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③监测频次：每年一次。当发生泄漏事故时，应加密监测；</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④监测方法：按《地下水质量标准》（GB/T 14848-2017）、《地下水环境监测技术规范》（HJ/T164－2004）中有关规定进行。</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（2）信息公开</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上述监测结果应按项目有关规定及时建立档案，并定期向厂安全环保部门汇报，对于常规监测数据应该进行公开，特别是对项目所在区域的居民进行公开，满足法律中关于知情权的要求。如发现异常或发生事故，加密监测频次，并分析污染原因，确定泄漏污染源，及时采取对应应急措施。</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具体布置详见图7.6-</w:t>
      </w:r>
      <w:r>
        <w:rPr>
          <w:rFonts w:hint="default" w:ascii="Times New Roman" w:hAnsi="Times New Roman" w:eastAsia="宋体" w:cs="Times New Roman"/>
          <w:color w:val="000000"/>
          <w:sz w:val="24"/>
          <w:szCs w:val="24"/>
        </w:rPr>
        <w:t>1</w:t>
      </w:r>
      <w:r>
        <w:rPr>
          <w:rFonts w:hint="default" w:ascii="Times New Roman" w:hAnsi="Times New Roman" w:eastAsia="宋体" w:cs="Times New Roman"/>
          <w:color w:val="000000"/>
          <w:sz w:val="24"/>
          <w:szCs w:val="24"/>
          <w:lang w:val="en-GB"/>
        </w:rPr>
        <w:t>。</w:t>
      </w:r>
    </w:p>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7.6.4地下水污染突发事件应急措施</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若发生突然泄漏事故对地下水造成污染时，可采取在现场去除污染物和在项目所在地地下水下游设置水力屏障，通过抽水井大强度抽出被污染的地下水，并更换受污染的土壤，防止污染地下水向下游扩散，具体措施如下：</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w:t>
      </w:r>
      <w:r>
        <w:rPr>
          <w:rFonts w:hint="default" w:ascii="Times New Roman" w:hAnsi="Times New Roman" w:eastAsia="宋体" w:cs="Times New Roman"/>
          <w:color w:val="000000"/>
          <w:sz w:val="24"/>
          <w:szCs w:val="24"/>
        </w:rPr>
        <w:t>1</w:t>
      </w:r>
      <w:r>
        <w:rPr>
          <w:rFonts w:hint="default" w:ascii="Times New Roman" w:hAnsi="Times New Roman" w:eastAsia="宋体" w:cs="Times New Roman"/>
          <w:color w:val="000000"/>
          <w:sz w:val="24"/>
          <w:szCs w:val="24"/>
          <w:lang w:val="en-GB"/>
        </w:rPr>
        <w:t>）在发生污染处，采取工程措施，将污染处的污物和被污染的土壤等全部清除，装运集中后进行处理。</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w:t>
      </w:r>
      <w:r>
        <w:rPr>
          <w:rFonts w:hint="default" w:ascii="Times New Roman" w:hAnsi="Times New Roman" w:eastAsia="宋体" w:cs="Times New Roman"/>
          <w:color w:val="000000"/>
          <w:sz w:val="24"/>
          <w:szCs w:val="24"/>
        </w:rPr>
        <w:t>2</w:t>
      </w:r>
      <w:r>
        <w:rPr>
          <w:rFonts w:hint="default" w:ascii="Times New Roman" w:hAnsi="Times New Roman" w:eastAsia="宋体" w:cs="Times New Roman"/>
          <w:color w:val="000000"/>
          <w:sz w:val="24"/>
          <w:szCs w:val="24"/>
          <w:lang w:val="en-GB"/>
        </w:rPr>
        <w:t>）根据泄漏点具体位置和具体情况有针对性地设置水力屏障，用无渗漏排水管将抽出的被污染地下水排到事故水池中。尽量防止污染物扩散，减轻对地下水的污染。</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w:t>
      </w:r>
      <w:r>
        <w:rPr>
          <w:rFonts w:hint="default" w:ascii="Times New Roman" w:hAnsi="Times New Roman" w:eastAsia="宋体" w:cs="Times New Roman"/>
          <w:color w:val="000000"/>
          <w:sz w:val="24"/>
          <w:szCs w:val="24"/>
        </w:rPr>
        <w:t>3</w:t>
      </w:r>
      <w:r>
        <w:rPr>
          <w:rFonts w:hint="default" w:ascii="Times New Roman" w:hAnsi="Times New Roman" w:eastAsia="宋体" w:cs="Times New Roman"/>
          <w:color w:val="000000"/>
          <w:sz w:val="24"/>
          <w:szCs w:val="24"/>
          <w:lang w:val="en-GB"/>
        </w:rPr>
        <w:t>）在抽排水过程中，采取地下水样，对污染特征因子进行化验监测，取样检测间隔为每天一次，直到水质监测符合要求后，再抽排两天为止。</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w:t>
      </w:r>
      <w:r>
        <w:rPr>
          <w:rFonts w:hint="default" w:ascii="Times New Roman" w:hAnsi="Times New Roman" w:eastAsia="宋体" w:cs="Times New Roman"/>
          <w:color w:val="000000"/>
          <w:sz w:val="24"/>
          <w:szCs w:val="24"/>
        </w:rPr>
        <w:t>4</w:t>
      </w:r>
      <w:r>
        <w:rPr>
          <w:rFonts w:hint="default" w:ascii="Times New Roman" w:hAnsi="Times New Roman" w:eastAsia="宋体" w:cs="Times New Roman"/>
          <w:color w:val="000000"/>
          <w:sz w:val="24"/>
          <w:szCs w:val="24"/>
          <w:lang w:val="en-GB"/>
        </w:rPr>
        <w:t>）根据实际需要，更换受污染的土壤。</w:t>
      </w:r>
    </w:p>
    <w:p>
      <w:pPr>
        <w:keepNext/>
        <w:keepLines/>
        <w:tabs>
          <w:tab w:val="left" w:pos="680"/>
        </w:tab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7.6.5小结</w:t>
      </w:r>
    </w:p>
    <w:p>
      <w:pPr>
        <w:spacing w:line="360" w:lineRule="auto"/>
        <w:ind w:firstLine="480"/>
        <w:rPr>
          <w:rFonts w:hint="default" w:ascii="Times New Roman" w:hAnsi="Times New Roman" w:eastAsia="宋体" w:cs="Times New Roman"/>
          <w:color w:val="000000"/>
          <w:sz w:val="24"/>
          <w:szCs w:val="24"/>
          <w:lang w:val="en-GB"/>
        </w:rPr>
      </w:pPr>
      <w:r>
        <w:rPr>
          <w:rFonts w:hint="default" w:ascii="Times New Roman" w:hAnsi="Times New Roman" w:eastAsia="宋体" w:cs="Times New Roman"/>
          <w:color w:val="000000"/>
          <w:sz w:val="24"/>
          <w:szCs w:val="24"/>
          <w:lang w:val="en-GB"/>
        </w:rPr>
        <w:t>根据实际情况，将污染防治区划分为一般污染防治区、重点污染防治区，分区防治，分别按照</w:t>
      </w:r>
      <w:r>
        <w:rPr>
          <w:rFonts w:hint="default" w:ascii="Times New Roman" w:hAnsi="Times New Roman" w:eastAsia="宋体" w:cs="Times New Roman"/>
          <w:color w:val="000000"/>
          <w:sz w:val="24"/>
          <w:szCs w:val="24"/>
        </w:rPr>
        <w:t>《石油化工工程防渗技术规范》（GB/T50934-2013）</w:t>
      </w:r>
      <w:r>
        <w:rPr>
          <w:rFonts w:hint="default" w:ascii="Times New Roman" w:hAnsi="Times New Roman" w:eastAsia="宋体" w:cs="Times New Roman"/>
          <w:color w:val="000000"/>
          <w:sz w:val="24"/>
          <w:szCs w:val="24"/>
          <w:lang w:val="en-GB"/>
        </w:rPr>
        <w:t>中的规定，对场地作出相应的防治措施，并按要求设立地下水长期监测点。</w:t>
      </w:r>
    </w:p>
    <w:p>
      <w:pPr>
        <w:spacing w:line="360" w:lineRule="auto"/>
        <w:ind w:firstLine="0"/>
        <w:outlineLvl w:val="1"/>
        <w:rPr>
          <w:rFonts w:hint="default" w:ascii="Times New Roman" w:hAnsi="Times New Roman" w:eastAsia="黑体" w:cs="Times New Roman"/>
          <w:sz w:val="32"/>
          <w:szCs w:val="30"/>
        </w:rPr>
      </w:pPr>
      <w:bookmarkStart w:id="386" w:name="_Toc9832"/>
      <w:bookmarkStart w:id="387" w:name="_Toc759"/>
      <w:bookmarkStart w:id="388" w:name="_Toc47907858"/>
      <w:r>
        <w:rPr>
          <w:rFonts w:hint="default" w:ascii="Times New Roman" w:hAnsi="Times New Roman" w:eastAsia="黑体" w:cs="Times New Roman"/>
          <w:sz w:val="32"/>
          <w:szCs w:val="30"/>
        </w:rPr>
        <w:t>7.7土壤环境保护措施与对策</w:t>
      </w:r>
      <w:bookmarkEnd w:id="386"/>
      <w:bookmarkEnd w:id="387"/>
      <w:bookmarkEnd w:id="388"/>
    </w:p>
    <w:p>
      <w:pPr>
        <w:spacing w:line="360" w:lineRule="auto"/>
        <w:ind w:firstLine="480"/>
        <w:rPr>
          <w:rFonts w:hint="default" w:ascii="Times New Roman" w:hAnsi="Times New Roman" w:eastAsia="宋体" w:cs="Times New Roman"/>
          <w:sz w:val="24"/>
          <w:szCs w:val="24"/>
          <w:lang w:val="en-GB"/>
        </w:rPr>
      </w:pPr>
      <w:r>
        <w:rPr>
          <w:rFonts w:hint="default" w:ascii="Times New Roman" w:hAnsi="Times New Roman" w:eastAsia="宋体" w:cs="Times New Roman"/>
          <w:sz w:val="24"/>
          <w:szCs w:val="24"/>
          <w:lang w:val="en-GB"/>
        </w:rPr>
        <w:t xml:space="preserve">（1）土壤环境保护措施与对策应符合“预防为主、严控增量”的原则。 </w:t>
      </w:r>
    </w:p>
    <w:p>
      <w:pPr>
        <w:spacing w:line="360" w:lineRule="auto"/>
        <w:ind w:firstLine="480"/>
        <w:rPr>
          <w:rFonts w:hint="default" w:ascii="Times New Roman" w:hAnsi="Times New Roman" w:eastAsia="宋体" w:cs="Times New Roman"/>
          <w:sz w:val="24"/>
          <w:szCs w:val="24"/>
          <w:lang w:val="en-GB"/>
        </w:rPr>
      </w:pPr>
      <w:r>
        <w:rPr>
          <w:rFonts w:hint="default" w:ascii="Times New Roman" w:hAnsi="Times New Roman" w:eastAsia="宋体" w:cs="Times New Roman"/>
          <w:sz w:val="24"/>
          <w:szCs w:val="24"/>
          <w:lang w:val="en-GB"/>
        </w:rPr>
        <w:t xml:space="preserve">（2）源头控制措施 </w:t>
      </w:r>
    </w:p>
    <w:p>
      <w:pPr>
        <w:spacing w:line="360" w:lineRule="auto"/>
        <w:ind w:firstLine="480"/>
        <w:rPr>
          <w:rFonts w:hint="default" w:ascii="Times New Roman" w:hAnsi="Times New Roman" w:eastAsia="宋体" w:cs="Times New Roman"/>
          <w:sz w:val="24"/>
          <w:szCs w:val="24"/>
          <w:lang w:val="en-GB"/>
        </w:rPr>
      </w:pPr>
      <w:r>
        <w:rPr>
          <w:rFonts w:hint="default" w:ascii="Times New Roman" w:hAnsi="Times New Roman" w:eastAsia="宋体" w:cs="Times New Roman"/>
          <w:sz w:val="24"/>
          <w:szCs w:val="24"/>
          <w:lang w:val="en-GB"/>
        </w:rPr>
        <w:t xml:space="preserve">企业应推行清洁生产，各类废物应尽量循环利用，减少污染物的排放量；工艺、管道、设备、原料贮存、污水储存及处理构筑物应采取严密的污染防控措施，将污染物跑、冒、滴、漏降到最低限度。 </w:t>
      </w:r>
    </w:p>
    <w:p>
      <w:pPr>
        <w:spacing w:line="360" w:lineRule="auto"/>
        <w:ind w:firstLine="480"/>
        <w:rPr>
          <w:rFonts w:hint="default" w:ascii="Times New Roman" w:hAnsi="Times New Roman" w:eastAsia="宋体" w:cs="Times New Roman"/>
          <w:sz w:val="24"/>
          <w:szCs w:val="24"/>
          <w:lang w:val="en-GB"/>
        </w:rPr>
      </w:pPr>
      <w:r>
        <w:rPr>
          <w:rFonts w:hint="default" w:ascii="Times New Roman" w:hAnsi="Times New Roman" w:eastAsia="宋体" w:cs="Times New Roman"/>
          <w:sz w:val="24"/>
          <w:szCs w:val="24"/>
          <w:lang w:val="en-GB"/>
        </w:rPr>
        <w:t xml:space="preserve">（3）分区防控措施 </w:t>
      </w:r>
    </w:p>
    <w:p>
      <w:pPr>
        <w:spacing w:line="360" w:lineRule="auto"/>
        <w:ind w:firstLine="480"/>
        <w:rPr>
          <w:rFonts w:hint="default" w:ascii="Times New Roman" w:hAnsi="Times New Roman" w:eastAsia="宋体" w:cs="Times New Roman"/>
          <w:sz w:val="24"/>
          <w:szCs w:val="24"/>
          <w:lang w:val="en-GB"/>
        </w:rPr>
      </w:pPr>
      <w:r>
        <w:rPr>
          <w:rFonts w:hint="default" w:ascii="Times New Roman" w:hAnsi="Times New Roman" w:eastAsia="宋体" w:cs="Times New Roman"/>
          <w:sz w:val="24"/>
          <w:szCs w:val="24"/>
          <w:lang w:val="en-GB"/>
        </w:rPr>
        <w:t>针对项目可能通过入渗途径影响土壤环境的，项目的罐区、</w:t>
      </w:r>
      <w:r>
        <w:rPr>
          <w:rFonts w:hint="default" w:ascii="Times New Roman" w:hAnsi="Times New Roman" w:eastAsia="宋体" w:cs="Times New Roman"/>
          <w:sz w:val="24"/>
          <w:szCs w:val="24"/>
        </w:rPr>
        <w:t>污水站、初期雨水池</w:t>
      </w:r>
      <w:r>
        <w:rPr>
          <w:rFonts w:hint="default" w:ascii="Times New Roman" w:hAnsi="Times New Roman" w:eastAsia="宋体" w:cs="Times New Roman"/>
          <w:sz w:val="24"/>
          <w:szCs w:val="24"/>
          <w:lang w:val="en-GB"/>
        </w:rPr>
        <w:t xml:space="preserve">等均采取完善的防渗措施： </w:t>
      </w:r>
    </w:p>
    <w:p>
      <w:pPr>
        <w:spacing w:line="360" w:lineRule="auto"/>
        <w:ind w:firstLine="480"/>
        <w:rPr>
          <w:rFonts w:hint="default" w:ascii="Times New Roman" w:hAnsi="Times New Roman" w:eastAsia="宋体" w:cs="Times New Roman"/>
          <w:sz w:val="24"/>
          <w:szCs w:val="24"/>
          <w:lang w:val="en-GB"/>
        </w:rPr>
      </w:pPr>
      <w:r>
        <w:rPr>
          <w:rFonts w:hint="default" w:ascii="Times New Roman" w:hAnsi="Times New Roman" w:eastAsia="宋体" w:cs="Times New Roman"/>
          <w:sz w:val="24"/>
          <w:szCs w:val="24"/>
          <w:lang w:val="en-GB"/>
        </w:rPr>
        <w:t>①根据《石油化工工程防渗技术规范》GB/T50934-2013以及《环境影响评价技术导则-地下水环境》（HJ610-2016），初期雨水池</w:t>
      </w:r>
      <w:r>
        <w:rPr>
          <w:rFonts w:hint="eastAsia" w:ascii="Times New Roman" w:hAnsi="Times New Roman" w:eastAsia="宋体" w:cs="Times New Roman"/>
          <w:sz w:val="24"/>
          <w:szCs w:val="24"/>
          <w:lang w:val="en-GB" w:eastAsia="zh-CN"/>
        </w:rPr>
        <w:t>、</w:t>
      </w:r>
      <w:r>
        <w:rPr>
          <w:rFonts w:hint="eastAsia" w:ascii="Times New Roman" w:hAnsi="Times New Roman" w:eastAsia="宋体" w:cs="Times New Roman"/>
          <w:sz w:val="24"/>
          <w:szCs w:val="24"/>
          <w:lang w:val="en-US" w:eastAsia="zh-CN"/>
        </w:rPr>
        <w:t>污水处理设施等</w:t>
      </w:r>
      <w:r>
        <w:rPr>
          <w:rFonts w:hint="default" w:ascii="Times New Roman" w:hAnsi="Times New Roman" w:eastAsia="宋体" w:cs="Times New Roman"/>
          <w:sz w:val="24"/>
          <w:szCs w:val="24"/>
          <w:lang w:val="en-GB"/>
        </w:rPr>
        <w:t xml:space="preserve">为重点防渗区，进行重点防渗。 </w:t>
      </w:r>
    </w:p>
    <w:p>
      <w:pPr>
        <w:spacing w:line="360" w:lineRule="auto"/>
        <w:ind w:firstLine="480"/>
        <w:rPr>
          <w:rFonts w:hint="default" w:ascii="Times New Roman" w:hAnsi="Times New Roman" w:eastAsia="宋体" w:cs="Times New Roman"/>
          <w:sz w:val="24"/>
          <w:szCs w:val="24"/>
          <w:lang w:val="en-GB"/>
        </w:rPr>
      </w:pPr>
      <w:r>
        <w:rPr>
          <w:rFonts w:hint="default" w:ascii="Times New Roman" w:hAnsi="Times New Roman" w:eastAsia="宋体" w:cs="Times New Roman"/>
          <w:sz w:val="24"/>
          <w:szCs w:val="24"/>
          <w:lang w:val="en-GB"/>
        </w:rPr>
        <w:t>②根据《石油化工工程防渗技术规范》（GB/T50934-2013）以及《环境影响评价技术导则-地下水环境》（HJ610-2016）</w:t>
      </w:r>
      <w:r>
        <w:rPr>
          <w:rFonts w:hint="default" w:ascii="Times New Roman" w:hAnsi="Times New Roman" w:eastAsia="宋体" w:cs="Times New Roman"/>
          <w:sz w:val="24"/>
          <w:szCs w:val="24"/>
        </w:rPr>
        <w:t>装</w:t>
      </w:r>
      <w:r>
        <w:rPr>
          <w:rFonts w:hint="default" w:ascii="Times New Roman" w:hAnsi="Times New Roman" w:eastAsia="宋体" w:cs="Times New Roman"/>
          <w:color w:val="000000"/>
          <w:sz w:val="24"/>
          <w:szCs w:val="24"/>
        </w:rPr>
        <w:t>置区</w:t>
      </w:r>
      <w:r>
        <w:rPr>
          <w:rFonts w:hint="default" w:ascii="Times New Roman" w:hAnsi="Times New Roman" w:eastAsia="宋体" w:cs="Times New Roman"/>
          <w:color w:val="000000"/>
          <w:sz w:val="24"/>
          <w:szCs w:val="24"/>
          <w:lang w:val="en-GB"/>
        </w:rPr>
        <w:t>、承台式储罐及围堰内等区</w:t>
      </w:r>
      <w:r>
        <w:rPr>
          <w:rFonts w:hint="default" w:ascii="Times New Roman" w:hAnsi="Times New Roman" w:eastAsia="宋体" w:cs="Times New Roman"/>
          <w:sz w:val="24"/>
          <w:szCs w:val="24"/>
          <w:lang w:val="en-GB"/>
        </w:rPr>
        <w:t>域为一般防渗区，进行一般防渗。</w:t>
      </w:r>
    </w:p>
    <w:p>
      <w:pPr>
        <w:spacing w:line="360" w:lineRule="auto"/>
        <w:ind w:firstLine="480"/>
        <w:rPr>
          <w:rFonts w:hint="default" w:ascii="Times New Roman" w:hAnsi="Times New Roman" w:eastAsia="宋体" w:cs="Times New Roman"/>
          <w:sz w:val="24"/>
          <w:szCs w:val="24"/>
          <w:lang w:val="en-GB"/>
        </w:rPr>
      </w:pPr>
      <w:r>
        <w:rPr>
          <w:rFonts w:hint="default" w:ascii="Times New Roman" w:hAnsi="Times New Roman" w:eastAsia="宋体" w:cs="Times New Roman"/>
          <w:sz w:val="24"/>
          <w:szCs w:val="24"/>
          <w:lang w:val="en-GB"/>
        </w:rPr>
        <w:t xml:space="preserve">（4）采取严格的防止地面漫流的措施 </w:t>
      </w:r>
    </w:p>
    <w:p>
      <w:pPr>
        <w:spacing w:line="360" w:lineRule="auto"/>
        <w:ind w:firstLine="480"/>
        <w:rPr>
          <w:rFonts w:hint="default" w:ascii="Times New Roman" w:hAnsi="Times New Roman" w:eastAsia="宋体" w:cs="Times New Roman"/>
          <w:sz w:val="24"/>
          <w:szCs w:val="24"/>
          <w:lang w:val="en-GB"/>
        </w:rPr>
      </w:pPr>
      <w:r>
        <w:rPr>
          <w:rFonts w:hint="default" w:ascii="Times New Roman" w:hAnsi="Times New Roman" w:eastAsia="宋体" w:cs="Times New Roman"/>
          <w:sz w:val="24"/>
          <w:szCs w:val="24"/>
          <w:lang w:val="en-GB"/>
        </w:rPr>
        <w:t xml:space="preserve">针对项目原料罐区泄漏后可能形成地表漫流和地下渗流，进而进入土壤环境影响土壤环境质量的，项目在立式原料罐区的地面均设置了地面硬化措施，罐区均设置了围堰，可有效的防治事故泄漏后形成的地表漫流的土壤影响。 </w:t>
      </w:r>
    </w:p>
    <w:p>
      <w:pPr>
        <w:spacing w:line="360" w:lineRule="auto"/>
        <w:ind w:firstLine="480"/>
        <w:rPr>
          <w:rFonts w:hint="default" w:ascii="Times New Roman" w:hAnsi="Times New Roman" w:eastAsia="宋体" w:cs="Times New Roman"/>
          <w:sz w:val="24"/>
          <w:szCs w:val="24"/>
          <w:lang w:val="en-GB"/>
        </w:rPr>
      </w:pPr>
      <w:r>
        <w:rPr>
          <w:rFonts w:hint="default" w:ascii="Times New Roman" w:hAnsi="Times New Roman" w:eastAsia="宋体" w:cs="Times New Roman"/>
          <w:sz w:val="24"/>
          <w:szCs w:val="24"/>
          <w:lang w:val="en-GB"/>
        </w:rPr>
        <w:t xml:space="preserve">同时厂区内地面绝大部分均进行了路面硬化，地表漫流可通过雨水管道进入园区的雨水系统，不会对土壤环境造成不利影响。 </w:t>
      </w:r>
    </w:p>
    <w:p>
      <w:pPr>
        <w:spacing w:line="360" w:lineRule="auto"/>
        <w:ind w:firstLine="480"/>
        <w:rPr>
          <w:rFonts w:hint="default" w:ascii="Times New Roman" w:hAnsi="Times New Roman" w:eastAsia="宋体" w:cs="Times New Roman"/>
          <w:sz w:val="24"/>
          <w:szCs w:val="24"/>
          <w:lang w:val="en-GB"/>
        </w:rPr>
      </w:pPr>
      <w:r>
        <w:rPr>
          <w:rFonts w:hint="default" w:ascii="Times New Roman" w:hAnsi="Times New Roman" w:eastAsia="宋体" w:cs="Times New Roman"/>
          <w:sz w:val="24"/>
          <w:szCs w:val="24"/>
          <w:lang w:val="en-GB"/>
        </w:rPr>
        <w:t xml:space="preserve">（5）土壤环境跟踪监测 </w:t>
      </w:r>
    </w:p>
    <w:p>
      <w:pPr>
        <w:spacing w:line="360" w:lineRule="auto"/>
        <w:ind w:firstLine="480"/>
        <w:rPr>
          <w:rFonts w:hint="default" w:ascii="Times New Roman" w:hAnsi="Times New Roman" w:eastAsia="宋体" w:cs="Times New Roman"/>
          <w:sz w:val="24"/>
          <w:szCs w:val="22"/>
        </w:rPr>
      </w:pPr>
      <w:r>
        <w:rPr>
          <w:rFonts w:hint="default" w:ascii="Times New Roman" w:hAnsi="Times New Roman" w:eastAsia="宋体" w:cs="Times New Roman"/>
          <w:sz w:val="24"/>
          <w:szCs w:val="24"/>
          <w:lang w:val="en-GB"/>
        </w:rPr>
        <w:t>制定和落实土壤环境跟踪监测计划，以便及时发现问题，采取措施。在项目重点影响区等处设置土壤跟踪监测点位，定期开展土壤监测。</w:t>
      </w:r>
      <w:r>
        <w:rPr>
          <w:rFonts w:hint="default" w:ascii="Times New Roman" w:hAnsi="Times New Roman" w:eastAsia="宋体" w:cs="Times New Roman"/>
          <w:sz w:val="24"/>
          <w:szCs w:val="22"/>
        </w:rPr>
        <w:t>监测计划见表7.7-1。</w:t>
      </w:r>
    </w:p>
    <w:p>
      <w:pPr>
        <w:spacing w:line="360" w:lineRule="auto"/>
        <w:ind w:firstLine="0"/>
        <w:jc w:val="center"/>
        <w:outlineLvl w:val="4"/>
        <w:rPr>
          <w:rFonts w:hint="default" w:ascii="Times New Roman" w:hAnsi="Times New Roman" w:eastAsia="黑体" w:cs="Times New Roman"/>
          <w:bCs/>
          <w:color w:val="000000"/>
          <w:sz w:val="24"/>
          <w:szCs w:val="22"/>
        </w:rPr>
      </w:pPr>
      <w:r>
        <w:rPr>
          <w:rFonts w:hint="default" w:ascii="Times New Roman" w:hAnsi="Times New Roman" w:eastAsia="黑体" w:cs="Times New Roman"/>
          <w:bCs/>
          <w:color w:val="000000"/>
          <w:kern w:val="0"/>
          <w:sz w:val="24"/>
          <w:szCs w:val="24"/>
        </w:rPr>
        <w:t>表7.7-1土壤跟踪监测计划</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09"/>
        <w:gridCol w:w="2405"/>
        <w:gridCol w:w="3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09" w:type="dxa"/>
            <w:noWrap w:val="0"/>
            <w:vAlign w:val="center"/>
          </w:tcPr>
          <w:p>
            <w:pPr>
              <w:widowControl/>
              <w:adjustRightInd w:val="0"/>
              <w:snapToGrid w:val="0"/>
              <w:spacing w:line="300" w:lineRule="atLeast"/>
              <w:ind w:firstLine="0"/>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监测点位</w:t>
            </w:r>
          </w:p>
        </w:tc>
        <w:tc>
          <w:tcPr>
            <w:tcW w:w="2405" w:type="dxa"/>
            <w:noWrap w:val="0"/>
            <w:vAlign w:val="center"/>
          </w:tcPr>
          <w:p>
            <w:pPr>
              <w:widowControl/>
              <w:adjustRightInd w:val="0"/>
              <w:snapToGrid w:val="0"/>
              <w:spacing w:line="300" w:lineRule="atLeast"/>
              <w:ind w:firstLine="0"/>
              <w:jc w:val="center"/>
              <w:rPr>
                <w:rFonts w:hint="default" w:ascii="Times New Roman" w:hAnsi="Times New Roman" w:eastAsia="宋体" w:cs="Times New Roman"/>
                <w:bCs/>
                <w:color w:val="000000"/>
                <w:kern w:val="44"/>
                <w:sz w:val="21"/>
                <w:szCs w:val="44"/>
              </w:rPr>
            </w:pPr>
            <w:r>
              <w:rPr>
                <w:rFonts w:hint="default" w:ascii="Times New Roman" w:hAnsi="Times New Roman" w:eastAsia="宋体" w:cs="Times New Roman"/>
                <w:bCs/>
                <w:color w:val="000000"/>
                <w:kern w:val="44"/>
                <w:sz w:val="21"/>
                <w:szCs w:val="44"/>
              </w:rPr>
              <w:t>监测项目</w:t>
            </w:r>
          </w:p>
        </w:tc>
        <w:tc>
          <w:tcPr>
            <w:tcW w:w="3473" w:type="dxa"/>
            <w:noWrap w:val="0"/>
            <w:vAlign w:val="center"/>
          </w:tcPr>
          <w:p>
            <w:pPr>
              <w:widowControl/>
              <w:adjustRightInd w:val="0"/>
              <w:snapToGrid w:val="0"/>
              <w:spacing w:line="300" w:lineRule="atLeast"/>
              <w:ind w:firstLine="0"/>
              <w:jc w:val="center"/>
              <w:rPr>
                <w:rFonts w:hint="default" w:ascii="Times New Roman" w:hAnsi="Times New Roman" w:eastAsia="宋体" w:cs="Times New Roman"/>
                <w:bCs/>
                <w:color w:val="000000"/>
                <w:kern w:val="44"/>
                <w:sz w:val="21"/>
                <w:szCs w:val="44"/>
              </w:rPr>
            </w:pPr>
            <w:r>
              <w:rPr>
                <w:rFonts w:hint="default" w:ascii="Times New Roman" w:hAnsi="Times New Roman" w:eastAsia="宋体" w:cs="Times New Roman"/>
                <w:bCs/>
                <w:color w:val="000000"/>
                <w:kern w:val="44"/>
                <w:sz w:val="21"/>
                <w:szCs w:val="44"/>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09" w:type="dxa"/>
            <w:noWrap w:val="0"/>
            <w:vAlign w:val="center"/>
          </w:tcPr>
          <w:p>
            <w:pPr>
              <w:widowControl/>
              <w:adjustRightInd w:val="0"/>
              <w:snapToGrid w:val="0"/>
              <w:spacing w:line="300" w:lineRule="atLeast"/>
              <w:ind w:firstLine="0"/>
              <w:jc w:val="center"/>
              <w:rPr>
                <w:rFonts w:hint="default" w:ascii="Times New Roman" w:hAnsi="Times New Roman" w:eastAsia="宋体" w:cs="Times New Roman"/>
                <w:bCs/>
                <w:color w:val="000000"/>
                <w:sz w:val="21"/>
                <w:szCs w:val="21"/>
              </w:rPr>
            </w:pPr>
            <w:r>
              <w:rPr>
                <w:rFonts w:hint="eastAsia" w:ascii="Times New Roman" w:hAnsi="Times New Roman" w:eastAsia="宋体" w:cs="Times New Roman"/>
                <w:bCs/>
                <w:color w:val="000000"/>
                <w:sz w:val="21"/>
                <w:szCs w:val="21"/>
                <w:lang w:val="en-US" w:eastAsia="zh-CN"/>
              </w:rPr>
              <w:t>含银废水预处理系统</w:t>
            </w:r>
            <w:r>
              <w:rPr>
                <w:rFonts w:hint="default" w:ascii="Times New Roman" w:hAnsi="Times New Roman" w:eastAsia="宋体" w:cs="Times New Roman"/>
                <w:bCs/>
                <w:color w:val="000000"/>
                <w:sz w:val="21"/>
                <w:szCs w:val="21"/>
              </w:rPr>
              <w:t>沉淀池附近</w:t>
            </w:r>
          </w:p>
        </w:tc>
        <w:tc>
          <w:tcPr>
            <w:tcW w:w="2405" w:type="dxa"/>
            <w:noWrap w:val="0"/>
            <w:vAlign w:val="center"/>
          </w:tcPr>
          <w:p>
            <w:pPr>
              <w:adjustRightInd w:val="0"/>
              <w:snapToGrid w:val="0"/>
              <w:spacing w:line="300" w:lineRule="atLeast"/>
              <w:ind w:firstLine="0"/>
              <w:jc w:val="center"/>
              <w:rPr>
                <w:rFonts w:hint="default" w:ascii="Times New Roman" w:hAnsi="Times New Roman" w:eastAsia="宋体" w:cs="Times New Roman"/>
                <w:bCs/>
                <w:color w:val="000000"/>
                <w:kern w:val="44"/>
                <w:sz w:val="21"/>
                <w:szCs w:val="44"/>
              </w:rPr>
            </w:pPr>
            <w:r>
              <w:rPr>
                <w:rFonts w:hint="default" w:ascii="Times New Roman" w:hAnsi="Times New Roman" w:eastAsia="宋体" w:cs="Times New Roman"/>
                <w:bCs/>
                <w:color w:val="000000"/>
                <w:kern w:val="44"/>
                <w:sz w:val="21"/>
                <w:szCs w:val="44"/>
              </w:rPr>
              <w:t>总银</w:t>
            </w:r>
          </w:p>
        </w:tc>
        <w:tc>
          <w:tcPr>
            <w:tcW w:w="3473" w:type="dxa"/>
            <w:noWrap w:val="0"/>
            <w:vAlign w:val="center"/>
          </w:tcPr>
          <w:p>
            <w:pPr>
              <w:adjustRightInd w:val="0"/>
              <w:snapToGrid w:val="0"/>
              <w:spacing w:line="300" w:lineRule="atLeast"/>
              <w:ind w:firstLine="0"/>
              <w:jc w:val="center"/>
              <w:rPr>
                <w:rFonts w:hint="default" w:ascii="Times New Roman" w:hAnsi="Times New Roman" w:eastAsia="宋体" w:cs="Times New Roman"/>
                <w:bCs/>
                <w:color w:val="000000"/>
                <w:kern w:val="44"/>
                <w:sz w:val="21"/>
                <w:szCs w:val="44"/>
              </w:rPr>
            </w:pPr>
            <w:r>
              <w:rPr>
                <w:rFonts w:hint="default" w:ascii="Times New Roman" w:hAnsi="Times New Roman" w:eastAsia="宋体" w:cs="Times New Roman"/>
                <w:bCs/>
                <w:color w:val="000000"/>
                <w:kern w:val="44"/>
                <w:sz w:val="21"/>
                <w:szCs w:val="44"/>
                <w:lang w:val="en-GB"/>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287" w:type="dxa"/>
            <w:gridSpan w:val="3"/>
            <w:noWrap w:val="0"/>
            <w:vAlign w:val="center"/>
          </w:tcPr>
          <w:p>
            <w:pPr>
              <w:adjustRightInd w:val="0"/>
              <w:snapToGrid w:val="0"/>
              <w:spacing w:line="300" w:lineRule="atLeast"/>
              <w:ind w:firstLine="0"/>
              <w:rPr>
                <w:rFonts w:hint="default" w:ascii="Times New Roman" w:hAnsi="Times New Roman" w:eastAsia="宋体" w:cs="Times New Roman"/>
                <w:bCs/>
                <w:color w:val="000000"/>
                <w:kern w:val="44"/>
                <w:sz w:val="21"/>
                <w:szCs w:val="44"/>
                <w:lang w:val="en-GB"/>
              </w:rPr>
            </w:pPr>
            <w:r>
              <w:rPr>
                <w:rFonts w:hint="default" w:ascii="Times New Roman" w:hAnsi="Times New Roman" w:eastAsia="宋体" w:cs="Times New Roman"/>
                <w:bCs/>
                <w:color w:val="000000"/>
                <w:kern w:val="44"/>
                <w:sz w:val="21"/>
                <w:szCs w:val="44"/>
                <w:lang w:val="en-GB"/>
              </w:rPr>
              <w:t>注：总银待有监测方法后实施。</w:t>
            </w:r>
          </w:p>
        </w:tc>
      </w:tr>
    </w:tbl>
    <w:p>
      <w:pPr>
        <w:adjustRightInd w:val="0"/>
        <w:snapToGrid w:val="0"/>
        <w:spacing w:line="360" w:lineRule="auto"/>
        <w:ind w:firstLine="480"/>
        <w:rPr>
          <w:rFonts w:hint="default" w:ascii="Times New Roman" w:hAnsi="Times New Roman" w:eastAsia="宋体" w:cs="Times New Roman"/>
          <w:sz w:val="24"/>
        </w:rPr>
      </w:pPr>
    </w:p>
    <w:p>
      <w:pPr>
        <w:adjustRightInd w:val="0"/>
        <w:snapToGrid w:val="0"/>
        <w:spacing w:line="360" w:lineRule="auto"/>
        <w:ind w:firstLine="480"/>
        <w:rPr>
          <w:rFonts w:hint="default" w:ascii="Times New Roman" w:hAnsi="Times New Roman" w:eastAsia="宋体" w:cs="Times New Roman"/>
          <w:sz w:val="24"/>
        </w:rPr>
      </w:pPr>
    </w:p>
    <w:p>
      <w:pPr>
        <w:adjustRightInd w:val="0"/>
        <w:snapToGrid w:val="0"/>
        <w:spacing w:line="360" w:lineRule="auto"/>
        <w:ind w:firstLine="480"/>
        <w:rPr>
          <w:rFonts w:hint="default" w:ascii="Times New Roman" w:hAnsi="Times New Roman" w:eastAsia="宋体" w:cs="Times New Roman"/>
          <w:sz w:val="24"/>
        </w:rPr>
      </w:pPr>
    </w:p>
    <w:p>
      <w:pPr>
        <w:adjustRightInd w:val="0"/>
        <w:snapToGrid w:val="0"/>
        <w:spacing w:line="360" w:lineRule="auto"/>
        <w:ind w:firstLine="480"/>
        <w:rPr>
          <w:rFonts w:hint="default" w:ascii="Times New Roman" w:hAnsi="Times New Roman" w:eastAsia="宋体" w:cs="Times New Roman"/>
          <w:sz w:val="24"/>
        </w:rPr>
      </w:pPr>
    </w:p>
    <w:p>
      <w:pPr>
        <w:adjustRightInd w:val="0"/>
        <w:snapToGrid w:val="0"/>
        <w:spacing w:line="360" w:lineRule="auto"/>
        <w:ind w:firstLine="480"/>
        <w:rPr>
          <w:rFonts w:hint="default" w:ascii="Times New Roman" w:hAnsi="Times New Roman" w:eastAsia="宋体" w:cs="Times New Roman"/>
          <w:sz w:val="24"/>
        </w:rPr>
      </w:pPr>
    </w:p>
    <w:p>
      <w:pPr>
        <w:adjustRightInd w:val="0"/>
        <w:snapToGrid w:val="0"/>
        <w:spacing w:line="360" w:lineRule="auto"/>
        <w:ind w:firstLine="480"/>
        <w:rPr>
          <w:rFonts w:hint="default" w:ascii="Times New Roman" w:hAnsi="Times New Roman" w:eastAsia="宋体" w:cs="Times New Roman"/>
          <w:sz w:val="24"/>
        </w:rPr>
      </w:pPr>
    </w:p>
    <w:p>
      <w:pPr>
        <w:adjustRightInd w:val="0"/>
        <w:snapToGrid w:val="0"/>
        <w:spacing w:line="360" w:lineRule="auto"/>
        <w:ind w:firstLine="480"/>
        <w:rPr>
          <w:rFonts w:hint="default" w:ascii="Times New Roman" w:hAnsi="Times New Roman" w:eastAsia="宋体" w:cs="Times New Roman"/>
          <w:sz w:val="24"/>
        </w:rPr>
      </w:pPr>
    </w:p>
    <w:p>
      <w:pPr>
        <w:adjustRightInd w:val="0"/>
        <w:snapToGrid w:val="0"/>
        <w:spacing w:line="360" w:lineRule="auto"/>
        <w:ind w:firstLine="480"/>
        <w:rPr>
          <w:rFonts w:hint="default" w:ascii="Times New Roman" w:hAnsi="Times New Roman" w:eastAsia="宋体" w:cs="Times New Roman"/>
          <w:sz w:val="24"/>
        </w:rPr>
      </w:pPr>
    </w:p>
    <w:p>
      <w:pPr>
        <w:adjustRightInd w:val="0"/>
        <w:snapToGrid w:val="0"/>
        <w:spacing w:line="360" w:lineRule="auto"/>
        <w:ind w:firstLine="480"/>
        <w:rPr>
          <w:rFonts w:hint="default" w:ascii="Times New Roman" w:hAnsi="Times New Roman" w:eastAsia="宋体" w:cs="Times New Roman"/>
          <w:sz w:val="24"/>
        </w:rPr>
        <w:sectPr>
          <w:pgSz w:w="11907" w:h="16840"/>
          <w:pgMar w:top="1418" w:right="1418" w:bottom="1418" w:left="1418" w:header="851" w:footer="992" w:gutter="0"/>
          <w:pgNumType w:fmt="decimal"/>
          <w:cols w:space="720" w:num="1"/>
          <w:docGrid w:linePitch="389" w:charSpace="0"/>
        </w:sectPr>
      </w:pPr>
    </w:p>
    <w:p>
      <w:pPr>
        <w:spacing w:line="360" w:lineRule="auto"/>
        <w:ind w:firstLine="0"/>
        <w:outlineLvl w:val="0"/>
        <w:rPr>
          <w:rFonts w:hint="default" w:ascii="Times New Roman" w:hAnsi="Times New Roman" w:eastAsia="黑体" w:cs="Times New Roman"/>
          <w:sz w:val="44"/>
          <w:szCs w:val="44"/>
        </w:rPr>
      </w:pPr>
      <w:bookmarkStart w:id="389" w:name="_Toc17885"/>
      <w:bookmarkStart w:id="390" w:name="_Toc16853"/>
      <w:bookmarkStart w:id="391" w:name="_Toc60193950"/>
      <w:bookmarkStart w:id="392" w:name="_Toc148407507"/>
      <w:bookmarkStart w:id="393" w:name="_Toc156719650"/>
      <w:bookmarkStart w:id="394" w:name="_Toc164053105"/>
      <w:bookmarkStart w:id="395" w:name="_Toc35738319"/>
      <w:bookmarkStart w:id="396" w:name="_Toc164052737"/>
      <w:bookmarkStart w:id="397" w:name="_Toc151785346"/>
      <w:bookmarkStart w:id="398" w:name="_Toc37036963"/>
      <w:bookmarkStart w:id="399" w:name="_Toc151794883"/>
      <w:bookmarkStart w:id="400" w:name="_Toc145901537"/>
      <w:bookmarkStart w:id="401" w:name="_Toc84298373"/>
      <w:bookmarkStart w:id="402" w:name="_Toc37575906"/>
      <w:bookmarkStart w:id="403" w:name="_Toc323122340"/>
      <w:bookmarkStart w:id="404" w:name="_Toc152563232"/>
      <w:bookmarkStart w:id="405" w:name="_Toc145901429"/>
      <w:bookmarkStart w:id="406" w:name="_Toc27588"/>
      <w:bookmarkStart w:id="407" w:name="_Toc164130870"/>
      <w:bookmarkStart w:id="408" w:name="_Toc146507260"/>
      <w:bookmarkStart w:id="409" w:name="_Toc146508019"/>
      <w:bookmarkStart w:id="410" w:name="_Toc165174078"/>
      <w:bookmarkStart w:id="411" w:name="_Toc164052840"/>
      <w:bookmarkStart w:id="412" w:name="_Toc116443714"/>
      <w:bookmarkStart w:id="413" w:name="_Toc151782284"/>
      <w:bookmarkStart w:id="414" w:name="_Toc413508776"/>
      <w:bookmarkStart w:id="415" w:name="_Toc153791817"/>
      <w:bookmarkStart w:id="416" w:name="_Toc148407231"/>
      <w:r>
        <w:rPr>
          <w:rFonts w:hint="default" w:ascii="Times New Roman" w:hAnsi="Times New Roman" w:eastAsia="黑体" w:cs="Times New Roman"/>
          <w:sz w:val="44"/>
          <w:szCs w:val="44"/>
        </w:rPr>
        <w:t>8环境经济损益分析</w:t>
      </w:r>
      <w:bookmarkEnd w:id="389"/>
      <w:bookmarkEnd w:id="390"/>
    </w:p>
    <w:p>
      <w:pPr>
        <w:spacing w:line="360" w:lineRule="auto"/>
        <w:ind w:firstLine="480"/>
        <w:rPr>
          <w:rFonts w:hint="default" w:ascii="Times New Roman" w:hAnsi="Times New Roman" w:eastAsia="宋体" w:cs="Times New Roman"/>
          <w:sz w:val="24"/>
          <w:szCs w:val="24"/>
          <w:lang w:val="en-GB"/>
        </w:rPr>
      </w:pPr>
      <w:r>
        <w:rPr>
          <w:rFonts w:hint="default" w:ascii="Times New Roman" w:hAnsi="Times New Roman" w:eastAsia="宋体" w:cs="Times New Roman"/>
          <w:sz w:val="24"/>
          <w:szCs w:val="24"/>
          <w:lang w:val="en-GB"/>
        </w:rPr>
        <w:t>本项目建成投产后的社会效益和经济效益是好的，但也存在着一定的环境影响。为了将环境影响减少到最小程度，必须实施环保措施，投入必要的环保建设和运行费用，才能达到保护周围环境的要求。</w:t>
      </w:r>
    </w:p>
    <w:p>
      <w:pPr>
        <w:keepNext/>
        <w:keepLines/>
        <w:spacing w:line="360" w:lineRule="auto"/>
        <w:ind w:firstLine="0"/>
        <w:outlineLvl w:val="1"/>
        <w:rPr>
          <w:rFonts w:hint="default" w:ascii="Times New Roman" w:hAnsi="Times New Roman" w:eastAsia="黑体" w:cs="Times New Roman"/>
          <w:bCs/>
          <w:sz w:val="32"/>
          <w:szCs w:val="30"/>
        </w:rPr>
      </w:pPr>
      <w:bookmarkStart w:id="417" w:name="_Toc21470"/>
      <w:r>
        <w:rPr>
          <w:rFonts w:hint="default" w:ascii="Times New Roman" w:hAnsi="Times New Roman" w:eastAsia="黑体" w:cs="Times New Roman"/>
          <w:bCs/>
          <w:sz w:val="32"/>
          <w:szCs w:val="30"/>
        </w:rPr>
        <w:t>8.1环境效益分析</w:t>
      </w:r>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p>
    <w:p>
      <w:pPr>
        <w:keepNext/>
        <w:keepLines/>
        <w:spacing w:line="360" w:lineRule="auto"/>
        <w:ind w:firstLine="0"/>
        <w:textAlignment w:val="baseline"/>
        <w:outlineLvl w:val="2"/>
        <w:rPr>
          <w:rFonts w:hint="default" w:ascii="Times New Roman" w:hAnsi="Times New Roman" w:eastAsia="黑体" w:cs="Times New Roman"/>
          <w:kern w:val="0"/>
          <w:sz w:val="30"/>
          <w:szCs w:val="30"/>
        </w:rPr>
      </w:pPr>
      <w:r>
        <w:rPr>
          <w:rFonts w:hint="default" w:ascii="Times New Roman" w:hAnsi="Times New Roman" w:eastAsia="黑体" w:cs="Times New Roman"/>
          <w:kern w:val="0"/>
          <w:sz w:val="30"/>
          <w:szCs w:val="30"/>
        </w:rPr>
        <w:t>8.1.1环保设施的投资估算</w:t>
      </w:r>
    </w:p>
    <w:p>
      <w:pPr>
        <w:spacing w:line="360" w:lineRule="auto"/>
        <w:ind w:firstLine="480"/>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rPr>
        <w:t>本工程的环保投资包括废气、废水处理设施、降噪设施、固体废物收储、地面防渗、环境风险防控等，本评价估算环保工程</w:t>
      </w:r>
      <w:r>
        <w:rPr>
          <w:rFonts w:hint="eastAsia" w:ascii="Times New Roman" w:hAnsi="Times New Roman" w:eastAsia="宋体" w:cs="Times New Roman"/>
          <w:color w:val="auto"/>
          <w:sz w:val="24"/>
          <w:szCs w:val="24"/>
          <w:lang w:val="en-US" w:eastAsia="zh-CN"/>
        </w:rPr>
        <w:t>一次性投入2450</w:t>
      </w:r>
      <w:r>
        <w:rPr>
          <w:rFonts w:hint="default" w:ascii="Times New Roman" w:hAnsi="Times New Roman" w:eastAsia="宋体" w:cs="Times New Roman"/>
          <w:color w:val="auto"/>
          <w:sz w:val="24"/>
          <w:szCs w:val="24"/>
        </w:rPr>
        <w:t>万元，环保投资占总投资41784.07万元的</w:t>
      </w:r>
      <w:r>
        <w:rPr>
          <w:rFonts w:hint="default" w:ascii="Times New Roman" w:hAnsi="Times New Roman" w:eastAsia="宋体" w:cs="Times New Roman"/>
          <w:color w:val="auto"/>
          <w:sz w:val="24"/>
          <w:szCs w:val="24"/>
          <w:lang w:eastAsia="zh-CN"/>
        </w:rPr>
        <w:fldChar w:fldCharType="begin"/>
      </w:r>
      <w:r>
        <w:rPr>
          <w:rFonts w:hint="default" w:ascii="Times New Roman" w:hAnsi="Times New Roman" w:eastAsia="宋体" w:cs="Times New Roman"/>
          <w:color w:val="auto"/>
          <w:sz w:val="24"/>
          <w:szCs w:val="24"/>
          <w:lang w:eastAsia="zh-CN"/>
        </w:rPr>
        <w:instrText xml:space="preserve"> =2450/41784.07*100 \# "0.00" \* MERGEFORMAT </w:instrText>
      </w:r>
      <w:r>
        <w:rPr>
          <w:rFonts w:hint="default" w:ascii="Times New Roman" w:hAnsi="Times New Roman" w:eastAsia="宋体" w:cs="Times New Roman"/>
          <w:color w:val="auto"/>
          <w:sz w:val="24"/>
          <w:szCs w:val="24"/>
          <w:lang w:eastAsia="zh-CN"/>
        </w:rPr>
        <w:fldChar w:fldCharType="separate"/>
      </w:r>
      <w:r>
        <w:rPr>
          <w:color w:val="auto"/>
          <w:sz w:val="24"/>
          <w:szCs w:val="24"/>
        </w:rPr>
        <w:t>5.86</w:t>
      </w:r>
      <w:r>
        <w:rPr>
          <w:rFonts w:hint="default" w:ascii="Times New Roman" w:hAnsi="Times New Roman" w:eastAsia="宋体" w:cs="Times New Roman"/>
          <w:color w:val="auto"/>
          <w:sz w:val="24"/>
          <w:szCs w:val="24"/>
          <w:lang w:eastAsia="zh-CN"/>
        </w:rPr>
        <w:fldChar w:fldCharType="end"/>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GB"/>
        </w:rPr>
        <w:t>建设单位应将环保投资列入投资预算。环保投资估算具体详见表8.1-1。</w:t>
      </w:r>
    </w:p>
    <w:p>
      <w:pPr>
        <w:spacing w:line="360" w:lineRule="auto"/>
        <w:ind w:firstLine="0"/>
        <w:jc w:val="center"/>
        <w:outlineLvl w:val="4"/>
        <w:rPr>
          <w:rFonts w:hint="default" w:ascii="Times New Roman" w:hAnsi="Times New Roman" w:eastAsia="黑体" w:cs="Times New Roman"/>
          <w:color w:val="auto"/>
          <w:sz w:val="24"/>
          <w:szCs w:val="24"/>
          <w:lang w:val="en-GB"/>
        </w:rPr>
      </w:pPr>
      <w:r>
        <w:rPr>
          <w:rFonts w:hint="default" w:ascii="Times New Roman" w:hAnsi="Times New Roman" w:eastAsia="黑体" w:cs="Times New Roman"/>
          <w:color w:val="auto"/>
          <w:sz w:val="24"/>
          <w:szCs w:val="24"/>
          <w:lang w:val="en-GB"/>
        </w:rPr>
        <w:t>表8.1-1 环保工程项目与投资估算一览表</w:t>
      </w:r>
    </w:p>
    <w:tbl>
      <w:tblPr>
        <w:tblStyle w:val="9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394"/>
        <w:gridCol w:w="5643"/>
        <w:gridCol w:w="1078"/>
        <w:gridCol w:w="10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0" w:hRule="atLeast"/>
        </w:trPr>
        <w:tc>
          <w:tcPr>
            <w:tcW w:w="1394" w:type="dxa"/>
            <w:noWrap w:val="0"/>
            <w:tcMar>
              <w:left w:w="28" w:type="dxa"/>
              <w:right w:w="28" w:type="dxa"/>
            </w:tcMar>
            <w:vAlign w:val="center"/>
          </w:tcPr>
          <w:p>
            <w:pPr>
              <w:spacing w:line="280" w:lineRule="exact"/>
              <w:ind w:firstLine="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项    目</w:t>
            </w:r>
          </w:p>
        </w:tc>
        <w:tc>
          <w:tcPr>
            <w:tcW w:w="5643" w:type="dxa"/>
            <w:noWrap w:val="0"/>
            <w:tcMar>
              <w:left w:w="28" w:type="dxa"/>
              <w:right w:w="28" w:type="dxa"/>
            </w:tcMar>
            <w:vAlign w:val="center"/>
          </w:tcPr>
          <w:p>
            <w:pPr>
              <w:spacing w:line="280" w:lineRule="exact"/>
              <w:ind w:firstLine="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建设内容及处理工艺</w:t>
            </w:r>
          </w:p>
        </w:tc>
        <w:tc>
          <w:tcPr>
            <w:tcW w:w="1078" w:type="dxa"/>
            <w:noWrap w:val="0"/>
            <w:vAlign w:val="center"/>
          </w:tcPr>
          <w:p>
            <w:pPr>
              <w:spacing w:line="280" w:lineRule="exact"/>
              <w:ind w:firstLine="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一次性投入</w:t>
            </w:r>
            <w:r>
              <w:rPr>
                <w:rFonts w:hint="default" w:ascii="Times New Roman" w:hAnsi="Times New Roman" w:eastAsia="宋体" w:cs="Times New Roman"/>
                <w:b w:val="0"/>
                <w:bCs w:val="0"/>
                <w:color w:val="auto"/>
                <w:sz w:val="21"/>
                <w:szCs w:val="21"/>
              </w:rPr>
              <w:t>（万元）</w:t>
            </w:r>
          </w:p>
        </w:tc>
        <w:tc>
          <w:tcPr>
            <w:tcW w:w="1067" w:type="dxa"/>
            <w:noWrap w:val="0"/>
            <w:vAlign w:val="center"/>
          </w:tcPr>
          <w:p>
            <w:pPr>
              <w:spacing w:line="280" w:lineRule="exact"/>
              <w:ind w:firstLine="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年运行费用（万元）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0" w:hRule="atLeast"/>
        </w:trPr>
        <w:tc>
          <w:tcPr>
            <w:tcW w:w="1394" w:type="dxa"/>
            <w:noWrap w:val="0"/>
            <w:tcMar>
              <w:left w:w="28" w:type="dxa"/>
              <w:right w:w="28" w:type="dxa"/>
            </w:tcMar>
            <w:vAlign w:val="center"/>
          </w:tcPr>
          <w:p>
            <w:pPr>
              <w:spacing w:line="280" w:lineRule="exact"/>
              <w:ind w:firstLine="0"/>
              <w:jc w:val="center"/>
              <w:rPr>
                <w:rFonts w:hint="default" w:ascii="Times New Roman" w:hAnsi="Times New Roman" w:eastAsia="宋体" w:cs="Times New Roman"/>
                <w:b w:val="0"/>
                <w:bCs w:val="0"/>
                <w:color w:val="auto"/>
                <w:sz w:val="21"/>
                <w:szCs w:val="21"/>
              </w:rPr>
            </w:pPr>
            <w:bookmarkStart w:id="418" w:name="OLE_LINK8" w:colFirst="2" w:colLast="3"/>
            <w:bookmarkStart w:id="419" w:name="OLE_LINK7" w:colFirst="2" w:colLast="2"/>
            <w:r>
              <w:rPr>
                <w:rFonts w:hint="default" w:ascii="Times New Roman" w:hAnsi="Times New Roman" w:eastAsia="宋体" w:cs="Times New Roman"/>
                <w:b w:val="0"/>
                <w:bCs w:val="0"/>
                <w:color w:val="auto"/>
                <w:sz w:val="21"/>
                <w:szCs w:val="21"/>
              </w:rPr>
              <w:t>废水</w:t>
            </w:r>
          </w:p>
        </w:tc>
        <w:tc>
          <w:tcPr>
            <w:tcW w:w="5643" w:type="dxa"/>
            <w:noWrap w:val="0"/>
            <w:tcMar>
              <w:left w:w="28" w:type="dxa"/>
              <w:right w:w="28" w:type="dxa"/>
            </w:tcMar>
            <w:vAlign w:val="center"/>
          </w:tcPr>
          <w:p>
            <w:pPr>
              <w:spacing w:line="280" w:lineRule="exact"/>
              <w:ind w:firstLine="0"/>
              <w:jc w:val="left"/>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①污水收集管道</w:t>
            </w:r>
            <w:r>
              <w:rPr>
                <w:rFonts w:hint="eastAsia" w:ascii="Times New Roman" w:hAnsi="Times New Roman" w:eastAsia="宋体" w:cs="Times New Roman"/>
                <w:b w:val="0"/>
                <w:bCs w:val="0"/>
                <w:color w:val="auto"/>
                <w:sz w:val="21"/>
                <w:szCs w:val="21"/>
                <w:lang w:eastAsia="zh-CN"/>
              </w:rPr>
              <w:t>、</w:t>
            </w:r>
            <w:r>
              <w:rPr>
                <w:rFonts w:hint="eastAsia" w:ascii="Times New Roman" w:hAnsi="Times New Roman" w:eastAsia="宋体" w:cs="Times New Roman"/>
                <w:color w:val="auto"/>
                <w:kern w:val="0"/>
                <w:sz w:val="21"/>
                <w:szCs w:val="21"/>
                <w:lang w:val="en-US" w:eastAsia="zh-CN"/>
              </w:rPr>
              <w:t>废水收集池2</w:t>
            </w:r>
            <w:r>
              <w:rPr>
                <w:rFonts w:hint="default" w:ascii="Times New Roman" w:hAnsi="Times New Roman" w:eastAsia="宋体" w:cs="Times New Roman"/>
                <w:b w:val="0"/>
                <w:bCs w:val="0"/>
                <w:color w:val="auto"/>
                <w:sz w:val="21"/>
                <w:szCs w:val="21"/>
              </w:rPr>
              <w:t>及</w:t>
            </w:r>
            <w:r>
              <w:rPr>
                <w:rFonts w:hint="default" w:ascii="Times New Roman" w:hAnsi="Times New Roman" w:eastAsia="宋体" w:cs="Times New Roman"/>
                <w:b w:val="0"/>
                <w:bCs w:val="0"/>
                <w:color w:val="auto"/>
                <w:sz w:val="21"/>
                <w:szCs w:val="21"/>
                <w:lang w:val="en-US" w:eastAsia="zh-CN"/>
              </w:rPr>
              <w:t>含银废水预处理系统（</w:t>
            </w:r>
            <w:r>
              <w:rPr>
                <w:rFonts w:hint="default" w:ascii="Times New Roman" w:hAnsi="Times New Roman" w:eastAsia="宋体" w:cs="Times New Roman"/>
                <w:color w:val="auto"/>
                <w:kern w:val="0"/>
                <w:sz w:val="21"/>
                <w:szCs w:val="21"/>
                <w:lang w:val="en-US" w:eastAsia="zh-CN"/>
              </w:rPr>
              <w:t>中和反应器+混凝反应器+高效沉淀池</w:t>
            </w:r>
            <w:r>
              <w:rPr>
                <w:rFonts w:hint="eastAsia" w:ascii="Times New Roman" w:hAnsi="Times New Roman" w:eastAsia="宋体" w:cs="Times New Roman"/>
                <w:color w:val="auto"/>
                <w:kern w:val="0"/>
                <w:sz w:val="21"/>
                <w:szCs w:val="21"/>
                <w:lang w:val="en-US" w:eastAsia="zh-CN"/>
              </w:rPr>
              <w:t>，</w:t>
            </w:r>
            <w:r>
              <w:rPr>
                <w:rFonts w:hint="default" w:ascii="Times New Roman" w:hAnsi="Times New Roman" w:eastAsia="宋体" w:cs="Times New Roman"/>
                <w:b w:val="0"/>
                <w:bCs w:val="0"/>
                <w:color w:val="auto"/>
                <w:sz w:val="21"/>
                <w:szCs w:val="21"/>
                <w:lang w:val="en-US" w:eastAsia="zh-CN"/>
              </w:rPr>
              <w:t>10t/h，</w:t>
            </w:r>
            <w:r>
              <w:rPr>
                <w:rFonts w:hint="default" w:ascii="Times New Roman" w:hAnsi="Times New Roman" w:eastAsia="宋体" w:cs="Times New Roman"/>
                <w:b w:val="0"/>
                <w:bCs w:val="0"/>
                <w:color w:val="auto"/>
                <w:sz w:val="21"/>
                <w:szCs w:val="21"/>
              </w:rPr>
              <w:t>TW001</w:t>
            </w:r>
            <w:r>
              <w:rPr>
                <w:rFonts w:hint="default" w:ascii="Times New Roman" w:hAnsi="Times New Roman" w:eastAsia="宋体" w:cs="Times New Roman"/>
                <w:b w:val="0"/>
                <w:bCs w:val="0"/>
                <w:color w:val="auto"/>
                <w:sz w:val="21"/>
                <w:szCs w:val="21"/>
                <w:lang w:val="en-US" w:eastAsia="zh-CN"/>
              </w:rPr>
              <w:t>），</w:t>
            </w:r>
          </w:p>
          <w:p>
            <w:pPr>
              <w:spacing w:line="280" w:lineRule="exact"/>
              <w:ind w:firstLine="0"/>
              <w:jc w:val="left"/>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②</w:t>
            </w:r>
            <w:r>
              <w:rPr>
                <w:rFonts w:hint="default" w:ascii="Times New Roman" w:hAnsi="Times New Roman" w:eastAsia="宋体" w:cs="Times New Roman"/>
                <w:b w:val="0"/>
                <w:bCs w:val="0"/>
                <w:color w:val="auto"/>
                <w:sz w:val="21"/>
                <w:szCs w:val="21"/>
              </w:rPr>
              <w:t>污水收集管道</w:t>
            </w:r>
            <w:r>
              <w:rPr>
                <w:rFonts w:hint="eastAsia" w:ascii="Times New Roman" w:hAnsi="Times New Roman" w:eastAsia="宋体" w:cs="Times New Roman"/>
                <w:b w:val="0"/>
                <w:bCs w:val="0"/>
                <w:color w:val="auto"/>
                <w:sz w:val="21"/>
                <w:szCs w:val="21"/>
                <w:lang w:eastAsia="zh-CN"/>
              </w:rPr>
              <w:t>、</w:t>
            </w:r>
            <w:r>
              <w:rPr>
                <w:rFonts w:hint="eastAsia" w:ascii="Times New Roman" w:hAnsi="Times New Roman" w:eastAsia="宋体" w:cs="Times New Roman"/>
                <w:b w:val="0"/>
                <w:bCs w:val="0"/>
                <w:color w:val="auto"/>
                <w:sz w:val="21"/>
                <w:szCs w:val="21"/>
                <w:lang w:val="en-US" w:eastAsia="zh-CN"/>
              </w:rPr>
              <w:t>废水收集池1</w:t>
            </w:r>
            <w:r>
              <w:rPr>
                <w:rFonts w:hint="default" w:ascii="Times New Roman" w:hAnsi="Times New Roman" w:eastAsia="宋体" w:cs="Times New Roman"/>
                <w:b w:val="0"/>
                <w:bCs w:val="0"/>
                <w:color w:val="auto"/>
                <w:sz w:val="21"/>
                <w:szCs w:val="21"/>
              </w:rPr>
              <w:t>及</w:t>
            </w:r>
            <w:r>
              <w:rPr>
                <w:rFonts w:hint="default" w:ascii="Times New Roman" w:hAnsi="Times New Roman" w:eastAsia="宋体" w:cs="Times New Roman"/>
                <w:b w:val="0"/>
                <w:bCs w:val="0"/>
                <w:color w:val="auto"/>
                <w:sz w:val="21"/>
                <w:szCs w:val="21"/>
                <w:lang w:val="en-US" w:eastAsia="zh-CN"/>
              </w:rPr>
              <w:t>含银废液三效蒸发（3.0t/h</w:t>
            </w:r>
            <w:r>
              <w:rPr>
                <w:rFonts w:hint="default" w:ascii="Times New Roman" w:hAnsi="Times New Roman" w:eastAsia="宋体" w:cs="Times New Roman"/>
                <w:b w:val="0"/>
                <w:bCs w:val="0"/>
                <w:color w:val="auto"/>
                <w:sz w:val="21"/>
                <w:szCs w:val="21"/>
              </w:rPr>
              <w:t>，TW00</w:t>
            </w:r>
            <w:r>
              <w:rPr>
                <w:rFonts w:hint="default" w:ascii="Times New Roman" w:hAnsi="Times New Roman" w:eastAsia="宋体" w:cs="Times New Roman"/>
                <w:b w:val="0"/>
                <w:bCs w:val="0"/>
                <w:color w:val="auto"/>
                <w:sz w:val="21"/>
                <w:szCs w:val="21"/>
                <w:lang w:val="en-US" w:eastAsia="zh-CN"/>
              </w:rPr>
              <w:t>2</w:t>
            </w:r>
            <w:r>
              <w:rPr>
                <w:rFonts w:hint="default" w:ascii="Times New Roman" w:hAnsi="Times New Roman" w:eastAsia="宋体" w:cs="Times New Roman"/>
                <w:b w:val="0"/>
                <w:bCs w:val="0"/>
                <w:color w:val="auto"/>
                <w:sz w:val="21"/>
                <w:szCs w:val="21"/>
              </w:rPr>
              <w:t>）；</w:t>
            </w:r>
          </w:p>
          <w:p>
            <w:pPr>
              <w:widowControl/>
              <w:snapToGrid w:val="0"/>
              <w:spacing w:line="240" w:lineRule="auto"/>
              <w:ind w:firstLine="0"/>
              <w:jc w:val="left"/>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lang w:val="en-US" w:eastAsia="zh-CN"/>
              </w:rPr>
              <w:t>③</w:t>
            </w:r>
            <w:r>
              <w:rPr>
                <w:rFonts w:hint="default" w:ascii="Times New Roman" w:hAnsi="Times New Roman" w:eastAsia="宋体" w:cs="Times New Roman"/>
                <w:b w:val="0"/>
                <w:bCs w:val="0"/>
                <w:color w:val="auto"/>
                <w:kern w:val="0"/>
                <w:sz w:val="21"/>
                <w:szCs w:val="21"/>
              </w:rPr>
              <w:t>污水收集管道及污水处理站</w:t>
            </w:r>
            <w:r>
              <w:rPr>
                <w:rFonts w:hint="default" w:ascii="Times New Roman" w:hAnsi="Times New Roman" w:eastAsia="宋体" w:cs="Times New Roman"/>
                <w:b w:val="0"/>
                <w:bCs w:val="0"/>
                <w:color w:val="auto"/>
                <w:sz w:val="21"/>
                <w:szCs w:val="21"/>
              </w:rPr>
              <w:t>“一级A/O+</w:t>
            </w:r>
            <w:r>
              <w:rPr>
                <w:rFonts w:hint="default" w:ascii="Times New Roman" w:hAnsi="Times New Roman" w:eastAsia="宋体" w:cs="Times New Roman"/>
                <w:b w:val="0"/>
                <w:bCs w:val="0"/>
                <w:color w:val="auto"/>
                <w:kern w:val="0"/>
                <w:sz w:val="21"/>
                <w:szCs w:val="21"/>
              </w:rPr>
              <w:t>二级A+MBR</w:t>
            </w:r>
            <w:r>
              <w:rPr>
                <w:rFonts w:hint="default" w:ascii="Times New Roman" w:hAnsi="Times New Roman" w:eastAsia="宋体" w:cs="Times New Roman"/>
                <w:b w:val="0"/>
                <w:bCs w:val="0"/>
                <w:color w:val="auto"/>
                <w:kern w:val="0"/>
                <w:sz w:val="21"/>
                <w:szCs w:val="21"/>
                <w:lang w:eastAsia="zh-CN"/>
              </w:rPr>
              <w:t>”</w:t>
            </w:r>
            <w:r>
              <w:rPr>
                <w:rFonts w:hint="default" w:ascii="Times New Roman" w:hAnsi="Times New Roman" w:eastAsia="宋体" w:cs="Times New Roman"/>
                <w:b w:val="0"/>
                <w:bCs w:val="0"/>
                <w:color w:val="auto"/>
                <w:kern w:val="0"/>
                <w:sz w:val="21"/>
                <w:szCs w:val="21"/>
                <w:lang w:val="en-US" w:eastAsia="zh-CN"/>
              </w:rPr>
              <w:t>处理系统</w:t>
            </w:r>
            <w:r>
              <w:rPr>
                <w:rFonts w:hint="default" w:ascii="Times New Roman" w:hAnsi="Times New Roman" w:eastAsia="宋体" w:cs="Times New Roman"/>
                <w:b w:val="0"/>
                <w:bCs w:val="0"/>
                <w:color w:val="auto"/>
                <w:kern w:val="0"/>
                <w:sz w:val="21"/>
                <w:szCs w:val="21"/>
                <w:lang w:eastAsia="zh-CN"/>
              </w:rPr>
              <w:t>（</w:t>
            </w:r>
            <w:r>
              <w:rPr>
                <w:rFonts w:hint="default" w:ascii="Times New Roman" w:hAnsi="Times New Roman" w:eastAsia="宋体" w:cs="Times New Roman"/>
                <w:b w:val="0"/>
                <w:bCs w:val="0"/>
                <w:color w:val="auto"/>
                <w:kern w:val="0"/>
                <w:sz w:val="21"/>
                <w:szCs w:val="21"/>
              </w:rPr>
              <w:t>处理能力</w:t>
            </w:r>
            <w:r>
              <w:rPr>
                <w:rFonts w:hint="default" w:ascii="Times New Roman" w:hAnsi="Times New Roman" w:eastAsia="宋体" w:cs="Times New Roman"/>
                <w:b w:val="0"/>
                <w:bCs w:val="0"/>
                <w:color w:val="auto"/>
                <w:kern w:val="0"/>
                <w:sz w:val="21"/>
                <w:szCs w:val="21"/>
                <w:lang w:val="en-US" w:eastAsia="zh-CN"/>
              </w:rPr>
              <w:t>1</w:t>
            </w:r>
            <w:r>
              <w:rPr>
                <w:rFonts w:hint="default" w:ascii="Times New Roman" w:hAnsi="Times New Roman" w:eastAsia="宋体" w:cs="Times New Roman"/>
                <w:b w:val="0"/>
                <w:bCs w:val="0"/>
                <w:color w:val="auto"/>
                <w:kern w:val="0"/>
                <w:sz w:val="21"/>
                <w:szCs w:val="21"/>
              </w:rPr>
              <w:t>5t/h</w:t>
            </w:r>
            <w:r>
              <w:rPr>
                <w:rFonts w:hint="default" w:ascii="Times New Roman" w:hAnsi="Times New Roman" w:eastAsia="宋体" w:cs="Times New Roman"/>
                <w:b w:val="0"/>
                <w:bCs w:val="0"/>
                <w:color w:val="auto"/>
                <w:kern w:val="0"/>
                <w:sz w:val="21"/>
                <w:szCs w:val="21"/>
                <w:lang w:eastAsia="zh-CN"/>
              </w:rPr>
              <w:t>、</w:t>
            </w:r>
            <w:r>
              <w:rPr>
                <w:rFonts w:hint="default" w:ascii="Times New Roman" w:hAnsi="Times New Roman" w:eastAsia="宋体" w:cs="Times New Roman"/>
                <w:b w:val="0"/>
                <w:bCs w:val="0"/>
                <w:color w:val="auto"/>
                <w:kern w:val="0"/>
                <w:sz w:val="21"/>
                <w:szCs w:val="21"/>
              </w:rPr>
              <w:t>TW00</w:t>
            </w:r>
            <w:r>
              <w:rPr>
                <w:rFonts w:hint="default" w:ascii="Times New Roman" w:hAnsi="Times New Roman" w:eastAsia="宋体" w:cs="Times New Roman"/>
                <w:b w:val="0"/>
                <w:bCs w:val="0"/>
                <w:color w:val="auto"/>
                <w:kern w:val="0"/>
                <w:sz w:val="21"/>
                <w:szCs w:val="21"/>
                <w:lang w:val="en-US" w:eastAsia="zh-CN"/>
              </w:rPr>
              <w:t>3</w:t>
            </w:r>
            <w:r>
              <w:rPr>
                <w:rFonts w:hint="default" w:ascii="Times New Roman" w:hAnsi="Times New Roman" w:eastAsia="宋体" w:cs="Times New Roman"/>
                <w:b w:val="0"/>
                <w:bCs w:val="0"/>
                <w:color w:val="auto"/>
                <w:kern w:val="0"/>
                <w:sz w:val="21"/>
                <w:szCs w:val="21"/>
              </w:rPr>
              <w:t>）</w:t>
            </w:r>
            <w:r>
              <w:rPr>
                <w:rFonts w:hint="default" w:ascii="Times New Roman" w:hAnsi="Times New Roman" w:eastAsia="宋体" w:cs="Times New Roman"/>
                <w:b w:val="0"/>
                <w:bCs w:val="0"/>
                <w:color w:val="auto"/>
                <w:kern w:val="0"/>
                <w:sz w:val="21"/>
                <w:szCs w:val="21"/>
                <w:lang w:eastAsia="zh-CN"/>
              </w:rPr>
              <w:t>、“</w:t>
            </w:r>
            <w:r>
              <w:rPr>
                <w:rFonts w:hint="default" w:ascii="Times New Roman" w:hAnsi="Times New Roman" w:eastAsia="宋体" w:cs="Times New Roman"/>
                <w:b w:val="0"/>
                <w:bCs w:val="0"/>
                <w:color w:val="auto"/>
                <w:kern w:val="0"/>
                <w:sz w:val="21"/>
                <w:szCs w:val="21"/>
              </w:rPr>
              <w:t>UF+</w:t>
            </w:r>
            <w:r>
              <w:rPr>
                <w:rFonts w:hint="eastAsia" w:ascii="Times New Roman" w:hAnsi="Times New Roman" w:eastAsia="宋体" w:cs="Times New Roman"/>
                <w:b w:val="0"/>
                <w:bCs w:val="0"/>
                <w:color w:val="auto"/>
                <w:kern w:val="0"/>
                <w:sz w:val="21"/>
                <w:szCs w:val="21"/>
                <w:lang w:val="en-US" w:eastAsia="zh-CN"/>
              </w:rPr>
              <w:t>二级</w:t>
            </w:r>
            <w:r>
              <w:rPr>
                <w:rFonts w:hint="default" w:ascii="Times New Roman" w:hAnsi="Times New Roman" w:eastAsia="宋体" w:cs="Times New Roman"/>
                <w:b w:val="0"/>
                <w:bCs w:val="0"/>
                <w:color w:val="auto"/>
                <w:kern w:val="0"/>
                <w:sz w:val="21"/>
                <w:szCs w:val="21"/>
              </w:rPr>
              <w:t>RO</w:t>
            </w:r>
            <w:r>
              <w:rPr>
                <w:rFonts w:hint="default" w:ascii="Times New Roman" w:hAnsi="Times New Roman" w:eastAsia="宋体" w:cs="Times New Roman"/>
                <w:b w:val="0"/>
                <w:bCs w:val="0"/>
                <w:color w:val="auto"/>
                <w:kern w:val="0"/>
                <w:sz w:val="21"/>
                <w:szCs w:val="21"/>
                <w:lang w:val="en-US" w:eastAsia="zh-CN"/>
              </w:rPr>
              <w:t>反渗透系统</w:t>
            </w:r>
            <w:r>
              <w:rPr>
                <w:rFonts w:hint="default" w:ascii="Times New Roman" w:hAnsi="Times New Roman" w:eastAsia="宋体" w:cs="Times New Roman"/>
                <w:b w:val="0"/>
                <w:bCs w:val="0"/>
                <w:color w:val="auto"/>
                <w:kern w:val="0"/>
                <w:sz w:val="21"/>
                <w:szCs w:val="21"/>
                <w:lang w:eastAsia="zh-CN"/>
              </w:rPr>
              <w:t>”（</w:t>
            </w:r>
            <w:r>
              <w:rPr>
                <w:rFonts w:hint="default" w:ascii="Times New Roman" w:hAnsi="Times New Roman" w:eastAsia="宋体" w:cs="Times New Roman"/>
                <w:b w:val="0"/>
                <w:bCs w:val="0"/>
                <w:color w:val="auto"/>
                <w:kern w:val="0"/>
                <w:sz w:val="21"/>
                <w:szCs w:val="21"/>
              </w:rPr>
              <w:t>处理能力</w:t>
            </w:r>
            <w:r>
              <w:rPr>
                <w:rFonts w:hint="default" w:ascii="Times New Roman" w:hAnsi="Times New Roman" w:eastAsia="宋体" w:cs="Times New Roman"/>
                <w:b w:val="0"/>
                <w:bCs w:val="0"/>
                <w:color w:val="auto"/>
                <w:kern w:val="0"/>
                <w:sz w:val="21"/>
                <w:szCs w:val="21"/>
                <w:lang w:val="en-US" w:eastAsia="zh-CN"/>
              </w:rPr>
              <w:t>1</w:t>
            </w:r>
            <w:r>
              <w:rPr>
                <w:rFonts w:hint="default" w:ascii="Times New Roman" w:hAnsi="Times New Roman" w:eastAsia="宋体" w:cs="Times New Roman"/>
                <w:b w:val="0"/>
                <w:bCs w:val="0"/>
                <w:color w:val="auto"/>
                <w:kern w:val="0"/>
                <w:sz w:val="21"/>
                <w:szCs w:val="21"/>
              </w:rPr>
              <w:t>5t/h</w:t>
            </w:r>
            <w:r>
              <w:rPr>
                <w:rFonts w:hint="default" w:ascii="Times New Roman" w:hAnsi="Times New Roman" w:eastAsia="宋体" w:cs="Times New Roman"/>
                <w:b w:val="0"/>
                <w:bCs w:val="0"/>
                <w:color w:val="auto"/>
                <w:kern w:val="0"/>
                <w:sz w:val="21"/>
                <w:szCs w:val="21"/>
                <w:lang w:eastAsia="zh-CN"/>
              </w:rPr>
              <w:t>、</w:t>
            </w:r>
            <w:r>
              <w:rPr>
                <w:rFonts w:hint="default" w:ascii="Times New Roman" w:hAnsi="Times New Roman" w:eastAsia="宋体" w:cs="Times New Roman"/>
                <w:b w:val="0"/>
                <w:bCs w:val="0"/>
                <w:color w:val="auto"/>
                <w:kern w:val="0"/>
                <w:sz w:val="21"/>
                <w:szCs w:val="21"/>
              </w:rPr>
              <w:t>TW00</w:t>
            </w:r>
            <w:r>
              <w:rPr>
                <w:rFonts w:hint="default" w:ascii="Times New Roman" w:hAnsi="Times New Roman" w:eastAsia="宋体" w:cs="Times New Roman"/>
                <w:b w:val="0"/>
                <w:bCs w:val="0"/>
                <w:color w:val="auto"/>
                <w:kern w:val="0"/>
                <w:sz w:val="21"/>
                <w:szCs w:val="21"/>
                <w:lang w:val="en-US" w:eastAsia="zh-CN"/>
              </w:rPr>
              <w:t>4</w:t>
            </w:r>
            <w:r>
              <w:rPr>
                <w:rFonts w:hint="default" w:ascii="Times New Roman" w:hAnsi="Times New Roman" w:eastAsia="宋体" w:cs="Times New Roman"/>
                <w:b w:val="0"/>
                <w:bCs w:val="0"/>
                <w:color w:val="auto"/>
                <w:kern w:val="0"/>
                <w:sz w:val="21"/>
                <w:szCs w:val="21"/>
              </w:rPr>
              <w:t>）、污水站配套三效蒸发器（处理能力3t/h</w:t>
            </w:r>
            <w:r>
              <w:rPr>
                <w:rFonts w:hint="default" w:ascii="Times New Roman" w:hAnsi="Times New Roman" w:eastAsia="宋体" w:cs="Times New Roman"/>
                <w:b w:val="0"/>
                <w:bCs w:val="0"/>
                <w:color w:val="auto"/>
                <w:kern w:val="0"/>
                <w:sz w:val="21"/>
                <w:szCs w:val="21"/>
                <w:lang w:eastAsia="zh-CN"/>
              </w:rPr>
              <w:t>，</w:t>
            </w:r>
            <w:r>
              <w:rPr>
                <w:rFonts w:hint="default" w:ascii="Times New Roman" w:hAnsi="Times New Roman" w:eastAsia="宋体" w:cs="Times New Roman"/>
                <w:b w:val="0"/>
                <w:bCs w:val="0"/>
                <w:color w:val="auto"/>
                <w:kern w:val="0"/>
                <w:sz w:val="21"/>
                <w:szCs w:val="21"/>
              </w:rPr>
              <w:t>TW00</w:t>
            </w:r>
            <w:r>
              <w:rPr>
                <w:rFonts w:hint="default" w:ascii="Times New Roman" w:hAnsi="Times New Roman" w:eastAsia="宋体" w:cs="Times New Roman"/>
                <w:b w:val="0"/>
                <w:bCs w:val="0"/>
                <w:color w:val="auto"/>
                <w:kern w:val="0"/>
                <w:sz w:val="21"/>
                <w:szCs w:val="21"/>
                <w:lang w:val="en-US" w:eastAsia="zh-CN"/>
              </w:rPr>
              <w:t>5</w:t>
            </w:r>
            <w:r>
              <w:rPr>
                <w:rFonts w:hint="default" w:ascii="Times New Roman" w:hAnsi="Times New Roman" w:eastAsia="宋体" w:cs="Times New Roman"/>
                <w:b w:val="0"/>
                <w:bCs w:val="0"/>
                <w:color w:val="auto"/>
                <w:kern w:val="0"/>
                <w:sz w:val="21"/>
                <w:szCs w:val="21"/>
              </w:rPr>
              <w:t>）</w:t>
            </w:r>
            <w:r>
              <w:rPr>
                <w:rFonts w:hint="default" w:ascii="Times New Roman" w:hAnsi="Times New Roman" w:eastAsia="宋体" w:cs="Times New Roman"/>
                <w:b w:val="0"/>
                <w:bCs w:val="0"/>
                <w:color w:val="auto"/>
                <w:kern w:val="0"/>
                <w:sz w:val="21"/>
                <w:szCs w:val="21"/>
                <w:lang w:eastAsia="zh-CN"/>
              </w:rPr>
              <w:t>、</w:t>
            </w:r>
            <w:r>
              <w:rPr>
                <w:rFonts w:hint="default" w:ascii="Times New Roman" w:hAnsi="Times New Roman" w:eastAsia="宋体" w:cs="Times New Roman"/>
                <w:b w:val="0"/>
                <w:bCs w:val="0"/>
                <w:color w:val="auto"/>
                <w:kern w:val="0"/>
                <w:sz w:val="21"/>
                <w:szCs w:val="21"/>
              </w:rPr>
              <w:t>回用水池</w:t>
            </w:r>
            <w:r>
              <w:rPr>
                <w:rFonts w:hint="eastAsia" w:ascii="Times New Roman" w:hAnsi="Times New Roman" w:eastAsia="宋体" w:cs="Times New Roman"/>
                <w:b w:val="0"/>
                <w:bCs w:val="0"/>
                <w:color w:val="auto"/>
                <w:kern w:val="0"/>
                <w:sz w:val="21"/>
                <w:szCs w:val="21"/>
                <w:lang w:eastAsia="zh-CN"/>
              </w:rPr>
              <w:t>（</w:t>
            </w:r>
            <w:r>
              <w:rPr>
                <w:rFonts w:hint="eastAsia" w:ascii="Times New Roman" w:hAnsi="Times New Roman" w:eastAsia="宋体" w:cs="Times New Roman"/>
                <w:b w:val="0"/>
                <w:bCs w:val="0"/>
                <w:color w:val="auto"/>
                <w:kern w:val="0"/>
                <w:sz w:val="21"/>
                <w:szCs w:val="21"/>
                <w:lang w:val="en-US" w:eastAsia="zh-CN"/>
              </w:rPr>
              <w:t>80m</w:t>
            </w:r>
            <w:r>
              <w:rPr>
                <w:rFonts w:hint="eastAsia" w:ascii="Times New Roman" w:hAnsi="Times New Roman" w:eastAsia="宋体" w:cs="Times New Roman"/>
                <w:b w:val="0"/>
                <w:bCs w:val="0"/>
                <w:color w:val="auto"/>
                <w:kern w:val="0"/>
                <w:sz w:val="21"/>
                <w:szCs w:val="21"/>
                <w:vertAlign w:val="superscript"/>
                <w:lang w:val="en-US" w:eastAsia="zh-CN"/>
              </w:rPr>
              <w:t>3</w:t>
            </w:r>
            <w:r>
              <w:rPr>
                <w:rFonts w:hint="eastAsia" w:ascii="Times New Roman" w:hAnsi="Times New Roman" w:eastAsia="宋体" w:cs="Times New Roman"/>
                <w:b w:val="0"/>
                <w:bCs w:val="0"/>
                <w:color w:val="auto"/>
                <w:kern w:val="0"/>
                <w:sz w:val="21"/>
                <w:szCs w:val="21"/>
                <w:lang w:eastAsia="zh-CN"/>
              </w:rPr>
              <w:t>）</w:t>
            </w:r>
            <w:r>
              <w:rPr>
                <w:rFonts w:hint="default" w:ascii="Times New Roman" w:hAnsi="Times New Roman" w:eastAsia="宋体" w:cs="Times New Roman"/>
                <w:b w:val="0"/>
                <w:bCs w:val="0"/>
                <w:color w:val="auto"/>
                <w:kern w:val="0"/>
                <w:sz w:val="21"/>
                <w:szCs w:val="21"/>
              </w:rPr>
              <w:t>及管道；</w:t>
            </w:r>
          </w:p>
          <w:p>
            <w:pPr>
              <w:widowControl/>
              <w:snapToGrid w:val="0"/>
              <w:spacing w:line="240" w:lineRule="auto"/>
              <w:ind w:firstLine="0"/>
              <w:jc w:val="left"/>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④化粪池（TW00</w:t>
            </w:r>
            <w:r>
              <w:rPr>
                <w:rFonts w:hint="default" w:ascii="Times New Roman" w:hAnsi="Times New Roman" w:eastAsia="宋体" w:cs="Times New Roman"/>
                <w:b w:val="0"/>
                <w:bCs w:val="0"/>
                <w:color w:val="auto"/>
                <w:kern w:val="0"/>
                <w:sz w:val="21"/>
                <w:szCs w:val="21"/>
                <w:lang w:val="en-US" w:eastAsia="zh-CN"/>
              </w:rPr>
              <w:t>6</w:t>
            </w:r>
            <w:r>
              <w:rPr>
                <w:rFonts w:hint="default" w:ascii="Times New Roman" w:hAnsi="Times New Roman" w:eastAsia="宋体" w:cs="Times New Roman"/>
                <w:b w:val="0"/>
                <w:bCs w:val="0"/>
                <w:color w:val="auto"/>
                <w:kern w:val="0"/>
                <w:sz w:val="21"/>
                <w:szCs w:val="21"/>
              </w:rPr>
              <w:t>）；</w:t>
            </w:r>
          </w:p>
          <w:p>
            <w:pPr>
              <w:widowControl/>
              <w:snapToGrid w:val="0"/>
              <w:spacing w:line="240" w:lineRule="auto"/>
              <w:ind w:firstLine="0"/>
              <w:jc w:val="left"/>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sz w:val="21"/>
                <w:szCs w:val="21"/>
              </w:rPr>
              <w:t>⑤1座初期雨水池，有效容积为</w:t>
            </w:r>
            <w:r>
              <w:rPr>
                <w:rFonts w:hint="eastAsia" w:ascii="Times New Roman" w:hAnsi="Times New Roman" w:eastAsia="宋体" w:cs="Times New Roman"/>
                <w:b w:val="0"/>
                <w:bCs w:val="0"/>
                <w:color w:val="auto"/>
                <w:sz w:val="21"/>
                <w:szCs w:val="21"/>
                <w:lang w:val="en-US" w:eastAsia="zh-CN"/>
              </w:rPr>
              <w:t>4</w:t>
            </w:r>
            <w:r>
              <w:rPr>
                <w:rFonts w:hint="default" w:ascii="Times New Roman" w:hAnsi="Times New Roman" w:eastAsia="宋体" w:cs="Times New Roman"/>
                <w:b w:val="0"/>
                <w:bCs w:val="0"/>
                <w:color w:val="auto"/>
                <w:sz w:val="21"/>
                <w:szCs w:val="21"/>
              </w:rPr>
              <w:t>0</w:t>
            </w:r>
            <w:r>
              <w:rPr>
                <w:rFonts w:hint="default" w:ascii="Times New Roman" w:hAnsi="Times New Roman" w:eastAsia="宋体" w:cs="Times New Roman"/>
                <w:b w:val="0"/>
                <w:bCs w:val="0"/>
                <w:color w:val="auto"/>
                <w:kern w:val="0"/>
                <w:sz w:val="21"/>
                <w:szCs w:val="21"/>
              </w:rPr>
              <w:t>0m³；</w:t>
            </w:r>
          </w:p>
          <w:p>
            <w:pPr>
              <w:widowControl/>
              <w:snapToGrid w:val="0"/>
              <w:spacing w:line="240" w:lineRule="auto"/>
              <w:ind w:firstLine="0"/>
              <w:jc w:val="left"/>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⑥1座雨水监控池，有效容积为500m³。</w:t>
            </w:r>
          </w:p>
        </w:tc>
        <w:tc>
          <w:tcPr>
            <w:tcW w:w="1078" w:type="dxa"/>
            <w:noWrap w:val="0"/>
            <w:vAlign w:val="center"/>
          </w:tcPr>
          <w:p>
            <w:pPr>
              <w:spacing w:line="280" w:lineRule="exact"/>
              <w:ind w:firstLine="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1800</w:t>
            </w:r>
          </w:p>
        </w:tc>
        <w:tc>
          <w:tcPr>
            <w:tcW w:w="1067" w:type="dxa"/>
            <w:noWrap w:val="0"/>
            <w:vAlign w:val="center"/>
          </w:tcPr>
          <w:p>
            <w:pPr>
              <w:spacing w:line="280" w:lineRule="exact"/>
              <w:ind w:firstLine="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color w:val="auto"/>
                <w:sz w:val="21"/>
                <w:szCs w:val="21"/>
                <w:lang w:val="en-US" w:eastAsia="zh-CN"/>
              </w:rPr>
              <w:t>243.15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0" w:hRule="atLeast"/>
        </w:trPr>
        <w:tc>
          <w:tcPr>
            <w:tcW w:w="1394" w:type="dxa"/>
            <w:noWrap w:val="0"/>
            <w:tcMar>
              <w:left w:w="28" w:type="dxa"/>
              <w:right w:w="28" w:type="dxa"/>
            </w:tcMar>
            <w:vAlign w:val="center"/>
          </w:tcPr>
          <w:p>
            <w:pPr>
              <w:spacing w:line="280" w:lineRule="exact"/>
              <w:ind w:firstLine="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废气</w:t>
            </w:r>
          </w:p>
        </w:tc>
        <w:tc>
          <w:tcPr>
            <w:tcW w:w="5643" w:type="dxa"/>
            <w:noWrap w:val="0"/>
            <w:tcMar>
              <w:left w:w="28" w:type="dxa"/>
              <w:right w:w="28" w:type="dxa"/>
            </w:tcMar>
            <w:vAlign w:val="center"/>
          </w:tcPr>
          <w:p>
            <w:pPr>
              <w:spacing w:line="280" w:lineRule="exact"/>
              <w:ind w:firstLine="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①电子级硝酸生产过程设置废气收集管道、</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二级水吸收+强氧化吸收+二级碱吸收</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设施（T</w:t>
            </w:r>
            <w:r>
              <w:rPr>
                <w:rFonts w:hint="default" w:ascii="Times New Roman" w:hAnsi="Times New Roman" w:eastAsia="宋体" w:cs="Times New Roman"/>
                <w:color w:val="auto"/>
                <w:sz w:val="21"/>
                <w:szCs w:val="21"/>
              </w:rPr>
              <w:t>A00</w:t>
            </w: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及2</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m高排气筒（DA001）</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双氧水预洗塔（</w:t>
            </w:r>
            <w:r>
              <w:rPr>
                <w:rFonts w:hint="default" w:ascii="Times New Roman" w:hAnsi="Times New Roman" w:eastAsia="宋体" w:cs="Times New Roman"/>
                <w:color w:val="auto"/>
                <w:sz w:val="21"/>
                <w:szCs w:val="21"/>
                <w:lang w:val="en-US" w:eastAsia="zh-CN"/>
              </w:rPr>
              <w:t>T</w:t>
            </w:r>
            <w:r>
              <w:rPr>
                <w:rFonts w:hint="default" w:ascii="Times New Roman" w:hAnsi="Times New Roman" w:eastAsia="宋体" w:cs="Times New Roman"/>
                <w:color w:val="auto"/>
                <w:sz w:val="21"/>
                <w:szCs w:val="21"/>
              </w:rPr>
              <w:t>A00</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w:t>
            </w:r>
          </w:p>
          <w:p>
            <w:pPr>
              <w:widowControl/>
              <w:snapToGrid w:val="0"/>
              <w:spacing w:line="240" w:lineRule="auto"/>
              <w:ind w:firstLine="0"/>
              <w:jc w:val="left"/>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②超细银粉</w:t>
            </w:r>
            <w:r>
              <w:rPr>
                <w:rFonts w:hint="default" w:ascii="Times New Roman" w:hAnsi="Times New Roman" w:eastAsia="宋体" w:cs="Times New Roman"/>
                <w:color w:val="auto"/>
                <w:sz w:val="21"/>
                <w:szCs w:val="21"/>
                <w:lang w:val="en-US" w:eastAsia="zh-CN"/>
              </w:rPr>
              <w:t>生产过程设置废气收集管道</w:t>
            </w:r>
            <w:r>
              <w:rPr>
                <w:rFonts w:hint="default" w:ascii="Times New Roman" w:hAnsi="Times New Roman" w:eastAsia="宋体" w:cs="Times New Roman"/>
                <w:color w:val="auto"/>
                <w:sz w:val="21"/>
                <w:szCs w:val="21"/>
              </w:rPr>
              <w:t>、氨回收塔（TA00</w:t>
            </w: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二级水吸收+二级水洗+高效除雾装置+活性炭吸附</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装置</w:t>
            </w:r>
            <w:r>
              <w:rPr>
                <w:rFonts w:hint="default" w:ascii="Times New Roman" w:hAnsi="Times New Roman" w:eastAsia="宋体" w:cs="Times New Roman"/>
                <w:color w:val="auto"/>
                <w:sz w:val="21"/>
                <w:szCs w:val="21"/>
              </w:rPr>
              <w:t>（TA004）及2</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m高排气筒（DA00</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w:t>
            </w:r>
          </w:p>
          <w:p>
            <w:pPr>
              <w:widowControl/>
              <w:snapToGrid w:val="0"/>
              <w:spacing w:line="240" w:lineRule="auto"/>
              <w:ind w:firstLine="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③</w:t>
            </w:r>
            <w:r>
              <w:rPr>
                <w:rFonts w:hint="default" w:ascii="Times New Roman" w:hAnsi="Times New Roman" w:eastAsia="宋体" w:cs="Times New Roman"/>
                <w:color w:val="auto"/>
                <w:sz w:val="21"/>
                <w:szCs w:val="21"/>
              </w:rPr>
              <w:t>超细银粉</w:t>
            </w:r>
            <w:r>
              <w:rPr>
                <w:rFonts w:hint="default" w:ascii="Times New Roman" w:hAnsi="Times New Roman" w:eastAsia="宋体" w:cs="Times New Roman"/>
                <w:color w:val="auto"/>
                <w:sz w:val="21"/>
                <w:szCs w:val="21"/>
                <w:lang w:val="en-US" w:eastAsia="zh-CN"/>
              </w:rPr>
              <w:t>抗坏血酸投料废气</w:t>
            </w:r>
            <w:r>
              <w:rPr>
                <w:rFonts w:hint="default" w:ascii="Times New Roman" w:hAnsi="Times New Roman" w:eastAsia="宋体" w:cs="Times New Roman"/>
                <w:color w:val="auto"/>
                <w:sz w:val="21"/>
                <w:szCs w:val="21"/>
              </w:rPr>
              <w:t>设置</w:t>
            </w:r>
            <w:r>
              <w:rPr>
                <w:rFonts w:hint="default" w:ascii="Times New Roman" w:hAnsi="Times New Roman" w:eastAsia="宋体" w:cs="Times New Roman"/>
                <w:color w:val="auto"/>
                <w:sz w:val="21"/>
                <w:szCs w:val="21"/>
                <w:lang w:val="en-US" w:eastAsia="zh-CN"/>
              </w:rPr>
              <w:t>集气罩收集后经布袋</w:t>
            </w:r>
            <w:r>
              <w:rPr>
                <w:rFonts w:hint="default" w:ascii="Times New Roman" w:hAnsi="Times New Roman" w:eastAsia="宋体" w:cs="Times New Roman"/>
                <w:color w:val="auto"/>
                <w:sz w:val="21"/>
                <w:szCs w:val="21"/>
              </w:rPr>
              <w:t>除尘器处理（TA00</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及</w:t>
            </w:r>
            <w:r>
              <w:rPr>
                <w:rFonts w:hint="default" w:ascii="Times New Roman" w:hAnsi="Times New Roman" w:eastAsia="宋体" w:cs="Times New Roman"/>
                <w:color w:val="auto"/>
                <w:sz w:val="21"/>
                <w:szCs w:val="21"/>
              </w:rPr>
              <w:t>25m高排气筒（DA004）</w:t>
            </w:r>
            <w:r>
              <w:rPr>
                <w:rFonts w:hint="default" w:ascii="Times New Roman" w:hAnsi="Times New Roman" w:eastAsia="宋体" w:cs="Times New Roman"/>
                <w:color w:val="auto"/>
                <w:sz w:val="21"/>
                <w:szCs w:val="21"/>
                <w:lang w:eastAsia="zh-CN"/>
              </w:rPr>
              <w:t>。</w:t>
            </w:r>
          </w:p>
          <w:p>
            <w:pPr>
              <w:widowControl/>
              <w:snapToGrid w:val="0"/>
              <w:spacing w:line="300" w:lineRule="exact"/>
              <w:ind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④</w:t>
            </w:r>
            <w:r>
              <w:rPr>
                <w:rFonts w:hint="default" w:ascii="Times New Roman" w:hAnsi="Times New Roman" w:eastAsia="宋体" w:cs="Times New Roman"/>
                <w:color w:val="auto"/>
                <w:sz w:val="21"/>
                <w:szCs w:val="21"/>
              </w:rPr>
              <w:t>储罐区设置废气收集管道</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污水站生化系统设置废气收集管道</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集气</w:t>
            </w:r>
            <w:r>
              <w:rPr>
                <w:rFonts w:hint="default" w:ascii="Times New Roman" w:hAnsi="Times New Roman" w:eastAsia="宋体" w:cs="Times New Roman"/>
                <w:color w:val="auto"/>
                <w:sz w:val="21"/>
                <w:szCs w:val="21"/>
                <w:lang w:val="en-US" w:eastAsia="zh-CN"/>
              </w:rPr>
              <w:t>后进入“</w:t>
            </w:r>
            <w:r>
              <w:rPr>
                <w:rFonts w:hint="default" w:ascii="Times New Roman" w:hAnsi="Times New Roman" w:eastAsia="宋体" w:cs="Times New Roman"/>
                <w:color w:val="auto"/>
                <w:sz w:val="21"/>
                <w:szCs w:val="21"/>
              </w:rPr>
              <w:t>氧化吸收+碱吸收+生物除臭</w:t>
            </w:r>
            <w:r>
              <w:rPr>
                <w:rFonts w:hint="default" w:ascii="Times New Roman" w:hAnsi="Times New Roman" w:eastAsia="宋体" w:cs="Times New Roman"/>
                <w:color w:val="auto"/>
                <w:sz w:val="21"/>
                <w:szCs w:val="21"/>
                <w:lang w:val="en-US" w:eastAsia="zh-CN"/>
              </w:rPr>
              <w:t>”系统</w:t>
            </w:r>
            <w:r>
              <w:rPr>
                <w:rFonts w:hint="default" w:ascii="Times New Roman" w:hAnsi="Times New Roman" w:eastAsia="宋体" w:cs="Times New Roman"/>
                <w:color w:val="auto"/>
                <w:sz w:val="21"/>
                <w:szCs w:val="21"/>
              </w:rPr>
              <w:t>（TA00</w:t>
            </w:r>
            <w:r>
              <w:rPr>
                <w:rFonts w:hint="default"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及15</w:t>
            </w:r>
            <w:r>
              <w:rPr>
                <w:rFonts w:hint="default" w:ascii="Times New Roman" w:hAnsi="Times New Roman" w:eastAsia="宋体" w:cs="Times New Roman"/>
                <w:color w:val="auto"/>
                <w:sz w:val="21"/>
                <w:szCs w:val="21"/>
              </w:rPr>
              <w:t>m高排气筒（DA003）。</w:t>
            </w:r>
          </w:p>
          <w:p>
            <w:pPr>
              <w:pStyle w:val="27"/>
              <w:rPr>
                <w:rFonts w:hint="eastAsia" w:eastAsia="宋体"/>
                <w:color w:val="auto"/>
                <w:lang w:val="en-US" w:eastAsia="zh-CN"/>
              </w:rPr>
            </w:pPr>
            <w:r>
              <w:rPr>
                <w:rFonts w:hint="default" w:ascii="Times New Roman" w:hAnsi="Times New Roman" w:eastAsia="宋体" w:cs="Times New Roman"/>
                <w:b w:val="0"/>
                <w:bCs w:val="0"/>
                <w:color w:val="auto"/>
                <w:sz w:val="21"/>
                <w:szCs w:val="21"/>
                <w:lang w:val="en-US" w:eastAsia="zh-CN"/>
              </w:rPr>
              <w:t>⑤DA005 污水站配套的三效蒸发器蒸发气通过15m高排气筒（DA005）排放</w:t>
            </w:r>
            <w:r>
              <w:rPr>
                <w:rFonts w:hint="eastAsia" w:ascii="Times New Roman" w:hAnsi="Times New Roman" w:cs="Times New Roman"/>
                <w:b w:val="0"/>
                <w:bCs w:val="0"/>
                <w:color w:val="auto"/>
                <w:sz w:val="21"/>
                <w:szCs w:val="21"/>
                <w:lang w:val="en-US" w:eastAsia="zh-CN"/>
              </w:rPr>
              <w:t>。</w:t>
            </w:r>
          </w:p>
        </w:tc>
        <w:tc>
          <w:tcPr>
            <w:tcW w:w="1078" w:type="dxa"/>
            <w:noWrap w:val="0"/>
            <w:vAlign w:val="center"/>
          </w:tcPr>
          <w:p>
            <w:pPr>
              <w:spacing w:line="280" w:lineRule="exact"/>
              <w:ind w:firstLine="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280</w:t>
            </w:r>
          </w:p>
        </w:tc>
        <w:tc>
          <w:tcPr>
            <w:tcW w:w="1067" w:type="dxa"/>
            <w:noWrap w:val="0"/>
            <w:vAlign w:val="center"/>
          </w:tcPr>
          <w:p>
            <w:pPr>
              <w:spacing w:line="280" w:lineRule="exact"/>
              <w:ind w:firstLine="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kern w:val="0"/>
                <w:sz w:val="21"/>
                <w:szCs w:val="21"/>
                <w:lang w:val="en-US" w:eastAsia="zh-CN"/>
              </w:rPr>
              <w:t>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0" w:hRule="atLeast"/>
        </w:trPr>
        <w:tc>
          <w:tcPr>
            <w:tcW w:w="1394" w:type="dxa"/>
            <w:noWrap w:val="0"/>
            <w:tcMar>
              <w:left w:w="28" w:type="dxa"/>
              <w:right w:w="28" w:type="dxa"/>
            </w:tcMar>
            <w:vAlign w:val="center"/>
          </w:tcPr>
          <w:p>
            <w:pPr>
              <w:spacing w:line="280" w:lineRule="exact"/>
              <w:ind w:firstLine="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隔声降噪措施</w:t>
            </w:r>
          </w:p>
        </w:tc>
        <w:tc>
          <w:tcPr>
            <w:tcW w:w="5643" w:type="dxa"/>
            <w:noWrap w:val="0"/>
            <w:tcMar>
              <w:left w:w="28" w:type="dxa"/>
              <w:right w:w="28" w:type="dxa"/>
            </w:tcMar>
            <w:vAlign w:val="center"/>
          </w:tcPr>
          <w:p>
            <w:pPr>
              <w:spacing w:line="280" w:lineRule="exact"/>
              <w:ind w:firstLine="0"/>
              <w:jc w:val="left"/>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采取有效减振和消声等措施。</w:t>
            </w:r>
          </w:p>
        </w:tc>
        <w:tc>
          <w:tcPr>
            <w:tcW w:w="1078" w:type="dxa"/>
            <w:noWrap w:val="0"/>
            <w:vAlign w:val="center"/>
          </w:tcPr>
          <w:p>
            <w:pPr>
              <w:spacing w:line="280" w:lineRule="exact"/>
              <w:ind w:firstLine="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40</w:t>
            </w:r>
          </w:p>
        </w:tc>
        <w:tc>
          <w:tcPr>
            <w:tcW w:w="1067" w:type="dxa"/>
            <w:noWrap w:val="0"/>
            <w:vAlign w:val="center"/>
          </w:tcPr>
          <w:p>
            <w:pPr>
              <w:spacing w:line="280" w:lineRule="exact"/>
              <w:ind w:firstLine="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0" w:hRule="atLeast"/>
        </w:trPr>
        <w:tc>
          <w:tcPr>
            <w:tcW w:w="1394" w:type="dxa"/>
            <w:noWrap w:val="0"/>
            <w:tcMar>
              <w:left w:w="28" w:type="dxa"/>
              <w:right w:w="28" w:type="dxa"/>
            </w:tcMar>
            <w:vAlign w:val="center"/>
          </w:tcPr>
          <w:p>
            <w:pPr>
              <w:spacing w:line="280" w:lineRule="exact"/>
              <w:ind w:firstLine="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固体废物</w:t>
            </w:r>
          </w:p>
        </w:tc>
        <w:tc>
          <w:tcPr>
            <w:tcW w:w="5643" w:type="dxa"/>
            <w:noWrap w:val="0"/>
            <w:tcMar>
              <w:left w:w="28" w:type="dxa"/>
              <w:right w:w="28" w:type="dxa"/>
            </w:tcMar>
            <w:vAlign w:val="center"/>
          </w:tcPr>
          <w:p>
            <w:pPr>
              <w:snapToGrid w:val="0"/>
              <w:spacing w:line="360" w:lineRule="auto"/>
              <w:ind w:left="0" w:firstLine="0"/>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kern w:val="0"/>
                <w:sz w:val="21"/>
                <w:szCs w:val="21"/>
              </w:rPr>
              <w:t>建设一般固废</w:t>
            </w:r>
            <w:r>
              <w:rPr>
                <w:rFonts w:hint="eastAsia" w:ascii="Times New Roman" w:hAnsi="Times New Roman" w:eastAsia="宋体" w:cs="Times New Roman"/>
                <w:b w:val="0"/>
                <w:bCs w:val="0"/>
                <w:color w:val="auto"/>
                <w:kern w:val="0"/>
                <w:sz w:val="21"/>
                <w:szCs w:val="21"/>
                <w:lang w:val="en-US" w:eastAsia="zh-CN"/>
              </w:rPr>
              <w:t>暂存间</w:t>
            </w:r>
            <w:r>
              <w:rPr>
                <w:rFonts w:hint="default" w:ascii="Times New Roman" w:hAnsi="Times New Roman" w:eastAsia="宋体" w:cs="Times New Roman"/>
                <w:b w:val="0"/>
                <w:bCs w:val="0"/>
                <w:color w:val="auto"/>
                <w:kern w:val="0"/>
                <w:sz w:val="21"/>
                <w:szCs w:val="21"/>
              </w:rPr>
              <w:t>一座，占地面积约50m</w:t>
            </w:r>
            <w:r>
              <w:rPr>
                <w:rFonts w:hint="default" w:ascii="Times New Roman" w:hAnsi="Times New Roman" w:eastAsia="宋体" w:cs="Times New Roman"/>
                <w:b w:val="0"/>
                <w:bCs w:val="0"/>
                <w:color w:val="auto"/>
                <w:kern w:val="0"/>
                <w:sz w:val="21"/>
                <w:szCs w:val="21"/>
                <w:vertAlign w:val="superscript"/>
              </w:rPr>
              <w:t>2</w:t>
            </w:r>
            <w:r>
              <w:rPr>
                <w:rFonts w:hint="default" w:ascii="Times New Roman" w:hAnsi="Times New Roman" w:eastAsia="宋体" w:cs="Times New Roman"/>
                <w:b w:val="0"/>
                <w:bCs w:val="0"/>
                <w:color w:val="auto"/>
                <w:kern w:val="0"/>
                <w:sz w:val="21"/>
                <w:szCs w:val="21"/>
                <w:lang w:eastAsia="zh-CN"/>
              </w:rPr>
              <w:t>；</w:t>
            </w:r>
            <w:r>
              <w:rPr>
                <w:rFonts w:hint="default" w:ascii="Times New Roman" w:hAnsi="Times New Roman" w:eastAsia="宋体" w:cs="Times New Roman"/>
                <w:b w:val="0"/>
                <w:bCs w:val="0"/>
                <w:color w:val="auto"/>
                <w:kern w:val="0"/>
                <w:sz w:val="21"/>
                <w:szCs w:val="21"/>
              </w:rPr>
              <w:t>建设危险废物</w:t>
            </w:r>
            <w:r>
              <w:rPr>
                <w:rFonts w:hint="eastAsia" w:ascii="Times New Roman" w:hAnsi="Times New Roman" w:eastAsia="宋体" w:cs="Times New Roman"/>
                <w:b w:val="0"/>
                <w:bCs w:val="0"/>
                <w:color w:val="auto"/>
                <w:kern w:val="0"/>
                <w:sz w:val="21"/>
                <w:szCs w:val="21"/>
                <w:lang w:val="en-US" w:eastAsia="zh-CN"/>
              </w:rPr>
              <w:t>暂存间</w:t>
            </w:r>
            <w:r>
              <w:rPr>
                <w:rFonts w:hint="default" w:ascii="Times New Roman" w:hAnsi="Times New Roman" w:eastAsia="宋体" w:cs="Times New Roman"/>
                <w:b w:val="0"/>
                <w:bCs w:val="0"/>
                <w:color w:val="auto"/>
                <w:kern w:val="0"/>
                <w:sz w:val="21"/>
                <w:szCs w:val="21"/>
              </w:rPr>
              <w:t>一座，占地面积约300m</w:t>
            </w:r>
            <w:r>
              <w:rPr>
                <w:rFonts w:hint="default" w:ascii="Times New Roman" w:hAnsi="Times New Roman" w:eastAsia="宋体" w:cs="Times New Roman"/>
                <w:b w:val="0"/>
                <w:bCs w:val="0"/>
                <w:color w:val="auto"/>
                <w:kern w:val="0"/>
                <w:sz w:val="21"/>
                <w:szCs w:val="21"/>
                <w:vertAlign w:val="superscript"/>
              </w:rPr>
              <w:t>2</w:t>
            </w:r>
            <w:r>
              <w:rPr>
                <w:rFonts w:hint="default" w:ascii="Times New Roman" w:hAnsi="Times New Roman" w:eastAsia="宋体" w:cs="Times New Roman"/>
                <w:b w:val="0"/>
                <w:bCs w:val="0"/>
                <w:color w:val="auto"/>
                <w:kern w:val="0"/>
                <w:sz w:val="21"/>
                <w:szCs w:val="21"/>
              </w:rPr>
              <w:t>，定期委托有做资质单位处置</w:t>
            </w:r>
            <w:r>
              <w:rPr>
                <w:rFonts w:hint="default" w:ascii="Times New Roman" w:hAnsi="Times New Roman" w:eastAsia="宋体" w:cs="Times New Roman"/>
                <w:b w:val="0"/>
                <w:bCs w:val="0"/>
                <w:color w:val="auto"/>
                <w:kern w:val="0"/>
                <w:sz w:val="21"/>
                <w:szCs w:val="21"/>
                <w:lang w:eastAsia="zh-CN"/>
              </w:rPr>
              <w:t>。</w:t>
            </w:r>
          </w:p>
        </w:tc>
        <w:tc>
          <w:tcPr>
            <w:tcW w:w="1078" w:type="dxa"/>
            <w:noWrap w:val="0"/>
            <w:vAlign w:val="center"/>
          </w:tcPr>
          <w:p>
            <w:pPr>
              <w:spacing w:line="280" w:lineRule="exact"/>
              <w:ind w:firstLine="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50</w:t>
            </w:r>
          </w:p>
        </w:tc>
        <w:tc>
          <w:tcPr>
            <w:tcW w:w="1067" w:type="dxa"/>
            <w:noWrap w:val="0"/>
            <w:vAlign w:val="center"/>
          </w:tcPr>
          <w:p>
            <w:pPr>
              <w:spacing w:line="280" w:lineRule="exact"/>
              <w:ind w:firstLine="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0" w:hRule="atLeast"/>
        </w:trPr>
        <w:tc>
          <w:tcPr>
            <w:tcW w:w="1394" w:type="dxa"/>
            <w:noWrap w:val="0"/>
            <w:tcMar>
              <w:left w:w="28" w:type="dxa"/>
              <w:right w:w="28" w:type="dxa"/>
            </w:tcMar>
            <w:vAlign w:val="center"/>
          </w:tcPr>
          <w:p>
            <w:pPr>
              <w:spacing w:line="280" w:lineRule="exact"/>
              <w:ind w:firstLine="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地下水防渗措施</w:t>
            </w:r>
          </w:p>
        </w:tc>
        <w:tc>
          <w:tcPr>
            <w:tcW w:w="5643" w:type="dxa"/>
            <w:noWrap w:val="0"/>
            <w:tcMar>
              <w:left w:w="28" w:type="dxa"/>
              <w:right w:w="28" w:type="dxa"/>
            </w:tcMar>
            <w:vAlign w:val="center"/>
          </w:tcPr>
          <w:p>
            <w:pPr>
              <w:spacing w:line="280" w:lineRule="exact"/>
              <w:ind w:firstLine="0"/>
              <w:jc w:val="left"/>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①按照重点污染防治区、一般污染防治区、非污染放置区的划定情况进行分区防渗；</w:t>
            </w:r>
          </w:p>
          <w:p>
            <w:pPr>
              <w:spacing w:line="280" w:lineRule="exact"/>
              <w:ind w:firstLine="0"/>
              <w:jc w:val="left"/>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②设地下水监控井。</w:t>
            </w:r>
          </w:p>
        </w:tc>
        <w:tc>
          <w:tcPr>
            <w:tcW w:w="1078" w:type="dxa"/>
            <w:noWrap w:val="0"/>
            <w:vAlign w:val="center"/>
          </w:tcPr>
          <w:p>
            <w:pPr>
              <w:spacing w:line="280" w:lineRule="exact"/>
              <w:ind w:firstLine="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80</w:t>
            </w:r>
          </w:p>
        </w:tc>
        <w:tc>
          <w:tcPr>
            <w:tcW w:w="1067" w:type="dxa"/>
            <w:noWrap w:val="0"/>
            <w:vAlign w:val="center"/>
          </w:tcPr>
          <w:p>
            <w:pPr>
              <w:spacing w:line="280" w:lineRule="exact"/>
              <w:ind w:firstLine="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7" w:hRule="atLeast"/>
        </w:trPr>
        <w:tc>
          <w:tcPr>
            <w:tcW w:w="1394" w:type="dxa"/>
            <w:noWrap w:val="0"/>
            <w:tcMar>
              <w:left w:w="28" w:type="dxa"/>
              <w:right w:w="28" w:type="dxa"/>
            </w:tcMar>
            <w:vAlign w:val="center"/>
          </w:tcPr>
          <w:p>
            <w:pPr>
              <w:spacing w:line="280" w:lineRule="exact"/>
              <w:ind w:firstLine="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环境风险</w:t>
            </w:r>
          </w:p>
        </w:tc>
        <w:tc>
          <w:tcPr>
            <w:tcW w:w="5643" w:type="dxa"/>
            <w:noWrap w:val="0"/>
            <w:tcMar>
              <w:left w:w="28" w:type="dxa"/>
              <w:right w:w="28" w:type="dxa"/>
            </w:tcMar>
            <w:vAlign w:val="center"/>
          </w:tcPr>
          <w:p>
            <w:pPr>
              <w:spacing w:line="280" w:lineRule="exact"/>
              <w:ind w:firstLine="0"/>
              <w:jc w:val="left"/>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①新建一座1</w:t>
            </w:r>
            <w:r>
              <w:rPr>
                <w:rFonts w:hint="default" w:ascii="Times New Roman" w:hAnsi="Times New Roman" w:eastAsia="宋体" w:cs="Times New Roman"/>
                <w:b w:val="0"/>
                <w:bCs w:val="0"/>
                <w:color w:val="auto"/>
                <w:sz w:val="21"/>
                <w:szCs w:val="21"/>
                <w:lang w:val="en-US" w:eastAsia="zh-CN"/>
              </w:rPr>
              <w:t>4</w:t>
            </w:r>
            <w:r>
              <w:rPr>
                <w:rFonts w:hint="default" w:ascii="Times New Roman" w:hAnsi="Times New Roman" w:eastAsia="宋体" w:cs="Times New Roman"/>
                <w:b w:val="0"/>
                <w:bCs w:val="0"/>
                <w:color w:val="auto"/>
                <w:sz w:val="21"/>
                <w:szCs w:val="21"/>
              </w:rPr>
              <w:t>00m</w:t>
            </w:r>
            <w:r>
              <w:rPr>
                <w:rFonts w:hint="default" w:ascii="Times New Roman" w:hAnsi="Times New Roman" w:eastAsia="宋体" w:cs="Times New Roman"/>
                <w:b w:val="0"/>
                <w:bCs w:val="0"/>
                <w:color w:val="auto"/>
                <w:sz w:val="21"/>
                <w:szCs w:val="21"/>
                <w:vertAlign w:val="superscript"/>
              </w:rPr>
              <w:t>3</w:t>
            </w:r>
            <w:r>
              <w:rPr>
                <w:rFonts w:hint="default" w:ascii="Times New Roman" w:hAnsi="Times New Roman" w:eastAsia="宋体" w:cs="Times New Roman"/>
                <w:b w:val="0"/>
                <w:bCs w:val="0"/>
                <w:color w:val="auto"/>
                <w:sz w:val="21"/>
                <w:szCs w:val="21"/>
              </w:rPr>
              <w:t>事故应急池及配套切换设施，导流设施；</w:t>
            </w:r>
          </w:p>
          <w:p>
            <w:pPr>
              <w:spacing w:line="280" w:lineRule="exact"/>
              <w:ind w:firstLine="0"/>
              <w:jc w:val="left"/>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 xml:space="preserve">②有毒气体泄漏报警器及火灾报警器，监控设置、手动报警器等； </w:t>
            </w:r>
          </w:p>
          <w:p>
            <w:pPr>
              <w:spacing w:line="280" w:lineRule="exact"/>
              <w:ind w:firstLine="0"/>
              <w:jc w:val="left"/>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③罐区围堰、防火堤；</w:t>
            </w:r>
          </w:p>
          <w:p>
            <w:pPr>
              <w:spacing w:line="280" w:lineRule="exact"/>
              <w:ind w:firstLine="0"/>
              <w:jc w:val="left"/>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④按照应急预案要求配套相应应急物资。</w:t>
            </w:r>
          </w:p>
        </w:tc>
        <w:tc>
          <w:tcPr>
            <w:tcW w:w="1078" w:type="dxa"/>
            <w:noWrap w:val="0"/>
            <w:vAlign w:val="center"/>
          </w:tcPr>
          <w:p>
            <w:pPr>
              <w:spacing w:line="280" w:lineRule="exact"/>
              <w:ind w:firstLine="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200</w:t>
            </w:r>
          </w:p>
        </w:tc>
        <w:tc>
          <w:tcPr>
            <w:tcW w:w="1067" w:type="dxa"/>
            <w:noWrap w:val="0"/>
            <w:vAlign w:val="center"/>
          </w:tcPr>
          <w:p>
            <w:pPr>
              <w:spacing w:line="280" w:lineRule="exact"/>
              <w:ind w:firstLine="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r>
      <w:bookmarkEnd w:id="418"/>
      <w:bookmarkEnd w:id="419"/>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7" w:hRule="atLeast"/>
        </w:trPr>
        <w:tc>
          <w:tcPr>
            <w:tcW w:w="7037" w:type="dxa"/>
            <w:gridSpan w:val="2"/>
            <w:noWrap w:val="0"/>
            <w:tcMar>
              <w:left w:w="28" w:type="dxa"/>
              <w:right w:w="28" w:type="dxa"/>
            </w:tcMar>
            <w:vAlign w:val="center"/>
          </w:tcPr>
          <w:p>
            <w:pPr>
              <w:spacing w:line="280" w:lineRule="exact"/>
              <w:ind w:firstLine="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合计</w:t>
            </w:r>
          </w:p>
        </w:tc>
        <w:tc>
          <w:tcPr>
            <w:tcW w:w="1078" w:type="dxa"/>
            <w:noWrap w:val="0"/>
            <w:vAlign w:val="center"/>
          </w:tcPr>
          <w:p>
            <w:pPr>
              <w:spacing w:line="280" w:lineRule="exact"/>
              <w:ind w:firstLine="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2450</w:t>
            </w:r>
          </w:p>
        </w:tc>
        <w:tc>
          <w:tcPr>
            <w:tcW w:w="1067" w:type="dxa"/>
            <w:noWrap w:val="0"/>
            <w:vAlign w:val="center"/>
          </w:tcPr>
          <w:p>
            <w:pPr>
              <w:spacing w:line="280" w:lineRule="exact"/>
              <w:ind w:firstLine="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777.15</w:t>
            </w:r>
          </w:p>
        </w:tc>
      </w:tr>
    </w:tbl>
    <w:p>
      <w:pPr>
        <w:keepNext/>
        <w:keepLines/>
        <w:spacing w:line="360" w:lineRule="auto"/>
        <w:ind w:firstLine="0"/>
        <w:textAlignment w:val="baseline"/>
        <w:outlineLvl w:val="2"/>
        <w:rPr>
          <w:rFonts w:hint="default" w:ascii="Times New Roman" w:hAnsi="Times New Roman" w:eastAsia="黑体" w:cs="Times New Roman"/>
          <w:color w:val="auto"/>
          <w:kern w:val="0"/>
          <w:sz w:val="30"/>
          <w:szCs w:val="30"/>
          <w:lang w:val="en-GB"/>
        </w:rPr>
      </w:pPr>
      <w:r>
        <w:rPr>
          <w:rFonts w:hint="default" w:ascii="Times New Roman" w:hAnsi="Times New Roman" w:eastAsia="黑体" w:cs="Times New Roman"/>
          <w:color w:val="auto"/>
          <w:kern w:val="0"/>
          <w:sz w:val="30"/>
          <w:szCs w:val="30"/>
        </w:rPr>
        <w:t>8.1.2 环境经济损失</w:t>
      </w:r>
    </w:p>
    <w:p>
      <w:pPr>
        <w:spacing w:line="360" w:lineRule="auto"/>
        <w:ind w:firstLine="480"/>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lang w:val="en-GB"/>
        </w:rPr>
        <w:t>本工程的建设将产生明显的社会效益和经济效益，但若未采取环保措施，将对周围水、大气及声环境产生一定的影响，造成一定的损失。其中有些影响可以按费用来折算，有些则无法用费用来折算。</w:t>
      </w:r>
    </w:p>
    <w:p>
      <w:pPr>
        <w:spacing w:line="360" w:lineRule="auto"/>
        <w:ind w:firstLine="480"/>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lang w:val="en-GB"/>
        </w:rPr>
        <w:t>难以用费用来折算的损失主要有以下几个方面：</w:t>
      </w:r>
    </w:p>
    <w:p>
      <w:pPr>
        <w:spacing w:line="360" w:lineRule="auto"/>
        <w:ind w:firstLine="480"/>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lang w:val="en-GB"/>
        </w:rPr>
        <w:t>（1）运营期项目废水排放对周边水环境的影响；</w:t>
      </w:r>
    </w:p>
    <w:p>
      <w:pPr>
        <w:spacing w:line="360" w:lineRule="auto"/>
        <w:ind w:firstLine="480"/>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lang w:val="en-GB"/>
        </w:rPr>
        <w:t>（2）运营期项目废气排放对周边环境空气和居民生活环境的影响；</w:t>
      </w:r>
    </w:p>
    <w:p>
      <w:pPr>
        <w:spacing w:line="360" w:lineRule="auto"/>
        <w:ind w:firstLine="480"/>
        <w:rPr>
          <w:rFonts w:hint="default" w:ascii="Times New Roman" w:hAnsi="Times New Roman" w:eastAsia="宋体" w:cs="Times New Roman"/>
          <w:color w:val="auto"/>
          <w:sz w:val="24"/>
          <w:szCs w:val="24"/>
          <w:lang w:val="en-GB"/>
        </w:rPr>
      </w:pPr>
      <w:r>
        <w:rPr>
          <w:rFonts w:hint="default" w:ascii="Times New Roman" w:hAnsi="Times New Roman" w:eastAsia="宋体" w:cs="Times New Roman"/>
          <w:color w:val="auto"/>
          <w:sz w:val="24"/>
          <w:szCs w:val="24"/>
          <w:lang w:val="en-GB"/>
        </w:rPr>
        <w:t>（3）运营期高噪声设备运作对周边声环境的影响。</w:t>
      </w:r>
    </w:p>
    <w:p>
      <w:pPr>
        <w:spacing w:line="360" w:lineRule="auto"/>
        <w:ind w:firstLine="480"/>
        <w:rPr>
          <w:rFonts w:hint="default" w:ascii="Times New Roman" w:hAnsi="Times New Roman" w:eastAsia="宋体" w:cs="Times New Roman"/>
          <w:sz w:val="24"/>
          <w:szCs w:val="24"/>
          <w:lang w:val="en-GB"/>
        </w:rPr>
      </w:pPr>
      <w:r>
        <w:rPr>
          <w:rFonts w:hint="default" w:ascii="Times New Roman" w:hAnsi="Times New Roman" w:eastAsia="宋体" w:cs="Times New Roman"/>
          <w:color w:val="auto"/>
          <w:sz w:val="24"/>
          <w:szCs w:val="24"/>
          <w:lang w:val="en-GB"/>
        </w:rPr>
        <w:t>（4）运营期危化品泄漏污染大气环境、地下水环境、土壤，若易燃危化品遇明火引发的火灾爆炸，对周边居民人身</w:t>
      </w:r>
      <w:r>
        <w:rPr>
          <w:rFonts w:hint="default" w:ascii="Times New Roman" w:hAnsi="Times New Roman" w:eastAsia="宋体" w:cs="Times New Roman"/>
          <w:sz w:val="24"/>
          <w:szCs w:val="24"/>
          <w:lang w:val="en-GB"/>
        </w:rPr>
        <w:t>安全和环境造成的影响和损害。</w:t>
      </w:r>
    </w:p>
    <w:p>
      <w:pPr>
        <w:spacing w:line="360" w:lineRule="auto"/>
        <w:ind w:firstLine="480"/>
        <w:rPr>
          <w:rFonts w:hint="default" w:ascii="Times New Roman" w:hAnsi="Times New Roman" w:eastAsia="宋体" w:cs="Times New Roman"/>
          <w:sz w:val="24"/>
          <w:szCs w:val="24"/>
          <w:lang w:val="en-GB"/>
        </w:rPr>
      </w:pPr>
      <w:r>
        <w:rPr>
          <w:rFonts w:hint="default" w:ascii="Times New Roman" w:hAnsi="Times New Roman" w:eastAsia="宋体" w:cs="Times New Roman"/>
          <w:sz w:val="24"/>
          <w:szCs w:val="24"/>
          <w:lang w:val="en-GB"/>
        </w:rPr>
        <w:t>通过加强运营期环境管理，并采取相应的污染防治措施，可以将本项目建设的环境影响降低到最低程度。</w:t>
      </w:r>
    </w:p>
    <w:p>
      <w:pPr>
        <w:keepNext/>
        <w:keepLines/>
        <w:spacing w:line="360" w:lineRule="auto"/>
        <w:ind w:firstLine="0"/>
        <w:outlineLvl w:val="1"/>
        <w:rPr>
          <w:rFonts w:hint="default" w:ascii="Times New Roman" w:hAnsi="Times New Roman" w:eastAsia="黑体" w:cs="Times New Roman"/>
          <w:bCs/>
          <w:sz w:val="32"/>
          <w:szCs w:val="30"/>
        </w:rPr>
      </w:pPr>
      <w:bookmarkStart w:id="420" w:name="_Toc318215550"/>
      <w:bookmarkStart w:id="421" w:name="_Toc413508778"/>
      <w:bookmarkStart w:id="422" w:name="_Toc27631"/>
      <w:bookmarkStart w:id="423" w:name="_Toc12812"/>
      <w:r>
        <w:rPr>
          <w:rFonts w:hint="default" w:ascii="Times New Roman" w:hAnsi="Times New Roman" w:eastAsia="黑体" w:cs="Times New Roman"/>
          <w:bCs/>
          <w:sz w:val="32"/>
          <w:szCs w:val="30"/>
        </w:rPr>
        <w:t>8.2社会效益分析</w:t>
      </w:r>
      <w:bookmarkEnd w:id="420"/>
      <w:bookmarkEnd w:id="421"/>
      <w:bookmarkEnd w:id="422"/>
      <w:bookmarkEnd w:id="423"/>
    </w:p>
    <w:p>
      <w:pPr>
        <w:spacing w:line="360" w:lineRule="auto"/>
        <w:ind w:firstLine="480"/>
        <w:rPr>
          <w:rFonts w:hint="default" w:ascii="Times New Roman" w:hAnsi="Times New Roman" w:eastAsia="宋体" w:cs="Times New Roman"/>
          <w:sz w:val="24"/>
          <w:szCs w:val="24"/>
          <w:lang w:val="en-GB"/>
        </w:rPr>
      </w:pPr>
      <w:r>
        <w:rPr>
          <w:rFonts w:hint="default" w:ascii="Times New Roman" w:hAnsi="Times New Roman" w:eastAsia="宋体" w:cs="Times New Roman"/>
          <w:sz w:val="24"/>
          <w:szCs w:val="24"/>
          <w:lang w:val="en-GB"/>
        </w:rPr>
        <w:t>本项目建成后的社会效益主要体现在以下几个方面：</w:t>
      </w:r>
    </w:p>
    <w:p>
      <w:pPr>
        <w:spacing w:line="360" w:lineRule="auto"/>
        <w:ind w:firstLine="480"/>
        <w:rPr>
          <w:rFonts w:hint="default" w:ascii="Times New Roman" w:hAnsi="Times New Roman" w:eastAsia="宋体" w:cs="Times New Roman"/>
          <w:sz w:val="24"/>
          <w:szCs w:val="24"/>
          <w:lang w:val="en-GB"/>
        </w:rPr>
      </w:pPr>
      <w:r>
        <w:rPr>
          <w:rFonts w:hint="default" w:ascii="Times New Roman" w:hAnsi="Times New Roman" w:eastAsia="宋体" w:cs="Times New Roman"/>
          <w:sz w:val="24"/>
          <w:szCs w:val="24"/>
          <w:lang w:val="en-GB"/>
        </w:rPr>
        <w:t>（1）本项目的建设有着良好的市场基础，符合国家产业政策和当地发展规划，建设目标明确，技术方案科学合理，工艺设备先进适用，在为企业创造良好经济效益的同时，也可以实现巨大的社会效益。</w:t>
      </w:r>
    </w:p>
    <w:p>
      <w:pPr>
        <w:spacing w:line="360" w:lineRule="auto"/>
        <w:ind w:firstLine="480"/>
        <w:rPr>
          <w:rFonts w:hint="default" w:ascii="Times New Roman" w:hAnsi="Times New Roman" w:eastAsia="宋体" w:cs="Times New Roman"/>
          <w:sz w:val="24"/>
          <w:szCs w:val="24"/>
          <w:lang w:val="en-GB"/>
        </w:rPr>
      </w:pPr>
      <w:r>
        <w:rPr>
          <w:rFonts w:hint="default" w:ascii="Times New Roman" w:hAnsi="Times New Roman" w:eastAsia="宋体" w:cs="Times New Roman"/>
          <w:sz w:val="24"/>
          <w:szCs w:val="24"/>
          <w:lang w:val="en-GB"/>
        </w:rPr>
        <w:t>（2）本项目投产后能增加国家和地方的税收，为当地群众提供就业机会，有利于促进本地区的经济和社会发展；</w:t>
      </w:r>
    </w:p>
    <w:p>
      <w:pPr>
        <w:spacing w:line="360" w:lineRule="auto"/>
        <w:ind w:firstLine="480"/>
        <w:rPr>
          <w:rFonts w:hint="default" w:ascii="Times New Roman" w:hAnsi="Times New Roman" w:eastAsia="宋体" w:cs="Times New Roman"/>
          <w:sz w:val="24"/>
          <w:szCs w:val="24"/>
          <w:lang w:val="en-GB"/>
        </w:rPr>
      </w:pPr>
      <w:r>
        <w:rPr>
          <w:rFonts w:hint="default" w:ascii="Times New Roman" w:hAnsi="Times New Roman" w:eastAsia="宋体" w:cs="Times New Roman"/>
          <w:sz w:val="24"/>
          <w:szCs w:val="24"/>
          <w:lang w:val="en-GB"/>
        </w:rPr>
        <w:t>（3）本项目位于</w:t>
      </w:r>
      <w:r>
        <w:rPr>
          <w:rFonts w:hint="default" w:ascii="Times New Roman" w:hAnsi="Times New Roman" w:eastAsia="宋体" w:cs="Times New Roman"/>
          <w:color w:val="000000"/>
          <w:sz w:val="24"/>
          <w:szCs w:val="22"/>
        </w:rPr>
        <w:t>福建省福州江阴港城经济区</w:t>
      </w:r>
      <w:r>
        <w:rPr>
          <w:rFonts w:hint="default" w:ascii="Times New Roman" w:hAnsi="Times New Roman" w:eastAsia="宋体" w:cs="Times New Roman"/>
          <w:sz w:val="24"/>
          <w:szCs w:val="24"/>
          <w:lang w:val="en-GB"/>
        </w:rPr>
        <w:t>，对完善园区工业用地的建设，提高土地利用有重大意义。</w:t>
      </w:r>
    </w:p>
    <w:p>
      <w:pPr>
        <w:spacing w:line="360" w:lineRule="auto"/>
        <w:ind w:firstLine="480"/>
        <w:rPr>
          <w:rFonts w:hint="default" w:ascii="Times New Roman" w:hAnsi="Times New Roman" w:eastAsia="宋体" w:cs="Times New Roman"/>
          <w:sz w:val="24"/>
          <w:szCs w:val="24"/>
          <w:lang w:val="en-GB"/>
        </w:rPr>
      </w:pPr>
      <w:r>
        <w:rPr>
          <w:rFonts w:hint="default" w:ascii="Times New Roman" w:hAnsi="Times New Roman" w:eastAsia="宋体" w:cs="Times New Roman"/>
          <w:sz w:val="24"/>
          <w:szCs w:val="24"/>
          <w:lang w:val="en-GB"/>
        </w:rPr>
        <w:t>（</w:t>
      </w:r>
      <w:r>
        <w:rPr>
          <w:rFonts w:hint="default" w:ascii="Times New Roman" w:hAnsi="Times New Roman" w:eastAsia="宋体" w:cs="Times New Roman"/>
          <w:sz w:val="24"/>
          <w:szCs w:val="24"/>
        </w:rPr>
        <w:t>4</w:t>
      </w:r>
      <w:r>
        <w:rPr>
          <w:rFonts w:hint="default" w:ascii="Times New Roman" w:hAnsi="Times New Roman" w:eastAsia="宋体" w:cs="Times New Roman"/>
          <w:sz w:val="24"/>
          <w:szCs w:val="24"/>
          <w:lang w:val="en-GB"/>
        </w:rPr>
        <w:t>）本项目采取先进工艺，具有收效高、产品质量好、污染少、投资低等特点，有较大的竞争优势。</w:t>
      </w:r>
    </w:p>
    <w:p>
      <w:pPr>
        <w:keepNext/>
        <w:keepLines/>
        <w:spacing w:line="360" w:lineRule="auto"/>
        <w:ind w:firstLine="0"/>
        <w:outlineLvl w:val="1"/>
        <w:rPr>
          <w:rFonts w:hint="default" w:ascii="Times New Roman" w:hAnsi="Times New Roman" w:eastAsia="黑体" w:cs="Times New Roman"/>
          <w:bCs/>
          <w:sz w:val="32"/>
          <w:szCs w:val="30"/>
        </w:rPr>
      </w:pPr>
      <w:bookmarkStart w:id="424" w:name="_Toc514991643"/>
      <w:bookmarkStart w:id="425" w:name="_Toc279073941"/>
      <w:bookmarkStart w:id="426" w:name="_Toc86418578"/>
      <w:bookmarkStart w:id="427" w:name="_Toc444624208"/>
      <w:bookmarkStart w:id="428" w:name="_Toc87668559"/>
      <w:bookmarkStart w:id="429" w:name="_Toc517781456"/>
      <w:bookmarkStart w:id="430" w:name="_Toc115236245"/>
      <w:bookmarkStart w:id="431" w:name="_Toc71773042"/>
      <w:bookmarkStart w:id="432" w:name="_Toc6677"/>
      <w:bookmarkStart w:id="433" w:name="_Toc24315"/>
      <w:r>
        <w:rPr>
          <w:rFonts w:hint="default" w:ascii="Times New Roman" w:hAnsi="Times New Roman" w:eastAsia="黑体" w:cs="Times New Roman"/>
          <w:bCs/>
          <w:sz w:val="32"/>
          <w:szCs w:val="30"/>
        </w:rPr>
        <w:t>8.3 经济效益分析</w:t>
      </w:r>
      <w:bookmarkEnd w:id="424"/>
      <w:bookmarkEnd w:id="425"/>
      <w:bookmarkEnd w:id="426"/>
      <w:bookmarkEnd w:id="427"/>
      <w:bookmarkEnd w:id="428"/>
      <w:bookmarkEnd w:id="429"/>
      <w:bookmarkEnd w:id="430"/>
      <w:bookmarkEnd w:id="431"/>
      <w:bookmarkEnd w:id="432"/>
      <w:bookmarkEnd w:id="433"/>
    </w:p>
    <w:p>
      <w:pPr>
        <w:spacing w:line="360" w:lineRule="auto"/>
        <w:ind w:firstLine="480"/>
        <w:rPr>
          <w:rFonts w:hint="default" w:ascii="Times New Roman" w:hAnsi="Times New Roman" w:eastAsia="宋体" w:cs="Times New Roman"/>
          <w:color w:val="FF0000"/>
          <w:sz w:val="24"/>
          <w:szCs w:val="24"/>
          <w:lang w:val="en-GB"/>
        </w:rPr>
      </w:pPr>
      <w:r>
        <w:rPr>
          <w:rFonts w:hint="default" w:ascii="Times New Roman" w:hAnsi="Times New Roman" w:eastAsia="宋体" w:cs="Times New Roman"/>
          <w:color w:val="000000"/>
          <w:sz w:val="24"/>
          <w:szCs w:val="24"/>
          <w:lang w:val="en-GB"/>
        </w:rPr>
        <w:t>项目总投资</w:t>
      </w:r>
      <w:r>
        <w:rPr>
          <w:rFonts w:hint="default" w:ascii="Times New Roman" w:hAnsi="Times New Roman" w:eastAsia="宋体" w:cs="Times New Roman"/>
          <w:color w:val="000000"/>
          <w:sz w:val="24"/>
          <w:szCs w:val="24"/>
        </w:rPr>
        <w:t>41784.07万元，</w:t>
      </w:r>
      <w:r>
        <w:rPr>
          <w:rFonts w:hint="default" w:ascii="Times New Roman" w:hAnsi="Times New Roman" w:eastAsia="宋体" w:cs="Times New Roman"/>
          <w:color w:val="000000"/>
          <w:sz w:val="24"/>
          <w:szCs w:val="24"/>
          <w:lang w:val="en-GB"/>
        </w:rPr>
        <w:t>项目建成后</w:t>
      </w:r>
      <w:r>
        <w:rPr>
          <w:rFonts w:hint="default" w:ascii="Times New Roman" w:hAnsi="Times New Roman" w:eastAsia="宋体" w:cs="Times New Roman"/>
          <w:color w:val="000000"/>
          <w:kern w:val="0"/>
          <w:sz w:val="24"/>
          <w:szCs w:val="24"/>
          <w:lang w:bidi="ar"/>
        </w:rPr>
        <w:t>年均销售收入</w:t>
      </w:r>
      <w:r>
        <w:rPr>
          <w:rFonts w:hint="default" w:ascii="Times New Roman" w:hAnsi="Times New Roman" w:eastAsia="宋体" w:cs="Times New Roman"/>
          <w:color w:val="000000"/>
          <w:sz w:val="24"/>
          <w:szCs w:val="24"/>
          <w:lang w:val="en-GB"/>
        </w:rPr>
        <w:t>为</w:t>
      </w:r>
      <w:r>
        <w:rPr>
          <w:rFonts w:hint="default" w:ascii="Times New Roman" w:hAnsi="Times New Roman" w:eastAsia="宋体" w:cs="Times New Roman"/>
          <w:color w:val="000000"/>
          <w:kern w:val="0"/>
          <w:sz w:val="24"/>
          <w:szCs w:val="24"/>
          <w:lang w:bidi="ar"/>
        </w:rPr>
        <w:t>2774640.28</w:t>
      </w:r>
      <w:r>
        <w:rPr>
          <w:rFonts w:hint="default" w:ascii="Times New Roman" w:hAnsi="Times New Roman" w:eastAsia="宋体" w:cs="Times New Roman"/>
          <w:color w:val="000000"/>
          <w:sz w:val="24"/>
          <w:szCs w:val="24"/>
          <w:lang w:val="en-GB"/>
        </w:rPr>
        <w:t>万元，年增值税为</w:t>
      </w:r>
      <w:r>
        <w:rPr>
          <w:rFonts w:hint="default" w:ascii="Times New Roman" w:hAnsi="Times New Roman" w:eastAsia="宋体" w:cs="Times New Roman"/>
          <w:sz w:val="24"/>
          <w:szCs w:val="24"/>
        </w:rPr>
        <w:t>16970.19</w:t>
      </w:r>
      <w:r>
        <w:rPr>
          <w:rFonts w:hint="default" w:ascii="Times New Roman" w:hAnsi="Times New Roman" w:eastAsia="宋体" w:cs="Times New Roman"/>
          <w:color w:val="000000"/>
          <w:sz w:val="24"/>
          <w:szCs w:val="24"/>
          <w:lang w:val="en-GB"/>
        </w:rPr>
        <w:t>万元，税后平均利润</w:t>
      </w:r>
      <w:r>
        <w:rPr>
          <w:rFonts w:hint="default" w:ascii="Times New Roman" w:hAnsi="Times New Roman" w:eastAsia="宋体" w:cs="Times New Roman"/>
          <w:color w:val="000000"/>
          <w:kern w:val="0"/>
          <w:sz w:val="24"/>
          <w:szCs w:val="24"/>
          <w:lang w:bidi="ar"/>
        </w:rPr>
        <w:t>18579.57</w:t>
      </w:r>
      <w:r>
        <w:rPr>
          <w:rFonts w:hint="default" w:ascii="Times New Roman" w:hAnsi="Times New Roman" w:eastAsia="宋体" w:cs="Times New Roman"/>
          <w:color w:val="000000"/>
          <w:sz w:val="24"/>
          <w:szCs w:val="24"/>
          <w:lang w:val="en-GB"/>
        </w:rPr>
        <w:t>万元，对国家和地方财政收入贡献比较大，投资利润率为</w:t>
      </w:r>
      <w:r>
        <w:rPr>
          <w:rFonts w:hint="default" w:ascii="Times New Roman" w:hAnsi="Times New Roman" w:eastAsia="宋体" w:cs="Times New Roman"/>
          <w:color w:val="000000"/>
          <w:kern w:val="0"/>
          <w:sz w:val="24"/>
          <w:szCs w:val="24"/>
          <w:lang w:bidi="ar"/>
        </w:rPr>
        <w:t>32.19</w:t>
      </w:r>
      <w:r>
        <w:rPr>
          <w:rFonts w:hint="default" w:ascii="Times New Roman" w:hAnsi="Times New Roman" w:eastAsia="宋体" w:cs="Times New Roman"/>
          <w:color w:val="000000"/>
          <w:sz w:val="24"/>
          <w:szCs w:val="24"/>
          <w:lang w:val="en-GB"/>
        </w:rPr>
        <w:t>%，税后投资回收期</w:t>
      </w:r>
      <w:r>
        <w:rPr>
          <w:rFonts w:hint="default" w:ascii="Times New Roman" w:hAnsi="Times New Roman" w:eastAsia="宋体" w:cs="Times New Roman"/>
          <w:color w:val="000000"/>
          <w:kern w:val="0"/>
          <w:sz w:val="24"/>
          <w:szCs w:val="24"/>
          <w:lang w:bidi="ar"/>
        </w:rPr>
        <w:t>5.62</w:t>
      </w:r>
      <w:r>
        <w:rPr>
          <w:rFonts w:hint="default" w:ascii="Times New Roman" w:hAnsi="Times New Roman" w:eastAsia="宋体" w:cs="Times New Roman"/>
          <w:color w:val="000000"/>
          <w:sz w:val="24"/>
          <w:szCs w:val="24"/>
          <w:lang w:val="en-GB"/>
        </w:rPr>
        <w:t>年，企业经济效益较好。</w:t>
      </w:r>
    </w:p>
    <w:p>
      <w:pPr>
        <w:keepNext/>
        <w:keepLines/>
        <w:spacing w:line="360" w:lineRule="auto"/>
        <w:ind w:firstLine="0"/>
        <w:outlineLvl w:val="1"/>
        <w:rPr>
          <w:rFonts w:hint="default" w:ascii="Times New Roman" w:hAnsi="Times New Roman" w:eastAsia="黑体" w:cs="Times New Roman"/>
          <w:bCs/>
          <w:sz w:val="32"/>
          <w:szCs w:val="30"/>
        </w:rPr>
      </w:pPr>
      <w:bookmarkStart w:id="434" w:name="_Toc6584984"/>
      <w:bookmarkStart w:id="435" w:name="_Toc32572876"/>
      <w:bookmarkStart w:id="436" w:name="_Toc3996"/>
      <w:bookmarkStart w:id="437" w:name="_Toc23531"/>
      <w:r>
        <w:rPr>
          <w:rFonts w:hint="default" w:ascii="Times New Roman" w:hAnsi="Times New Roman" w:eastAsia="黑体" w:cs="Times New Roman"/>
          <w:bCs/>
          <w:sz w:val="32"/>
          <w:szCs w:val="30"/>
        </w:rPr>
        <w:t>8.4 环境经济损益分析</w:t>
      </w:r>
      <w:bookmarkEnd w:id="434"/>
      <w:bookmarkEnd w:id="435"/>
      <w:bookmarkEnd w:id="436"/>
      <w:bookmarkEnd w:id="437"/>
    </w:p>
    <w:p>
      <w:pPr>
        <w:spacing w:line="360" w:lineRule="auto"/>
        <w:ind w:firstLine="482"/>
        <w:rPr>
          <w:rFonts w:hint="default" w:ascii="Times New Roman" w:hAnsi="Times New Roman" w:eastAsia="宋体" w:cs="Times New Roman"/>
          <w:color w:val="000000"/>
          <w:sz w:val="24"/>
          <w:szCs w:val="22"/>
        </w:rPr>
      </w:pPr>
      <w:r>
        <w:rPr>
          <w:rFonts w:hint="default" w:ascii="Times New Roman" w:hAnsi="Times New Roman" w:eastAsia="宋体" w:cs="Times New Roman"/>
          <w:color w:val="000000"/>
          <w:sz w:val="24"/>
          <w:szCs w:val="22"/>
        </w:rPr>
        <w:t>在环境影响的损益分析中，最常用的方法是效益——费用比值法，其计算公式为：</w:t>
      </w:r>
    </w:p>
    <w:p>
      <w:pPr>
        <w:spacing w:line="360" w:lineRule="auto"/>
        <w:ind w:firstLine="482"/>
        <w:jc w:val="center"/>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E=效益B/费用C</w:t>
      </w:r>
    </w:p>
    <w:p>
      <w:pPr>
        <w:spacing w:line="360" w:lineRule="auto"/>
        <w:ind w:firstLine="482"/>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式中：E——效益费用比；</w:t>
      </w:r>
    </w:p>
    <w:p>
      <w:pPr>
        <w:spacing w:line="360" w:lineRule="auto"/>
        <w:ind w:firstLine="482"/>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B——年效益，项目年效益</w:t>
      </w:r>
      <w:r>
        <w:rPr>
          <w:rFonts w:hint="default" w:ascii="Times New Roman" w:hAnsi="Times New Roman" w:eastAsia="宋体" w:cs="Times New Roman"/>
          <w:color w:val="auto"/>
          <w:kern w:val="0"/>
          <w:sz w:val="24"/>
          <w:szCs w:val="24"/>
          <w:lang w:bidi="ar"/>
        </w:rPr>
        <w:t>18579.57</w:t>
      </w:r>
      <w:r>
        <w:rPr>
          <w:rFonts w:hint="default" w:ascii="Times New Roman" w:hAnsi="Times New Roman" w:eastAsia="宋体" w:cs="Times New Roman"/>
          <w:color w:val="auto"/>
          <w:sz w:val="24"/>
          <w:szCs w:val="22"/>
        </w:rPr>
        <w:t>万元；</w:t>
      </w:r>
    </w:p>
    <w:p>
      <w:pPr>
        <w:spacing w:line="360" w:lineRule="auto"/>
        <w:ind w:firstLine="482"/>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C——年费用，项目环保</w:t>
      </w:r>
      <w:r>
        <w:rPr>
          <w:rFonts w:hint="eastAsia" w:ascii="Times New Roman" w:hAnsi="Times New Roman" w:eastAsia="宋体" w:cs="Times New Roman"/>
          <w:color w:val="auto"/>
          <w:sz w:val="24"/>
          <w:szCs w:val="22"/>
          <w:lang w:val="en-US" w:eastAsia="zh-CN"/>
        </w:rPr>
        <w:t>年运行费用777.15</w:t>
      </w:r>
      <w:r>
        <w:rPr>
          <w:rFonts w:hint="default" w:ascii="Times New Roman" w:hAnsi="Times New Roman" w:eastAsia="宋体" w:cs="Times New Roman"/>
          <w:color w:val="auto"/>
          <w:sz w:val="24"/>
          <w:szCs w:val="22"/>
        </w:rPr>
        <w:t>万元。</w:t>
      </w:r>
    </w:p>
    <w:p>
      <w:pPr>
        <w:spacing w:line="360" w:lineRule="auto"/>
        <w:ind w:firstLine="482"/>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从上式可见，经</w:t>
      </w:r>
      <w:r>
        <w:rPr>
          <w:rFonts w:hint="default" w:ascii="Times New Roman" w:hAnsi="Times New Roman" w:eastAsia="宋体" w:cs="Times New Roman"/>
          <w:color w:val="auto"/>
          <w:sz w:val="24"/>
          <w:szCs w:val="24"/>
        </w:rPr>
        <w:t>济效果与效益成正比，与费用成反比。因此，衡量经济效果好坏的标准是E→max，然而评价经济效果最基本的条件应该是E≥1。本项目的环境经济损益，根据效益——费用比值统计算得E=</w:t>
      </w:r>
      <w:r>
        <w:rPr>
          <w:rFonts w:hint="eastAsia" w:ascii="Times New Roman" w:hAnsi="Times New Roman" w:eastAsia="宋体" w:cs="Times New Roman"/>
          <w:color w:val="auto"/>
          <w:sz w:val="24"/>
          <w:szCs w:val="24"/>
          <w:lang w:val="en-US" w:eastAsia="zh-CN"/>
        </w:rPr>
        <w:t>4.18</w:t>
      </w:r>
      <w:r>
        <w:rPr>
          <w:rFonts w:hint="default" w:ascii="Times New Roman" w:hAnsi="Times New Roman" w:eastAsia="宋体" w:cs="Times New Roman"/>
          <w:color w:val="auto"/>
          <w:sz w:val="24"/>
          <w:szCs w:val="24"/>
        </w:rPr>
        <w:t>。</w:t>
      </w:r>
    </w:p>
    <w:p>
      <w:pPr>
        <w:spacing w:line="360" w:lineRule="auto"/>
        <w:ind w:firstLine="482"/>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从上述效益——费用比分析，说明本项目建设的环保投资与环保费用的经济效益是好的，同时还能取得显著的社会和环境效益。</w:t>
      </w:r>
    </w:p>
    <w:p>
      <w:pPr>
        <w:spacing w:line="360" w:lineRule="auto"/>
        <w:ind w:firstLine="48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综上所述，项目正常运营时利润比较显著，环保设施的运行费用相对于企业的利润而言比较较低，企业完全有经济能力承担。污染治理的经济投入，可产生很好的社会、经济和环境效益，因此，本项目从环境经济损益的角度考虑是可行的。</w:t>
      </w:r>
    </w:p>
    <w:p>
      <w:pPr>
        <w:rPr>
          <w:rFonts w:hint="default" w:ascii="Times New Roman" w:hAnsi="Times New Roman" w:eastAsia="宋体" w:cs="Times New Roman"/>
          <w:color w:val="auto"/>
          <w:sz w:val="24"/>
          <w:szCs w:val="22"/>
        </w:rPr>
      </w:pPr>
    </w:p>
    <w:p>
      <w:pPr>
        <w:rPr>
          <w:rFonts w:hint="default" w:ascii="Times New Roman" w:hAnsi="Times New Roman" w:eastAsia="宋体" w:cs="Times New Roman"/>
          <w:color w:val="auto"/>
          <w:sz w:val="24"/>
          <w:szCs w:val="22"/>
        </w:rPr>
      </w:pPr>
    </w:p>
    <w:p>
      <w:pPr>
        <w:rPr>
          <w:rFonts w:hint="default" w:ascii="Times New Roman" w:hAnsi="Times New Roman" w:eastAsia="宋体" w:cs="Times New Roman"/>
          <w:color w:val="auto"/>
          <w:sz w:val="24"/>
          <w:szCs w:val="22"/>
        </w:rPr>
      </w:pPr>
    </w:p>
    <w:p>
      <w:pPr>
        <w:rPr>
          <w:rFonts w:hint="default" w:ascii="Times New Roman" w:hAnsi="Times New Roman" w:eastAsia="宋体" w:cs="Times New Roman"/>
          <w:sz w:val="24"/>
          <w:szCs w:val="22"/>
        </w:rPr>
      </w:pPr>
    </w:p>
    <w:p>
      <w:pPr>
        <w:rPr>
          <w:rFonts w:hint="default" w:ascii="Times New Roman" w:hAnsi="Times New Roman" w:eastAsia="宋体" w:cs="Times New Roman"/>
          <w:sz w:val="24"/>
          <w:szCs w:val="22"/>
        </w:rPr>
        <w:sectPr>
          <w:pgSz w:w="11907" w:h="16840"/>
          <w:pgMar w:top="1417" w:right="1417" w:bottom="1417" w:left="1417" w:header="851" w:footer="992" w:gutter="0"/>
          <w:pgNumType w:fmt="decimal"/>
          <w:cols w:space="720" w:num="1"/>
          <w:docGrid w:linePitch="389" w:charSpace="0"/>
        </w:sectPr>
      </w:pPr>
    </w:p>
    <w:p>
      <w:pPr>
        <w:keepNext/>
        <w:keepLines/>
        <w:spacing w:line="360" w:lineRule="auto"/>
        <w:ind w:firstLine="0"/>
        <w:outlineLvl w:val="0"/>
        <w:rPr>
          <w:rFonts w:hint="default" w:ascii="Times New Roman" w:hAnsi="Times New Roman" w:eastAsia="黑体" w:cs="Times New Roman"/>
          <w:bCs/>
          <w:kern w:val="44"/>
          <w:sz w:val="36"/>
          <w:szCs w:val="44"/>
        </w:rPr>
      </w:pPr>
      <w:bookmarkStart w:id="438" w:name="_Toc25476"/>
      <w:bookmarkStart w:id="439" w:name="_Toc22212"/>
      <w:bookmarkStart w:id="440" w:name="_Toc29499"/>
      <w:r>
        <w:rPr>
          <w:rFonts w:hint="default" w:ascii="Times New Roman" w:hAnsi="Times New Roman" w:eastAsia="黑体" w:cs="Times New Roman"/>
          <w:bCs/>
          <w:kern w:val="44"/>
          <w:sz w:val="36"/>
          <w:szCs w:val="44"/>
        </w:rPr>
        <w:t>9 环境管理和监测计划</w:t>
      </w:r>
      <w:bookmarkEnd w:id="438"/>
      <w:bookmarkEnd w:id="439"/>
      <w:bookmarkEnd w:id="440"/>
    </w:p>
    <w:p>
      <w:pPr>
        <w:spacing w:line="360" w:lineRule="auto"/>
        <w:ind w:firstLine="480"/>
        <w:rPr>
          <w:rFonts w:hint="default" w:ascii="Times New Roman" w:hAnsi="Times New Roman" w:eastAsia="宋体" w:cs="Times New Roman"/>
          <w:color w:val="000000"/>
          <w:sz w:val="24"/>
          <w:szCs w:val="24"/>
        </w:rPr>
      </w:pPr>
      <w:bookmarkStart w:id="441" w:name="_Toc522733385"/>
      <w:bookmarkStart w:id="442" w:name="_Toc485028907"/>
      <w:bookmarkStart w:id="443" w:name="_Toc494056906"/>
      <w:r>
        <w:rPr>
          <w:rFonts w:hint="default" w:ascii="Times New Roman" w:hAnsi="Times New Roman" w:eastAsia="宋体" w:cs="Times New Roman"/>
          <w:color w:val="000000"/>
          <w:sz w:val="24"/>
          <w:szCs w:val="24"/>
        </w:rPr>
        <w:t>通过实施环境管理，制定并落实建设项目环境管理与监测计划，对项目建设施工和运营全过程进行环境管理和环境监测，及时发现与项目建设有关的环境问题，对环保措施进行修正和改进，保证全过程环保工程措施的有效运行，可使项目的建设和环境、资源的保护相协调，保障经济和社会的可持续发展。</w:t>
      </w:r>
    </w:p>
    <w:p>
      <w:pPr>
        <w:spacing w:line="360" w:lineRule="auto"/>
        <w:ind w:firstLine="480"/>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00"/>
          <w:sz w:val="24"/>
          <w:szCs w:val="24"/>
        </w:rPr>
        <w:t>项目施工期、运营期均可能对环境产生不利的影响，从项目建设特点以及所在地的环境特征分析，项目必须采取环境保护管理措施，以预防或者减轻其不利影响。因此，有必要建立相应的环境保护管理体系和监测计划，提出各阶段环境管理的要求，确定切实可行的环境监测计划，并接受有关主管部门的指导和监督，使本建设项目的环境管理得到有效实施</w:t>
      </w:r>
      <w:r>
        <w:rPr>
          <w:rFonts w:hint="default" w:ascii="Times New Roman" w:hAnsi="Times New Roman" w:eastAsia="宋体" w:cs="Times New Roman"/>
          <w:color w:val="0000FF"/>
          <w:sz w:val="24"/>
          <w:szCs w:val="24"/>
        </w:rPr>
        <w:t>。</w:t>
      </w:r>
    </w:p>
    <w:p>
      <w:pPr>
        <w:spacing w:line="360" w:lineRule="auto"/>
        <w:ind w:firstLine="0"/>
        <w:outlineLvl w:val="1"/>
        <w:rPr>
          <w:rFonts w:hint="default" w:ascii="Times New Roman" w:hAnsi="Times New Roman" w:eastAsia="黑体" w:cs="Times New Roman"/>
          <w:sz w:val="32"/>
          <w:szCs w:val="32"/>
        </w:rPr>
      </w:pPr>
      <w:bookmarkStart w:id="444" w:name="_Toc29850"/>
      <w:bookmarkStart w:id="445" w:name="_Toc22766"/>
      <w:bookmarkStart w:id="446" w:name="_Toc3852"/>
      <w:r>
        <w:rPr>
          <w:rFonts w:hint="default" w:ascii="Times New Roman" w:hAnsi="Times New Roman" w:eastAsia="黑体" w:cs="Times New Roman"/>
          <w:sz w:val="32"/>
          <w:szCs w:val="32"/>
        </w:rPr>
        <w:t>9.1 环境管理</w:t>
      </w:r>
      <w:bookmarkEnd w:id="444"/>
      <w:bookmarkEnd w:id="445"/>
      <w:bookmarkEnd w:id="446"/>
    </w:p>
    <w:p>
      <w:pPr>
        <w:spacing w:line="360" w:lineRule="auto"/>
        <w:ind w:firstLine="0"/>
        <w:outlineLvl w:val="2"/>
        <w:rPr>
          <w:rFonts w:hint="default" w:ascii="Times New Roman" w:hAnsi="Times New Roman" w:eastAsia="黑体" w:cs="Times New Roman"/>
          <w:sz w:val="30"/>
          <w:szCs w:val="28"/>
        </w:rPr>
      </w:pPr>
      <w:r>
        <w:rPr>
          <w:rFonts w:hint="default" w:ascii="Times New Roman" w:hAnsi="Times New Roman" w:eastAsia="黑体" w:cs="Times New Roman"/>
          <w:sz w:val="30"/>
          <w:szCs w:val="28"/>
        </w:rPr>
        <w:t>9.1.1环境管理制度</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环保管理工作由建设单位落实各项环保措施并配合地方环保管理部门的环保执法与监督管理工作。为了有效的加大企业日常正常运营过程中的环保管理力度，提高员工环保意识，加强企业环保监督管理工作，企业应根据实际情况，制定建立日常环境管理制度。</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工程建成后需设置相应的环保技术人员，配合企业管理部门进行环保管理。确保所有与本工程直接相关的污染防治措施与主体工程同时设计、同时施工、同时投入使用。切实落实“三同时”制度，环保设备验收纳入竣工验收内容，运营期建立环保设备管理制度，设置环保设备运行管理台账，定期检查并记录环保设备运行情况。</w:t>
      </w:r>
    </w:p>
    <w:p>
      <w:pPr>
        <w:spacing w:line="360" w:lineRule="auto"/>
        <w:ind w:firstLine="0"/>
        <w:outlineLvl w:val="2"/>
        <w:rPr>
          <w:rFonts w:hint="default" w:ascii="Times New Roman" w:hAnsi="Times New Roman" w:eastAsia="黑体" w:cs="Times New Roman"/>
          <w:sz w:val="30"/>
          <w:szCs w:val="28"/>
        </w:rPr>
      </w:pPr>
      <w:r>
        <w:rPr>
          <w:rFonts w:hint="default" w:ascii="Times New Roman" w:hAnsi="Times New Roman" w:eastAsia="黑体" w:cs="Times New Roman"/>
          <w:sz w:val="30"/>
          <w:szCs w:val="28"/>
        </w:rPr>
        <w:t>9.1.2环境管理机构设置</w:t>
      </w:r>
    </w:p>
    <w:p>
      <w:pPr>
        <w:spacing w:line="360" w:lineRule="auto"/>
        <w:ind w:firstLine="480"/>
        <w:rPr>
          <w:rFonts w:hint="default" w:ascii="Times New Roman" w:hAnsi="Times New Roman" w:eastAsia="宋体" w:cs="Times New Roman"/>
          <w:color w:val="000000"/>
          <w:sz w:val="24"/>
          <w:szCs w:val="24"/>
          <w:highlight w:val="yellow"/>
        </w:rPr>
      </w:pPr>
      <w:r>
        <w:rPr>
          <w:rFonts w:hint="default" w:ascii="Times New Roman" w:hAnsi="Times New Roman" w:eastAsia="宋体" w:cs="Times New Roman"/>
          <w:color w:val="000000"/>
          <w:sz w:val="24"/>
          <w:szCs w:val="24"/>
        </w:rPr>
        <w:t>建设单位需成立施工期环境保护管理机构，由专人负责工程施工期的环境保护管理工作。该机构由建设单位直接领导，并取得和接受当地环保等有关部门的指导和监督。根据项目实际情况，工程建设完成后，建设单位应成立专门的环境保护管理机构，制定有关环保工作制度，统筹项目的环境管理，确保各项环保措施、环保制度的贯彻落实。</w:t>
      </w:r>
    </w:p>
    <w:p>
      <w:pPr>
        <w:spacing w:line="360" w:lineRule="auto"/>
        <w:ind w:firstLine="0"/>
        <w:outlineLvl w:val="3"/>
        <w:rPr>
          <w:rFonts w:hint="default" w:ascii="Times New Roman" w:hAnsi="Times New Roman" w:eastAsia="黑体" w:cs="Times New Roman"/>
          <w:bCs/>
          <w:szCs w:val="24"/>
        </w:rPr>
      </w:pPr>
      <w:r>
        <w:rPr>
          <w:rFonts w:hint="default" w:ascii="Times New Roman" w:hAnsi="Times New Roman" w:eastAsia="黑体" w:cs="Times New Roman"/>
          <w:bCs/>
          <w:szCs w:val="24"/>
        </w:rPr>
        <w:t>9.1.2.1施工单位环境管理机构设置</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建设施工单位应设立内部环境保护管理机构，主要由施工单位主要负责人及专业技术人员组成，专人负责环境保护工作，实行定岗定员，岗位责任制，负责各个施工工序的环境管理工作，保证施工期环保设施的正常进行，各项环境保护措施的落实。</w:t>
      </w:r>
    </w:p>
    <w:p>
      <w:pPr>
        <w:spacing w:line="360" w:lineRule="auto"/>
        <w:ind w:firstLine="0"/>
        <w:outlineLvl w:val="3"/>
        <w:rPr>
          <w:rFonts w:hint="default" w:ascii="Times New Roman" w:hAnsi="Times New Roman" w:eastAsia="黑体" w:cs="Times New Roman"/>
          <w:bCs/>
          <w:szCs w:val="24"/>
        </w:rPr>
      </w:pPr>
      <w:r>
        <w:rPr>
          <w:rFonts w:hint="default" w:ascii="Times New Roman" w:hAnsi="Times New Roman" w:eastAsia="黑体" w:cs="Times New Roman"/>
          <w:bCs/>
          <w:szCs w:val="24"/>
        </w:rPr>
        <w:t>9.1.2.2建设单位环境管理机构设置</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建设单位重视环境保护工作，建立比较完善的环境管理体系，制定了科学的环保工作标准、管理标准及规章制度，设有环境保护机构和专职的环保管理人员，全面负责公司的环保管理工作。工程营运期环境管理设专职环境保护管理人员，负责工程的日常环境保护管理工作，强化以总经理领导，副总经理主管、环保部门分工负责的环境保护管理体制。</w:t>
      </w:r>
    </w:p>
    <w:p>
      <w:pPr>
        <w:spacing w:line="360" w:lineRule="auto"/>
        <w:ind w:firstLine="480"/>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00"/>
          <w:sz w:val="24"/>
          <w:szCs w:val="24"/>
        </w:rPr>
        <w:t>为了有效保护项目建址所在区域环境质量，切实保证本报告提出各项运营期环境保护措施的落实，项目建设单位还应加强对建设项目的环境管理，根据本报告提出的污染防治措施和对策，制定出切实可行的营运期环境污染防治办法和措施。</w:t>
      </w:r>
    </w:p>
    <w:p>
      <w:pPr>
        <w:spacing w:line="360" w:lineRule="auto"/>
        <w:ind w:firstLine="0"/>
        <w:outlineLvl w:val="2"/>
        <w:rPr>
          <w:rFonts w:hint="default" w:ascii="Times New Roman" w:hAnsi="Times New Roman" w:eastAsia="黑体" w:cs="Times New Roman"/>
          <w:sz w:val="30"/>
          <w:szCs w:val="28"/>
        </w:rPr>
      </w:pPr>
      <w:r>
        <w:rPr>
          <w:rFonts w:hint="default" w:ascii="Times New Roman" w:hAnsi="Times New Roman" w:eastAsia="黑体" w:cs="Times New Roman"/>
          <w:sz w:val="30"/>
          <w:szCs w:val="28"/>
        </w:rPr>
        <w:t>9.1.3环境管理机构的职责</w:t>
      </w:r>
    </w:p>
    <w:p>
      <w:pPr>
        <w:spacing w:line="360" w:lineRule="auto"/>
        <w:ind w:firstLine="0"/>
        <w:outlineLvl w:val="3"/>
        <w:rPr>
          <w:rFonts w:hint="default" w:ascii="Times New Roman" w:hAnsi="Times New Roman" w:eastAsia="黑体" w:cs="Times New Roman"/>
          <w:bCs/>
          <w:szCs w:val="24"/>
        </w:rPr>
      </w:pPr>
      <w:r>
        <w:rPr>
          <w:rFonts w:hint="default" w:ascii="Times New Roman" w:hAnsi="Times New Roman" w:eastAsia="黑体" w:cs="Times New Roman"/>
          <w:bCs/>
          <w:szCs w:val="24"/>
        </w:rPr>
        <w:t>9.1.3.1施工期环境保护管理机构的职责</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①宣传和执行中华人民共和国环境保护法等有关法律法规和福建省、福州市制定的有关法律法规。</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②制定施工期的环境管理和环境保护计划，制定年度实施计划，纳入到施工过程，并监督、落实监测计划等。</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③按环境影响报报告书提出的环境保护措施与对策建议，与施工单位和监理单位签订环境保护措施责任书，并负责监督检查各类施工船只执行各项环境保护措施的落实情况，确保建设项目主体工程与环保设施“三同时”。</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④制定施工期污水、固体废物的合理处置工作。</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⑤制定施工期水质、环境监测计划，并组织监测计划的实施，组织人员定期检查和 维修施工机械，监督其正常运转，减少事故的发生。</w:t>
      </w:r>
    </w:p>
    <w:p>
      <w:pPr>
        <w:spacing w:line="360" w:lineRule="auto"/>
        <w:ind w:firstLine="480"/>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00"/>
          <w:sz w:val="24"/>
          <w:szCs w:val="24"/>
        </w:rPr>
        <w:t>⑥其他与环保相关的事宜。</w:t>
      </w:r>
    </w:p>
    <w:p>
      <w:pPr>
        <w:spacing w:line="360" w:lineRule="auto"/>
        <w:ind w:firstLine="0"/>
        <w:outlineLvl w:val="3"/>
        <w:rPr>
          <w:rFonts w:hint="default" w:ascii="Times New Roman" w:hAnsi="Times New Roman" w:eastAsia="黑体" w:cs="Times New Roman"/>
          <w:bCs/>
          <w:szCs w:val="24"/>
        </w:rPr>
      </w:pPr>
      <w:r>
        <w:rPr>
          <w:rFonts w:hint="default" w:ascii="Times New Roman" w:hAnsi="Times New Roman" w:eastAsia="黑体" w:cs="Times New Roman"/>
          <w:bCs/>
          <w:szCs w:val="24"/>
        </w:rPr>
        <w:t>9.1.3.2运营期环境保护管理机构的职责</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①贯彻落实“保护和改善生产环境与生态环境，防治污染和其它公害”等环境保护 基本国策的要求，宣传和执行中华人民共和国环境保护法等法律法规，做好工程项目环境污染防治和生态环境保护的工作。</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②制定本工程的环境管理规章、制度和各专项环境管理办法，并对其实施情况进行监督、检查。</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③做好环保设施运行管理和维修工作，保证各项环保设施正常运行，确保治理效果。建立并管理好环保设施的档案资料。</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④负责建立和健全环境保护目标责任制度和考核制度，严格考核各环保处理设施的处理效果，要有相应的奖惩制度。</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⑤督促帮助企业搞好废水、废气、噪声污染治理和固体废物的综合利用工作。</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⑥落实运营期监测计划，定期委托有资质的单位进行环境监测；对环境监测结果进行统计分析，存档和上报；了解掌握污染动态，发现异常要及时查找原因，并反馈给相关部门，防止污染事故发生。</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⑦有计划地做好普及环境保护基本知识和环境法律知识的宣传教育工作，组织企业内各类人员进行环保知识的培训和环保知识竞赛，提高企业职工，特别是厂级干部的环保意识和环保法制的观念。</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⑧组织制定环境事件应急预案，负责组织培训和演练。</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⑨参与调查处理污染事故和纠纷。</w:t>
      </w:r>
    </w:p>
    <w:p>
      <w:pPr>
        <w:spacing w:line="360" w:lineRule="auto"/>
        <w:ind w:firstLine="0"/>
        <w:outlineLvl w:val="2"/>
        <w:rPr>
          <w:rFonts w:hint="default" w:ascii="Times New Roman" w:hAnsi="Times New Roman" w:eastAsia="黑体" w:cs="Times New Roman"/>
          <w:sz w:val="30"/>
          <w:szCs w:val="28"/>
        </w:rPr>
      </w:pPr>
      <w:r>
        <w:rPr>
          <w:rFonts w:hint="default" w:ascii="Times New Roman" w:hAnsi="Times New Roman" w:eastAsia="黑体" w:cs="Times New Roman"/>
          <w:sz w:val="30"/>
          <w:szCs w:val="28"/>
        </w:rPr>
        <w:t>9.1.4环境管理计划</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为明确本项目环境保护管理的具体责任单位，要求建立必要的环境管理执行机构，并接受环境管理监督机构的指导和监督，使本项目的环境管理得到有效实施。</w:t>
      </w:r>
    </w:p>
    <w:p>
      <w:pPr>
        <w:spacing w:line="360" w:lineRule="auto"/>
        <w:ind w:firstLine="0"/>
        <w:outlineLvl w:val="2"/>
        <w:rPr>
          <w:rFonts w:hint="default" w:ascii="Times New Roman" w:hAnsi="Times New Roman" w:eastAsia="黑体" w:cs="Times New Roman"/>
          <w:sz w:val="30"/>
          <w:szCs w:val="28"/>
        </w:rPr>
      </w:pPr>
      <w:r>
        <w:rPr>
          <w:rFonts w:hint="default" w:ascii="Times New Roman" w:hAnsi="Times New Roman" w:eastAsia="黑体" w:cs="Times New Roman"/>
          <w:sz w:val="30"/>
          <w:szCs w:val="28"/>
        </w:rPr>
        <w:t>9.1.5施工期环境管理</w:t>
      </w:r>
    </w:p>
    <w:p>
      <w:pPr>
        <w:spacing w:line="360" w:lineRule="auto"/>
        <w:ind w:firstLine="0"/>
        <w:outlineLvl w:val="3"/>
        <w:rPr>
          <w:rFonts w:hint="default" w:ascii="Times New Roman" w:hAnsi="Times New Roman" w:eastAsia="黑体" w:cs="Times New Roman"/>
          <w:bCs/>
          <w:szCs w:val="24"/>
        </w:rPr>
      </w:pPr>
      <w:r>
        <w:rPr>
          <w:rFonts w:hint="default" w:ascii="Times New Roman" w:hAnsi="Times New Roman" w:eastAsia="黑体" w:cs="Times New Roman"/>
          <w:bCs/>
          <w:szCs w:val="24"/>
        </w:rPr>
        <w:t>9.1.5.1施工期环境管理重点</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施工中环境管理监督检查的重点是防止施工中的水、气、声、固体废物对环境的影响污染。检查其是否实施了有关的水、气、声、固体废物污染控制措施。 </w:t>
      </w:r>
    </w:p>
    <w:p>
      <w:pPr>
        <w:spacing w:line="360" w:lineRule="auto"/>
        <w:ind w:firstLine="0"/>
        <w:outlineLvl w:val="3"/>
        <w:rPr>
          <w:rFonts w:hint="default" w:ascii="Times New Roman" w:hAnsi="Times New Roman" w:eastAsia="黑体" w:cs="Times New Roman"/>
          <w:bCs/>
          <w:szCs w:val="24"/>
        </w:rPr>
      </w:pPr>
      <w:r>
        <w:rPr>
          <w:rFonts w:hint="default" w:ascii="Times New Roman" w:hAnsi="Times New Roman" w:eastAsia="黑体" w:cs="Times New Roman"/>
          <w:bCs/>
          <w:szCs w:val="24"/>
        </w:rPr>
        <w:t>9.1.5.2环境监理计划</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本项目应委托具有相应资质的监理部门，并设专职环境保护监理工程师监督施工单位落实各项施工期环境保护措施。</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（1）环境监理工作目标</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依据国家和相关主管部门制定、颁发的有关法律、法规、政策、技术标准以及经批准的设计文件、投标文件和依法签订的监理、施工承包合同，按环境监理服务的范围和内容，履行环境监理义务，独立、公正、科学、有效地服务于工程建设，实施全面的生态环境监理，使工程建设达到环境保护要求。</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（2）环境监理机构</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工程的环境监理应作为整个工程监理工作的一部分，施工环境监理由工程建设单位委托具有工程监理资质并经环境保护业务培训的单位对设计文件中环境保护措施的实施情况进行工程环境监理。为了保证监理计划的执行，建设单位应在施工前与监理单位签订建设期的环境监理内容。</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（3）环境保护监理的工作程序、方式及范围</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A、环保监理的工作程序</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本项目的环保监理工作程序见图9.1-1。</w:t>
      </w:r>
    </w:p>
    <w:p>
      <w:pPr>
        <w:overflowPunct w:val="0"/>
        <w:spacing w:line="360" w:lineRule="auto"/>
        <w:ind w:firstLine="0"/>
        <w:jc w:val="center"/>
        <w:rPr>
          <w:rFonts w:hint="default" w:ascii="Times New Roman" w:hAnsi="Times New Roman" w:eastAsia="宋体" w:cs="Times New Roman"/>
          <w:sz w:val="24"/>
          <w:szCs w:val="24"/>
        </w:rPr>
      </w:pPr>
      <w:r>
        <w:drawing>
          <wp:inline distT="0" distB="0" distL="114300" distR="114300">
            <wp:extent cx="4605655" cy="2903220"/>
            <wp:effectExtent l="0" t="0" r="4445" b="11430"/>
            <wp:docPr id="11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0"/>
                    <pic:cNvPicPr>
                      <a:picLocks noChangeAspect="1"/>
                    </pic:cNvPicPr>
                  </pic:nvPicPr>
                  <pic:blipFill>
                    <a:blip r:embed="rId74"/>
                    <a:stretch>
                      <a:fillRect/>
                    </a:stretch>
                  </pic:blipFill>
                  <pic:spPr>
                    <a:xfrm>
                      <a:off x="0" y="0"/>
                      <a:ext cx="4605655" cy="2903220"/>
                    </a:xfrm>
                    <a:prstGeom prst="rect">
                      <a:avLst/>
                    </a:prstGeom>
                    <a:noFill/>
                    <a:ln>
                      <a:noFill/>
                    </a:ln>
                  </pic:spPr>
                </pic:pic>
              </a:graphicData>
            </a:graphic>
          </wp:inline>
        </w:drawing>
      </w:r>
    </w:p>
    <w:p>
      <w:pPr>
        <w:spacing w:line="240" w:lineRule="auto"/>
        <w:ind w:firstLine="0"/>
        <w:jc w:val="center"/>
        <w:outlineLvl w:val="4"/>
        <w:rPr>
          <w:rFonts w:hint="default" w:ascii="Times New Roman" w:hAnsi="Times New Roman" w:eastAsia="黑体" w:cs="Times New Roman"/>
          <w:b/>
          <w:sz w:val="24"/>
          <w:szCs w:val="24"/>
        </w:rPr>
      </w:pPr>
      <w:r>
        <w:rPr>
          <w:rFonts w:hint="default" w:ascii="Times New Roman" w:hAnsi="Times New Roman" w:eastAsia="黑体" w:cs="Times New Roman"/>
          <w:b/>
          <w:sz w:val="24"/>
          <w:szCs w:val="24"/>
        </w:rPr>
        <w:t>图9.1-1   环保监理的工作程序图</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B、环保监理方式</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环保监理人员对施工活动中的环境保护工作按照施工进程实施动态管理。工程环境监理的工作方式以日常巡视为主，辅以必要的环境监测，以便及时调整环保监控力度。环保工程监理与其他工程的监理相似，工作方式主要以工程监理的方式进行。环保监理人员应在开工前熟悉环评中的相关的环保要求和措施内容。</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C、环境监理范围</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环境监理范围：工程所在区域与工程影响区域 </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监理工作阶段：①施工准备阶段环境监理；②施工阶段环境监理；③工程保修阶段（交工及缺陷责任期）环境监理。</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D、施工期水环境保护措施监理重点</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主要对本项目施工期水环境保护措施的监理，保证措施落实情况及排放标准达到本报告书及环评批复批准的要求。重点监理内容为：</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①施工期的生产、生活污水处理措施的落实情况。</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②施工期固体废物的处理措施落实情况。</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③施工噪声处理措施的落实情况。</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④施工期扬尘处理措施的落实情况。 </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⑤地下隐蔽工程进行防渗措施落实情况。</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⑥施工期环境监测落实情况。</w:t>
      </w:r>
    </w:p>
    <w:p>
      <w:pPr>
        <w:spacing w:line="360" w:lineRule="auto"/>
        <w:ind w:firstLine="0"/>
        <w:outlineLvl w:val="2"/>
        <w:rPr>
          <w:rFonts w:hint="default" w:ascii="Times New Roman" w:hAnsi="Times New Roman" w:eastAsia="黑体" w:cs="Times New Roman"/>
          <w:sz w:val="30"/>
          <w:szCs w:val="28"/>
        </w:rPr>
      </w:pPr>
      <w:r>
        <w:rPr>
          <w:rFonts w:hint="default" w:ascii="Times New Roman" w:hAnsi="Times New Roman" w:eastAsia="黑体" w:cs="Times New Roman"/>
          <w:sz w:val="30"/>
          <w:szCs w:val="28"/>
        </w:rPr>
        <w:t>9.1.6运营期环境管理</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 xml:space="preserve">运营期的环境管理的重点是各项环境保护措施的落实，环保设施运行的管理和维护，日常的监测及污染事故的防范和应急处理。 </w:t>
      </w:r>
    </w:p>
    <w:p>
      <w:pPr>
        <w:spacing w:line="360" w:lineRule="auto"/>
        <w:ind w:firstLine="0"/>
        <w:outlineLvl w:val="3"/>
        <w:rPr>
          <w:rFonts w:hint="default" w:ascii="Times New Roman" w:hAnsi="Times New Roman" w:eastAsia="黑体" w:cs="Times New Roman"/>
          <w:bCs/>
          <w:szCs w:val="24"/>
        </w:rPr>
      </w:pPr>
      <w:r>
        <w:rPr>
          <w:rFonts w:hint="default" w:ascii="Times New Roman" w:hAnsi="Times New Roman" w:eastAsia="黑体" w:cs="Times New Roman"/>
          <w:bCs/>
          <w:szCs w:val="24"/>
        </w:rPr>
        <w:t>9.1.6.1运营期环境管理要求</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（1）严格、认真地贯彻执行国家、省、市的有关环保法律、法规、政策、条例、标准。制定工程环境保护管理规章制度。</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（2）制定各环保设施操作规程，定期维修制度，使各项环保设施在营运过程中处于良好的运行状态；</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（3）加强对环保设施的运行管理，如环保设施出现故障，应立即检修，严禁非正常排放；</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（4）制定环保资料的存贮建档与上报的计划，环保档案内容包括：</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①污染物排放情况；</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②污染物治理设施的运行、操作和管理情况；</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③事故情况及有关记录；</w:t>
      </w:r>
    </w:p>
    <w:p>
      <w:pPr>
        <w:spacing w:line="360" w:lineRule="auto"/>
        <w:ind w:firstLine="480"/>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00"/>
          <w:sz w:val="24"/>
          <w:szCs w:val="24"/>
        </w:rPr>
        <w:t>④其他与污染防治有关的情况和资料等。</w:t>
      </w:r>
      <w:r>
        <w:rPr>
          <w:rFonts w:hint="default" w:ascii="Times New Roman" w:hAnsi="Times New Roman" w:eastAsia="宋体" w:cs="Times New Roman"/>
          <w:color w:val="0000FF"/>
          <w:sz w:val="24"/>
          <w:szCs w:val="24"/>
        </w:rPr>
        <w:t xml:space="preserve"> </w:t>
      </w:r>
    </w:p>
    <w:p>
      <w:pPr>
        <w:spacing w:line="360" w:lineRule="auto"/>
        <w:ind w:firstLine="0"/>
        <w:outlineLvl w:val="3"/>
        <w:rPr>
          <w:rFonts w:hint="default" w:ascii="Times New Roman" w:hAnsi="Times New Roman" w:eastAsia="黑体" w:cs="Times New Roman"/>
          <w:bCs/>
          <w:szCs w:val="24"/>
        </w:rPr>
      </w:pPr>
      <w:r>
        <w:rPr>
          <w:rFonts w:hint="default" w:ascii="Times New Roman" w:hAnsi="Times New Roman" w:eastAsia="黑体" w:cs="Times New Roman"/>
          <w:bCs/>
          <w:szCs w:val="24"/>
        </w:rPr>
        <w:t>9.1.6.2运营期环境管理重点</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运营期环境管理的重点包括以下几方面：</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w:t>
      </w:r>
      <w:r>
        <w:rPr>
          <w:rFonts w:hint="eastAsia" w:ascii="Times New Roman" w:hAnsi="Times New Roman" w:eastAsia="宋体" w:cs="Times New Roman"/>
          <w:color w:val="auto"/>
          <w:sz w:val="24"/>
          <w:szCs w:val="24"/>
          <w:lang w:val="en-US" w:eastAsia="zh-CN"/>
        </w:rPr>
        <w:t>项目含银废水等</w:t>
      </w:r>
      <w:r>
        <w:rPr>
          <w:rFonts w:hint="default" w:ascii="Times New Roman" w:hAnsi="Times New Roman" w:eastAsia="宋体" w:cs="Times New Roman"/>
          <w:color w:val="auto"/>
          <w:sz w:val="24"/>
          <w:szCs w:val="24"/>
        </w:rPr>
        <w:t>水经处理</w:t>
      </w:r>
      <w:r>
        <w:rPr>
          <w:rFonts w:hint="eastAsia" w:ascii="Times New Roman" w:hAnsi="Times New Roman" w:eastAsia="宋体" w:cs="Times New Roman"/>
          <w:color w:val="auto"/>
          <w:sz w:val="24"/>
          <w:szCs w:val="24"/>
          <w:lang w:eastAsia="zh-CN"/>
        </w:rPr>
        <w:t>达到《城市污水再生利用 工业用水水质》（GB/T19923-2005）中工艺与产品用水标准，其中电导率0.08us/cm，工艺用水要求电导率低于0.1us/cm，</w:t>
      </w:r>
      <w:r>
        <w:rPr>
          <w:rFonts w:hint="eastAsia" w:ascii="Times New Roman" w:hAnsi="Times New Roman" w:eastAsia="宋体" w:cs="Times New Roman"/>
          <w:color w:val="auto"/>
          <w:sz w:val="24"/>
          <w:szCs w:val="24"/>
          <w:lang w:val="en-US" w:eastAsia="zh-CN"/>
        </w:rPr>
        <w:t>进入回用水池</w:t>
      </w:r>
      <w:r>
        <w:rPr>
          <w:rFonts w:hint="eastAsia" w:ascii="Times New Roman" w:hAnsi="Times New Roman" w:eastAsia="宋体" w:cs="Times New Roman"/>
          <w:color w:val="auto"/>
          <w:sz w:val="24"/>
          <w:szCs w:val="24"/>
          <w:lang w:eastAsia="zh-CN"/>
        </w:rPr>
        <w:t>回用到工艺中。项目在回用水池设置电导率在线监测仪，可实时监控回用水电导率，达不到工艺用水要求电导率时，不得回用到工艺中。</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②废气经处理后达标排放。</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③危险废物应委托有资质的单位接收处置。</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④做好环境风险管理与应急。</w:t>
      </w:r>
    </w:p>
    <w:p>
      <w:pPr>
        <w:spacing w:line="360" w:lineRule="auto"/>
        <w:ind w:firstLine="0"/>
        <w:outlineLvl w:val="2"/>
        <w:rPr>
          <w:rFonts w:hint="default" w:ascii="Times New Roman" w:hAnsi="Times New Roman" w:eastAsia="黑体" w:cs="Times New Roman"/>
          <w:sz w:val="30"/>
          <w:szCs w:val="28"/>
        </w:rPr>
      </w:pPr>
      <w:r>
        <w:rPr>
          <w:rFonts w:hint="default" w:ascii="Times New Roman" w:hAnsi="Times New Roman" w:eastAsia="黑体" w:cs="Times New Roman"/>
          <w:sz w:val="30"/>
          <w:szCs w:val="28"/>
        </w:rPr>
        <w:t>9.1.7项目竣工环保验收</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根据国务院【国令第682号】《建设项目环境保护管理条例》及《建设项目竣工环境保护验收暂行办法》（国环规环评【2017】4号），强化建设单位环境保护主体责任，落实建设项目环境保护“三同时”制度，规范建设项目竣工后建设单位自主开展环境保护验收的程序和标准。建设单位是建设项目竣工环境保护验收的责任主体。</w:t>
      </w:r>
    </w:p>
    <w:p>
      <w:pPr>
        <w:spacing w:line="360" w:lineRule="auto"/>
        <w:ind w:firstLine="480"/>
        <w:rPr>
          <w:rFonts w:hint="default" w:ascii="Times New Roman" w:hAnsi="Times New Roman" w:eastAsia="宋体" w:cs="Times New Roman"/>
          <w:color w:val="0000FF"/>
          <w:sz w:val="21"/>
          <w:szCs w:val="22"/>
        </w:rPr>
      </w:pPr>
      <w:r>
        <w:rPr>
          <w:rFonts w:hint="default" w:ascii="Times New Roman" w:hAnsi="Times New Roman" w:eastAsia="宋体" w:cs="Times New Roman"/>
          <w:color w:val="000000"/>
          <w:sz w:val="24"/>
          <w:szCs w:val="24"/>
        </w:rPr>
        <w:t>项目竣工后建设单位应当依照国家有关法律法规、建设项目竣工环境保护验收技术规范、建设项目环境影响报告书和审批决定等要求，如实查验、监测、记载建设项目环境保护设施的建设和调试情况，同时还应如实记载其他环境保护对策措施“三同时”落实情况，自行或者委托技术机构编制验收监测报告。</w:t>
      </w:r>
    </w:p>
    <w:p>
      <w:pPr>
        <w:spacing w:line="360" w:lineRule="auto"/>
        <w:ind w:firstLine="0"/>
        <w:outlineLvl w:val="2"/>
        <w:rPr>
          <w:rFonts w:hint="default" w:ascii="Times New Roman" w:hAnsi="Times New Roman" w:eastAsia="黑体" w:cs="Times New Roman"/>
          <w:sz w:val="30"/>
          <w:szCs w:val="28"/>
        </w:rPr>
      </w:pPr>
      <w:r>
        <w:rPr>
          <w:rFonts w:hint="default" w:ascii="Times New Roman" w:hAnsi="Times New Roman" w:eastAsia="黑体" w:cs="Times New Roman"/>
          <w:sz w:val="30"/>
          <w:szCs w:val="28"/>
        </w:rPr>
        <w:t xml:space="preserve">9.1.8企业排污许可管理要求 </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000000"/>
          <w:sz w:val="24"/>
          <w:szCs w:val="24"/>
        </w:rPr>
        <w:t>根据《排污许可证管理暂行规定》：新建项目的排污单位应当在投入生产或使用并产生实际排污行为之前申请领取排污许可证。对照《固定污染源排污许可分类管理名录》（2019年版），本项目属于“二十一、化学原料和化学制品制造业，电子级硝酸属于C2611无机酸制造，硝酸银属于C2613无机盐制造，超细银粉属于C3985电子专用材料制造”，本项目实行排污许可重点管理。排污单位应当在启动生产设施或者发生实际排污之前参考《排污许可证申请与核发技术规范-无机</w:t>
      </w:r>
      <w:r>
        <w:rPr>
          <w:rFonts w:hint="default" w:ascii="Times New Roman" w:hAnsi="Times New Roman" w:eastAsia="宋体" w:cs="Times New Roman"/>
          <w:color w:val="auto"/>
          <w:sz w:val="24"/>
          <w:szCs w:val="24"/>
        </w:rPr>
        <w:t>化学工业》（HJ 1035-2019）</w:t>
      </w:r>
      <w:r>
        <w:rPr>
          <w:rFonts w:hint="eastAsia" w:ascii="Times New Roman" w:hAnsi="Times New Roman" w:eastAsia="宋体" w:cs="Times New Roman"/>
          <w:color w:val="auto"/>
          <w:sz w:val="24"/>
          <w:szCs w:val="24"/>
          <w:lang w:val="en-US" w:eastAsia="zh-CN"/>
        </w:rPr>
        <w:t>及</w:t>
      </w:r>
      <w:r>
        <w:rPr>
          <w:rFonts w:hint="default" w:ascii="Times New Roman" w:hAnsi="Times New Roman" w:eastAsia="宋体" w:cs="Times New Roman"/>
          <w:color w:val="auto"/>
          <w:sz w:val="24"/>
          <w:szCs w:val="24"/>
          <w:highlight w:val="none"/>
        </w:rPr>
        <w:t>《排污许可证申请与核发技术规范-</w:t>
      </w:r>
      <w:r>
        <w:rPr>
          <w:rFonts w:hint="eastAsia" w:ascii="Times New Roman" w:hAnsi="Times New Roman" w:eastAsia="宋体" w:cs="Times New Roman"/>
          <w:color w:val="auto"/>
          <w:sz w:val="24"/>
          <w:szCs w:val="24"/>
          <w:highlight w:val="none"/>
          <w:lang w:val="en-US" w:eastAsia="zh-CN"/>
        </w:rPr>
        <w:t>电子</w:t>
      </w:r>
      <w:r>
        <w:rPr>
          <w:rFonts w:hint="default" w:ascii="Times New Roman" w:hAnsi="Times New Roman" w:eastAsia="宋体" w:cs="Times New Roman"/>
          <w:color w:val="auto"/>
          <w:sz w:val="24"/>
          <w:szCs w:val="24"/>
          <w:highlight w:val="none"/>
        </w:rPr>
        <w:t>工业》（HJ 103</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-2019）</w:t>
      </w:r>
      <w:r>
        <w:rPr>
          <w:rFonts w:hint="default" w:ascii="Times New Roman" w:hAnsi="Times New Roman" w:eastAsia="宋体" w:cs="Times New Roman"/>
          <w:color w:val="auto"/>
          <w:sz w:val="24"/>
          <w:szCs w:val="24"/>
        </w:rPr>
        <w:t>取得排污许可证。</w:t>
      </w:r>
    </w:p>
    <w:p>
      <w:pPr>
        <w:spacing w:line="360" w:lineRule="auto"/>
        <w:ind w:firstLine="0"/>
        <w:outlineLvl w:val="2"/>
        <w:rPr>
          <w:rFonts w:hint="default" w:ascii="Times New Roman" w:hAnsi="Times New Roman" w:eastAsia="黑体" w:cs="Times New Roman"/>
          <w:color w:val="auto"/>
          <w:sz w:val="30"/>
          <w:szCs w:val="28"/>
        </w:rPr>
      </w:pPr>
      <w:r>
        <w:rPr>
          <w:rFonts w:hint="default" w:ascii="Times New Roman" w:hAnsi="Times New Roman" w:eastAsia="黑体" w:cs="Times New Roman"/>
          <w:color w:val="auto"/>
          <w:sz w:val="30"/>
          <w:szCs w:val="28"/>
        </w:rPr>
        <w:t>9.1.9环境管理台账要求</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环境管理台账应分为电子化储存和纸质存储两种形式，环境管理台账的记录内容应包括排污单位的基本信息、生产设施运行管理信息、污染防治设施运行管理信息、监测记录信息及其他管理信息等。</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管理台账的记录频次如下：</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（1）基本信息</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对于未发生变化的基本信息，按年记录，1次/年；对于发生变化的基本信息，在发生变化时记录1次。</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（2）生产设施运行管理信息</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运行状态、生产负荷、罐区储存物料种类、储存量等按周期记录。</w:t>
      </w:r>
    </w:p>
    <w:p>
      <w:pPr>
        <w:numPr>
          <w:ilvl w:val="0"/>
          <w:numId w:val="18"/>
        </w:num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污染治理设施运行管理信息 运行情况、异常情况均按周期记录。</w:t>
      </w:r>
    </w:p>
    <w:p>
      <w:pPr>
        <w:spacing w:line="360" w:lineRule="auto"/>
        <w:ind w:left="480" w:firstLine="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（4）其他环境管理信息 废气无组织污染治理设施管理信息按日记录。</w:t>
      </w:r>
    </w:p>
    <w:p>
      <w:pPr>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rPr>
        <w:t>其他信息：依据法律法规、标准规范或实际生产运行规律等确定记录频次。</w:t>
      </w:r>
    </w:p>
    <w:p>
      <w:pPr>
        <w:spacing w:line="360" w:lineRule="auto"/>
        <w:ind w:firstLine="0"/>
        <w:outlineLvl w:val="1"/>
        <w:rPr>
          <w:rFonts w:hint="default" w:ascii="Times New Roman" w:hAnsi="Times New Roman" w:eastAsia="黑体" w:cs="Times New Roman"/>
          <w:sz w:val="32"/>
          <w:szCs w:val="32"/>
        </w:rPr>
      </w:pPr>
      <w:bookmarkStart w:id="447" w:name="_Toc12930"/>
      <w:bookmarkStart w:id="448" w:name="_Toc23588"/>
      <w:bookmarkStart w:id="449" w:name="_Toc27495"/>
      <w:r>
        <w:rPr>
          <w:rFonts w:hint="default" w:ascii="Times New Roman" w:hAnsi="Times New Roman" w:eastAsia="黑体" w:cs="Times New Roman"/>
          <w:sz w:val="32"/>
          <w:szCs w:val="32"/>
        </w:rPr>
        <w:t>9.2环境监测计划</w:t>
      </w:r>
      <w:bookmarkEnd w:id="447"/>
      <w:bookmarkEnd w:id="448"/>
      <w:bookmarkEnd w:id="449"/>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环境监测在环境监督管理中占有主要地位，通过制定并实施环境监测计划，可有效管理、监督各项环保措施的落实情况，及时发现存在问题，以便进一步改进环保工程措施，更好地贯彻执行有关环保法律法规和环保标准，确实保护好环境资源和环境质量，实现经济建设和环境保护协调发展。</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（1）正常运行监测计划</w:t>
      </w:r>
    </w:p>
    <w:p>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000000"/>
          <w:sz w:val="24"/>
          <w:szCs w:val="24"/>
        </w:rPr>
        <w:t>企业应按照有关法律法规及《环境监测管理办法》等规定，在运营期建立环境监测制度，对污染物排放状况及其对周边环境质量的影响开展监测，保存原始监测记录，并公</w:t>
      </w:r>
      <w:r>
        <w:rPr>
          <w:rFonts w:hint="default" w:ascii="Times New Roman" w:hAnsi="Times New Roman" w:eastAsia="宋体" w:cs="Times New Roman"/>
          <w:color w:val="auto"/>
          <w:sz w:val="24"/>
          <w:szCs w:val="24"/>
        </w:rPr>
        <w:t>布监测结果。</w:t>
      </w:r>
      <w:r>
        <w:rPr>
          <w:rFonts w:hint="eastAsia" w:ascii="Times New Roman" w:hAnsi="Times New Roman" w:eastAsia="宋体" w:cs="Times New Roman"/>
          <w:color w:val="auto"/>
          <w:sz w:val="24"/>
          <w:szCs w:val="24"/>
          <w:lang w:val="en-US" w:eastAsia="zh-CN"/>
        </w:rPr>
        <w:t>参照</w:t>
      </w:r>
      <w:r>
        <w:rPr>
          <w:rFonts w:hint="default" w:ascii="Times New Roman" w:hAnsi="Times New Roman" w:eastAsia="宋体" w:cs="Times New Roman"/>
          <w:color w:val="auto"/>
          <w:sz w:val="24"/>
          <w:szCs w:val="24"/>
        </w:rPr>
        <w:t>《排污单位自行监测技术指南  无机化学工业》（HJ1138-2020）</w:t>
      </w:r>
      <w:r>
        <w:rPr>
          <w:rFonts w:hint="eastAsia" w:ascii="Times New Roman" w:hAnsi="Times New Roman" w:eastAsia="宋体" w:cs="Times New Roman"/>
          <w:color w:val="auto"/>
          <w:sz w:val="24"/>
          <w:szCs w:val="24"/>
          <w:lang w:val="en-US" w:eastAsia="zh-CN"/>
        </w:rPr>
        <w:t>及</w:t>
      </w:r>
      <w:r>
        <w:rPr>
          <w:rFonts w:hint="default" w:ascii="Times New Roman" w:hAnsi="Times New Roman" w:eastAsia="宋体" w:cs="Times New Roman"/>
          <w:color w:val="auto"/>
          <w:sz w:val="24"/>
          <w:szCs w:val="24"/>
          <w:highlight w:val="none"/>
        </w:rPr>
        <w:t>《排污许可证申请与核发技术规范-</w:t>
      </w:r>
      <w:r>
        <w:rPr>
          <w:rFonts w:hint="eastAsia" w:ascii="Times New Roman" w:hAnsi="Times New Roman" w:eastAsia="宋体" w:cs="Times New Roman"/>
          <w:color w:val="auto"/>
          <w:sz w:val="24"/>
          <w:szCs w:val="24"/>
          <w:highlight w:val="none"/>
          <w:lang w:val="en-US" w:eastAsia="zh-CN"/>
        </w:rPr>
        <w:t>电子</w:t>
      </w:r>
      <w:r>
        <w:rPr>
          <w:rFonts w:hint="default" w:ascii="Times New Roman" w:hAnsi="Times New Roman" w:eastAsia="宋体" w:cs="Times New Roman"/>
          <w:color w:val="auto"/>
          <w:sz w:val="24"/>
          <w:szCs w:val="24"/>
          <w:highlight w:val="none"/>
        </w:rPr>
        <w:t>工业》（HJ 103</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-2019）中</w:t>
      </w:r>
      <w:r>
        <w:rPr>
          <w:rFonts w:hint="eastAsia" w:ascii="Times New Roman" w:hAnsi="Times New Roman" w:eastAsia="宋体" w:cs="Times New Roman"/>
          <w:color w:val="auto"/>
          <w:sz w:val="24"/>
          <w:szCs w:val="24"/>
          <w:highlight w:val="none"/>
          <w:lang w:val="en-US" w:eastAsia="zh-CN"/>
        </w:rPr>
        <w:t>自行</w:t>
      </w:r>
      <w:r>
        <w:rPr>
          <w:rFonts w:hint="default" w:ascii="Times New Roman" w:hAnsi="Times New Roman" w:eastAsia="宋体" w:cs="Times New Roman"/>
          <w:color w:val="auto"/>
          <w:sz w:val="24"/>
          <w:szCs w:val="24"/>
          <w:highlight w:val="none"/>
        </w:rPr>
        <w:t>监测内容及监测频次的要求</w:t>
      </w:r>
      <w:r>
        <w:rPr>
          <w:rFonts w:hint="eastAsia" w:ascii="Times New Roman" w:hAnsi="Times New Roman" w:eastAsia="宋体" w:cs="Times New Roman"/>
          <w:color w:val="auto"/>
          <w:sz w:val="24"/>
          <w:szCs w:val="24"/>
          <w:highlight w:val="none"/>
          <w:lang w:val="en-US" w:eastAsia="zh-CN"/>
        </w:rPr>
        <w:t>从严</w:t>
      </w:r>
      <w:r>
        <w:rPr>
          <w:rFonts w:hint="default" w:ascii="Times New Roman" w:hAnsi="Times New Roman" w:eastAsia="宋体" w:cs="Times New Roman"/>
          <w:color w:val="auto"/>
          <w:sz w:val="24"/>
          <w:szCs w:val="24"/>
          <w:highlight w:val="none"/>
        </w:rPr>
        <w:t>执行。</w:t>
      </w:r>
    </w:p>
    <w:p>
      <w:pPr>
        <w:pStyle w:val="2"/>
        <w:rPr>
          <w:rFonts w:hint="default" w:ascii="Times New Roman" w:hAnsi="Times New Roman" w:eastAsia="宋体" w:cs="Times New Roman"/>
          <w:color w:val="auto"/>
          <w:sz w:val="24"/>
          <w:szCs w:val="24"/>
          <w:highlight w:val="none"/>
        </w:rPr>
      </w:pPr>
    </w:p>
    <w:p>
      <w:pPr>
        <w:pStyle w:val="2"/>
        <w:rPr>
          <w:rFonts w:hint="default" w:ascii="Times New Roman" w:hAnsi="Times New Roman" w:eastAsia="宋体" w:cs="Times New Roman"/>
          <w:color w:val="auto"/>
          <w:sz w:val="24"/>
          <w:szCs w:val="24"/>
          <w:highlight w:val="none"/>
        </w:rPr>
      </w:pPr>
    </w:p>
    <w:p>
      <w:pPr>
        <w:pStyle w:val="2"/>
        <w:rPr>
          <w:rFonts w:hint="default" w:ascii="Times New Roman" w:hAnsi="Times New Roman" w:eastAsia="宋体" w:cs="Times New Roman"/>
          <w:color w:val="auto"/>
          <w:sz w:val="24"/>
          <w:szCs w:val="24"/>
          <w:highlight w:val="none"/>
        </w:rPr>
      </w:pPr>
    </w:p>
    <w:p>
      <w:pPr>
        <w:pStyle w:val="2"/>
        <w:rPr>
          <w:rFonts w:hint="default" w:ascii="Times New Roman" w:hAnsi="Times New Roman" w:eastAsia="宋体" w:cs="Times New Roman"/>
          <w:color w:val="auto"/>
          <w:sz w:val="24"/>
          <w:szCs w:val="24"/>
          <w:highlight w:val="none"/>
        </w:rPr>
      </w:pPr>
    </w:p>
    <w:p>
      <w:pPr>
        <w:pStyle w:val="2"/>
        <w:rPr>
          <w:rFonts w:hint="default" w:ascii="Times New Roman" w:hAnsi="Times New Roman" w:eastAsia="宋体" w:cs="Times New Roman"/>
          <w:color w:val="auto"/>
          <w:sz w:val="24"/>
          <w:szCs w:val="24"/>
          <w:highlight w:val="none"/>
        </w:rPr>
      </w:pPr>
    </w:p>
    <w:p>
      <w:pPr>
        <w:pStyle w:val="2"/>
        <w:rPr>
          <w:rFonts w:hint="default" w:ascii="Times New Roman" w:hAnsi="Times New Roman" w:eastAsia="宋体" w:cs="Times New Roman"/>
          <w:color w:val="auto"/>
          <w:sz w:val="24"/>
          <w:szCs w:val="24"/>
          <w:highlight w:val="none"/>
        </w:rPr>
      </w:pPr>
    </w:p>
    <w:p>
      <w:pPr>
        <w:pStyle w:val="2"/>
        <w:rPr>
          <w:rFonts w:hint="default" w:ascii="Times New Roman" w:hAnsi="Times New Roman" w:eastAsia="宋体" w:cs="Times New Roman"/>
          <w:color w:val="auto"/>
          <w:sz w:val="24"/>
          <w:szCs w:val="24"/>
          <w:highlight w:val="none"/>
        </w:rPr>
      </w:pPr>
    </w:p>
    <w:p>
      <w:pPr>
        <w:pStyle w:val="2"/>
        <w:rPr>
          <w:rFonts w:hint="default" w:ascii="Times New Roman" w:hAnsi="Times New Roman" w:eastAsia="宋体" w:cs="Times New Roman"/>
          <w:color w:val="auto"/>
          <w:sz w:val="24"/>
          <w:szCs w:val="24"/>
          <w:highlight w:val="none"/>
        </w:rPr>
      </w:pPr>
    </w:p>
    <w:p>
      <w:pPr>
        <w:pStyle w:val="2"/>
        <w:rPr>
          <w:rFonts w:hint="default" w:ascii="Times New Roman" w:hAnsi="Times New Roman" w:eastAsia="宋体" w:cs="Times New Roman"/>
          <w:color w:val="auto"/>
          <w:sz w:val="24"/>
          <w:szCs w:val="24"/>
          <w:highlight w:val="none"/>
        </w:rPr>
      </w:pPr>
    </w:p>
    <w:p>
      <w:pPr>
        <w:pStyle w:val="2"/>
        <w:rPr>
          <w:rFonts w:hint="default" w:ascii="Times New Roman" w:hAnsi="Times New Roman" w:eastAsia="宋体" w:cs="Times New Roman"/>
          <w:color w:val="auto"/>
          <w:sz w:val="24"/>
          <w:szCs w:val="24"/>
          <w:highlight w:val="none"/>
        </w:rPr>
      </w:pPr>
    </w:p>
    <w:p>
      <w:pPr>
        <w:pStyle w:val="2"/>
        <w:rPr>
          <w:rFonts w:hint="default" w:ascii="Times New Roman" w:hAnsi="Times New Roman" w:eastAsia="宋体" w:cs="Times New Roman"/>
          <w:color w:val="auto"/>
          <w:sz w:val="24"/>
          <w:szCs w:val="24"/>
          <w:highlight w:val="none"/>
        </w:rPr>
      </w:pPr>
    </w:p>
    <w:p>
      <w:pPr>
        <w:pStyle w:val="2"/>
        <w:rPr>
          <w:rFonts w:hint="default" w:ascii="Times New Roman" w:hAnsi="Times New Roman" w:eastAsia="宋体" w:cs="Times New Roman"/>
          <w:color w:val="auto"/>
          <w:sz w:val="24"/>
          <w:szCs w:val="24"/>
          <w:highlight w:val="none"/>
        </w:rPr>
      </w:pPr>
    </w:p>
    <w:p>
      <w:pPr>
        <w:pStyle w:val="2"/>
        <w:rPr>
          <w:rFonts w:hint="default" w:ascii="Times New Roman" w:hAnsi="Times New Roman" w:eastAsia="宋体" w:cs="Times New Roman"/>
          <w:color w:val="auto"/>
          <w:sz w:val="24"/>
          <w:szCs w:val="24"/>
          <w:highlight w:val="none"/>
        </w:rPr>
      </w:pPr>
    </w:p>
    <w:p>
      <w:pPr>
        <w:pStyle w:val="2"/>
        <w:rPr>
          <w:rFonts w:hint="default" w:ascii="Times New Roman" w:hAnsi="Times New Roman" w:eastAsia="宋体" w:cs="Times New Roman"/>
          <w:color w:val="auto"/>
          <w:sz w:val="24"/>
          <w:szCs w:val="24"/>
          <w:highlight w:val="none"/>
        </w:rPr>
      </w:pPr>
    </w:p>
    <w:p>
      <w:pPr>
        <w:spacing w:line="240" w:lineRule="auto"/>
        <w:ind w:firstLine="0"/>
        <w:jc w:val="center"/>
        <w:outlineLvl w:val="4"/>
        <w:rPr>
          <w:rFonts w:hint="default" w:ascii="Times New Roman" w:hAnsi="Times New Roman" w:eastAsia="黑体" w:cs="Times New Roman"/>
          <w:b/>
          <w:color w:val="auto"/>
          <w:sz w:val="24"/>
          <w:szCs w:val="24"/>
        </w:rPr>
      </w:pPr>
      <w:r>
        <w:rPr>
          <w:rFonts w:hint="default" w:ascii="Times New Roman" w:hAnsi="Times New Roman" w:eastAsia="黑体" w:cs="Times New Roman"/>
          <w:b/>
          <w:color w:val="auto"/>
          <w:sz w:val="24"/>
          <w:szCs w:val="24"/>
        </w:rPr>
        <w:t>表9.2-1 项目污染物排放监测计划一览表</w:t>
      </w:r>
    </w:p>
    <w:tbl>
      <w:tblPr>
        <w:tblStyle w:val="90"/>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57" w:type="dxa"/>
          <w:left w:w="57" w:type="dxa"/>
          <w:bottom w:w="28" w:type="dxa"/>
          <w:right w:w="57" w:type="dxa"/>
        </w:tblCellMar>
      </w:tblPr>
      <w:tblGrid>
        <w:gridCol w:w="920"/>
        <w:gridCol w:w="2818"/>
        <w:gridCol w:w="2755"/>
        <w:gridCol w:w="235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57" w:type="dxa"/>
            <w:bottom w:w="28" w:type="dxa"/>
            <w:right w:w="57" w:type="dxa"/>
          </w:tblCellMar>
        </w:tblPrEx>
        <w:trPr>
          <w:trHeight w:val="23" w:hRule="atLeast"/>
          <w:tblHeader/>
          <w:jc w:val="center"/>
        </w:trPr>
        <w:tc>
          <w:tcPr>
            <w:tcW w:w="92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类别</w:t>
            </w:r>
          </w:p>
        </w:tc>
        <w:tc>
          <w:tcPr>
            <w:tcW w:w="281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监测点</w:t>
            </w:r>
          </w:p>
        </w:tc>
        <w:tc>
          <w:tcPr>
            <w:tcW w:w="275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监测因子</w:t>
            </w:r>
          </w:p>
        </w:tc>
        <w:tc>
          <w:tcPr>
            <w:tcW w:w="2351"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监测频次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57" w:type="dxa"/>
            <w:bottom w:w="28" w:type="dxa"/>
            <w:right w:w="57" w:type="dxa"/>
          </w:tblCellMar>
        </w:tblPrEx>
        <w:trPr>
          <w:trHeight w:val="23" w:hRule="atLeast"/>
          <w:jc w:val="center"/>
        </w:trPr>
        <w:tc>
          <w:tcPr>
            <w:tcW w:w="920"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color w:val="auto"/>
                <w:sz w:val="21"/>
                <w:szCs w:val="21"/>
              </w:rPr>
              <w:t>有组织废气监测</w:t>
            </w:r>
          </w:p>
        </w:tc>
        <w:tc>
          <w:tcPr>
            <w:tcW w:w="281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DA001</w:t>
            </w:r>
          </w:p>
        </w:tc>
        <w:tc>
          <w:tcPr>
            <w:tcW w:w="275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氮氧化物</w:t>
            </w:r>
          </w:p>
        </w:tc>
        <w:tc>
          <w:tcPr>
            <w:tcW w:w="2351"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color w:val="auto"/>
                <w:sz w:val="21"/>
                <w:szCs w:val="21"/>
              </w:rPr>
              <w:t>1次/季度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57" w:type="dxa"/>
            <w:bottom w:w="28" w:type="dxa"/>
            <w:right w:w="57" w:type="dxa"/>
          </w:tblCellMar>
        </w:tblPrEx>
        <w:trPr>
          <w:trHeight w:val="23" w:hRule="atLeast"/>
          <w:jc w:val="center"/>
        </w:trPr>
        <w:tc>
          <w:tcPr>
            <w:vMerge w:val="continue"/>
            <w:noWrap w:val="0"/>
          </w:tcPr>
          <w:p/>
        </w:tc>
        <w:tc>
          <w:tcPr>
            <w:tcW w:w="281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color w:val="auto"/>
                <w:sz w:val="21"/>
                <w:szCs w:val="21"/>
              </w:rPr>
              <w:t>DA002</w:t>
            </w:r>
          </w:p>
        </w:tc>
        <w:tc>
          <w:tcPr>
            <w:tcW w:w="275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NMHC</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氨、甲醛</w:t>
            </w:r>
          </w:p>
        </w:tc>
        <w:tc>
          <w:tcPr>
            <w:tcW w:w="2351"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color w:val="auto"/>
                <w:sz w:val="21"/>
                <w:szCs w:val="21"/>
              </w:rPr>
              <w:t>1次/季度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57" w:type="dxa"/>
            <w:bottom w:w="28" w:type="dxa"/>
            <w:right w:w="57" w:type="dxa"/>
          </w:tblCellMar>
        </w:tblPrEx>
        <w:trPr>
          <w:trHeight w:val="23" w:hRule="atLeast"/>
          <w:jc w:val="center"/>
        </w:trPr>
        <w:tc>
          <w:tcPr>
            <w:vMerge w:val="continue"/>
            <w:noWrap w:val="0"/>
          </w:tcPr>
          <w:p/>
        </w:tc>
        <w:tc>
          <w:tcPr>
            <w:tcW w:w="281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DA003</w:t>
            </w:r>
          </w:p>
        </w:tc>
        <w:tc>
          <w:tcPr>
            <w:tcW w:w="275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氮氧化物</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氨、NMHC</w:t>
            </w:r>
          </w:p>
        </w:tc>
        <w:tc>
          <w:tcPr>
            <w:tcW w:w="2351"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1次/季度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57" w:type="dxa"/>
            <w:bottom w:w="28" w:type="dxa"/>
            <w:right w:w="57" w:type="dxa"/>
          </w:tblCellMar>
        </w:tblPrEx>
        <w:trPr>
          <w:trHeight w:val="23" w:hRule="atLeast"/>
          <w:jc w:val="center"/>
        </w:trPr>
        <w:tc>
          <w:tcPr>
            <w:vMerge w:val="continue"/>
            <w:noWrap w:val="0"/>
          </w:tcPr>
          <w:p/>
        </w:tc>
        <w:tc>
          <w:tcPr>
            <w:tcW w:w="281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DA00</w:t>
            </w:r>
            <w:r>
              <w:rPr>
                <w:rFonts w:hint="eastAsia" w:ascii="Times New Roman" w:hAnsi="Times New Roman" w:eastAsia="宋体" w:cs="Times New Roman"/>
                <w:color w:val="auto"/>
                <w:sz w:val="21"/>
                <w:szCs w:val="21"/>
                <w:lang w:val="en-US" w:eastAsia="zh-CN"/>
              </w:rPr>
              <w:t>4</w:t>
            </w:r>
          </w:p>
        </w:tc>
        <w:tc>
          <w:tcPr>
            <w:tcW w:w="275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2351"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1次/季度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57" w:type="dxa"/>
            <w:bottom w:w="28" w:type="dxa"/>
            <w:right w:w="57" w:type="dxa"/>
          </w:tblCellMar>
        </w:tblPrEx>
        <w:trPr>
          <w:trHeight w:val="23" w:hRule="atLeast"/>
          <w:jc w:val="center"/>
        </w:trPr>
        <w:tc>
          <w:tcPr>
            <w:vMerge w:val="continue"/>
            <w:noWrap w:val="0"/>
          </w:tcPr>
          <w:p/>
        </w:tc>
        <w:tc>
          <w:tcPr>
            <w:tcW w:w="281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DA00</w:t>
            </w:r>
            <w:r>
              <w:rPr>
                <w:rFonts w:hint="eastAsia" w:ascii="Times New Roman" w:hAnsi="Times New Roman" w:eastAsia="宋体" w:cs="Times New Roman"/>
                <w:color w:val="auto"/>
                <w:sz w:val="21"/>
                <w:szCs w:val="21"/>
                <w:lang w:val="en-US" w:eastAsia="zh-CN"/>
              </w:rPr>
              <w:t>5</w:t>
            </w:r>
          </w:p>
        </w:tc>
        <w:tc>
          <w:tcPr>
            <w:tcW w:w="275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氨、NMHC</w:t>
            </w:r>
          </w:p>
        </w:tc>
        <w:tc>
          <w:tcPr>
            <w:tcW w:w="2351"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1次/季度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57" w:type="dxa"/>
            <w:bottom w:w="28" w:type="dxa"/>
            <w:right w:w="57" w:type="dxa"/>
          </w:tblCellMar>
        </w:tblPrEx>
        <w:trPr>
          <w:trHeight w:val="23" w:hRule="atLeast"/>
          <w:jc w:val="center"/>
        </w:trPr>
        <w:tc>
          <w:tcPr>
            <w:tcW w:w="920"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无组织废气</w:t>
            </w:r>
          </w:p>
        </w:tc>
        <w:tc>
          <w:tcPr>
            <w:tcW w:w="2818"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厂界上风向、下风向</w:t>
            </w:r>
          </w:p>
        </w:tc>
        <w:tc>
          <w:tcPr>
            <w:tcW w:w="275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氮氧化物、氨、颗粒物</w:t>
            </w:r>
          </w:p>
        </w:tc>
        <w:tc>
          <w:tcPr>
            <w:tcW w:w="2351"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1次/半年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57" w:type="dxa"/>
            <w:bottom w:w="28" w:type="dxa"/>
            <w:right w:w="57" w:type="dxa"/>
          </w:tblCellMar>
        </w:tblPrEx>
        <w:trPr>
          <w:trHeight w:val="23" w:hRule="atLeast"/>
          <w:jc w:val="center"/>
        </w:trPr>
        <w:tc>
          <w:tcPr>
            <w:vMerge w:val="continue"/>
            <w:noWrap w:val="0"/>
          </w:tcPr>
          <w:p/>
        </w:tc>
        <w:tc>
          <w:tcPr>
            <w:vMerge w:val="continue"/>
            <w:noWrap w:val="0"/>
          </w:tcPr>
          <w:p/>
        </w:tc>
        <w:tc>
          <w:tcPr>
            <w:tcW w:w="275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挥发性有机物</w:t>
            </w:r>
          </w:p>
        </w:tc>
        <w:tc>
          <w:tcPr>
            <w:tcW w:w="2351"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1次/年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57" w:type="dxa"/>
            <w:bottom w:w="28" w:type="dxa"/>
            <w:right w:w="57" w:type="dxa"/>
          </w:tblCellMar>
        </w:tblPrEx>
        <w:trPr>
          <w:trHeight w:val="23" w:hRule="atLeast"/>
          <w:jc w:val="center"/>
        </w:trPr>
        <w:tc>
          <w:tcPr>
            <w:tcW w:w="920"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废水监测</w:t>
            </w:r>
          </w:p>
        </w:tc>
        <w:tc>
          <w:tcPr>
            <w:tcW w:w="2818"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工业</w:t>
            </w:r>
            <w:r>
              <w:rPr>
                <w:rFonts w:hint="default" w:ascii="Times New Roman" w:hAnsi="Times New Roman" w:eastAsia="宋体" w:cs="Times New Roman"/>
                <w:color w:val="auto"/>
                <w:sz w:val="21"/>
                <w:szCs w:val="21"/>
              </w:rPr>
              <w:t>废水排放口</w:t>
            </w:r>
          </w:p>
        </w:tc>
        <w:tc>
          <w:tcPr>
            <w:tcW w:w="275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流量、pH、COD、NH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总银</w:t>
            </w:r>
          </w:p>
        </w:tc>
        <w:tc>
          <w:tcPr>
            <w:tcW w:w="2351"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自动监测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57" w:type="dxa"/>
            <w:bottom w:w="28" w:type="dxa"/>
            <w:right w:w="57" w:type="dxa"/>
          </w:tblCellMar>
        </w:tblPrEx>
        <w:trPr>
          <w:trHeight w:val="23" w:hRule="atLeast"/>
          <w:jc w:val="center"/>
        </w:trPr>
        <w:tc>
          <w:tcPr>
            <w:vMerge w:val="continue"/>
            <w:noWrap w:val="0"/>
          </w:tcPr>
          <w:p/>
        </w:tc>
        <w:tc>
          <w:tcPr>
            <w:vMerge w:val="continue"/>
            <w:noWrap w:val="0"/>
          </w:tcPr>
          <w:p/>
        </w:tc>
        <w:tc>
          <w:tcPr>
            <w:tcW w:w="275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悬浮物</w:t>
            </w:r>
          </w:p>
        </w:tc>
        <w:tc>
          <w:tcPr>
            <w:tcW w:w="2351"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1次/季度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57" w:type="dxa"/>
            <w:bottom w:w="28" w:type="dxa"/>
            <w:right w:w="57" w:type="dxa"/>
          </w:tblCellMar>
        </w:tblPrEx>
        <w:trPr>
          <w:trHeight w:val="23" w:hRule="atLeast"/>
          <w:jc w:val="center"/>
        </w:trPr>
        <w:tc>
          <w:tcPr>
            <w:vMerge w:val="continue"/>
            <w:noWrap w:val="0"/>
          </w:tcPr>
          <w:p/>
        </w:tc>
        <w:tc>
          <w:tcPr>
            <w:tcW w:w="2818"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车间含银废水预处理设施出口</w:t>
            </w:r>
          </w:p>
        </w:tc>
        <w:tc>
          <w:tcPr>
            <w:tcW w:w="275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流量</w:t>
            </w:r>
          </w:p>
        </w:tc>
        <w:tc>
          <w:tcPr>
            <w:tcW w:w="2351"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自动监测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57" w:type="dxa"/>
            <w:bottom w:w="28" w:type="dxa"/>
            <w:right w:w="57" w:type="dxa"/>
          </w:tblCellMar>
        </w:tblPrEx>
        <w:trPr>
          <w:trHeight w:val="23" w:hRule="atLeast"/>
          <w:jc w:val="center"/>
        </w:trPr>
        <w:tc>
          <w:tcPr>
            <w:vMerge w:val="continue"/>
            <w:noWrap w:val="0"/>
          </w:tcPr>
          <w:p/>
        </w:tc>
        <w:tc>
          <w:tcPr>
            <w:vMerge w:val="continue"/>
            <w:noWrap w:val="0"/>
          </w:tcPr>
          <w:p/>
        </w:tc>
        <w:tc>
          <w:tcPr>
            <w:tcW w:w="275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总银</w:t>
            </w:r>
          </w:p>
        </w:tc>
        <w:tc>
          <w:tcPr>
            <w:tcW w:w="2351"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1次/</w:t>
            </w:r>
            <w:r>
              <w:rPr>
                <w:rFonts w:hint="eastAsia" w:ascii="Times New Roman" w:hAnsi="Times New Roman" w:eastAsia="宋体" w:cs="Times New Roman"/>
                <w:color w:val="auto"/>
                <w:sz w:val="21"/>
                <w:szCs w:val="21"/>
                <w:highlight w:val="none"/>
                <w:lang w:val="en-US" w:eastAsia="zh-CN"/>
              </w:rPr>
              <w:t>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57" w:type="dxa"/>
            <w:bottom w:w="28" w:type="dxa"/>
            <w:right w:w="57" w:type="dxa"/>
          </w:tblCellMar>
        </w:tblPrEx>
        <w:trPr>
          <w:trHeight w:val="23" w:hRule="atLeast"/>
          <w:jc w:val="center"/>
        </w:trPr>
        <w:tc>
          <w:tcPr>
            <w:vMerge w:val="continue"/>
            <w:noWrap w:val="0"/>
          </w:tcPr>
          <w:p/>
        </w:tc>
        <w:tc>
          <w:tcPr>
            <w:tcW w:w="281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雨水排放口</w:t>
            </w:r>
          </w:p>
        </w:tc>
        <w:tc>
          <w:tcPr>
            <w:tcW w:w="275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pH、COD、NH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w:t>
            </w:r>
          </w:p>
        </w:tc>
        <w:tc>
          <w:tcPr>
            <w:tcW w:w="2351"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w:t>
            </w:r>
            <w:r>
              <w:rPr>
                <w:rFonts w:hint="eastAsia" w:ascii="Times New Roman" w:hAnsi="Times New Roman" w:eastAsia="宋体" w:cs="Times New Roman"/>
                <w:color w:val="auto"/>
                <w:sz w:val="21"/>
                <w:szCs w:val="21"/>
                <w:lang w:val="en-US" w:eastAsia="zh-CN"/>
              </w:rPr>
              <w:t>期间</w:t>
            </w:r>
            <w:r>
              <w:rPr>
                <w:rFonts w:hint="default" w:ascii="Times New Roman" w:hAnsi="Times New Roman" w:eastAsia="宋体" w:cs="Times New Roman"/>
                <w:color w:val="auto"/>
                <w:sz w:val="21"/>
                <w:szCs w:val="21"/>
              </w:rPr>
              <w:t>按</w:t>
            </w:r>
            <w:r>
              <w:rPr>
                <w:rFonts w:hint="eastAsia" w:ascii="Times New Roman" w:hAnsi="Times New Roman" w:eastAsia="宋体" w:cs="Times New Roman"/>
                <w:color w:val="auto"/>
                <w:sz w:val="21"/>
                <w:szCs w:val="21"/>
                <w:lang w:val="en-US" w:eastAsia="zh-CN"/>
              </w:rPr>
              <w:t>日</w:t>
            </w:r>
            <w:r>
              <w:rPr>
                <w:rFonts w:hint="default" w:ascii="Times New Roman" w:hAnsi="Times New Roman" w:eastAsia="宋体" w:cs="Times New Roman"/>
                <w:color w:val="auto"/>
                <w:sz w:val="21"/>
                <w:szCs w:val="21"/>
              </w:rPr>
              <w:t>监测</w:t>
            </w:r>
            <w:r>
              <w:rPr>
                <w:rFonts w:hint="default" w:ascii="Times New Roman" w:hAnsi="Times New Roman" w:eastAsia="宋体" w:cs="Times New Roman"/>
                <w:color w:val="auto"/>
                <w:sz w:val="21"/>
                <w:szCs w:val="21"/>
                <w:vertAlign w:val="superscript"/>
              </w:rPr>
              <w: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57" w:type="dxa"/>
            <w:bottom w:w="28" w:type="dxa"/>
            <w:right w:w="57" w:type="dxa"/>
          </w:tblCellMar>
        </w:tblPrEx>
        <w:trPr>
          <w:trHeight w:val="23" w:hRule="atLeast"/>
          <w:jc w:val="center"/>
        </w:trPr>
        <w:tc>
          <w:tcPr>
            <w:tcW w:w="92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w:t>
            </w:r>
          </w:p>
        </w:tc>
        <w:tc>
          <w:tcPr>
            <w:tcW w:w="281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厂界噪声</w:t>
            </w:r>
          </w:p>
        </w:tc>
        <w:tc>
          <w:tcPr>
            <w:tcW w:w="275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昼夜等效连续A声级</w:t>
            </w:r>
          </w:p>
        </w:tc>
        <w:tc>
          <w:tcPr>
            <w:tcW w:w="2351"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1次/季度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57" w:type="dxa"/>
            <w:bottom w:w="28" w:type="dxa"/>
            <w:right w:w="57" w:type="dxa"/>
          </w:tblCellMar>
        </w:tblPrEx>
        <w:trPr>
          <w:trHeight w:val="23" w:hRule="atLeast"/>
          <w:jc w:val="center"/>
        </w:trPr>
        <w:tc>
          <w:tcPr>
            <w:tcW w:w="92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地下水环境</w:t>
            </w:r>
          </w:p>
        </w:tc>
        <w:tc>
          <w:tcPr>
            <w:tcW w:w="281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上、下游及厂内3个监测井</w:t>
            </w:r>
          </w:p>
        </w:tc>
        <w:tc>
          <w:tcPr>
            <w:tcW w:w="275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pH、溶解性总固体、耗氧量、氨氮、硝酸盐、银</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甲醛</w:t>
            </w:r>
          </w:p>
        </w:tc>
        <w:tc>
          <w:tcPr>
            <w:tcW w:w="2351"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1次/年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57" w:type="dxa"/>
            <w:bottom w:w="28" w:type="dxa"/>
            <w:right w:w="57" w:type="dxa"/>
          </w:tblCellMar>
        </w:tblPrEx>
        <w:trPr>
          <w:trHeight w:val="23" w:hRule="atLeast"/>
          <w:jc w:val="center"/>
        </w:trPr>
        <w:tc>
          <w:tcPr>
            <w:tcW w:w="92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土壤环境</w:t>
            </w:r>
          </w:p>
        </w:tc>
        <w:tc>
          <w:tcPr>
            <w:tcW w:w="281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厂区内</w:t>
            </w:r>
          </w:p>
        </w:tc>
        <w:tc>
          <w:tcPr>
            <w:tcW w:w="275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pH、银</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甲醛、铜、</w:t>
            </w:r>
            <w:r>
              <w:rPr>
                <w:rFonts w:hint="default" w:ascii="Times New Roman" w:hAnsi="Times New Roman" w:eastAsia="宋体" w:cs="Times New Roman"/>
                <w:color w:val="auto"/>
                <w:sz w:val="21"/>
                <w:szCs w:val="21"/>
                <w:highlight w:val="none"/>
              </w:rPr>
              <w:t>钯</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锑</w:t>
            </w:r>
          </w:p>
        </w:tc>
        <w:tc>
          <w:tcPr>
            <w:tcW w:w="2351"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1次/年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57" w:type="dxa"/>
            <w:bottom w:w="28" w:type="dxa"/>
            <w:right w:w="57" w:type="dxa"/>
          </w:tblCellMar>
        </w:tblPrEx>
        <w:trPr>
          <w:trHeight w:val="23" w:hRule="atLeast"/>
          <w:jc w:val="center"/>
        </w:trPr>
        <w:tc>
          <w:tcPr>
            <w:tcW w:w="8844" w:type="dxa"/>
            <w:gridSpan w:val="4"/>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jc w:val="left"/>
              <w:textAlignment w:val="auto"/>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a 雨水排放口有流动水排放时按月监测。若监测一年无异常情况，可放宽至每季度开展一次监测。</w:t>
            </w:r>
          </w:p>
        </w:tc>
      </w:tr>
    </w:tbl>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（2）应急监测计划</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一旦本项目发生火灾爆炸或其它事故，应进行事故状态下的环境跟踪监测。其目的是掌握事故可能威胁到的环境敏感点。建议包括以下内容：</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①监测项目</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氨、NO</w:t>
      </w:r>
      <w:r>
        <w:rPr>
          <w:rFonts w:hint="default" w:ascii="Times New Roman" w:hAnsi="Times New Roman" w:eastAsia="宋体" w:cs="Times New Roman"/>
          <w:color w:val="000000"/>
          <w:sz w:val="24"/>
          <w:szCs w:val="24"/>
          <w:vertAlign w:val="subscript"/>
        </w:rPr>
        <w:t>X</w:t>
      </w:r>
      <w:r>
        <w:rPr>
          <w:rFonts w:hint="default" w:ascii="Times New Roman" w:hAnsi="Times New Roman" w:eastAsia="宋体" w:cs="Times New Roman"/>
          <w:color w:val="000000"/>
          <w:sz w:val="24"/>
          <w:szCs w:val="24"/>
        </w:rPr>
        <w:t>、CO、颗粒物</w:t>
      </w:r>
      <w:r>
        <w:rPr>
          <w:rFonts w:hint="eastAsia" w:ascii="Times New Roman" w:hAnsi="Times New Roman" w:eastAsia="宋体" w:cs="Times New Roman"/>
          <w:color w:val="000000"/>
          <w:sz w:val="24"/>
          <w:szCs w:val="24"/>
          <w:lang w:eastAsia="zh-CN"/>
        </w:rPr>
        <w:t>、</w:t>
      </w:r>
      <w:r>
        <w:rPr>
          <w:rFonts w:hint="eastAsia" w:ascii="Times New Roman" w:hAnsi="Times New Roman" w:eastAsia="宋体" w:cs="Times New Roman"/>
          <w:color w:val="000000"/>
          <w:sz w:val="24"/>
          <w:szCs w:val="24"/>
          <w:lang w:val="en-US" w:eastAsia="zh-CN"/>
        </w:rPr>
        <w:t>甲醛</w:t>
      </w:r>
      <w:r>
        <w:rPr>
          <w:rFonts w:hint="default" w:ascii="Times New Roman" w:hAnsi="Times New Roman" w:eastAsia="宋体" w:cs="Times New Roman"/>
          <w:color w:val="000000"/>
          <w:sz w:val="24"/>
          <w:szCs w:val="24"/>
        </w:rPr>
        <w:t xml:space="preserve">； </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②监测频次</w:t>
      </w:r>
    </w:p>
    <w:p>
      <w:pPr>
        <w:spacing w:line="360" w:lineRule="auto"/>
        <w:ind w:firstLine="480"/>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00"/>
          <w:sz w:val="24"/>
          <w:szCs w:val="24"/>
        </w:rPr>
        <w:t>监测频次应根据污染程度，能反映所污染区域的污染程度。</w:t>
      </w:r>
    </w:p>
    <w:bookmarkEnd w:id="441"/>
    <w:bookmarkEnd w:id="442"/>
    <w:bookmarkEnd w:id="443"/>
    <w:p>
      <w:pPr>
        <w:spacing w:line="360" w:lineRule="auto"/>
        <w:ind w:firstLine="0"/>
        <w:outlineLvl w:val="1"/>
        <w:rPr>
          <w:rFonts w:hint="default" w:ascii="Times New Roman" w:hAnsi="Times New Roman" w:eastAsia="黑体" w:cs="Times New Roman"/>
          <w:sz w:val="32"/>
          <w:szCs w:val="32"/>
        </w:rPr>
      </w:pPr>
      <w:bookmarkStart w:id="450" w:name="_Toc6584992"/>
      <w:bookmarkStart w:id="451" w:name="_Toc24023"/>
      <w:bookmarkStart w:id="452" w:name="_Toc25118"/>
      <w:bookmarkStart w:id="453" w:name="_Toc22527"/>
      <w:r>
        <w:rPr>
          <w:rFonts w:hint="default" w:ascii="Times New Roman" w:hAnsi="Times New Roman" w:eastAsia="黑体" w:cs="Times New Roman"/>
          <w:sz w:val="32"/>
          <w:szCs w:val="32"/>
        </w:rPr>
        <w:t>9.3 排污口规范化建设</w:t>
      </w:r>
      <w:bookmarkEnd w:id="450"/>
      <w:bookmarkEnd w:id="451"/>
      <w:bookmarkEnd w:id="452"/>
      <w:bookmarkEnd w:id="453"/>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（1）需规范化的排污口</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废水排放口：废水总排放口及雨水排放口。</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废气排气筒：必须符合规定的高度和按《污染源监测技术规范》便于采样、监测的要求，并设立标志。</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其它：危废暂存间及一般固废暂存间，固体废物专用容器和贮放间应按《环境保护图形标志—固体废物贮存(处置)场》(GBl5562.2)要求分别设立标志牌。</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（2）对排污口的管理</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各排污口必须具备采样和测流条件，以便于污染控制和环境管理。</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建设单位应在各排污口处设立较明显的排污口标志牌，其上应注明主要排放污染物的名称；应如实填写《中华人民共和国规范化排污口标志登记证》的有关内容，由环保主管部门签发登记证。</w:t>
      </w:r>
    </w:p>
    <w:p>
      <w:pPr>
        <w:spacing w:line="480" w:lineRule="auto"/>
        <w:ind w:firstLine="0"/>
        <w:jc w:val="center"/>
        <w:outlineLvl w:val="4"/>
        <w:rPr>
          <w:rFonts w:hint="default" w:ascii="Times New Roman" w:hAnsi="Times New Roman" w:eastAsia="黑体" w:cs="Times New Roman"/>
          <w:sz w:val="24"/>
          <w:szCs w:val="24"/>
        </w:rPr>
      </w:pPr>
      <w:r>
        <w:rPr>
          <w:rFonts w:hint="default" w:ascii="Times New Roman" w:hAnsi="Times New Roman" w:eastAsia="黑体" w:cs="Times New Roman"/>
          <w:sz w:val="24"/>
          <w:szCs w:val="24"/>
        </w:rPr>
        <w:t>表9.3-1   排污口图形符号(提示标志)一览表</w:t>
      </w:r>
    </w:p>
    <w:tbl>
      <w:tblPr>
        <w:tblStyle w:val="90"/>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646"/>
        <w:gridCol w:w="1491"/>
        <w:gridCol w:w="1491"/>
        <w:gridCol w:w="1491"/>
        <w:gridCol w:w="1491"/>
        <w:gridCol w:w="149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1646" w:type="dxa"/>
            <w:tcBorders>
              <w:tl2br w:val="single" w:color="auto" w:sz="4" w:space="0"/>
            </w:tcBorders>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 xml:space="preserve">     排放部位</w:t>
            </w:r>
          </w:p>
          <w:p>
            <w:pPr>
              <w:overflowPunct w:val="0"/>
              <w:adjustRightInd w:val="0"/>
              <w:snapToGrid w:val="0"/>
              <w:spacing w:line="340" w:lineRule="exact"/>
              <w:ind w:firstLine="0"/>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项目</w:t>
            </w:r>
          </w:p>
        </w:tc>
        <w:tc>
          <w:tcPr>
            <w:tcW w:w="1491"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污水排放口</w:t>
            </w:r>
          </w:p>
        </w:tc>
        <w:tc>
          <w:tcPr>
            <w:tcW w:w="1491"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废气排放口</w:t>
            </w:r>
          </w:p>
        </w:tc>
        <w:tc>
          <w:tcPr>
            <w:tcW w:w="1491"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噪声排放源</w:t>
            </w:r>
          </w:p>
        </w:tc>
        <w:tc>
          <w:tcPr>
            <w:tcW w:w="1491"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一般固体废物</w:t>
            </w:r>
          </w:p>
        </w:tc>
        <w:tc>
          <w:tcPr>
            <w:tcW w:w="1491"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危险废物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1646"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图形符号</w:t>
            </w:r>
          </w:p>
        </w:tc>
        <w:tc>
          <w:tcPr>
            <w:tcW w:w="1491" w:type="dxa"/>
            <w:noWrap w:val="0"/>
            <w:vAlign w:val="center"/>
          </w:tcPr>
          <w:p>
            <w:pPr>
              <w:spacing w:line="340" w:lineRule="exact"/>
              <w:ind w:firstLine="480"/>
              <w:rPr>
                <w:rFonts w:hint="default" w:ascii="Times New Roman" w:hAnsi="Times New Roman" w:eastAsia="宋体" w:cs="Times New Roman"/>
                <w:bCs/>
                <w:sz w:val="21"/>
                <w:szCs w:val="21"/>
                <w:lang w:val="en-GB"/>
              </w:rPr>
            </w:pPr>
            <w:r>
              <w:drawing>
                <wp:anchor distT="0" distB="0" distL="114300" distR="114300" simplePos="0" relativeHeight="251734016" behindDoc="0" locked="0" layoutInCell="1" allowOverlap="1">
                  <wp:simplePos x="0" y="0"/>
                  <wp:positionH relativeFrom="column">
                    <wp:posOffset>46990</wp:posOffset>
                  </wp:positionH>
                  <wp:positionV relativeFrom="paragraph">
                    <wp:posOffset>52705</wp:posOffset>
                  </wp:positionV>
                  <wp:extent cx="774065" cy="774065"/>
                  <wp:effectExtent l="0" t="0" r="6985" b="6985"/>
                  <wp:wrapNone/>
                  <wp:docPr id="59" name="图片 157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5758" descr="1"/>
                          <pic:cNvPicPr>
                            <a:picLocks noChangeAspect="1"/>
                          </pic:cNvPicPr>
                        </pic:nvPicPr>
                        <pic:blipFill>
                          <a:blip r:embed="rId75"/>
                          <a:stretch>
                            <a:fillRect/>
                          </a:stretch>
                        </pic:blipFill>
                        <pic:spPr>
                          <a:xfrm>
                            <a:off x="0" y="0"/>
                            <a:ext cx="774065" cy="774065"/>
                          </a:xfrm>
                          <a:prstGeom prst="rect">
                            <a:avLst/>
                          </a:prstGeom>
                          <a:noFill/>
                          <a:ln>
                            <a:noFill/>
                          </a:ln>
                        </pic:spPr>
                      </pic:pic>
                    </a:graphicData>
                  </a:graphic>
                </wp:anchor>
              </w:drawing>
            </w:r>
          </w:p>
          <w:p>
            <w:pPr>
              <w:spacing w:line="340" w:lineRule="exact"/>
              <w:ind w:firstLine="420"/>
              <w:rPr>
                <w:rFonts w:hint="default" w:ascii="Times New Roman" w:hAnsi="Times New Roman" w:eastAsia="宋体" w:cs="Times New Roman"/>
                <w:bCs/>
                <w:sz w:val="21"/>
                <w:szCs w:val="21"/>
                <w:lang w:val="en-GB"/>
              </w:rPr>
            </w:pPr>
          </w:p>
          <w:p>
            <w:pPr>
              <w:spacing w:line="340" w:lineRule="exact"/>
              <w:ind w:firstLine="420"/>
              <w:rPr>
                <w:rFonts w:hint="default" w:ascii="Times New Roman" w:hAnsi="Times New Roman" w:eastAsia="宋体" w:cs="Times New Roman"/>
                <w:bCs/>
                <w:sz w:val="21"/>
                <w:szCs w:val="21"/>
                <w:lang w:val="en-GB"/>
              </w:rPr>
            </w:pPr>
          </w:p>
          <w:p>
            <w:pPr>
              <w:spacing w:line="340" w:lineRule="exact"/>
              <w:ind w:firstLine="420"/>
              <w:rPr>
                <w:rFonts w:hint="default" w:ascii="Times New Roman" w:hAnsi="Times New Roman" w:eastAsia="宋体" w:cs="Times New Roman"/>
                <w:bCs/>
                <w:sz w:val="21"/>
                <w:szCs w:val="21"/>
                <w:lang w:val="en-GB"/>
              </w:rPr>
            </w:pPr>
          </w:p>
        </w:tc>
        <w:tc>
          <w:tcPr>
            <w:tcW w:w="1491" w:type="dxa"/>
            <w:noWrap w:val="0"/>
            <w:vAlign w:val="center"/>
          </w:tcPr>
          <w:p>
            <w:pPr>
              <w:spacing w:line="400" w:lineRule="exact"/>
              <w:ind w:firstLine="480"/>
              <w:rPr>
                <w:rFonts w:hint="default" w:ascii="Times New Roman" w:hAnsi="Times New Roman" w:eastAsia="宋体" w:cs="Times New Roman"/>
                <w:bCs/>
                <w:sz w:val="21"/>
                <w:szCs w:val="21"/>
                <w:lang w:val="en-GB"/>
              </w:rPr>
            </w:pPr>
            <w:r>
              <w:drawing>
                <wp:anchor distT="0" distB="0" distL="114300" distR="114300" simplePos="0" relativeHeight="251735040" behindDoc="0" locked="0" layoutInCell="1" allowOverlap="1">
                  <wp:simplePos x="0" y="0"/>
                  <wp:positionH relativeFrom="column">
                    <wp:posOffset>26035</wp:posOffset>
                  </wp:positionH>
                  <wp:positionV relativeFrom="paragraph">
                    <wp:posOffset>50800</wp:posOffset>
                  </wp:positionV>
                  <wp:extent cx="774065" cy="774065"/>
                  <wp:effectExtent l="0" t="0" r="6985" b="6985"/>
                  <wp:wrapNone/>
                  <wp:docPr id="60" name="图片 15759"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5759" descr="点击看大图及详细资料"/>
                          <pic:cNvPicPr>
                            <a:picLocks noChangeAspect="1"/>
                          </pic:cNvPicPr>
                        </pic:nvPicPr>
                        <pic:blipFill>
                          <a:blip r:embed="rId76"/>
                          <a:stretch>
                            <a:fillRect/>
                          </a:stretch>
                        </pic:blipFill>
                        <pic:spPr>
                          <a:xfrm>
                            <a:off x="0" y="0"/>
                            <a:ext cx="774065" cy="774065"/>
                          </a:xfrm>
                          <a:prstGeom prst="rect">
                            <a:avLst/>
                          </a:prstGeom>
                          <a:noFill/>
                          <a:ln>
                            <a:noFill/>
                          </a:ln>
                        </pic:spPr>
                      </pic:pic>
                    </a:graphicData>
                  </a:graphic>
                </wp:anchor>
              </w:drawing>
            </w:r>
          </w:p>
          <w:p>
            <w:pPr>
              <w:spacing w:line="400" w:lineRule="exact"/>
              <w:ind w:firstLine="420"/>
              <w:rPr>
                <w:rFonts w:hint="default" w:ascii="Times New Roman" w:hAnsi="Times New Roman" w:eastAsia="宋体" w:cs="Times New Roman"/>
                <w:bCs/>
                <w:sz w:val="21"/>
                <w:szCs w:val="21"/>
                <w:lang w:val="en-GB"/>
              </w:rPr>
            </w:pPr>
          </w:p>
          <w:p>
            <w:pPr>
              <w:spacing w:line="400" w:lineRule="exact"/>
              <w:ind w:firstLine="420"/>
              <w:rPr>
                <w:rFonts w:hint="default" w:ascii="Times New Roman" w:hAnsi="Times New Roman" w:eastAsia="宋体" w:cs="Times New Roman"/>
                <w:bCs/>
                <w:sz w:val="21"/>
                <w:szCs w:val="21"/>
                <w:lang w:val="en-GB"/>
              </w:rPr>
            </w:pPr>
          </w:p>
        </w:tc>
        <w:tc>
          <w:tcPr>
            <w:tcW w:w="1491" w:type="dxa"/>
            <w:noWrap w:val="0"/>
            <w:vAlign w:val="center"/>
          </w:tcPr>
          <w:p>
            <w:pPr>
              <w:spacing w:line="400" w:lineRule="exact"/>
              <w:ind w:firstLine="480"/>
              <w:rPr>
                <w:rFonts w:hint="default" w:ascii="Times New Roman" w:hAnsi="Times New Roman" w:eastAsia="宋体" w:cs="Times New Roman"/>
                <w:bCs/>
                <w:sz w:val="21"/>
                <w:szCs w:val="21"/>
                <w:lang w:val="en-GB"/>
              </w:rPr>
            </w:pPr>
            <w:r>
              <w:drawing>
                <wp:anchor distT="0" distB="0" distL="114300" distR="114300" simplePos="0" relativeHeight="251736064" behindDoc="0" locked="0" layoutInCell="1" allowOverlap="1">
                  <wp:simplePos x="0" y="0"/>
                  <wp:positionH relativeFrom="column">
                    <wp:posOffset>-6985</wp:posOffset>
                  </wp:positionH>
                  <wp:positionV relativeFrom="paragraph">
                    <wp:posOffset>59690</wp:posOffset>
                  </wp:positionV>
                  <wp:extent cx="774065" cy="774065"/>
                  <wp:effectExtent l="0" t="0" r="6985" b="6985"/>
                  <wp:wrapNone/>
                  <wp:docPr id="61" name="图片 15760"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5760" descr="点击看大图及详细资料"/>
                          <pic:cNvPicPr>
                            <a:picLocks noChangeAspect="1"/>
                          </pic:cNvPicPr>
                        </pic:nvPicPr>
                        <pic:blipFill>
                          <a:blip r:embed="rId77"/>
                          <a:stretch>
                            <a:fillRect/>
                          </a:stretch>
                        </pic:blipFill>
                        <pic:spPr>
                          <a:xfrm>
                            <a:off x="0" y="0"/>
                            <a:ext cx="774065" cy="774065"/>
                          </a:xfrm>
                          <a:prstGeom prst="rect">
                            <a:avLst/>
                          </a:prstGeom>
                          <a:noFill/>
                          <a:ln>
                            <a:noFill/>
                          </a:ln>
                        </pic:spPr>
                      </pic:pic>
                    </a:graphicData>
                  </a:graphic>
                </wp:anchor>
              </w:drawing>
            </w:r>
          </w:p>
          <w:p>
            <w:pPr>
              <w:spacing w:line="400" w:lineRule="exact"/>
              <w:ind w:firstLine="420"/>
              <w:rPr>
                <w:rFonts w:hint="default" w:ascii="Times New Roman" w:hAnsi="Times New Roman" w:eastAsia="宋体" w:cs="Times New Roman"/>
                <w:bCs/>
                <w:sz w:val="21"/>
                <w:szCs w:val="21"/>
                <w:lang w:val="en-GB"/>
              </w:rPr>
            </w:pPr>
          </w:p>
          <w:p>
            <w:pPr>
              <w:spacing w:line="400" w:lineRule="exact"/>
              <w:ind w:firstLine="420"/>
              <w:rPr>
                <w:rFonts w:hint="default" w:ascii="Times New Roman" w:hAnsi="Times New Roman" w:eastAsia="宋体" w:cs="Times New Roman"/>
                <w:bCs/>
                <w:sz w:val="21"/>
                <w:szCs w:val="21"/>
                <w:lang w:val="en-GB"/>
              </w:rPr>
            </w:pPr>
          </w:p>
        </w:tc>
        <w:tc>
          <w:tcPr>
            <w:tcW w:w="1491" w:type="dxa"/>
            <w:noWrap w:val="0"/>
            <w:vAlign w:val="center"/>
          </w:tcPr>
          <w:p>
            <w:pPr>
              <w:spacing w:line="400" w:lineRule="exact"/>
              <w:ind w:firstLine="480"/>
              <w:rPr>
                <w:rFonts w:hint="default" w:ascii="Times New Roman" w:hAnsi="Times New Roman" w:eastAsia="宋体" w:cs="Times New Roman"/>
                <w:bCs/>
                <w:sz w:val="21"/>
                <w:szCs w:val="21"/>
                <w:lang w:val="en-GB"/>
              </w:rPr>
            </w:pPr>
            <w:r>
              <w:drawing>
                <wp:anchor distT="0" distB="0" distL="114300" distR="114300" simplePos="0" relativeHeight="251737088" behindDoc="0" locked="0" layoutInCell="1" allowOverlap="1">
                  <wp:simplePos x="0" y="0"/>
                  <wp:positionH relativeFrom="column">
                    <wp:posOffset>51435</wp:posOffset>
                  </wp:positionH>
                  <wp:positionV relativeFrom="paragraph">
                    <wp:posOffset>59690</wp:posOffset>
                  </wp:positionV>
                  <wp:extent cx="774065" cy="774065"/>
                  <wp:effectExtent l="0" t="0" r="6985" b="6985"/>
                  <wp:wrapNone/>
                  <wp:docPr id="62" name="图片 15761" descr="一般固废"/>
                  <wp:cNvGraphicFramePr/>
                  <a:graphic xmlns:a="http://schemas.openxmlformats.org/drawingml/2006/main">
                    <a:graphicData uri="http://schemas.openxmlformats.org/drawingml/2006/picture">
                      <pic:pic xmlns:pic="http://schemas.openxmlformats.org/drawingml/2006/picture">
                        <pic:nvPicPr>
                          <pic:cNvPr id="62" name="图片 15761" descr="一般固废"/>
                          <pic:cNvPicPr preferRelativeResize="0"/>
                        </pic:nvPicPr>
                        <pic:blipFill>
                          <a:blip r:embed="rId78"/>
                          <a:stretch>
                            <a:fillRect/>
                          </a:stretch>
                        </pic:blipFill>
                        <pic:spPr>
                          <a:xfrm>
                            <a:off x="0" y="0"/>
                            <a:ext cx="774065" cy="774065"/>
                          </a:xfrm>
                          <a:prstGeom prst="rect">
                            <a:avLst/>
                          </a:prstGeom>
                          <a:noFill/>
                          <a:ln>
                            <a:noFill/>
                          </a:ln>
                        </pic:spPr>
                      </pic:pic>
                    </a:graphicData>
                  </a:graphic>
                </wp:anchor>
              </w:drawing>
            </w:r>
          </w:p>
        </w:tc>
        <w:tc>
          <w:tcPr>
            <w:tcW w:w="149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textAlignment w:val="auto"/>
              <w:outlineLvl w:val="9"/>
              <w:rPr>
                <w:rFonts w:hint="default" w:ascii="Times New Roman" w:hAnsi="Times New Roman" w:eastAsia="宋体" w:cs="Times New Roman"/>
                <w:bCs/>
                <w:sz w:val="21"/>
                <w:szCs w:val="21"/>
                <w:lang w:val="en-GB"/>
              </w:rPr>
            </w:pPr>
            <w:r>
              <w:drawing>
                <wp:inline distT="0" distB="0" distL="114300" distR="114300">
                  <wp:extent cx="866775" cy="875030"/>
                  <wp:effectExtent l="0" t="0" r="9525" b="1270"/>
                  <wp:docPr id="118"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23"/>
                          <pic:cNvPicPr>
                            <a:picLocks noChangeAspect="1"/>
                          </pic:cNvPicPr>
                        </pic:nvPicPr>
                        <pic:blipFill>
                          <a:blip r:embed="rId79">
                            <a:lum contrast="80000"/>
                          </a:blip>
                          <a:stretch>
                            <a:fillRect/>
                          </a:stretch>
                        </pic:blipFill>
                        <pic:spPr>
                          <a:xfrm>
                            <a:off x="0" y="0"/>
                            <a:ext cx="866775" cy="875030"/>
                          </a:xfrm>
                          <a:prstGeom prst="rect">
                            <a:avLst/>
                          </a:prstGeom>
                          <a:noFill/>
                          <a:ln>
                            <a:noFill/>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1646"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形状</w:t>
            </w:r>
          </w:p>
        </w:tc>
        <w:tc>
          <w:tcPr>
            <w:tcW w:w="1491"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正方形边框</w:t>
            </w:r>
          </w:p>
        </w:tc>
        <w:tc>
          <w:tcPr>
            <w:tcW w:w="1491"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正方形边框</w:t>
            </w:r>
          </w:p>
        </w:tc>
        <w:tc>
          <w:tcPr>
            <w:tcW w:w="1491"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正方形边框</w:t>
            </w:r>
          </w:p>
        </w:tc>
        <w:tc>
          <w:tcPr>
            <w:tcW w:w="1491"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正方形边框</w:t>
            </w:r>
          </w:p>
        </w:tc>
        <w:tc>
          <w:tcPr>
            <w:tcW w:w="1491"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正方形边框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1646"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背景颜色</w:t>
            </w:r>
          </w:p>
        </w:tc>
        <w:tc>
          <w:tcPr>
            <w:tcW w:w="1491"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绿色</w:t>
            </w:r>
          </w:p>
        </w:tc>
        <w:tc>
          <w:tcPr>
            <w:tcW w:w="1491"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绿色</w:t>
            </w:r>
          </w:p>
        </w:tc>
        <w:tc>
          <w:tcPr>
            <w:tcW w:w="1491"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绿色</w:t>
            </w:r>
          </w:p>
        </w:tc>
        <w:tc>
          <w:tcPr>
            <w:tcW w:w="1491"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黄色</w:t>
            </w:r>
          </w:p>
        </w:tc>
        <w:tc>
          <w:tcPr>
            <w:tcW w:w="1491"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黄色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1646"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图形颜色</w:t>
            </w:r>
          </w:p>
        </w:tc>
        <w:tc>
          <w:tcPr>
            <w:tcW w:w="1491"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白色</w:t>
            </w:r>
          </w:p>
        </w:tc>
        <w:tc>
          <w:tcPr>
            <w:tcW w:w="1491"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白色</w:t>
            </w:r>
          </w:p>
        </w:tc>
        <w:tc>
          <w:tcPr>
            <w:tcW w:w="1491"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白色</w:t>
            </w:r>
          </w:p>
        </w:tc>
        <w:tc>
          <w:tcPr>
            <w:tcW w:w="1491"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黑色</w:t>
            </w:r>
          </w:p>
        </w:tc>
        <w:tc>
          <w:tcPr>
            <w:tcW w:w="1491" w:type="dxa"/>
            <w:noWrap w:val="0"/>
            <w:vAlign w:val="center"/>
          </w:tcPr>
          <w:p>
            <w:pPr>
              <w:overflowPunct w:val="0"/>
              <w:adjustRightInd w:val="0"/>
              <w:snapToGrid w:val="0"/>
              <w:spacing w:line="340" w:lineRule="exact"/>
              <w:ind w:firstLine="0"/>
              <w:jc w:val="center"/>
              <w:textAlignment w:val="baseline"/>
              <w:rPr>
                <w:rFonts w:hint="default" w:ascii="Times New Roman" w:hAnsi="Times New Roman" w:eastAsia="宋体" w:cs="Times New Roman"/>
                <w:bCs/>
                <w:kern w:val="0"/>
                <w:sz w:val="21"/>
                <w:szCs w:val="21"/>
                <w:lang w:val="en-GB"/>
              </w:rPr>
            </w:pPr>
            <w:r>
              <w:rPr>
                <w:rFonts w:hint="default" w:ascii="Times New Roman" w:hAnsi="Times New Roman" w:eastAsia="宋体" w:cs="Times New Roman"/>
                <w:bCs/>
                <w:kern w:val="0"/>
                <w:sz w:val="21"/>
                <w:szCs w:val="21"/>
                <w:lang w:val="en-GB"/>
              </w:rPr>
              <w:t>黑色</w:t>
            </w:r>
          </w:p>
        </w:tc>
      </w:tr>
    </w:tbl>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建设单位应将有关排污口的情况如：排污单位名称、排污口的性质、编号、使用的计量方式、排污口的位置；主要所排放的污染物来源、种类、数量、浓度、排放规律以及计量记录、排放去向、维护和更新记录；污染治理设施的运行情况等进行建档管理，并报送环保主管部门备案。</w:t>
      </w:r>
    </w:p>
    <w:p>
      <w:pPr>
        <w:spacing w:line="360" w:lineRule="auto"/>
        <w:ind w:firstLine="0"/>
        <w:outlineLvl w:val="1"/>
        <w:rPr>
          <w:rFonts w:hint="default" w:ascii="Times New Roman" w:hAnsi="Times New Roman" w:eastAsia="黑体" w:cs="Times New Roman"/>
          <w:sz w:val="32"/>
          <w:szCs w:val="32"/>
        </w:rPr>
        <w:sectPr>
          <w:headerReference r:id="rId24" w:type="default"/>
          <w:pgSz w:w="11906" w:h="16838"/>
          <w:pgMar w:top="1417" w:right="1417" w:bottom="1417" w:left="1417" w:header="851" w:footer="992" w:gutter="0"/>
          <w:pgNumType w:fmt="decimal"/>
          <w:cols w:space="720" w:num="1"/>
          <w:docGrid w:type="lines" w:linePitch="312" w:charSpace="0"/>
        </w:sectPr>
      </w:pPr>
      <w:bookmarkStart w:id="454" w:name="_Toc6538"/>
      <w:bookmarkStart w:id="455" w:name="_Toc18703"/>
      <w:bookmarkStart w:id="456" w:name="_Toc6584993"/>
      <w:bookmarkStart w:id="457" w:name="_Toc21948"/>
      <w:r>
        <w:rPr>
          <w:rFonts w:hint="default" w:ascii="Times New Roman" w:hAnsi="Times New Roman" w:eastAsia="黑体" w:cs="Times New Roman"/>
          <w:sz w:val="32"/>
          <w:szCs w:val="32"/>
        </w:rPr>
        <w:t>9.4污染物排放清单及管理要求</w:t>
      </w:r>
      <w:bookmarkEnd w:id="454"/>
      <w:bookmarkEnd w:id="455"/>
      <w:bookmarkEnd w:id="456"/>
      <w:bookmarkEnd w:id="457"/>
    </w:p>
    <w:p>
      <w:pPr>
        <w:spacing w:line="360" w:lineRule="auto"/>
        <w:ind w:firstLine="0"/>
        <w:outlineLvl w:val="2"/>
        <w:rPr>
          <w:rFonts w:hint="default" w:ascii="Times New Roman" w:hAnsi="Times New Roman" w:eastAsia="黑体" w:cs="Times New Roman"/>
          <w:sz w:val="30"/>
          <w:szCs w:val="28"/>
        </w:rPr>
      </w:pPr>
      <w:r>
        <w:rPr>
          <w:rFonts w:hint="default" w:ascii="Times New Roman" w:hAnsi="Times New Roman" w:eastAsia="黑体" w:cs="Times New Roman"/>
          <w:sz w:val="30"/>
          <w:szCs w:val="28"/>
        </w:rPr>
        <w:t>9.4.1污染物排放清单</w:t>
      </w:r>
    </w:p>
    <w:p>
      <w:pPr>
        <w:spacing w:line="360" w:lineRule="auto"/>
        <w:ind w:firstLine="480"/>
        <w:rPr>
          <w:rFonts w:hint="default" w:ascii="Times New Roman" w:hAnsi="Times New Roman" w:eastAsia="宋体" w:cs="Times New Roman"/>
          <w:color w:val="000000"/>
          <w:sz w:val="21"/>
          <w:szCs w:val="22"/>
          <w:u w:val="single"/>
        </w:rPr>
      </w:pPr>
      <w:r>
        <w:rPr>
          <w:rFonts w:hint="default" w:ascii="Times New Roman" w:hAnsi="Times New Roman" w:eastAsia="宋体" w:cs="Times New Roman"/>
          <w:color w:val="000000"/>
          <w:sz w:val="24"/>
          <w:szCs w:val="24"/>
        </w:rPr>
        <w:t>根据HJ2.1-2016《环境影响评价技术导则－总纲》要求，需编制污染物排放清单，项目污染物排放清单及管理要求见表9.4-1。</w:t>
      </w:r>
    </w:p>
    <w:p>
      <w:pPr>
        <w:spacing w:line="360" w:lineRule="auto"/>
        <w:ind w:firstLine="0"/>
        <w:jc w:val="center"/>
        <w:outlineLvl w:val="4"/>
        <w:rPr>
          <w:rFonts w:hint="default" w:ascii="Times New Roman" w:hAnsi="Times New Roman" w:eastAsia="黑体" w:cs="Times New Roman"/>
          <w:sz w:val="24"/>
          <w:szCs w:val="24"/>
        </w:rPr>
      </w:pPr>
      <w:r>
        <w:rPr>
          <w:rFonts w:hint="default" w:ascii="Times New Roman" w:hAnsi="Times New Roman" w:eastAsia="黑体" w:cs="Times New Roman"/>
          <w:sz w:val="24"/>
          <w:szCs w:val="24"/>
        </w:rPr>
        <w:t>表9.4-1  项目污染物排放清单及管理要求</w:t>
      </w:r>
    </w:p>
    <w:tbl>
      <w:tblPr>
        <w:tblStyle w:val="90"/>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05"/>
        <w:gridCol w:w="798"/>
        <w:gridCol w:w="275"/>
        <w:gridCol w:w="851"/>
        <w:gridCol w:w="493"/>
        <w:gridCol w:w="631"/>
        <w:gridCol w:w="713"/>
        <w:gridCol w:w="271"/>
        <w:gridCol w:w="1009"/>
        <w:gridCol w:w="831"/>
        <w:gridCol w:w="577"/>
        <w:gridCol w:w="1753"/>
        <w:gridCol w:w="806"/>
        <w:gridCol w:w="985"/>
        <w:gridCol w:w="958"/>
        <w:gridCol w:w="271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0" w:hRule="atLeast"/>
          <w:jc w:val="center"/>
        </w:trPr>
        <w:tc>
          <w:tcPr>
            <w:tcW w:w="405" w:type="dxa"/>
            <w:vMerge w:val="restart"/>
            <w:noWrap w:val="0"/>
            <w:tcMar>
              <w:left w:w="113" w:type="dxa"/>
              <w:right w:w="113" w:type="dxa"/>
            </w:tcMar>
            <w:vAlign w:val="center"/>
          </w:tcPr>
          <w:p>
            <w:pPr>
              <w:widowControl/>
              <w:adjustRightInd w:val="0"/>
              <w:snapToGrid w:val="0"/>
              <w:spacing w:line="240" w:lineRule="atLeast"/>
              <w:ind w:firstLine="0"/>
              <w:jc w:val="center"/>
              <w:textAlignment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类别</w:t>
            </w:r>
          </w:p>
        </w:tc>
        <w:tc>
          <w:tcPr>
            <w:tcW w:w="1073" w:type="dxa"/>
            <w:gridSpan w:val="2"/>
            <w:vMerge w:val="restart"/>
            <w:noWrap w:val="0"/>
            <w:vAlign w:val="center"/>
          </w:tcPr>
          <w:p>
            <w:pPr>
              <w:widowControl/>
              <w:adjustRightInd w:val="0"/>
              <w:snapToGrid w:val="0"/>
              <w:spacing w:line="240" w:lineRule="atLeast"/>
              <w:ind w:firstLine="0"/>
              <w:jc w:val="center"/>
              <w:textAlignment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项目</w:t>
            </w:r>
          </w:p>
        </w:tc>
        <w:tc>
          <w:tcPr>
            <w:tcW w:w="851" w:type="dxa"/>
            <w:vMerge w:val="restart"/>
            <w:noWrap w:val="0"/>
            <w:vAlign w:val="center"/>
          </w:tcPr>
          <w:p>
            <w:pPr>
              <w:widowControl/>
              <w:adjustRightInd w:val="0"/>
              <w:snapToGrid w:val="0"/>
              <w:spacing w:line="240" w:lineRule="atLeast"/>
              <w:ind w:firstLine="0"/>
              <w:jc w:val="center"/>
              <w:textAlignment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废气量</w:t>
            </w:r>
          </w:p>
          <w:p>
            <w:pPr>
              <w:widowControl/>
              <w:adjustRightInd w:val="0"/>
              <w:snapToGrid w:val="0"/>
              <w:spacing w:line="240" w:lineRule="atLeast"/>
              <w:ind w:firstLine="0"/>
              <w:jc w:val="center"/>
              <w:textAlignment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（m</w:t>
            </w:r>
            <w:r>
              <w:rPr>
                <w:rFonts w:hint="default" w:ascii="Times New Roman" w:hAnsi="Times New Roman" w:eastAsia="宋体" w:cs="Times New Roman"/>
                <w:bCs/>
                <w:color w:val="auto"/>
                <w:kern w:val="0"/>
                <w:sz w:val="21"/>
                <w:szCs w:val="21"/>
                <w:vertAlign w:val="superscript"/>
              </w:rPr>
              <w:t>3</w:t>
            </w:r>
            <w:r>
              <w:rPr>
                <w:rFonts w:hint="default" w:ascii="Times New Roman" w:hAnsi="Times New Roman" w:eastAsia="宋体" w:cs="Times New Roman"/>
                <w:bCs/>
                <w:color w:val="auto"/>
                <w:kern w:val="0"/>
                <w:sz w:val="21"/>
                <w:szCs w:val="21"/>
              </w:rPr>
              <w:t>/h）</w:t>
            </w:r>
          </w:p>
        </w:tc>
        <w:tc>
          <w:tcPr>
            <w:tcW w:w="1124" w:type="dxa"/>
            <w:gridSpan w:val="2"/>
            <w:vMerge w:val="restart"/>
            <w:noWrap w:val="0"/>
            <w:vAlign w:val="center"/>
          </w:tcPr>
          <w:p>
            <w:pPr>
              <w:widowControl/>
              <w:adjustRightInd w:val="0"/>
              <w:snapToGrid w:val="0"/>
              <w:spacing w:line="240" w:lineRule="atLeast"/>
              <w:ind w:firstLine="0"/>
              <w:jc w:val="center"/>
              <w:textAlignment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排放污染物种类</w:t>
            </w:r>
          </w:p>
        </w:tc>
        <w:tc>
          <w:tcPr>
            <w:tcW w:w="984" w:type="dxa"/>
            <w:gridSpan w:val="2"/>
            <w:vMerge w:val="restart"/>
            <w:noWrap w:val="0"/>
            <w:vAlign w:val="center"/>
          </w:tcPr>
          <w:p>
            <w:pPr>
              <w:widowControl/>
              <w:adjustRightInd w:val="0"/>
              <w:snapToGrid w:val="0"/>
              <w:spacing w:line="240" w:lineRule="atLeast"/>
              <w:ind w:firstLine="0"/>
              <w:jc w:val="center"/>
              <w:textAlignment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排放浓度</w:t>
            </w:r>
          </w:p>
          <w:p>
            <w:pPr>
              <w:widowControl/>
              <w:adjustRightInd w:val="0"/>
              <w:snapToGrid w:val="0"/>
              <w:spacing w:line="240" w:lineRule="atLeast"/>
              <w:ind w:firstLine="0"/>
              <w:jc w:val="center"/>
              <w:textAlignment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（mg/m</w:t>
            </w:r>
            <w:r>
              <w:rPr>
                <w:rFonts w:hint="default" w:ascii="Times New Roman" w:hAnsi="Times New Roman" w:eastAsia="宋体" w:cs="Times New Roman"/>
                <w:bCs/>
                <w:color w:val="auto"/>
                <w:kern w:val="0"/>
                <w:sz w:val="21"/>
                <w:szCs w:val="21"/>
                <w:vertAlign w:val="superscript"/>
              </w:rPr>
              <w:t>3</w:t>
            </w:r>
            <w:r>
              <w:rPr>
                <w:rFonts w:hint="default" w:ascii="Times New Roman" w:hAnsi="Times New Roman" w:eastAsia="宋体" w:cs="Times New Roman"/>
                <w:bCs/>
                <w:color w:val="auto"/>
                <w:kern w:val="0"/>
                <w:sz w:val="21"/>
                <w:szCs w:val="21"/>
              </w:rPr>
              <w:t>）</w:t>
            </w:r>
          </w:p>
        </w:tc>
        <w:tc>
          <w:tcPr>
            <w:tcW w:w="1009" w:type="dxa"/>
            <w:vMerge w:val="restart"/>
            <w:noWrap w:val="0"/>
            <w:vAlign w:val="center"/>
          </w:tcPr>
          <w:p>
            <w:pPr>
              <w:widowControl/>
              <w:adjustRightInd w:val="0"/>
              <w:snapToGrid w:val="0"/>
              <w:spacing w:line="240" w:lineRule="atLeast"/>
              <w:ind w:firstLine="0"/>
              <w:jc w:val="center"/>
              <w:textAlignment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排放速率</w:t>
            </w:r>
          </w:p>
          <w:p>
            <w:pPr>
              <w:widowControl/>
              <w:adjustRightInd w:val="0"/>
              <w:snapToGrid w:val="0"/>
              <w:spacing w:line="240" w:lineRule="atLeast"/>
              <w:ind w:firstLine="0"/>
              <w:jc w:val="center"/>
              <w:textAlignment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（kg/h）</w:t>
            </w:r>
          </w:p>
        </w:tc>
        <w:tc>
          <w:tcPr>
            <w:tcW w:w="831" w:type="dxa"/>
            <w:vMerge w:val="restart"/>
            <w:noWrap w:val="0"/>
            <w:vAlign w:val="center"/>
          </w:tcPr>
          <w:p>
            <w:pPr>
              <w:widowControl/>
              <w:adjustRightInd w:val="0"/>
              <w:snapToGrid w:val="0"/>
              <w:spacing w:line="240" w:lineRule="atLeast"/>
              <w:ind w:firstLine="0"/>
              <w:jc w:val="center"/>
              <w:textAlignment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污染物排放总量（t/a）</w:t>
            </w:r>
          </w:p>
        </w:tc>
        <w:tc>
          <w:tcPr>
            <w:tcW w:w="2330" w:type="dxa"/>
            <w:gridSpan w:val="2"/>
            <w:vMerge w:val="restart"/>
            <w:noWrap w:val="0"/>
            <w:vAlign w:val="center"/>
          </w:tcPr>
          <w:p>
            <w:pPr>
              <w:widowControl/>
              <w:adjustRightInd w:val="0"/>
              <w:snapToGrid w:val="0"/>
              <w:spacing w:line="240" w:lineRule="atLeast"/>
              <w:ind w:firstLine="0"/>
              <w:jc w:val="center"/>
              <w:textAlignment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环保措施内容</w:t>
            </w:r>
          </w:p>
        </w:tc>
        <w:tc>
          <w:tcPr>
            <w:tcW w:w="806" w:type="dxa"/>
            <w:vMerge w:val="restart"/>
            <w:noWrap w:val="0"/>
            <w:vAlign w:val="center"/>
          </w:tcPr>
          <w:p>
            <w:pPr>
              <w:widowControl/>
              <w:adjustRightInd w:val="0"/>
              <w:snapToGrid w:val="0"/>
              <w:spacing w:line="240" w:lineRule="atLeast"/>
              <w:ind w:firstLine="0"/>
              <w:jc w:val="center"/>
              <w:textAlignment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相关参数</w:t>
            </w:r>
          </w:p>
        </w:tc>
        <w:tc>
          <w:tcPr>
            <w:tcW w:w="1943" w:type="dxa"/>
            <w:gridSpan w:val="2"/>
            <w:noWrap w:val="0"/>
            <w:vAlign w:val="center"/>
          </w:tcPr>
          <w:p>
            <w:pPr>
              <w:widowControl/>
              <w:adjustRightInd w:val="0"/>
              <w:snapToGrid w:val="0"/>
              <w:spacing w:line="240" w:lineRule="atLeast"/>
              <w:ind w:firstLine="0"/>
              <w:jc w:val="center"/>
              <w:textAlignment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排放标准</w:t>
            </w:r>
          </w:p>
        </w:tc>
        <w:tc>
          <w:tcPr>
            <w:tcW w:w="2715" w:type="dxa"/>
            <w:vMerge w:val="restart"/>
            <w:noWrap w:val="0"/>
            <w:vAlign w:val="center"/>
          </w:tcPr>
          <w:p>
            <w:pPr>
              <w:widowControl/>
              <w:adjustRightInd w:val="0"/>
              <w:snapToGrid w:val="0"/>
              <w:spacing w:line="240" w:lineRule="atLeast"/>
              <w:ind w:firstLine="0"/>
              <w:jc w:val="center"/>
              <w:textAlignment w:val="center"/>
              <w:rPr>
                <w:rFonts w:hint="default" w:ascii="Times New Roman" w:hAnsi="Times New Roman" w:eastAsia="宋体" w:cs="Times New Roman"/>
                <w:bCs/>
                <w:color w:val="000000"/>
                <w:kern w:val="0"/>
                <w:sz w:val="21"/>
                <w:szCs w:val="21"/>
              </w:rPr>
            </w:pPr>
            <w:r>
              <w:rPr>
                <w:rFonts w:hint="default" w:ascii="Times New Roman" w:hAnsi="Times New Roman" w:eastAsia="宋体" w:cs="Times New Roman"/>
                <w:bCs/>
                <w:color w:val="000000"/>
                <w:kern w:val="0"/>
                <w:sz w:val="21"/>
                <w:szCs w:val="21"/>
              </w:rPr>
              <w:t>污染物排放要求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0" w:hRule="atLeast"/>
          <w:jc w:val="center"/>
        </w:trPr>
        <w:tc>
          <w:tcPr>
            <w:vMerge w:val="continue"/>
            <w:noWrap w:val="0"/>
            <w:tcMar>
              <w:left w:w="113" w:type="dxa"/>
              <w:right w:w="113" w:type="dxa"/>
            </w:tcMar>
          </w:tcPr>
          <w:p/>
        </w:tc>
        <w:tc>
          <w:tcPr>
            <w:gridSpan w:val="2"/>
            <w:vMerge w:val="continue"/>
            <w:noWrap w:val="0"/>
          </w:tcPr>
          <w:p/>
        </w:tc>
        <w:tc>
          <w:tcPr>
            <w:vMerge w:val="continue"/>
            <w:noWrap w:val="0"/>
          </w:tcPr>
          <w:p/>
        </w:tc>
        <w:tc>
          <w:tcPr>
            <w:gridSpan w:val="2"/>
            <w:vMerge w:val="continue"/>
            <w:noWrap w:val="0"/>
          </w:tcPr>
          <w:p/>
        </w:tc>
        <w:tc>
          <w:tcPr>
            <w:gridSpan w:val="2"/>
            <w:vMerge w:val="continue"/>
            <w:noWrap w:val="0"/>
          </w:tcPr>
          <w:p/>
        </w:tc>
        <w:tc>
          <w:tcPr>
            <w:vMerge w:val="continue"/>
            <w:noWrap w:val="0"/>
          </w:tcPr>
          <w:p/>
        </w:tc>
        <w:tc>
          <w:tcPr>
            <w:vMerge w:val="continue"/>
            <w:noWrap w:val="0"/>
          </w:tcPr>
          <w:p/>
        </w:tc>
        <w:tc>
          <w:tcPr>
            <w:gridSpan w:val="2"/>
            <w:vMerge w:val="continue"/>
            <w:noWrap w:val="0"/>
          </w:tcPr>
          <w:p/>
        </w:tc>
        <w:tc>
          <w:tcPr>
            <w:vMerge w:val="continue"/>
            <w:noWrap w:val="0"/>
          </w:tcPr>
          <w:p/>
        </w:tc>
        <w:tc>
          <w:tcPr>
            <w:tcW w:w="985" w:type="dxa"/>
            <w:noWrap w:val="0"/>
            <w:vAlign w:val="center"/>
          </w:tcPr>
          <w:p>
            <w:pPr>
              <w:adjustRightInd w:val="0"/>
              <w:snapToGrid w:val="0"/>
              <w:spacing w:line="240" w:lineRule="atLeast"/>
              <w:ind w:firstLine="0"/>
              <w:jc w:val="center"/>
              <w:textAlignment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排放浓度(mg/m</w:t>
            </w:r>
            <w:r>
              <w:rPr>
                <w:rFonts w:hint="default" w:ascii="Times New Roman" w:hAnsi="Times New Roman" w:eastAsia="宋体" w:cs="Times New Roman"/>
                <w:bCs/>
                <w:color w:val="auto"/>
                <w:kern w:val="0"/>
                <w:sz w:val="21"/>
                <w:szCs w:val="21"/>
                <w:vertAlign w:val="superscript"/>
              </w:rPr>
              <w:t>3</w:t>
            </w:r>
            <w:r>
              <w:rPr>
                <w:rFonts w:hint="default" w:ascii="Times New Roman" w:hAnsi="Times New Roman" w:eastAsia="宋体" w:cs="Times New Roman"/>
                <w:bCs/>
                <w:color w:val="auto"/>
                <w:kern w:val="0"/>
                <w:sz w:val="21"/>
                <w:szCs w:val="21"/>
              </w:rPr>
              <w:t>)</w:t>
            </w:r>
          </w:p>
        </w:tc>
        <w:tc>
          <w:tcPr>
            <w:tcW w:w="958" w:type="dxa"/>
            <w:noWrap w:val="0"/>
            <w:vAlign w:val="center"/>
          </w:tcPr>
          <w:p>
            <w:pPr>
              <w:widowControl/>
              <w:adjustRightInd w:val="0"/>
              <w:snapToGrid w:val="0"/>
              <w:spacing w:line="240" w:lineRule="atLeast"/>
              <w:ind w:firstLine="0"/>
              <w:jc w:val="center"/>
              <w:textAlignment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排放速率</w:t>
            </w:r>
          </w:p>
          <w:p>
            <w:pPr>
              <w:widowControl/>
              <w:adjustRightInd w:val="0"/>
              <w:snapToGrid w:val="0"/>
              <w:spacing w:line="240" w:lineRule="atLeast"/>
              <w:ind w:firstLine="0"/>
              <w:jc w:val="center"/>
              <w:textAlignment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(kg/h)</w:t>
            </w:r>
          </w:p>
        </w:tc>
        <w:tc>
          <w:tcPr>
            <w:vMerge w:val="continue"/>
            <w:noWrap w:val="0"/>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940" w:hRule="atLeast"/>
          <w:jc w:val="center"/>
        </w:trPr>
        <w:tc>
          <w:tcPr>
            <w:tcW w:w="405" w:type="dxa"/>
            <w:vMerge w:val="restart"/>
            <w:noWrap w:val="0"/>
            <w:tcMar>
              <w:left w:w="113" w:type="dxa"/>
              <w:right w:w="113" w:type="dxa"/>
            </w:tcMar>
            <w:vAlign w:val="center"/>
          </w:tcPr>
          <w:p>
            <w:pPr>
              <w:adjustRightInd w:val="0"/>
              <w:snapToGrid w:val="0"/>
              <w:spacing w:line="240" w:lineRule="atLeas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有组织</w:t>
            </w:r>
          </w:p>
          <w:p>
            <w:pPr>
              <w:adjustRightInd w:val="0"/>
              <w:snapToGrid w:val="0"/>
              <w:spacing w:line="240" w:lineRule="atLeas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废气</w:t>
            </w:r>
          </w:p>
        </w:tc>
        <w:tc>
          <w:tcPr>
            <w:tcW w:w="1073" w:type="dxa"/>
            <w:gridSpan w:val="2"/>
            <w:noWrap w:val="0"/>
            <w:vAlign w:val="center"/>
          </w:tcPr>
          <w:p>
            <w:pPr>
              <w:widowControl/>
              <w:adjustRightInd w:val="0"/>
              <w:snapToGrid w:val="0"/>
              <w:spacing w:line="240" w:lineRule="atLeas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电子级硝酸生产废气、硝酸银溶银废气</w:t>
            </w:r>
          </w:p>
        </w:tc>
        <w:tc>
          <w:tcPr>
            <w:tcW w:w="851" w:type="dxa"/>
            <w:noWrap w:val="0"/>
            <w:vAlign w:val="center"/>
          </w:tcPr>
          <w:p>
            <w:pPr>
              <w:widowControl/>
              <w:adjustRightInd w:val="0"/>
              <w:snapToGrid w:val="0"/>
              <w:spacing w:line="240" w:lineRule="atLeast"/>
              <w:ind w:firstLine="0"/>
              <w:jc w:val="center"/>
              <w:textAlignment w:val="center"/>
              <w:rPr>
                <w:rFonts w:hint="default" w:ascii="Times New Roman" w:hAnsi="Times New Roman" w:eastAsia="宋体" w:cs="Times New Roman"/>
                <w:color w:val="auto"/>
                <w:kern w:val="0"/>
                <w:sz w:val="21"/>
                <w:szCs w:val="21"/>
              </w:rPr>
            </w:pPr>
            <w:r>
              <w:rPr>
                <w:rFonts w:hint="eastAsia"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0000</w:t>
            </w:r>
          </w:p>
        </w:tc>
        <w:tc>
          <w:tcPr>
            <w:tcW w:w="1124" w:type="dxa"/>
            <w:gridSpan w:val="2"/>
            <w:noWrap w:val="0"/>
            <w:vAlign w:val="center"/>
          </w:tcPr>
          <w:p>
            <w:pPr>
              <w:adjustRightInd w:val="0"/>
              <w:snapToGrid w:val="0"/>
              <w:spacing w:line="240" w:lineRule="atLeast"/>
              <w:ind w:firstLine="0"/>
              <w:jc w:val="center"/>
              <w:textAlignment w:val="center"/>
              <w:rPr>
                <w:rFonts w:hint="default" w:ascii="Times New Roman" w:hAnsi="Times New Roman" w:eastAsia="宋体" w:cs="Times New Roman"/>
                <w:color w:val="auto"/>
                <w:sz w:val="20"/>
                <w:lang w:eastAsia="zh-CN"/>
              </w:rPr>
            </w:pPr>
            <w:r>
              <w:rPr>
                <w:rFonts w:hint="eastAsia" w:ascii="Times New Roman" w:hAnsi="Times New Roman" w:eastAsia="宋体" w:cs="Times New Roman"/>
                <w:color w:val="auto"/>
                <w:kern w:val="0"/>
                <w:sz w:val="21"/>
                <w:szCs w:val="21"/>
                <w:lang w:val="en-US" w:eastAsia="zh-CN" w:bidi="ar"/>
              </w:rPr>
              <w:t>氮氧化物</w:t>
            </w:r>
          </w:p>
        </w:tc>
        <w:tc>
          <w:tcPr>
            <w:tcW w:w="984" w:type="dxa"/>
            <w:gridSpan w:val="2"/>
            <w:noWrap w:val="0"/>
            <w:vAlign w:val="center"/>
          </w:tcPr>
          <w:p>
            <w:pPr>
              <w:widowControl/>
              <w:spacing w:line="300" w:lineRule="exact"/>
              <w:ind w:firstLine="0"/>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41.9</w:t>
            </w:r>
          </w:p>
        </w:tc>
        <w:tc>
          <w:tcPr>
            <w:tcW w:w="1009" w:type="dxa"/>
            <w:noWrap w:val="0"/>
            <w:vAlign w:val="center"/>
          </w:tcPr>
          <w:p>
            <w:pPr>
              <w:widowControl/>
              <w:spacing w:line="300" w:lineRule="exact"/>
              <w:ind w:firstLine="0"/>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0.419</w:t>
            </w:r>
          </w:p>
        </w:tc>
        <w:tc>
          <w:tcPr>
            <w:tcW w:w="831" w:type="dxa"/>
            <w:noWrap w:val="0"/>
            <w:vAlign w:val="center"/>
          </w:tcPr>
          <w:p>
            <w:pPr>
              <w:widowControl/>
              <w:spacing w:line="300" w:lineRule="exact"/>
              <w:ind w:firstLine="0"/>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2.065</w:t>
            </w:r>
          </w:p>
        </w:tc>
        <w:tc>
          <w:tcPr>
            <w:tcW w:w="2330" w:type="dxa"/>
            <w:gridSpan w:val="2"/>
            <w:noWrap w:val="0"/>
            <w:vAlign w:val="center"/>
          </w:tcPr>
          <w:p>
            <w:pPr>
              <w:adjustRightInd w:val="0"/>
              <w:snapToGrid w:val="0"/>
              <w:spacing w:line="240" w:lineRule="atLeast"/>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二级水吸收</w:t>
            </w:r>
            <w:r>
              <w:rPr>
                <w:rFonts w:hint="default" w:ascii="Times New Roman" w:hAnsi="Times New Roman" w:eastAsia="宋体" w:cs="Times New Roman"/>
                <w:color w:val="auto"/>
                <w:sz w:val="21"/>
                <w:szCs w:val="21"/>
                <w:lang w:val="en-US" w:eastAsia="zh-CN"/>
              </w:rPr>
              <w:t>+强氧化吸收+</w:t>
            </w:r>
            <w:r>
              <w:rPr>
                <w:rFonts w:hint="default" w:ascii="Times New Roman" w:hAnsi="Times New Roman" w:eastAsia="宋体" w:cs="Times New Roman"/>
                <w:color w:val="auto"/>
                <w:sz w:val="21"/>
                <w:szCs w:val="21"/>
                <w:lang w:eastAsia="zh-CN"/>
              </w:rPr>
              <w:t>二级碱吸收</w:t>
            </w:r>
            <w:r>
              <w:rPr>
                <w:rFonts w:hint="default" w:ascii="Times New Roman" w:hAnsi="Times New Roman" w:eastAsia="宋体" w:cs="Times New Roman"/>
                <w:color w:val="auto"/>
                <w:sz w:val="21"/>
                <w:szCs w:val="21"/>
              </w:rPr>
              <w:t>处理+2</w:t>
            </w: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m高排气筒</w:t>
            </w:r>
          </w:p>
        </w:tc>
        <w:tc>
          <w:tcPr>
            <w:tcW w:w="806" w:type="dxa"/>
            <w:noWrap w:val="0"/>
            <w:vAlign w:val="center"/>
          </w:tcPr>
          <w:p>
            <w:pPr>
              <w:widowControl/>
              <w:adjustRightInd w:val="0"/>
              <w:snapToGrid w:val="0"/>
              <w:spacing w:line="240" w:lineRule="atLeast"/>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DA001，高2</w:t>
            </w: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m，内径</w:t>
            </w:r>
            <w:r>
              <w:rPr>
                <w:rFonts w:hint="eastAsia" w:ascii="Times New Roman" w:hAnsi="Times New Roman" w:eastAsia="宋体" w:cs="Times New Roman"/>
                <w:color w:val="auto"/>
                <w:sz w:val="21"/>
                <w:szCs w:val="21"/>
                <w:lang w:val="en-US" w:eastAsia="zh-CN"/>
              </w:rPr>
              <w:t>0.5</w:t>
            </w:r>
            <w:r>
              <w:rPr>
                <w:rFonts w:hint="default" w:ascii="Times New Roman" w:hAnsi="Times New Roman" w:eastAsia="宋体" w:cs="Times New Roman"/>
                <w:color w:val="auto"/>
                <w:sz w:val="21"/>
                <w:szCs w:val="21"/>
              </w:rPr>
              <w:t>m</w:t>
            </w:r>
          </w:p>
        </w:tc>
        <w:tc>
          <w:tcPr>
            <w:tcW w:w="985" w:type="dxa"/>
            <w:noWrap w:val="0"/>
            <w:vAlign w:val="center"/>
          </w:tcPr>
          <w:p>
            <w:pPr>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958" w:type="dxa"/>
            <w:noWrap w:val="0"/>
            <w:vAlign w:val="center"/>
          </w:tcPr>
          <w:p>
            <w:pPr>
              <w:widowControl/>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15" w:type="dxa"/>
            <w:noWrap w:val="0"/>
            <w:tcMar>
              <w:left w:w="113" w:type="dxa"/>
              <w:right w:w="113" w:type="dxa"/>
            </w:tcMar>
            <w:vAlign w:val="center"/>
          </w:tcPr>
          <w:p>
            <w:pPr>
              <w:adjustRightInd w:val="0"/>
              <w:snapToGrid w:val="0"/>
              <w:spacing w:line="240" w:lineRule="atLeast"/>
              <w:ind w:firstLine="0"/>
              <w:jc w:val="center"/>
              <w:textAlignment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sz w:val="21"/>
                <w:szCs w:val="21"/>
                <w:lang w:val="en-GB"/>
              </w:rPr>
              <w:t>GB3157</w:t>
            </w:r>
            <w:r>
              <w:rPr>
                <w:rFonts w:hint="default" w:ascii="Times New Roman" w:hAnsi="Times New Roman" w:eastAsia="宋体" w:cs="Times New Roman"/>
                <w:color w:val="000000"/>
                <w:sz w:val="21"/>
                <w:szCs w:val="21"/>
              </w:rPr>
              <w:t>3</w:t>
            </w:r>
            <w:r>
              <w:rPr>
                <w:rFonts w:hint="default" w:ascii="Times New Roman" w:hAnsi="Times New Roman" w:eastAsia="宋体" w:cs="Times New Roman"/>
                <w:color w:val="000000"/>
                <w:sz w:val="21"/>
                <w:szCs w:val="21"/>
                <w:lang w:val="en-GB"/>
              </w:rPr>
              <w:t>-2015《无机化学工业污染物排放标准》</w:t>
            </w:r>
            <w:r>
              <w:rPr>
                <w:rFonts w:hint="default" w:ascii="Times New Roman" w:hAnsi="Times New Roman" w:eastAsia="宋体" w:cs="Times New Roman"/>
                <w:color w:val="000000"/>
                <w:sz w:val="21"/>
                <w:szCs w:val="21"/>
              </w:rPr>
              <w:t>表</w:t>
            </w:r>
            <w:r>
              <w:rPr>
                <w:rFonts w:hint="eastAsia" w:ascii="Times New Roman" w:hAnsi="Times New Roman" w:eastAsia="宋体" w:cs="Times New Roman"/>
                <w:color w:val="000000"/>
                <w:sz w:val="21"/>
                <w:szCs w:val="21"/>
                <w:lang w:val="en-US" w:eastAsia="zh-CN"/>
              </w:rPr>
              <w:t>4</w:t>
            </w:r>
            <w:r>
              <w:rPr>
                <w:rFonts w:hint="default" w:ascii="Times New Roman" w:hAnsi="Times New Roman" w:eastAsia="宋体" w:cs="Times New Roman"/>
                <w:color w:val="000000"/>
                <w:sz w:val="21"/>
                <w:szCs w:val="21"/>
                <w:lang w:val="en-GB"/>
              </w:rPr>
              <w:t>限值要求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25" w:hRule="atLeast"/>
          <w:jc w:val="center"/>
        </w:trPr>
        <w:tc>
          <w:tcPr>
            <w:vMerge w:val="continue"/>
            <w:noWrap w:val="0"/>
            <w:tcMar>
              <w:left w:w="113" w:type="dxa"/>
              <w:right w:w="113" w:type="dxa"/>
            </w:tcMar>
          </w:tcPr>
          <w:p/>
        </w:tc>
        <w:tc>
          <w:tcPr>
            <w:tcW w:w="1073" w:type="dxa"/>
            <w:gridSpan w:val="2"/>
            <w:vMerge w:val="restart"/>
            <w:noWrap w:val="0"/>
            <w:vAlign w:val="center"/>
          </w:tcPr>
          <w:p>
            <w:pPr>
              <w:widowControl/>
              <w:adjustRightInd w:val="0"/>
              <w:snapToGrid w:val="0"/>
              <w:spacing w:line="240" w:lineRule="atLeast"/>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超细银粉反应废气</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分散废气、乙醇精馏不凝气、干燥废气、</w:t>
            </w:r>
            <w:r>
              <w:rPr>
                <w:rFonts w:hint="eastAsia" w:ascii="Times New Roman" w:hAnsi="Times New Roman" w:eastAsia="宋体" w:cs="Times New Roman"/>
                <w:color w:val="auto"/>
                <w:sz w:val="21"/>
                <w:szCs w:val="21"/>
                <w:lang w:val="en-US" w:eastAsia="zh-CN"/>
              </w:rPr>
              <w:t>含银废液三效蒸发器不凝气</w:t>
            </w:r>
          </w:p>
        </w:tc>
        <w:tc>
          <w:tcPr>
            <w:tcW w:w="851" w:type="dxa"/>
            <w:vMerge w:val="restart"/>
            <w:noWrap w:val="0"/>
            <w:vAlign w:val="center"/>
          </w:tcPr>
          <w:p>
            <w:pPr>
              <w:spacing w:line="240" w:lineRule="atLeast"/>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15000</w:t>
            </w:r>
          </w:p>
        </w:tc>
        <w:tc>
          <w:tcPr>
            <w:tcW w:w="1124" w:type="dxa"/>
            <w:gridSpan w:val="2"/>
            <w:noWrap w:val="0"/>
            <w:vAlign w:val="center"/>
          </w:tcPr>
          <w:p>
            <w:pPr>
              <w:widowControl/>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w:t>
            </w:r>
          </w:p>
        </w:tc>
        <w:tc>
          <w:tcPr>
            <w:tcW w:w="984" w:type="dxa"/>
            <w:gridSpan w:val="2"/>
            <w:noWrap w:val="0"/>
            <w:vAlign w:val="center"/>
          </w:tcPr>
          <w:p>
            <w:pPr>
              <w:widowControl/>
              <w:spacing w:line="300" w:lineRule="exact"/>
              <w:ind w:firstLine="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kern w:val="0"/>
                <w:sz w:val="21"/>
                <w:szCs w:val="21"/>
                <w:lang w:val="en-US" w:eastAsia="zh-CN"/>
              </w:rPr>
              <w:t>1.27</w:t>
            </w:r>
          </w:p>
        </w:tc>
        <w:tc>
          <w:tcPr>
            <w:tcW w:w="1009" w:type="dxa"/>
            <w:noWrap w:val="0"/>
            <w:vAlign w:val="center"/>
          </w:tcPr>
          <w:p>
            <w:pPr>
              <w:widowControl/>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rPr>
              <w:t>0.019</w:t>
            </w:r>
          </w:p>
        </w:tc>
        <w:tc>
          <w:tcPr>
            <w:tcW w:w="831" w:type="dxa"/>
            <w:noWrap w:val="0"/>
            <w:vAlign w:val="center"/>
          </w:tcPr>
          <w:p>
            <w:pPr>
              <w:widowControl/>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rPr>
              <w:t>0.112</w:t>
            </w:r>
          </w:p>
        </w:tc>
        <w:tc>
          <w:tcPr>
            <w:tcW w:w="2330" w:type="dxa"/>
            <w:gridSpan w:val="2"/>
            <w:vMerge w:val="restart"/>
            <w:noWrap w:val="0"/>
            <w:vAlign w:val="center"/>
          </w:tcPr>
          <w:p>
            <w:pPr>
              <w:widowControl/>
              <w:spacing w:line="240" w:lineRule="auto"/>
              <w:ind w:firstLine="0"/>
              <w:jc w:val="center"/>
              <w:rPr>
                <w:rFonts w:hint="eastAsia"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val="en-US" w:eastAsia="zh-CN"/>
              </w:rPr>
              <w:t>含银废液三效蒸发器不凝气、</w:t>
            </w:r>
            <w:r>
              <w:rPr>
                <w:rFonts w:hint="default" w:ascii="Times New Roman" w:hAnsi="Times New Roman" w:eastAsia="宋体" w:cs="Times New Roman"/>
                <w:color w:val="auto"/>
                <w:sz w:val="21"/>
                <w:szCs w:val="22"/>
              </w:rPr>
              <w:t>超细银粉反应废气先经氨回收塔回收氨气后再</w:t>
            </w:r>
            <w:r>
              <w:rPr>
                <w:rFonts w:hint="default" w:ascii="Times New Roman" w:hAnsi="Times New Roman" w:eastAsia="宋体" w:cs="Times New Roman"/>
                <w:color w:val="auto"/>
                <w:sz w:val="21"/>
                <w:szCs w:val="22"/>
                <w:lang w:val="en-US" w:eastAsia="zh-CN"/>
              </w:rPr>
              <w:t>经</w:t>
            </w:r>
            <w:r>
              <w:rPr>
                <w:rFonts w:hint="default" w:ascii="Times New Roman" w:hAnsi="Times New Roman" w:eastAsia="宋体" w:cs="Times New Roman"/>
                <w:color w:val="auto"/>
                <w:sz w:val="21"/>
                <w:szCs w:val="22"/>
                <w:lang w:eastAsia="zh-CN"/>
              </w:rPr>
              <w:t>二级水吸收</w:t>
            </w:r>
            <w:r>
              <w:rPr>
                <w:rFonts w:hint="eastAsia" w:ascii="Times New Roman" w:hAnsi="Times New Roman" w:eastAsia="宋体" w:cs="Times New Roman"/>
                <w:color w:val="auto"/>
                <w:sz w:val="21"/>
                <w:szCs w:val="22"/>
                <w:lang w:val="en-US" w:eastAsia="zh-CN"/>
              </w:rPr>
              <w:t>后，汇同</w:t>
            </w:r>
            <w:r>
              <w:rPr>
                <w:rFonts w:hint="eastAsia" w:ascii="Times New Roman" w:hAnsi="Times New Roman" w:eastAsia="宋体" w:cs="Times New Roman"/>
                <w:color w:val="auto"/>
                <w:sz w:val="21"/>
                <w:szCs w:val="22"/>
                <w:lang w:eastAsia="zh-CN"/>
              </w:rPr>
              <w:t>分散废气、乙醇精馏不凝气、干燥废气</w:t>
            </w:r>
            <w:r>
              <w:rPr>
                <w:rFonts w:hint="eastAsia" w:ascii="Times New Roman" w:hAnsi="Times New Roman" w:eastAsia="宋体" w:cs="Times New Roman"/>
                <w:color w:val="auto"/>
                <w:sz w:val="21"/>
                <w:szCs w:val="22"/>
                <w:lang w:val="en-US" w:eastAsia="zh-CN"/>
              </w:rPr>
              <w:t>经</w:t>
            </w:r>
            <w:r>
              <w:rPr>
                <w:rFonts w:hint="default" w:ascii="Times New Roman" w:hAnsi="Times New Roman" w:eastAsia="宋体" w:cs="Times New Roman"/>
                <w:color w:val="auto"/>
                <w:sz w:val="21"/>
                <w:szCs w:val="22"/>
                <w:lang w:eastAsia="zh-CN"/>
              </w:rPr>
              <w:t>二级</w:t>
            </w:r>
            <w:r>
              <w:rPr>
                <w:rFonts w:hint="default" w:ascii="Times New Roman" w:hAnsi="Times New Roman" w:eastAsia="宋体" w:cs="Times New Roman"/>
                <w:color w:val="auto"/>
                <w:sz w:val="21"/>
                <w:szCs w:val="22"/>
              </w:rPr>
              <w:t>水洗</w:t>
            </w:r>
            <w:r>
              <w:rPr>
                <w:rFonts w:hint="default" w:ascii="Times New Roman" w:hAnsi="Times New Roman" w:eastAsia="宋体" w:cs="Times New Roman"/>
                <w:color w:val="auto"/>
                <w:sz w:val="21"/>
                <w:szCs w:val="22"/>
                <w:lang w:val="en-US" w:eastAsia="zh-CN"/>
              </w:rPr>
              <w:t>+高效除雾装置+活性炭吸附</w:t>
            </w:r>
            <w:r>
              <w:rPr>
                <w:rFonts w:hint="default" w:ascii="Times New Roman" w:hAnsi="Times New Roman" w:eastAsia="宋体" w:cs="Times New Roman"/>
                <w:color w:val="auto"/>
                <w:sz w:val="21"/>
                <w:szCs w:val="22"/>
              </w:rPr>
              <w:t>处理</w:t>
            </w:r>
            <w:r>
              <w:rPr>
                <w:rFonts w:hint="default" w:ascii="Times New Roman" w:hAnsi="Times New Roman" w:eastAsia="宋体" w:cs="Times New Roman"/>
                <w:color w:val="auto"/>
                <w:sz w:val="21"/>
                <w:szCs w:val="21"/>
              </w:rPr>
              <w:t>+2</w:t>
            </w: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m高排气筒</w:t>
            </w:r>
          </w:p>
        </w:tc>
        <w:tc>
          <w:tcPr>
            <w:tcW w:w="806" w:type="dxa"/>
            <w:vMerge w:val="restart"/>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DA002，高2</w:t>
            </w: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m，内径</w:t>
            </w:r>
            <w:r>
              <w:rPr>
                <w:rFonts w:hint="eastAsia" w:ascii="Times New Roman" w:hAnsi="Times New Roman" w:eastAsia="宋体" w:cs="Times New Roman"/>
                <w:color w:val="auto"/>
                <w:sz w:val="21"/>
                <w:szCs w:val="21"/>
                <w:lang w:val="en-US" w:eastAsia="zh-CN"/>
              </w:rPr>
              <w:t>0.6</w:t>
            </w:r>
            <w:r>
              <w:rPr>
                <w:rFonts w:hint="default" w:ascii="Times New Roman" w:hAnsi="Times New Roman" w:eastAsia="宋体" w:cs="Times New Roman"/>
                <w:color w:val="auto"/>
                <w:sz w:val="21"/>
                <w:szCs w:val="21"/>
              </w:rPr>
              <w:t>m</w:t>
            </w:r>
          </w:p>
        </w:tc>
        <w:tc>
          <w:tcPr>
            <w:tcW w:w="985" w:type="dxa"/>
            <w:noWrap w:val="0"/>
            <w:vAlign w:val="center"/>
          </w:tcPr>
          <w:p>
            <w:pPr>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kern w:val="0"/>
                <w:sz w:val="21"/>
                <w:szCs w:val="21"/>
                <w:lang w:bidi="ar"/>
              </w:rPr>
              <w:t>100</w:t>
            </w:r>
          </w:p>
        </w:tc>
        <w:tc>
          <w:tcPr>
            <w:tcW w:w="958" w:type="dxa"/>
            <w:noWrap w:val="0"/>
            <w:vAlign w:val="center"/>
          </w:tcPr>
          <w:p>
            <w:pPr>
              <w:spacing w:line="300" w:lineRule="exact"/>
              <w:ind w:firstLine="0"/>
              <w:jc w:val="center"/>
              <w:textAlignment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kern w:val="0"/>
                <w:sz w:val="21"/>
                <w:szCs w:val="21"/>
                <w:lang w:val="en-US" w:eastAsia="zh-CN" w:bidi="ar"/>
              </w:rPr>
              <w:t>14</w:t>
            </w:r>
          </w:p>
        </w:tc>
        <w:tc>
          <w:tcPr>
            <w:tcW w:w="2715" w:type="dxa"/>
            <w:vMerge w:val="restart"/>
            <w:noWrap w:val="0"/>
            <w:tcMar>
              <w:left w:w="113" w:type="dxa"/>
              <w:right w:w="113" w:type="dxa"/>
            </w:tcMar>
            <w:vAlign w:val="center"/>
          </w:tcPr>
          <w:p>
            <w:pPr>
              <w:spacing w:line="240" w:lineRule="atLeast"/>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lang w:val="en-GB"/>
              </w:rPr>
              <w:t>颗粒物、</w:t>
            </w:r>
            <w:r>
              <w:rPr>
                <w:rFonts w:hint="default" w:ascii="Times New Roman" w:hAnsi="Times New Roman" w:eastAsia="宋体" w:cs="Times New Roman"/>
                <w:color w:val="000000"/>
                <w:sz w:val="21"/>
                <w:szCs w:val="22"/>
              </w:rPr>
              <w:t>氮氧化物、氨</w:t>
            </w:r>
            <w:r>
              <w:rPr>
                <w:rFonts w:hint="default" w:ascii="Times New Roman" w:hAnsi="Times New Roman" w:eastAsia="宋体" w:cs="Times New Roman"/>
                <w:color w:val="000000"/>
                <w:sz w:val="21"/>
                <w:szCs w:val="22"/>
                <w:lang w:val="en-GB"/>
              </w:rPr>
              <w:t>执行GB3157</w:t>
            </w:r>
            <w:r>
              <w:rPr>
                <w:rFonts w:hint="default" w:ascii="Times New Roman" w:hAnsi="Times New Roman" w:eastAsia="宋体" w:cs="Times New Roman"/>
                <w:color w:val="000000"/>
                <w:sz w:val="21"/>
                <w:szCs w:val="22"/>
              </w:rPr>
              <w:t>3</w:t>
            </w:r>
            <w:r>
              <w:rPr>
                <w:rFonts w:hint="default" w:ascii="Times New Roman" w:hAnsi="Times New Roman" w:eastAsia="宋体" w:cs="Times New Roman"/>
                <w:color w:val="000000"/>
                <w:sz w:val="21"/>
                <w:szCs w:val="22"/>
                <w:lang w:val="en-GB"/>
              </w:rPr>
              <w:t>-2015《无机化学工业污染物排放标准》</w:t>
            </w:r>
            <w:r>
              <w:rPr>
                <w:rFonts w:hint="default" w:ascii="Times New Roman" w:hAnsi="Times New Roman" w:eastAsia="宋体" w:cs="Times New Roman"/>
                <w:color w:val="000000"/>
                <w:sz w:val="21"/>
                <w:szCs w:val="22"/>
              </w:rPr>
              <w:t>表4</w:t>
            </w:r>
            <w:r>
              <w:rPr>
                <w:rFonts w:hint="default" w:ascii="Times New Roman" w:hAnsi="Times New Roman" w:eastAsia="宋体" w:cs="Times New Roman"/>
                <w:color w:val="000000"/>
                <w:sz w:val="21"/>
                <w:szCs w:val="22"/>
                <w:lang w:val="en-GB"/>
              </w:rPr>
              <w:t>限值要求</w:t>
            </w:r>
            <w:r>
              <w:rPr>
                <w:rFonts w:hint="default" w:ascii="Times New Roman" w:hAnsi="Times New Roman" w:eastAsia="宋体" w:cs="Times New Roman"/>
                <w:color w:val="000000"/>
                <w:sz w:val="21"/>
                <w:szCs w:val="22"/>
              </w:rPr>
              <w:t>；氨的排放速率参照《恶臭污染物排放标准》（GB14554-93）</w:t>
            </w:r>
            <w:r>
              <w:rPr>
                <w:rFonts w:hint="eastAsia" w:ascii="Times New Roman" w:hAnsi="Times New Roman" w:eastAsia="宋体" w:cs="Times New Roman"/>
                <w:color w:val="000000"/>
                <w:sz w:val="21"/>
                <w:szCs w:val="22"/>
                <w:lang w:val="en-US" w:eastAsia="zh-CN"/>
              </w:rPr>
              <w:t>表2</w:t>
            </w:r>
            <w:r>
              <w:rPr>
                <w:rFonts w:hint="default" w:ascii="Times New Roman" w:hAnsi="Times New Roman" w:eastAsia="宋体" w:cs="Times New Roman"/>
                <w:color w:val="000000"/>
                <w:sz w:val="21"/>
                <w:szCs w:val="22"/>
              </w:rPr>
              <w:t>排放限值要求；甲醛、</w:t>
            </w:r>
            <w:r>
              <w:rPr>
                <w:rFonts w:hint="eastAsia" w:ascii="Times New Roman" w:hAnsi="Times New Roman" w:eastAsia="宋体" w:cs="Times New Roman"/>
                <w:color w:val="000000"/>
                <w:sz w:val="21"/>
                <w:szCs w:val="22"/>
                <w:lang w:val="en-US" w:eastAsia="zh-CN"/>
              </w:rPr>
              <w:t>非甲烷总烃</w:t>
            </w:r>
            <w:r>
              <w:rPr>
                <w:rFonts w:hint="default" w:ascii="Times New Roman" w:hAnsi="Times New Roman" w:eastAsia="宋体" w:cs="Times New Roman"/>
                <w:color w:val="000000"/>
                <w:sz w:val="21"/>
                <w:szCs w:val="22"/>
              </w:rPr>
              <w:t>执行DB35/1782-2018《工业企业挥发性有机物排放标准》表1其他行业排放标准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45" w:hRule="atLeast"/>
          <w:jc w:val="center"/>
        </w:trPr>
        <w:tc>
          <w:tcPr>
            <w:vMerge w:val="continue"/>
            <w:noWrap w:val="0"/>
            <w:tcMar>
              <w:left w:w="113" w:type="dxa"/>
              <w:right w:w="113" w:type="dxa"/>
            </w:tcMar>
          </w:tcPr>
          <w:p/>
        </w:tc>
        <w:tc>
          <w:tcPr>
            <w:gridSpan w:val="2"/>
            <w:vMerge w:val="continue"/>
            <w:noWrap w:val="0"/>
          </w:tcPr>
          <w:p/>
        </w:tc>
        <w:tc>
          <w:tcPr>
            <w:vMerge w:val="continue"/>
            <w:noWrap w:val="0"/>
          </w:tcPr>
          <w:p/>
        </w:tc>
        <w:tc>
          <w:tcPr>
            <w:tcW w:w="1124" w:type="dxa"/>
            <w:gridSpan w:val="2"/>
            <w:noWrap w:val="0"/>
            <w:vAlign w:val="center"/>
          </w:tcPr>
          <w:p>
            <w:pPr>
              <w:widowControl/>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甲醛</w:t>
            </w:r>
          </w:p>
        </w:tc>
        <w:tc>
          <w:tcPr>
            <w:tcW w:w="984" w:type="dxa"/>
            <w:gridSpan w:val="2"/>
            <w:noWrap w:val="0"/>
            <w:vAlign w:val="center"/>
          </w:tcPr>
          <w:p>
            <w:pPr>
              <w:widowControl/>
              <w:spacing w:line="300" w:lineRule="exact"/>
              <w:ind w:firstLine="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kern w:val="0"/>
                <w:sz w:val="21"/>
                <w:szCs w:val="21"/>
                <w:lang w:val="en-US" w:eastAsia="zh-CN"/>
              </w:rPr>
              <w:t>0.03</w:t>
            </w:r>
          </w:p>
        </w:tc>
        <w:tc>
          <w:tcPr>
            <w:tcW w:w="1009" w:type="dxa"/>
            <w:noWrap w:val="0"/>
            <w:vAlign w:val="center"/>
          </w:tcPr>
          <w:p>
            <w:pPr>
              <w:widowControl/>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rPr>
              <w:t>0.0004</w:t>
            </w:r>
          </w:p>
        </w:tc>
        <w:tc>
          <w:tcPr>
            <w:tcW w:w="831" w:type="dxa"/>
            <w:noWrap w:val="0"/>
            <w:vAlign w:val="center"/>
          </w:tcPr>
          <w:p>
            <w:pPr>
              <w:widowControl/>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rPr>
              <w:t>0.002</w:t>
            </w:r>
          </w:p>
        </w:tc>
        <w:tc>
          <w:tcPr>
            <w:gridSpan w:val="2"/>
            <w:vMerge w:val="continue"/>
            <w:noWrap w:val="0"/>
          </w:tcPr>
          <w:p/>
        </w:tc>
        <w:tc>
          <w:tcPr>
            <w:vMerge w:val="continue"/>
            <w:noWrap w:val="0"/>
          </w:tcPr>
          <w:p/>
        </w:tc>
        <w:tc>
          <w:tcPr>
            <w:tcW w:w="985"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958"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vMerge w:val="continue"/>
            <w:noWrap w:val="0"/>
          </w:tcPr>
          <w:p/>
        </w:tc>
        <w:tc>
          <w:tcPr>
            <w:tcW w:w="1124" w:type="dxa"/>
            <w:gridSpan w:val="2"/>
            <w:noWrap w:val="0"/>
            <w:vAlign w:val="center"/>
          </w:tcPr>
          <w:p>
            <w:pPr>
              <w:widowControl/>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非甲烷总烃</w:t>
            </w:r>
          </w:p>
        </w:tc>
        <w:tc>
          <w:tcPr>
            <w:tcW w:w="984" w:type="dxa"/>
            <w:gridSpan w:val="2"/>
            <w:noWrap w:val="0"/>
            <w:vAlign w:val="center"/>
          </w:tcPr>
          <w:p>
            <w:pPr>
              <w:widowControl/>
              <w:spacing w:line="300" w:lineRule="exact"/>
              <w:ind w:firstLine="0"/>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kern w:val="0"/>
                <w:sz w:val="21"/>
                <w:szCs w:val="21"/>
                <w:lang w:val="en-US" w:eastAsia="zh-CN"/>
              </w:rPr>
              <w:t>34.93</w:t>
            </w:r>
          </w:p>
        </w:tc>
        <w:tc>
          <w:tcPr>
            <w:tcW w:w="1009" w:type="dxa"/>
            <w:noWrap w:val="0"/>
            <w:vAlign w:val="center"/>
          </w:tcPr>
          <w:p>
            <w:pPr>
              <w:widowControl/>
              <w:spacing w:line="300" w:lineRule="exact"/>
              <w:ind w:firstLine="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kern w:val="0"/>
                <w:sz w:val="21"/>
                <w:szCs w:val="21"/>
                <w:lang w:val="en-US" w:eastAsia="zh-CN"/>
              </w:rPr>
              <w:t>0.524</w:t>
            </w:r>
          </w:p>
        </w:tc>
        <w:tc>
          <w:tcPr>
            <w:tcW w:w="831" w:type="dxa"/>
            <w:noWrap w:val="0"/>
            <w:vAlign w:val="center"/>
          </w:tcPr>
          <w:p>
            <w:pPr>
              <w:widowControl/>
              <w:spacing w:line="300" w:lineRule="exact"/>
              <w:ind w:firstLine="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kern w:val="0"/>
                <w:sz w:val="21"/>
                <w:szCs w:val="21"/>
                <w:lang w:val="en-US" w:eastAsia="zh-CN"/>
              </w:rPr>
              <w:t>1.858</w:t>
            </w:r>
          </w:p>
        </w:tc>
        <w:tc>
          <w:tcPr>
            <w:gridSpan w:val="2"/>
            <w:vMerge w:val="continue"/>
            <w:noWrap w:val="0"/>
          </w:tcPr>
          <w:p/>
        </w:tc>
        <w:tc>
          <w:tcPr>
            <w:vMerge w:val="continue"/>
            <w:noWrap w:val="0"/>
          </w:tcPr>
          <w:p/>
        </w:tc>
        <w:tc>
          <w:tcPr>
            <w:tcW w:w="985"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958"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tcW w:w="1073" w:type="dxa"/>
            <w:gridSpan w:val="2"/>
            <w:vMerge w:val="restart"/>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罐区废气、污水站生化</w:t>
            </w:r>
            <w:r>
              <w:rPr>
                <w:rFonts w:hint="eastAsia" w:ascii="Times New Roman" w:hAnsi="Times New Roman" w:eastAsia="宋体" w:cs="Times New Roman"/>
                <w:color w:val="auto"/>
                <w:sz w:val="21"/>
                <w:szCs w:val="21"/>
                <w:lang w:val="en-US" w:eastAsia="zh-CN"/>
              </w:rPr>
              <w:t>废气、危废间</w:t>
            </w:r>
            <w:r>
              <w:rPr>
                <w:rFonts w:hint="default" w:ascii="Times New Roman" w:hAnsi="Times New Roman" w:eastAsia="宋体" w:cs="Times New Roman"/>
                <w:color w:val="auto"/>
                <w:sz w:val="21"/>
                <w:szCs w:val="21"/>
                <w:lang w:val="en-US" w:eastAsia="zh-CN"/>
              </w:rPr>
              <w:t>废气</w:t>
            </w:r>
          </w:p>
        </w:tc>
        <w:tc>
          <w:tcPr>
            <w:tcW w:w="851" w:type="dxa"/>
            <w:vMerge w:val="restart"/>
            <w:noWrap w:val="0"/>
            <w:vAlign w:val="center"/>
          </w:tcPr>
          <w:p>
            <w:pPr>
              <w:spacing w:line="240" w:lineRule="atLeast"/>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15000</w:t>
            </w: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kern w:val="0"/>
                <w:sz w:val="21"/>
                <w:szCs w:val="21"/>
                <w:lang w:val="en-US" w:eastAsia="zh-CN" w:bidi="ar"/>
              </w:rPr>
              <w:t>氮氧化物</w:t>
            </w:r>
          </w:p>
        </w:tc>
        <w:tc>
          <w:tcPr>
            <w:tcW w:w="984" w:type="dxa"/>
            <w:gridSpan w:val="2"/>
            <w:noWrap w:val="0"/>
            <w:vAlign w:val="center"/>
          </w:tcPr>
          <w:p>
            <w:pPr>
              <w:widowControl/>
              <w:spacing w:line="300" w:lineRule="exact"/>
              <w:ind w:firstLine="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rPr>
              <w:t>0.13</w:t>
            </w:r>
          </w:p>
        </w:tc>
        <w:tc>
          <w:tcPr>
            <w:tcW w:w="1009" w:type="dxa"/>
            <w:noWrap w:val="0"/>
            <w:vAlign w:val="center"/>
          </w:tcPr>
          <w:p>
            <w:pPr>
              <w:widowControl/>
              <w:spacing w:line="300" w:lineRule="exact"/>
              <w:ind w:firstLine="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rPr>
              <w:t>0.002</w:t>
            </w:r>
          </w:p>
        </w:tc>
        <w:tc>
          <w:tcPr>
            <w:tcW w:w="831" w:type="dxa"/>
            <w:noWrap w:val="0"/>
            <w:vAlign w:val="center"/>
          </w:tcPr>
          <w:p>
            <w:pPr>
              <w:widowControl/>
              <w:spacing w:line="300" w:lineRule="exact"/>
              <w:ind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rPr>
              <w:t>0.017</w:t>
            </w:r>
          </w:p>
        </w:tc>
        <w:tc>
          <w:tcPr>
            <w:tcW w:w="2330" w:type="dxa"/>
            <w:gridSpan w:val="2"/>
            <w:vMerge w:val="restart"/>
            <w:noWrap w:val="0"/>
            <w:vAlign w:val="center"/>
          </w:tcPr>
          <w:p>
            <w:pPr>
              <w:widowControl/>
              <w:spacing w:line="240" w:lineRule="auto"/>
              <w:ind w:firstLine="0"/>
              <w:jc w:val="center"/>
              <w:rPr>
                <w:rFonts w:hint="eastAsia"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eastAsia="zh-CN"/>
              </w:rPr>
              <w:t>氧化吸收</w:t>
            </w:r>
            <w:r>
              <w:rPr>
                <w:rFonts w:hint="default" w:ascii="Times New Roman" w:hAnsi="Times New Roman" w:eastAsia="宋体" w:cs="Times New Roman"/>
                <w:color w:val="auto"/>
                <w:kern w:val="0"/>
                <w:sz w:val="21"/>
                <w:szCs w:val="21"/>
                <w:lang w:val="en-US" w:eastAsia="zh-CN"/>
              </w:rPr>
              <w:t>+碱吸收+生物除臭</w:t>
            </w:r>
            <w:r>
              <w:rPr>
                <w:rFonts w:hint="default" w:ascii="Times New Roman" w:hAnsi="Times New Roman" w:eastAsia="宋体" w:cs="Times New Roman"/>
                <w:color w:val="auto"/>
                <w:kern w:val="0"/>
                <w:sz w:val="21"/>
                <w:szCs w:val="21"/>
              </w:rPr>
              <w:t>处理</w:t>
            </w:r>
            <w:r>
              <w:rPr>
                <w:rFonts w:hint="eastAsia" w:ascii="Times New Roman" w:hAnsi="Times New Roman" w:eastAsia="宋体" w:cs="Times New Roman"/>
                <w:color w:val="auto"/>
                <w:kern w:val="0"/>
                <w:sz w:val="21"/>
                <w:szCs w:val="21"/>
                <w:lang w:val="en-US" w:eastAsia="zh-CN"/>
              </w:rPr>
              <w:t>+15</w:t>
            </w:r>
            <w:r>
              <w:rPr>
                <w:rFonts w:hint="default" w:ascii="Times New Roman" w:hAnsi="Times New Roman" w:eastAsia="宋体" w:cs="Times New Roman"/>
                <w:color w:val="auto"/>
                <w:kern w:val="0"/>
                <w:sz w:val="21"/>
                <w:szCs w:val="21"/>
              </w:rPr>
              <w:t>m高排气筒</w:t>
            </w:r>
          </w:p>
        </w:tc>
        <w:tc>
          <w:tcPr>
            <w:tcW w:w="806" w:type="dxa"/>
            <w:vMerge w:val="restart"/>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DA003，高</w:t>
            </w:r>
            <w:r>
              <w:rPr>
                <w:rFonts w:hint="eastAsia" w:ascii="Times New Roman" w:hAnsi="Times New Roman" w:eastAsia="宋体" w:cs="Times New Roman"/>
                <w:color w:val="auto"/>
                <w:sz w:val="21"/>
                <w:szCs w:val="21"/>
                <w:lang w:val="en-US" w:eastAsia="zh-CN"/>
              </w:rPr>
              <w:t>15</w:t>
            </w:r>
            <w:r>
              <w:rPr>
                <w:rFonts w:hint="default" w:ascii="Times New Roman" w:hAnsi="Times New Roman" w:eastAsia="宋体" w:cs="Times New Roman"/>
                <w:color w:val="auto"/>
                <w:sz w:val="21"/>
                <w:szCs w:val="21"/>
              </w:rPr>
              <w:t>m，内径</w:t>
            </w:r>
            <w:r>
              <w:rPr>
                <w:rFonts w:hint="eastAsia" w:ascii="Times New Roman" w:hAnsi="Times New Roman" w:eastAsia="宋体" w:cs="Times New Roman"/>
                <w:color w:val="auto"/>
                <w:sz w:val="21"/>
                <w:szCs w:val="21"/>
                <w:lang w:val="en-US" w:eastAsia="zh-CN"/>
              </w:rPr>
              <w:t>0.6</w:t>
            </w:r>
            <w:r>
              <w:rPr>
                <w:rFonts w:hint="default" w:ascii="Times New Roman" w:hAnsi="Times New Roman" w:eastAsia="宋体" w:cs="Times New Roman"/>
                <w:color w:val="auto"/>
                <w:sz w:val="21"/>
                <w:szCs w:val="21"/>
              </w:rPr>
              <w:t>m</w:t>
            </w:r>
          </w:p>
        </w:tc>
        <w:tc>
          <w:tcPr>
            <w:tcW w:w="985" w:type="dxa"/>
            <w:noWrap w:val="0"/>
            <w:vAlign w:val="center"/>
          </w:tcPr>
          <w:p>
            <w:pPr>
              <w:widowControl/>
              <w:spacing w:line="300" w:lineRule="exact"/>
              <w:ind w:firstLine="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color w:val="auto"/>
                <w:kern w:val="0"/>
                <w:sz w:val="21"/>
                <w:szCs w:val="21"/>
                <w:lang w:bidi="ar"/>
              </w:rPr>
              <w:t>100</w:t>
            </w:r>
          </w:p>
        </w:tc>
        <w:tc>
          <w:tcPr>
            <w:tcW w:w="958"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kern w:val="0"/>
                <w:sz w:val="21"/>
                <w:szCs w:val="21"/>
                <w:lang w:val="en-US" w:eastAsia="zh-CN" w:bidi="ar"/>
              </w:rPr>
              <w:t>/</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vMerge w:val="continue"/>
            <w:noWrap w:val="0"/>
          </w:tcP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氨</w:t>
            </w:r>
          </w:p>
        </w:tc>
        <w:tc>
          <w:tcPr>
            <w:tcW w:w="984" w:type="dxa"/>
            <w:gridSpan w:val="2"/>
            <w:noWrap w:val="0"/>
            <w:vAlign w:val="center"/>
          </w:tcPr>
          <w:p>
            <w:pPr>
              <w:widowControl/>
              <w:spacing w:line="300" w:lineRule="exact"/>
              <w:ind w:firstLine="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rPr>
              <w:t>1.1</w:t>
            </w:r>
            <w:r>
              <w:rPr>
                <w:rFonts w:hint="eastAsia" w:ascii="Times New Roman" w:hAnsi="Times New Roman" w:eastAsia="宋体" w:cs="Times New Roman"/>
                <w:color w:val="auto"/>
                <w:kern w:val="0"/>
                <w:sz w:val="21"/>
                <w:szCs w:val="21"/>
                <w:lang w:val="en-US" w:eastAsia="zh-CN"/>
              </w:rPr>
              <w:t>4</w:t>
            </w:r>
          </w:p>
        </w:tc>
        <w:tc>
          <w:tcPr>
            <w:tcW w:w="1009" w:type="dxa"/>
            <w:noWrap w:val="0"/>
            <w:vAlign w:val="center"/>
          </w:tcPr>
          <w:p>
            <w:pPr>
              <w:widowControl/>
              <w:spacing w:line="300" w:lineRule="exact"/>
              <w:ind w:firstLine="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rPr>
              <w:t>0.017</w:t>
            </w:r>
            <w:r>
              <w:rPr>
                <w:rFonts w:hint="eastAsia" w:ascii="Times New Roman" w:hAnsi="Times New Roman" w:eastAsia="宋体" w:cs="Times New Roman"/>
                <w:color w:val="auto"/>
                <w:kern w:val="0"/>
                <w:sz w:val="21"/>
                <w:szCs w:val="21"/>
                <w:lang w:val="en-US" w:eastAsia="zh-CN"/>
              </w:rPr>
              <w:t>1</w:t>
            </w:r>
          </w:p>
        </w:tc>
        <w:tc>
          <w:tcPr>
            <w:tcW w:w="831" w:type="dxa"/>
            <w:noWrap w:val="0"/>
            <w:vAlign w:val="center"/>
          </w:tcPr>
          <w:p>
            <w:pPr>
              <w:widowControl/>
              <w:spacing w:line="300" w:lineRule="exact"/>
              <w:ind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rPr>
              <w:t>0.12</w:t>
            </w:r>
            <w:r>
              <w:rPr>
                <w:rFonts w:hint="eastAsia" w:ascii="Times New Roman" w:hAnsi="Times New Roman" w:eastAsia="宋体" w:cs="Times New Roman"/>
                <w:color w:val="auto"/>
                <w:kern w:val="0"/>
                <w:sz w:val="21"/>
                <w:szCs w:val="21"/>
                <w:lang w:val="en-US" w:eastAsia="zh-CN"/>
              </w:rPr>
              <w:t>1</w:t>
            </w:r>
          </w:p>
        </w:tc>
        <w:tc>
          <w:tcPr>
            <w:gridSpan w:val="2"/>
            <w:vMerge w:val="continue"/>
            <w:noWrap w:val="0"/>
          </w:tcPr>
          <w:p/>
        </w:tc>
        <w:tc>
          <w:tcPr>
            <w:vMerge w:val="continue"/>
            <w:noWrap w:val="0"/>
          </w:tcPr>
          <w:p/>
        </w:tc>
        <w:tc>
          <w:tcPr>
            <w:tcW w:w="985" w:type="dxa"/>
            <w:noWrap w:val="0"/>
            <w:vAlign w:val="center"/>
          </w:tcPr>
          <w:p>
            <w:pPr>
              <w:widowControl/>
              <w:spacing w:line="300" w:lineRule="exact"/>
              <w:ind w:firstLine="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color w:val="auto"/>
                <w:kern w:val="0"/>
                <w:sz w:val="21"/>
                <w:szCs w:val="21"/>
                <w:lang w:bidi="ar"/>
              </w:rPr>
              <w:t>10</w:t>
            </w:r>
          </w:p>
        </w:tc>
        <w:tc>
          <w:tcPr>
            <w:tcW w:w="958"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kern w:val="0"/>
                <w:sz w:val="21"/>
                <w:szCs w:val="21"/>
                <w:lang w:val="en-US" w:eastAsia="zh-CN" w:bidi="ar"/>
              </w:rPr>
              <w:t>4.9</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vMerge w:val="continue"/>
            <w:noWrap w:val="0"/>
          </w:tcP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非甲烷总烃</w:t>
            </w:r>
          </w:p>
        </w:tc>
        <w:tc>
          <w:tcPr>
            <w:tcW w:w="984" w:type="dxa"/>
            <w:gridSpan w:val="2"/>
            <w:noWrap w:val="0"/>
            <w:vAlign w:val="center"/>
          </w:tcPr>
          <w:p>
            <w:pPr>
              <w:widowControl/>
              <w:spacing w:line="300" w:lineRule="exact"/>
              <w:ind w:firstLine="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rPr>
              <w:t>0.21</w:t>
            </w:r>
          </w:p>
        </w:tc>
        <w:tc>
          <w:tcPr>
            <w:tcW w:w="1009" w:type="dxa"/>
            <w:noWrap w:val="0"/>
            <w:vAlign w:val="center"/>
          </w:tcPr>
          <w:p>
            <w:pPr>
              <w:widowControl/>
              <w:spacing w:line="300" w:lineRule="exact"/>
              <w:ind w:firstLine="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rPr>
              <w:t>0.0032</w:t>
            </w:r>
          </w:p>
        </w:tc>
        <w:tc>
          <w:tcPr>
            <w:tcW w:w="831" w:type="dxa"/>
            <w:noWrap w:val="0"/>
            <w:vAlign w:val="center"/>
          </w:tcPr>
          <w:p>
            <w:pPr>
              <w:widowControl/>
              <w:spacing w:line="300" w:lineRule="exact"/>
              <w:ind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rPr>
              <w:t>0.02</w:t>
            </w:r>
          </w:p>
        </w:tc>
        <w:tc>
          <w:tcPr>
            <w:gridSpan w:val="2"/>
            <w:vMerge w:val="continue"/>
            <w:noWrap w:val="0"/>
          </w:tcPr>
          <w:p/>
        </w:tc>
        <w:tc>
          <w:tcPr>
            <w:vMerge w:val="continue"/>
            <w:noWrap w:val="0"/>
          </w:tcPr>
          <w:p/>
        </w:tc>
        <w:tc>
          <w:tcPr>
            <w:tcW w:w="985" w:type="dxa"/>
            <w:noWrap w:val="0"/>
            <w:vAlign w:val="center"/>
          </w:tcPr>
          <w:p>
            <w:pPr>
              <w:widowControl/>
              <w:adjustRightInd w:val="0"/>
              <w:snapToGrid w:val="0"/>
              <w:spacing w:line="300" w:lineRule="exact"/>
              <w:ind w:firstLine="0"/>
              <w:jc w:val="center"/>
              <w:rPr>
                <w:rFonts w:hint="default" w:ascii="Times New Roman" w:hAnsi="Times New Roman" w:cs="Times New Roman"/>
                <w:color w:val="auto"/>
                <w:szCs w:val="21"/>
              </w:rPr>
            </w:pPr>
            <w:r>
              <w:rPr>
                <w:rFonts w:hint="default" w:ascii="Times New Roman" w:hAnsi="Times New Roman" w:eastAsia="宋体" w:cs="Times New Roman"/>
                <w:color w:val="auto"/>
                <w:sz w:val="21"/>
                <w:szCs w:val="21"/>
              </w:rPr>
              <w:t>100</w:t>
            </w:r>
          </w:p>
        </w:tc>
        <w:tc>
          <w:tcPr>
            <w:tcW w:w="958"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tcW w:w="1073"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超细银粉抗坏血酸投料废气、破碎、包装废气</w:t>
            </w:r>
          </w:p>
        </w:tc>
        <w:tc>
          <w:tcPr>
            <w:tcW w:w="851" w:type="dxa"/>
            <w:noWrap w:val="0"/>
            <w:vAlign w:val="center"/>
          </w:tcPr>
          <w:p>
            <w:pPr>
              <w:spacing w:line="240" w:lineRule="atLeast"/>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8000</w:t>
            </w: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kern w:val="0"/>
                <w:sz w:val="21"/>
                <w:szCs w:val="21"/>
                <w:lang w:val="en-US" w:eastAsia="zh-CN"/>
              </w:rPr>
              <w:t>颗粒物</w:t>
            </w:r>
          </w:p>
        </w:tc>
        <w:tc>
          <w:tcPr>
            <w:tcW w:w="98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bidi="ar"/>
              </w:rPr>
              <w:t>4.38</w:t>
            </w:r>
          </w:p>
        </w:tc>
        <w:tc>
          <w:tcPr>
            <w:tcW w:w="1009" w:type="dxa"/>
            <w:noWrap w:val="0"/>
            <w:vAlign w:val="center"/>
          </w:tcPr>
          <w:p>
            <w:pPr>
              <w:widowControl/>
              <w:spacing w:line="300" w:lineRule="exact"/>
              <w:ind w:firstLine="0"/>
              <w:jc w:val="center"/>
              <w:textAlignment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kern w:val="0"/>
                <w:sz w:val="21"/>
                <w:szCs w:val="21"/>
                <w:lang w:val="en-US" w:eastAsia="zh-CN" w:bidi="ar"/>
              </w:rPr>
              <w:t>0.035</w:t>
            </w:r>
          </w:p>
        </w:tc>
        <w:tc>
          <w:tcPr>
            <w:tcW w:w="831"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bidi="ar"/>
              </w:rPr>
              <w:t>0.126</w:t>
            </w:r>
          </w:p>
        </w:tc>
        <w:tc>
          <w:tcPr>
            <w:tcW w:w="2330" w:type="dxa"/>
            <w:gridSpan w:val="2"/>
            <w:noWrap w:val="0"/>
            <w:vAlign w:val="center"/>
          </w:tcPr>
          <w:p>
            <w:pPr>
              <w:widowControl/>
              <w:spacing w:line="240" w:lineRule="auto"/>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布袋除尘器处理</w:t>
            </w:r>
            <w:r>
              <w:rPr>
                <w:rFonts w:hint="default" w:ascii="Times New Roman" w:hAnsi="Times New Roman" w:eastAsia="宋体" w:cs="Times New Roman"/>
                <w:color w:val="auto"/>
                <w:kern w:val="0"/>
                <w:sz w:val="21"/>
                <w:szCs w:val="21"/>
              </w:rPr>
              <w:t>+</w:t>
            </w:r>
            <w:r>
              <w:rPr>
                <w:rFonts w:hint="eastAsia" w:ascii="Times New Roman" w:hAnsi="Times New Roman" w:eastAsia="宋体" w:cs="Times New Roman"/>
                <w:color w:val="auto"/>
                <w:kern w:val="0"/>
                <w:sz w:val="21"/>
                <w:szCs w:val="21"/>
                <w:lang w:val="en-US" w:eastAsia="zh-CN"/>
              </w:rPr>
              <w:t>25</w:t>
            </w:r>
            <w:r>
              <w:rPr>
                <w:rFonts w:hint="default" w:ascii="Times New Roman" w:hAnsi="Times New Roman" w:eastAsia="宋体" w:cs="Times New Roman"/>
                <w:color w:val="auto"/>
                <w:kern w:val="0"/>
                <w:sz w:val="21"/>
                <w:szCs w:val="21"/>
              </w:rPr>
              <w:t>m高排气筒</w:t>
            </w:r>
          </w:p>
        </w:tc>
        <w:tc>
          <w:tcPr>
            <w:tcW w:w="806" w:type="dxa"/>
            <w:noWrap w:val="0"/>
            <w:vAlign w:val="center"/>
          </w:tcPr>
          <w:p>
            <w:pPr>
              <w:spacing w:line="240" w:lineRule="atLeast"/>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DA004，</w:t>
            </w:r>
            <w:r>
              <w:rPr>
                <w:rFonts w:hint="default" w:ascii="Times New Roman" w:hAnsi="Times New Roman" w:eastAsia="宋体" w:cs="Times New Roman"/>
                <w:color w:val="auto"/>
                <w:sz w:val="21"/>
                <w:szCs w:val="21"/>
              </w:rPr>
              <w:t>高</w:t>
            </w:r>
            <w:r>
              <w:rPr>
                <w:rFonts w:hint="eastAsia" w:ascii="Times New Roman" w:hAnsi="Times New Roman" w:eastAsia="宋体" w:cs="Times New Roman"/>
                <w:color w:val="auto"/>
                <w:sz w:val="21"/>
                <w:szCs w:val="21"/>
                <w:lang w:val="en-US" w:eastAsia="zh-CN"/>
              </w:rPr>
              <w:t>25</w:t>
            </w:r>
            <w:r>
              <w:rPr>
                <w:rFonts w:hint="default" w:ascii="Times New Roman" w:hAnsi="Times New Roman" w:eastAsia="宋体" w:cs="Times New Roman"/>
                <w:color w:val="auto"/>
                <w:sz w:val="21"/>
                <w:szCs w:val="21"/>
              </w:rPr>
              <w:t>m，内径</w:t>
            </w:r>
            <w:r>
              <w:rPr>
                <w:rFonts w:hint="eastAsia" w:ascii="Times New Roman" w:hAnsi="Times New Roman" w:eastAsia="宋体" w:cs="Times New Roman"/>
                <w:color w:val="auto"/>
                <w:sz w:val="21"/>
                <w:szCs w:val="21"/>
                <w:lang w:val="en-US" w:eastAsia="zh-CN"/>
              </w:rPr>
              <w:t>0.45</w:t>
            </w:r>
            <w:r>
              <w:rPr>
                <w:rFonts w:hint="default" w:ascii="Times New Roman" w:hAnsi="Times New Roman" w:eastAsia="宋体" w:cs="Times New Roman"/>
                <w:color w:val="auto"/>
                <w:sz w:val="21"/>
                <w:szCs w:val="21"/>
              </w:rPr>
              <w:t>m</w:t>
            </w:r>
          </w:p>
        </w:tc>
        <w:tc>
          <w:tcPr>
            <w:tcW w:w="985"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958"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tcW w:w="1073" w:type="dxa"/>
            <w:gridSpan w:val="2"/>
            <w:vMerge w:val="restart"/>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污水站三效蒸发器蒸发汽</w:t>
            </w:r>
          </w:p>
        </w:tc>
        <w:tc>
          <w:tcPr>
            <w:tcW w:w="851" w:type="dxa"/>
            <w:vMerge w:val="restart"/>
            <w:noWrap w:val="0"/>
            <w:vAlign w:val="center"/>
          </w:tcPr>
          <w:p>
            <w:pPr>
              <w:spacing w:line="240" w:lineRule="atLeast"/>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氨</w:t>
            </w:r>
          </w:p>
        </w:tc>
        <w:tc>
          <w:tcPr>
            <w:tcW w:w="98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w:t>
            </w:r>
          </w:p>
        </w:tc>
        <w:tc>
          <w:tcPr>
            <w:tcW w:w="1009"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w:t>
            </w:r>
          </w:p>
        </w:tc>
        <w:tc>
          <w:tcPr>
            <w:tcW w:w="831"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w:t>
            </w:r>
          </w:p>
        </w:tc>
        <w:tc>
          <w:tcPr>
            <w:tcW w:w="2330" w:type="dxa"/>
            <w:gridSpan w:val="2"/>
            <w:vMerge w:val="restart"/>
            <w:noWrap w:val="0"/>
            <w:vAlign w:val="center"/>
          </w:tcPr>
          <w:p>
            <w:pPr>
              <w:widowControl/>
              <w:spacing w:line="240" w:lineRule="auto"/>
              <w:ind w:firstLine="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15m高排气筒排放</w:t>
            </w:r>
          </w:p>
        </w:tc>
        <w:tc>
          <w:tcPr>
            <w:tcW w:w="806" w:type="dxa"/>
            <w:vMerge w:val="restart"/>
            <w:noWrap w:val="0"/>
            <w:vAlign w:val="center"/>
          </w:tcPr>
          <w:p>
            <w:pPr>
              <w:spacing w:line="240" w:lineRule="atLeast"/>
              <w:ind w:firstLine="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DA005，</w:t>
            </w:r>
            <w:r>
              <w:rPr>
                <w:rFonts w:hint="default" w:ascii="Times New Roman" w:hAnsi="Times New Roman" w:eastAsia="宋体" w:cs="Times New Roman"/>
                <w:color w:val="auto"/>
                <w:sz w:val="21"/>
                <w:szCs w:val="21"/>
              </w:rPr>
              <w:t>高</w:t>
            </w:r>
            <w:r>
              <w:rPr>
                <w:rFonts w:hint="eastAsia" w:ascii="Times New Roman" w:hAnsi="Times New Roman" w:eastAsia="宋体" w:cs="Times New Roman"/>
                <w:color w:val="auto"/>
                <w:sz w:val="21"/>
                <w:szCs w:val="21"/>
                <w:lang w:val="en-US" w:eastAsia="zh-CN"/>
              </w:rPr>
              <w:t>15</w:t>
            </w:r>
            <w:r>
              <w:rPr>
                <w:rFonts w:hint="default" w:ascii="Times New Roman" w:hAnsi="Times New Roman" w:eastAsia="宋体" w:cs="Times New Roman"/>
                <w:color w:val="auto"/>
                <w:sz w:val="21"/>
                <w:szCs w:val="21"/>
              </w:rPr>
              <w:t>m，内径</w:t>
            </w:r>
            <w:r>
              <w:rPr>
                <w:rFonts w:hint="eastAsia" w:ascii="Times New Roman" w:hAnsi="Times New Roman" w:eastAsia="宋体" w:cs="Times New Roman"/>
                <w:color w:val="auto"/>
                <w:sz w:val="21"/>
                <w:szCs w:val="21"/>
                <w:lang w:val="en-US" w:eastAsia="zh-CN"/>
              </w:rPr>
              <w:t>0.3</w:t>
            </w:r>
            <w:r>
              <w:rPr>
                <w:rFonts w:hint="default" w:ascii="Times New Roman" w:hAnsi="Times New Roman" w:eastAsia="宋体" w:cs="Times New Roman"/>
                <w:color w:val="auto"/>
                <w:sz w:val="21"/>
                <w:szCs w:val="21"/>
              </w:rPr>
              <w:t>m</w:t>
            </w:r>
          </w:p>
        </w:tc>
        <w:tc>
          <w:tcPr>
            <w:tcW w:w="985"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10</w:t>
            </w:r>
          </w:p>
        </w:tc>
        <w:tc>
          <w:tcPr>
            <w:tcW w:w="958"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kern w:val="0"/>
                <w:sz w:val="21"/>
                <w:szCs w:val="21"/>
                <w:lang w:val="en-US" w:eastAsia="zh-CN" w:bidi="ar"/>
              </w:rPr>
              <w:t>4.9</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vMerge w:val="continue"/>
            <w:noWrap w:val="0"/>
          </w:tcP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非甲烷总烃</w:t>
            </w:r>
          </w:p>
        </w:tc>
        <w:tc>
          <w:tcPr>
            <w:tcW w:w="98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w:t>
            </w:r>
          </w:p>
        </w:tc>
        <w:tc>
          <w:tcPr>
            <w:tcW w:w="1009"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w:t>
            </w:r>
          </w:p>
        </w:tc>
        <w:tc>
          <w:tcPr>
            <w:tcW w:w="831"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w:t>
            </w:r>
          </w:p>
        </w:tc>
        <w:tc>
          <w:tcPr>
            <w:gridSpan w:val="2"/>
            <w:vMerge w:val="continue"/>
            <w:noWrap w:val="0"/>
          </w:tcPr>
          <w:p/>
        </w:tc>
        <w:tc>
          <w:tcPr>
            <w:vMerge w:val="continue"/>
            <w:noWrap w:val="0"/>
          </w:tcPr>
          <w:p/>
        </w:tc>
        <w:tc>
          <w:tcPr>
            <w:tcW w:w="985"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958" w:type="dxa"/>
            <w:noWrap w:val="0"/>
            <w:vAlign w:val="center"/>
          </w:tcPr>
          <w:p>
            <w:pPr>
              <w:widowControl/>
              <w:adjustRightInd w:val="0"/>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836" w:hRule="atLeast"/>
          <w:jc w:val="center"/>
        </w:trPr>
        <w:tc>
          <w:tcPr>
            <w:tcW w:w="405" w:type="dxa"/>
            <w:vMerge w:val="restart"/>
            <w:noWrap w:val="0"/>
            <w:tcMar>
              <w:left w:w="113" w:type="dxa"/>
              <w:right w:w="113" w:type="dxa"/>
            </w:tcMar>
            <w:vAlign w:val="center"/>
          </w:tcPr>
          <w:p>
            <w:pPr>
              <w:adjustRightInd w:val="0"/>
              <w:snapToGrid w:val="0"/>
              <w:spacing w:line="240" w:lineRule="atLeas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无组织废气</w:t>
            </w:r>
          </w:p>
        </w:tc>
        <w:tc>
          <w:tcPr>
            <w:tcW w:w="1073" w:type="dxa"/>
            <w:gridSpan w:val="2"/>
            <w:vMerge w:val="restart"/>
            <w:noWrap w:val="0"/>
            <w:vAlign w:val="center"/>
          </w:tcPr>
          <w:p>
            <w:pPr>
              <w:spacing w:line="240" w:lineRule="atLeast"/>
              <w:ind w:firstLine="0"/>
              <w:jc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二号车间</w:t>
            </w:r>
          </w:p>
        </w:tc>
        <w:tc>
          <w:tcPr>
            <w:tcW w:w="851"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颗粒物</w:t>
            </w:r>
          </w:p>
        </w:tc>
        <w:tc>
          <w:tcPr>
            <w:tcW w:w="984"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w:t>
            </w:r>
          </w:p>
        </w:tc>
        <w:tc>
          <w:tcPr>
            <w:tcW w:w="1009"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bidi="ar"/>
              </w:rPr>
              <w:t>0.12</w:t>
            </w:r>
          </w:p>
        </w:tc>
        <w:tc>
          <w:tcPr>
            <w:tcW w:w="831"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kern w:val="0"/>
                <w:sz w:val="21"/>
                <w:szCs w:val="21"/>
                <w:lang w:val="en-US" w:eastAsia="zh-CN" w:bidi="ar"/>
              </w:rPr>
              <w:t>0.072</w:t>
            </w:r>
          </w:p>
        </w:tc>
        <w:tc>
          <w:tcPr>
            <w:tcW w:w="2330" w:type="dxa"/>
            <w:gridSpan w:val="2"/>
            <w:vMerge w:val="restart"/>
            <w:noWrap w:val="0"/>
            <w:vAlign w:val="center"/>
          </w:tcPr>
          <w:p>
            <w:pPr>
              <w:widowControl/>
              <w:spacing w:line="240" w:lineRule="auto"/>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车间密闭，加强收集</w:t>
            </w:r>
          </w:p>
        </w:tc>
        <w:tc>
          <w:tcPr>
            <w:tcW w:w="806" w:type="dxa"/>
            <w:vMerge w:val="restart"/>
            <w:noWrap w:val="0"/>
            <w:vAlign w:val="center"/>
          </w:tcPr>
          <w:p>
            <w:pPr>
              <w:spacing w:line="240" w:lineRule="atLeast"/>
              <w:ind w:firstLine="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长80m，宽50m，高23.3m</w:t>
            </w:r>
          </w:p>
        </w:tc>
        <w:tc>
          <w:tcPr>
            <w:tcW w:w="985"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958" w:type="dxa"/>
            <w:noWrap w:val="0"/>
            <w:vAlign w:val="center"/>
          </w:tcPr>
          <w:p>
            <w:pPr>
              <w:spacing w:line="240" w:lineRule="atLeast"/>
              <w:ind w:firstLine="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2715" w:type="dxa"/>
            <w:vMerge w:val="restart"/>
            <w:noWrap w:val="0"/>
            <w:tcMar>
              <w:left w:w="113" w:type="dxa"/>
              <w:right w:w="113" w:type="dxa"/>
            </w:tcMar>
            <w:vAlign w:val="center"/>
          </w:tcPr>
          <w:p>
            <w:pPr>
              <w:spacing w:line="240" w:lineRule="atLeast"/>
              <w:ind w:firstLine="0"/>
              <w:jc w:val="center"/>
              <w:rPr>
                <w:rFonts w:hint="default" w:ascii="Times New Roman" w:hAnsi="Times New Roman" w:eastAsia="宋体" w:cs="Times New Roman"/>
                <w:color w:val="000000"/>
                <w:sz w:val="21"/>
                <w:szCs w:val="22"/>
              </w:rPr>
            </w:pPr>
            <w:r>
              <w:rPr>
                <w:rFonts w:hint="eastAsia" w:ascii="Times New Roman" w:hAnsi="Times New Roman" w:eastAsia="宋体" w:cs="Times New Roman"/>
                <w:color w:val="000000"/>
                <w:sz w:val="21"/>
                <w:szCs w:val="22"/>
                <w:lang w:val="en-US" w:eastAsia="zh-CN"/>
              </w:rPr>
              <w:t>甲醛、</w:t>
            </w:r>
            <w:r>
              <w:rPr>
                <w:rFonts w:hint="default" w:ascii="Times New Roman" w:hAnsi="Times New Roman" w:eastAsia="宋体" w:cs="Times New Roman"/>
                <w:color w:val="000000"/>
                <w:sz w:val="21"/>
                <w:szCs w:val="22"/>
              </w:rPr>
              <w:t>非甲烷总烃企业边界污染物浓度按照</w:t>
            </w:r>
            <w:r>
              <w:rPr>
                <w:rFonts w:hint="default" w:ascii="Times New Roman" w:hAnsi="Times New Roman" w:eastAsia="宋体" w:cs="Times New Roman"/>
                <w:color w:val="000000"/>
                <w:sz w:val="21"/>
                <w:szCs w:val="21"/>
              </w:rPr>
              <w:t>DB35/1782-2018《工业企业挥发性有机物排放标准》</w:t>
            </w:r>
            <w:r>
              <w:rPr>
                <w:rFonts w:hint="eastAsia" w:ascii="Times New Roman" w:hAnsi="Times New Roman" w:eastAsia="宋体" w:cs="Times New Roman"/>
                <w:color w:val="000000"/>
                <w:sz w:val="21"/>
                <w:szCs w:val="21"/>
                <w:lang w:val="en-US" w:eastAsia="zh-CN"/>
              </w:rPr>
              <w:t>表3</w:t>
            </w:r>
            <w:r>
              <w:rPr>
                <w:rFonts w:hint="default" w:ascii="Times New Roman" w:hAnsi="Times New Roman" w:eastAsia="宋体" w:cs="Times New Roman"/>
                <w:color w:val="000000"/>
                <w:sz w:val="21"/>
                <w:szCs w:val="22"/>
                <w:lang w:val="en-GB"/>
              </w:rPr>
              <w:t>；</w:t>
            </w:r>
            <w:r>
              <w:rPr>
                <w:rFonts w:hint="default" w:ascii="Times New Roman" w:hAnsi="Times New Roman" w:eastAsia="宋体" w:cs="Times New Roman"/>
                <w:color w:val="000000"/>
                <w:sz w:val="21"/>
                <w:szCs w:val="21"/>
              </w:rPr>
              <w:t>颗粒物、氮氧化物执行GB16297-1996《大气污染物综合排放标准》表2</w:t>
            </w:r>
            <w:r>
              <w:rPr>
                <w:rFonts w:hint="default" w:ascii="Times New Roman" w:hAnsi="Times New Roman" w:eastAsia="宋体" w:cs="Times New Roman"/>
                <w:color w:val="000000"/>
                <w:sz w:val="21"/>
                <w:szCs w:val="22"/>
              </w:rPr>
              <w:t>中周界外浓度最高点限值标准；氨气执行《无机化学工业污染物排放标准》（GB31573-2015）表</w:t>
            </w:r>
            <w:r>
              <w:rPr>
                <w:rFonts w:hint="default" w:ascii="Times New Roman" w:hAnsi="Times New Roman" w:eastAsia="宋体" w:cs="Times New Roman"/>
                <w:color w:val="000000"/>
                <w:sz w:val="21"/>
                <w:szCs w:val="22"/>
                <w:lang w:val="en-US" w:eastAsia="zh-CN"/>
              </w:rPr>
              <w:t>5</w:t>
            </w:r>
            <w:r>
              <w:rPr>
                <w:rFonts w:hint="default" w:ascii="Times New Roman" w:hAnsi="Times New Roman" w:eastAsia="宋体" w:cs="Times New Roman"/>
                <w:color w:val="000000"/>
                <w:sz w:val="21"/>
                <w:szCs w:val="22"/>
              </w:rPr>
              <w:t>规定的排放限值；</w:t>
            </w:r>
            <w:r>
              <w:rPr>
                <w:rFonts w:hint="eastAsia" w:ascii="Times New Roman" w:hAnsi="Times New Roman" w:eastAsia="宋体" w:cs="Times New Roman"/>
                <w:color w:val="000000"/>
                <w:sz w:val="21"/>
                <w:szCs w:val="22"/>
                <w:lang w:val="en-US" w:eastAsia="zh-CN"/>
              </w:rPr>
              <w:t>非甲烷总烃</w:t>
            </w:r>
            <w:r>
              <w:rPr>
                <w:rFonts w:hint="default" w:ascii="Times New Roman" w:hAnsi="Times New Roman" w:eastAsia="宋体" w:cs="Times New Roman"/>
                <w:color w:val="000000"/>
                <w:sz w:val="21"/>
                <w:szCs w:val="22"/>
              </w:rPr>
              <w:t>厂区内监控点执行</w:t>
            </w:r>
            <w:r>
              <w:rPr>
                <w:rFonts w:hint="default" w:ascii="Times New Roman" w:hAnsi="Times New Roman" w:eastAsia="宋体" w:cs="Times New Roman"/>
                <w:color w:val="000000"/>
                <w:sz w:val="21"/>
                <w:szCs w:val="22"/>
                <w:lang w:val="en-GB"/>
              </w:rPr>
              <w:t>《GB37822-2019挥发性有机物无组织排放控制标准》附录A的表A.1</w:t>
            </w:r>
            <w:r>
              <w:rPr>
                <w:rFonts w:hint="default" w:ascii="Times New Roman" w:hAnsi="Times New Roman" w:eastAsia="宋体" w:cs="Times New Roman"/>
                <w:color w:val="000000"/>
                <w:sz w:val="21"/>
                <w:szCs w:val="22"/>
              </w:rPr>
              <w:t>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836" w:hRule="atLeast"/>
          <w:jc w:val="center"/>
        </w:trPr>
        <w:tc>
          <w:tcPr>
            <w:vMerge w:val="continue"/>
            <w:noWrap w:val="0"/>
            <w:tcMar>
              <w:left w:w="113" w:type="dxa"/>
              <w:right w:w="113" w:type="dxa"/>
            </w:tcMar>
          </w:tcPr>
          <w:p/>
        </w:tc>
        <w:tc>
          <w:tcPr>
            <w:gridSpan w:val="2"/>
            <w:vMerge w:val="continue"/>
            <w:noWrap w:val="0"/>
          </w:tcPr>
          <w:p/>
        </w:tc>
        <w:tc>
          <w:tcPr>
            <w:tcW w:w="851"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eastAsia="zh-CN" w:bidi="ar"/>
              </w:rPr>
            </w:pPr>
            <w:r>
              <w:rPr>
                <w:rFonts w:hint="default" w:ascii="Times New Roman" w:hAnsi="Times New Roman" w:eastAsia="宋体" w:cs="Times New Roman"/>
                <w:color w:val="auto"/>
                <w:sz w:val="21"/>
                <w:szCs w:val="21"/>
                <w:lang w:val="en-US" w:eastAsia="zh-CN" w:bidi="ar"/>
              </w:rPr>
              <w:t>氮氧化物</w:t>
            </w:r>
          </w:p>
        </w:tc>
        <w:tc>
          <w:tcPr>
            <w:tcW w:w="984"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rPr>
              <w:t>/</w:t>
            </w:r>
          </w:p>
        </w:tc>
        <w:tc>
          <w:tcPr>
            <w:tcW w:w="1009"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kern w:val="0"/>
                <w:sz w:val="21"/>
                <w:szCs w:val="21"/>
                <w:lang w:bidi="ar"/>
              </w:rPr>
              <w:t>0.</w:t>
            </w:r>
            <w:r>
              <w:rPr>
                <w:rFonts w:hint="eastAsia" w:ascii="Times New Roman" w:hAnsi="Times New Roman" w:eastAsia="宋体" w:cs="Times New Roman"/>
                <w:color w:val="auto"/>
                <w:kern w:val="0"/>
                <w:sz w:val="21"/>
                <w:szCs w:val="21"/>
                <w:lang w:val="en-US" w:eastAsia="zh-CN" w:bidi="ar"/>
              </w:rPr>
              <w:t>06</w:t>
            </w:r>
          </w:p>
        </w:tc>
        <w:tc>
          <w:tcPr>
            <w:tcW w:w="831"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kern w:val="0"/>
                <w:sz w:val="21"/>
                <w:szCs w:val="21"/>
                <w:lang w:bidi="ar"/>
              </w:rPr>
              <w:t>0.333</w:t>
            </w:r>
          </w:p>
        </w:tc>
        <w:tc>
          <w:tcPr>
            <w:gridSpan w:val="2"/>
            <w:vMerge w:val="continue"/>
            <w:noWrap w:val="0"/>
          </w:tcPr>
          <w:p/>
        </w:tc>
        <w:tc>
          <w:tcPr>
            <w:vMerge w:val="continue"/>
            <w:noWrap w:val="0"/>
          </w:tcPr>
          <w:p/>
        </w:tc>
        <w:tc>
          <w:tcPr>
            <w:tcW w:w="985"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0.12</w:t>
            </w:r>
          </w:p>
        </w:tc>
        <w:tc>
          <w:tcPr>
            <w:tcW w:w="958"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836" w:hRule="atLeast"/>
          <w:jc w:val="center"/>
        </w:trPr>
        <w:tc>
          <w:tcPr>
            <w:vMerge w:val="continue"/>
            <w:noWrap w:val="0"/>
            <w:tcMar>
              <w:left w:w="113" w:type="dxa"/>
              <w:right w:w="113" w:type="dxa"/>
            </w:tcMar>
          </w:tcPr>
          <w:p/>
        </w:tc>
        <w:tc>
          <w:tcPr>
            <w:gridSpan w:val="2"/>
            <w:vMerge w:val="continue"/>
            <w:noWrap w:val="0"/>
          </w:tcPr>
          <w:p/>
        </w:tc>
        <w:tc>
          <w:tcPr>
            <w:tcW w:w="851"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氨气</w:t>
            </w:r>
          </w:p>
        </w:tc>
        <w:tc>
          <w:tcPr>
            <w:tcW w:w="984"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rPr>
              <w:t>/</w:t>
            </w:r>
          </w:p>
        </w:tc>
        <w:tc>
          <w:tcPr>
            <w:tcW w:w="1009" w:type="dxa"/>
            <w:noWrap w:val="0"/>
            <w:vAlign w:val="center"/>
          </w:tcPr>
          <w:p>
            <w:pPr>
              <w:widowControl/>
              <w:spacing w:line="300" w:lineRule="exact"/>
              <w:ind w:firstLine="0"/>
              <w:jc w:val="center"/>
              <w:textAlignment w:val="center"/>
              <w:rPr>
                <w:rFonts w:hint="eastAsia" w:ascii="Times New Roman" w:hAnsi="Times New Roman" w:eastAsia="宋体" w:cs="Times New Roman"/>
                <w:color w:val="auto"/>
                <w:sz w:val="21"/>
                <w:szCs w:val="21"/>
                <w:lang w:eastAsia="zh-CN" w:bidi="ar"/>
              </w:rPr>
            </w:pPr>
            <w:r>
              <w:rPr>
                <w:rFonts w:hint="default" w:ascii="Times New Roman" w:hAnsi="Times New Roman" w:eastAsia="宋体" w:cs="Times New Roman"/>
                <w:color w:val="auto"/>
                <w:kern w:val="0"/>
                <w:sz w:val="21"/>
                <w:szCs w:val="21"/>
                <w:lang w:bidi="ar"/>
              </w:rPr>
              <w:t>0.0</w:t>
            </w:r>
            <w:r>
              <w:rPr>
                <w:rFonts w:hint="eastAsia" w:ascii="Times New Roman" w:hAnsi="Times New Roman" w:eastAsia="宋体" w:cs="Times New Roman"/>
                <w:color w:val="auto"/>
                <w:kern w:val="0"/>
                <w:sz w:val="21"/>
                <w:szCs w:val="21"/>
                <w:lang w:val="en-US" w:eastAsia="zh-CN" w:bidi="ar"/>
              </w:rPr>
              <w:t>05</w:t>
            </w:r>
          </w:p>
        </w:tc>
        <w:tc>
          <w:tcPr>
            <w:tcW w:w="831"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val="en-US" w:eastAsia="zh-CN" w:bidi="ar"/>
              </w:rPr>
            </w:pPr>
            <w:r>
              <w:rPr>
                <w:rFonts w:hint="default" w:ascii="Times New Roman" w:hAnsi="Times New Roman" w:eastAsia="宋体" w:cs="Times New Roman"/>
                <w:color w:val="auto"/>
                <w:kern w:val="0"/>
                <w:sz w:val="21"/>
                <w:szCs w:val="21"/>
                <w:lang w:bidi="ar"/>
              </w:rPr>
              <w:t>0.0</w:t>
            </w:r>
            <w:r>
              <w:rPr>
                <w:rFonts w:hint="eastAsia" w:ascii="Times New Roman" w:hAnsi="Times New Roman" w:eastAsia="宋体" w:cs="Times New Roman"/>
                <w:color w:val="auto"/>
                <w:kern w:val="0"/>
                <w:sz w:val="21"/>
                <w:szCs w:val="21"/>
                <w:lang w:val="en-US" w:eastAsia="zh-CN" w:bidi="ar"/>
              </w:rPr>
              <w:t>25</w:t>
            </w:r>
          </w:p>
        </w:tc>
        <w:tc>
          <w:tcPr>
            <w:gridSpan w:val="2"/>
            <w:vMerge w:val="continue"/>
            <w:noWrap w:val="0"/>
          </w:tcPr>
          <w:p/>
        </w:tc>
        <w:tc>
          <w:tcPr>
            <w:vMerge w:val="continue"/>
            <w:noWrap w:val="0"/>
          </w:tcPr>
          <w:p/>
        </w:tc>
        <w:tc>
          <w:tcPr>
            <w:tcW w:w="985" w:type="dxa"/>
            <w:noWrap w:val="0"/>
            <w:vAlign w:val="center"/>
          </w:tcPr>
          <w:p>
            <w:pPr>
              <w:spacing w:line="240" w:lineRule="atLeast"/>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w:t>
            </w:r>
          </w:p>
        </w:tc>
        <w:tc>
          <w:tcPr>
            <w:tcW w:w="958"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836" w:hRule="atLeast"/>
          <w:jc w:val="center"/>
        </w:trPr>
        <w:tc>
          <w:tcPr>
            <w:vMerge w:val="continue"/>
            <w:noWrap w:val="0"/>
            <w:tcMar>
              <w:left w:w="113" w:type="dxa"/>
              <w:right w:w="113" w:type="dxa"/>
            </w:tcMar>
          </w:tcPr>
          <w:p/>
        </w:tc>
        <w:tc>
          <w:tcPr>
            <w:gridSpan w:val="2"/>
            <w:vMerge w:val="continue"/>
            <w:noWrap w:val="0"/>
          </w:tcPr>
          <w:p/>
        </w:tc>
        <w:tc>
          <w:tcPr>
            <w:tcW w:w="851"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甲醛</w:t>
            </w:r>
          </w:p>
        </w:tc>
        <w:tc>
          <w:tcPr>
            <w:tcW w:w="984"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rPr>
              <w:t>/</w:t>
            </w:r>
          </w:p>
        </w:tc>
        <w:tc>
          <w:tcPr>
            <w:tcW w:w="1009" w:type="dxa"/>
            <w:noWrap w:val="0"/>
            <w:vAlign w:val="center"/>
          </w:tcPr>
          <w:p>
            <w:pPr>
              <w:widowControl/>
              <w:spacing w:line="300" w:lineRule="exact"/>
              <w:ind w:firstLine="0"/>
              <w:jc w:val="center"/>
              <w:textAlignment w:val="center"/>
              <w:rPr>
                <w:rFonts w:hint="eastAsia" w:ascii="Times New Roman" w:hAnsi="Times New Roman" w:eastAsia="宋体" w:cs="Times New Roman"/>
                <w:color w:val="auto"/>
                <w:sz w:val="21"/>
                <w:szCs w:val="21"/>
                <w:lang w:eastAsia="zh-CN" w:bidi="ar"/>
              </w:rPr>
            </w:pPr>
            <w:r>
              <w:rPr>
                <w:rFonts w:hint="default" w:ascii="Times New Roman" w:hAnsi="Times New Roman" w:eastAsia="宋体" w:cs="Times New Roman"/>
                <w:color w:val="auto"/>
                <w:kern w:val="0"/>
                <w:sz w:val="21"/>
                <w:szCs w:val="21"/>
                <w:lang w:bidi="ar"/>
              </w:rPr>
              <w:t>0.000</w:t>
            </w:r>
            <w:r>
              <w:rPr>
                <w:rFonts w:hint="eastAsia" w:ascii="Times New Roman" w:hAnsi="Times New Roman" w:eastAsia="宋体" w:cs="Times New Roman"/>
                <w:color w:val="auto"/>
                <w:kern w:val="0"/>
                <w:sz w:val="21"/>
                <w:szCs w:val="21"/>
                <w:lang w:val="en-US" w:eastAsia="zh-CN" w:bidi="ar"/>
              </w:rPr>
              <w:t>2</w:t>
            </w:r>
          </w:p>
        </w:tc>
        <w:tc>
          <w:tcPr>
            <w:tcW w:w="831"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kern w:val="0"/>
                <w:sz w:val="21"/>
                <w:szCs w:val="21"/>
                <w:lang w:bidi="ar"/>
              </w:rPr>
              <w:t>0.001</w:t>
            </w:r>
          </w:p>
        </w:tc>
        <w:tc>
          <w:tcPr>
            <w:gridSpan w:val="2"/>
            <w:vMerge w:val="continue"/>
            <w:noWrap w:val="0"/>
          </w:tcPr>
          <w:p/>
        </w:tc>
        <w:tc>
          <w:tcPr>
            <w:vMerge w:val="continue"/>
            <w:noWrap w:val="0"/>
          </w:tcPr>
          <w:p/>
        </w:tc>
        <w:tc>
          <w:tcPr>
            <w:tcW w:w="985"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w:t>
            </w:r>
          </w:p>
        </w:tc>
        <w:tc>
          <w:tcPr>
            <w:tcW w:w="958"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836" w:hRule="atLeast"/>
          <w:jc w:val="center"/>
        </w:trPr>
        <w:tc>
          <w:tcPr>
            <w:vMerge w:val="continue"/>
            <w:noWrap w:val="0"/>
            <w:tcMar>
              <w:left w:w="113" w:type="dxa"/>
              <w:right w:w="113" w:type="dxa"/>
            </w:tcMar>
          </w:tcPr>
          <w:p/>
        </w:tc>
        <w:tc>
          <w:tcPr>
            <w:gridSpan w:val="2"/>
            <w:vMerge w:val="continue"/>
            <w:noWrap w:val="0"/>
          </w:tcPr>
          <w:p/>
        </w:tc>
        <w:tc>
          <w:tcPr>
            <w:tcW w:w="851"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kern w:val="0"/>
                <w:sz w:val="21"/>
                <w:szCs w:val="21"/>
              </w:rPr>
              <w:t>非甲烷总烃</w:t>
            </w:r>
          </w:p>
        </w:tc>
        <w:tc>
          <w:tcPr>
            <w:tcW w:w="984"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rPr>
              <w:t>/</w:t>
            </w:r>
          </w:p>
        </w:tc>
        <w:tc>
          <w:tcPr>
            <w:tcW w:w="1009" w:type="dxa"/>
            <w:noWrap w:val="0"/>
            <w:vAlign w:val="center"/>
          </w:tcPr>
          <w:p>
            <w:pPr>
              <w:widowControl/>
              <w:spacing w:line="300" w:lineRule="exact"/>
              <w:ind w:firstLine="0"/>
              <w:jc w:val="center"/>
              <w:textAlignment w:val="center"/>
              <w:rPr>
                <w:rFonts w:hint="eastAsia" w:ascii="Times New Roman" w:hAnsi="Times New Roman" w:eastAsia="宋体" w:cs="Times New Roman"/>
                <w:color w:val="auto"/>
                <w:sz w:val="21"/>
                <w:szCs w:val="21"/>
                <w:lang w:val="en-US" w:eastAsia="zh-CN" w:bidi="ar"/>
              </w:rPr>
            </w:pPr>
            <w:r>
              <w:rPr>
                <w:rFonts w:hint="default" w:ascii="Times New Roman" w:hAnsi="Times New Roman" w:eastAsia="宋体" w:cs="Times New Roman"/>
                <w:color w:val="auto"/>
                <w:kern w:val="0"/>
                <w:sz w:val="21"/>
                <w:szCs w:val="21"/>
                <w:lang w:bidi="ar"/>
              </w:rPr>
              <w:t>0.00</w:t>
            </w:r>
            <w:r>
              <w:rPr>
                <w:rFonts w:hint="eastAsia" w:ascii="Times New Roman" w:hAnsi="Times New Roman" w:eastAsia="宋体" w:cs="Times New Roman"/>
                <w:color w:val="auto"/>
                <w:kern w:val="0"/>
                <w:sz w:val="21"/>
                <w:szCs w:val="21"/>
                <w:lang w:val="en-US" w:eastAsia="zh-CN" w:bidi="ar"/>
              </w:rPr>
              <w:t>5</w:t>
            </w:r>
          </w:p>
        </w:tc>
        <w:tc>
          <w:tcPr>
            <w:tcW w:w="831"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kern w:val="0"/>
                <w:sz w:val="21"/>
                <w:szCs w:val="21"/>
                <w:lang w:bidi="ar"/>
              </w:rPr>
              <w:t>0.009</w:t>
            </w:r>
          </w:p>
        </w:tc>
        <w:tc>
          <w:tcPr>
            <w:gridSpan w:val="2"/>
            <w:vMerge w:val="continue"/>
            <w:noWrap w:val="0"/>
          </w:tcPr>
          <w:p/>
        </w:tc>
        <w:tc>
          <w:tcPr>
            <w:vMerge w:val="continue"/>
            <w:noWrap w:val="0"/>
          </w:tcPr>
          <w:p/>
        </w:tc>
        <w:tc>
          <w:tcPr>
            <w:tcW w:w="985"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958"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836" w:hRule="atLeast"/>
          <w:jc w:val="center"/>
        </w:trPr>
        <w:tc>
          <w:tcPr>
            <w:vMerge w:val="continue"/>
            <w:noWrap w:val="0"/>
            <w:tcMar>
              <w:left w:w="113" w:type="dxa"/>
              <w:right w:w="113" w:type="dxa"/>
            </w:tcMar>
          </w:tcPr>
          <w:p/>
        </w:tc>
        <w:tc>
          <w:tcPr>
            <w:tcW w:w="1073" w:type="dxa"/>
            <w:gridSpan w:val="2"/>
            <w:vMerge w:val="restart"/>
            <w:noWrap w:val="0"/>
            <w:vAlign w:val="center"/>
          </w:tcPr>
          <w:p>
            <w:pPr>
              <w:spacing w:line="240" w:lineRule="atLeast"/>
              <w:ind w:firstLine="0"/>
              <w:jc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污水站</w:t>
            </w:r>
          </w:p>
        </w:tc>
        <w:tc>
          <w:tcPr>
            <w:tcW w:w="851"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氨</w:t>
            </w:r>
          </w:p>
        </w:tc>
        <w:tc>
          <w:tcPr>
            <w:tcW w:w="984"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09" w:type="dxa"/>
            <w:noWrap w:val="0"/>
            <w:vAlign w:val="center"/>
          </w:tcPr>
          <w:p>
            <w:pPr>
              <w:widowControl/>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0.037</w:t>
            </w:r>
          </w:p>
        </w:tc>
        <w:tc>
          <w:tcPr>
            <w:tcW w:w="831" w:type="dxa"/>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0.267</w:t>
            </w:r>
          </w:p>
        </w:tc>
        <w:tc>
          <w:tcPr>
            <w:tcW w:w="2330" w:type="dxa"/>
            <w:gridSpan w:val="2"/>
            <w:vMerge w:val="restart"/>
            <w:noWrap w:val="0"/>
            <w:vAlign w:val="center"/>
          </w:tcPr>
          <w:p>
            <w:pPr>
              <w:widowControl/>
              <w:spacing w:line="240" w:lineRule="auto"/>
              <w:ind w:firstLine="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GB"/>
              </w:rPr>
              <w:t>加盖封闭、局部隔离，负压抽吸</w:t>
            </w:r>
          </w:p>
        </w:tc>
        <w:tc>
          <w:tcPr>
            <w:tcW w:w="806" w:type="dxa"/>
            <w:vMerge w:val="restart"/>
            <w:noWrap w:val="0"/>
            <w:vAlign w:val="center"/>
          </w:tcPr>
          <w:p>
            <w:pPr>
              <w:spacing w:after="120" w:line="240" w:lineRule="auto"/>
              <w:ind w:firstLine="0"/>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1"/>
              </w:rPr>
              <w:t>长33m，宽30m，高5m</w:t>
            </w:r>
          </w:p>
        </w:tc>
        <w:tc>
          <w:tcPr>
            <w:tcW w:w="985"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958"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836" w:hRule="atLeast"/>
          <w:jc w:val="center"/>
        </w:trPr>
        <w:tc>
          <w:tcPr>
            <w:vMerge w:val="continue"/>
            <w:noWrap w:val="0"/>
            <w:tcMar>
              <w:left w:w="113" w:type="dxa"/>
              <w:right w:w="113" w:type="dxa"/>
            </w:tcMar>
          </w:tcPr>
          <w:p/>
        </w:tc>
        <w:tc>
          <w:tcPr>
            <w:gridSpan w:val="2"/>
            <w:vMerge w:val="continue"/>
            <w:noWrap w:val="0"/>
          </w:tcPr>
          <w:p/>
        </w:tc>
        <w:tc>
          <w:tcPr>
            <w:tcW w:w="851"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kern w:val="0"/>
                <w:sz w:val="21"/>
                <w:szCs w:val="21"/>
              </w:rPr>
              <w:t>非甲烷总烃</w:t>
            </w:r>
          </w:p>
        </w:tc>
        <w:tc>
          <w:tcPr>
            <w:tcW w:w="984"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09" w:type="dxa"/>
            <w:noWrap w:val="0"/>
            <w:vAlign w:val="center"/>
          </w:tcPr>
          <w:p>
            <w:pPr>
              <w:spacing w:line="300" w:lineRule="exact"/>
              <w:ind w:firstLine="0"/>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0.00</w:t>
            </w:r>
            <w:r>
              <w:rPr>
                <w:rFonts w:hint="eastAsia" w:ascii="Times New Roman" w:hAnsi="Times New Roman" w:eastAsia="宋体" w:cs="Times New Roman"/>
                <w:color w:val="auto"/>
                <w:sz w:val="21"/>
                <w:szCs w:val="21"/>
                <w:lang w:val="en-US" w:eastAsia="zh-CN"/>
              </w:rPr>
              <w:t>5</w:t>
            </w:r>
          </w:p>
        </w:tc>
        <w:tc>
          <w:tcPr>
            <w:tcW w:w="831" w:type="dxa"/>
            <w:noWrap w:val="0"/>
            <w:vAlign w:val="center"/>
          </w:tcPr>
          <w:p>
            <w:pPr>
              <w:widowControl/>
              <w:spacing w:line="300" w:lineRule="exact"/>
              <w:ind w:firstLine="0"/>
              <w:jc w:val="center"/>
              <w:textAlignment w:val="center"/>
              <w:rPr>
                <w:rFonts w:hint="eastAsia" w:ascii="Times New Roman" w:hAnsi="Times New Roman" w:eastAsia="宋体" w:cs="Times New Roman"/>
                <w:color w:val="auto"/>
                <w:sz w:val="21"/>
                <w:szCs w:val="21"/>
                <w:lang w:eastAsia="zh-CN" w:bidi="ar"/>
              </w:rPr>
            </w:pPr>
            <w:r>
              <w:rPr>
                <w:rFonts w:hint="default" w:ascii="Times New Roman" w:hAnsi="Times New Roman" w:eastAsia="宋体" w:cs="Times New Roman"/>
                <w:color w:val="auto"/>
                <w:sz w:val="21"/>
                <w:szCs w:val="21"/>
                <w:lang w:bidi="ar"/>
              </w:rPr>
              <w:t>0.03</w:t>
            </w:r>
            <w:r>
              <w:rPr>
                <w:rFonts w:hint="eastAsia" w:ascii="Times New Roman" w:hAnsi="Times New Roman" w:eastAsia="宋体" w:cs="Times New Roman"/>
                <w:color w:val="auto"/>
                <w:sz w:val="21"/>
                <w:szCs w:val="21"/>
                <w:lang w:val="en-US" w:eastAsia="zh-CN" w:bidi="ar"/>
              </w:rPr>
              <w:t>4</w:t>
            </w:r>
          </w:p>
        </w:tc>
        <w:tc>
          <w:tcPr>
            <w:gridSpan w:val="2"/>
            <w:vMerge w:val="continue"/>
            <w:noWrap w:val="0"/>
          </w:tcPr>
          <w:p/>
        </w:tc>
        <w:tc>
          <w:tcPr>
            <w:vMerge w:val="continue"/>
            <w:noWrap w:val="0"/>
          </w:tcPr>
          <w:p/>
        </w:tc>
        <w:tc>
          <w:tcPr>
            <w:tcW w:w="985"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958"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tcW w:w="405" w:type="dxa"/>
            <w:noWrap w:val="0"/>
            <w:tcMar>
              <w:left w:w="113" w:type="dxa"/>
              <w:right w:w="113" w:type="dxa"/>
            </w:tcMar>
            <w:vAlign w:val="center"/>
          </w:tcPr>
          <w:p>
            <w:pPr>
              <w:adjustRightInd w:val="0"/>
              <w:snapToGrid w:val="0"/>
              <w:spacing w:line="240" w:lineRule="atLeast"/>
              <w:ind w:firstLine="0"/>
              <w:jc w:val="center"/>
              <w:textAlignment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类别</w:t>
            </w:r>
          </w:p>
        </w:tc>
        <w:tc>
          <w:tcPr>
            <w:tcW w:w="1073" w:type="dxa"/>
            <w:gridSpan w:val="2"/>
            <w:noWrap w:val="0"/>
            <w:vAlign w:val="center"/>
          </w:tcPr>
          <w:p>
            <w:pPr>
              <w:spacing w:line="240" w:lineRule="atLeast"/>
              <w:ind w:firstLine="0"/>
              <w:jc w:val="center"/>
              <w:rPr>
                <w:rFonts w:hint="default" w:ascii="Times New Roman" w:hAnsi="Times New Roman" w:eastAsia="宋体" w:cs="Times New Roman"/>
                <w:bCs/>
                <w:color w:val="auto"/>
                <w:sz w:val="21"/>
                <w:szCs w:val="21"/>
                <w:lang w:bidi="ar"/>
              </w:rPr>
            </w:pPr>
            <w:r>
              <w:rPr>
                <w:rFonts w:hint="default" w:ascii="Times New Roman" w:hAnsi="Times New Roman" w:eastAsia="宋体" w:cs="Times New Roman"/>
                <w:bCs/>
                <w:color w:val="auto"/>
                <w:sz w:val="21"/>
                <w:szCs w:val="21"/>
                <w:lang w:bidi="ar"/>
              </w:rPr>
              <w:t>项目</w:t>
            </w:r>
          </w:p>
        </w:tc>
        <w:tc>
          <w:tcPr>
            <w:tcW w:w="851" w:type="dxa"/>
            <w:noWrap w:val="0"/>
            <w:vAlign w:val="center"/>
          </w:tcPr>
          <w:p>
            <w:pPr>
              <w:spacing w:line="240" w:lineRule="atLeast"/>
              <w:ind w:firstLine="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水量（t/a）</w:t>
            </w: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bCs/>
                <w:color w:val="auto"/>
                <w:sz w:val="21"/>
                <w:szCs w:val="21"/>
                <w:lang w:bidi="ar"/>
              </w:rPr>
            </w:pPr>
            <w:r>
              <w:rPr>
                <w:rFonts w:hint="default" w:ascii="Times New Roman" w:hAnsi="Times New Roman" w:eastAsia="宋体" w:cs="Times New Roman"/>
                <w:bCs/>
                <w:color w:val="auto"/>
                <w:sz w:val="21"/>
                <w:szCs w:val="21"/>
                <w:lang w:bidi="ar"/>
              </w:rPr>
              <w:t>主要污染物</w:t>
            </w:r>
          </w:p>
        </w:tc>
        <w:tc>
          <w:tcPr>
            <w:tcW w:w="984"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排放浓度（mg/L）</w:t>
            </w:r>
          </w:p>
        </w:tc>
        <w:tc>
          <w:tcPr>
            <w:tcW w:w="1009" w:type="dxa"/>
            <w:noWrap w:val="0"/>
            <w:vAlign w:val="center"/>
          </w:tcPr>
          <w:p>
            <w:pPr>
              <w:widowControl/>
              <w:spacing w:line="240" w:lineRule="auto"/>
              <w:ind w:firstLine="0"/>
              <w:jc w:val="center"/>
              <w:textAlignment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排放量</w:t>
            </w:r>
          </w:p>
          <w:p>
            <w:pPr>
              <w:widowControl/>
              <w:spacing w:line="240" w:lineRule="auto"/>
              <w:ind w:firstLine="0"/>
              <w:jc w:val="center"/>
              <w:textAlignment w:val="center"/>
              <w:rPr>
                <w:rFonts w:hint="default" w:ascii="Times New Roman" w:hAnsi="Times New Roman" w:eastAsia="宋体" w:cs="Times New Roman"/>
                <w:bCs/>
                <w:color w:val="auto"/>
                <w:sz w:val="21"/>
                <w:szCs w:val="22"/>
              </w:rPr>
            </w:pPr>
            <w:r>
              <w:rPr>
                <w:rFonts w:hint="default" w:ascii="Times New Roman" w:hAnsi="Times New Roman" w:eastAsia="宋体" w:cs="Times New Roman"/>
                <w:bCs/>
                <w:color w:val="auto"/>
                <w:sz w:val="21"/>
                <w:szCs w:val="21"/>
              </w:rPr>
              <w:t>（t/a）</w:t>
            </w:r>
          </w:p>
        </w:tc>
        <w:tc>
          <w:tcPr>
            <w:tcW w:w="3161" w:type="dxa"/>
            <w:gridSpan w:val="3"/>
            <w:noWrap w:val="0"/>
            <w:vAlign w:val="center"/>
          </w:tcPr>
          <w:p>
            <w:pPr>
              <w:widowControl/>
              <w:spacing w:line="240" w:lineRule="auto"/>
              <w:ind w:firstLine="0"/>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措施</w:t>
            </w:r>
          </w:p>
        </w:tc>
        <w:tc>
          <w:tcPr>
            <w:tcW w:w="1791"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排污口信息</w:t>
            </w:r>
          </w:p>
        </w:tc>
        <w:tc>
          <w:tcPr>
            <w:tcW w:w="958" w:type="dxa"/>
            <w:noWrap w:val="0"/>
            <w:vAlign w:val="center"/>
          </w:tcPr>
          <w:p>
            <w:pPr>
              <w:widowControl/>
              <w:spacing w:line="240" w:lineRule="auto"/>
              <w:ind w:firstLine="0"/>
              <w:jc w:val="center"/>
              <w:textAlignment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排放标准</w:t>
            </w:r>
          </w:p>
          <w:p>
            <w:pPr>
              <w:widowControl/>
              <w:spacing w:line="240" w:lineRule="auto"/>
              <w:ind w:firstLine="0"/>
              <w:jc w:val="center"/>
              <w:textAlignment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（mg/L）</w:t>
            </w:r>
          </w:p>
        </w:tc>
        <w:tc>
          <w:tcPr>
            <w:tcW w:w="2715" w:type="dxa"/>
            <w:noWrap w:val="0"/>
            <w:tcMar>
              <w:left w:w="113" w:type="dxa"/>
              <w:right w:w="113" w:type="dxa"/>
            </w:tcMar>
            <w:vAlign w:val="center"/>
          </w:tcPr>
          <w:p>
            <w:pPr>
              <w:spacing w:line="240" w:lineRule="atLeast"/>
              <w:ind w:firstLine="0"/>
              <w:jc w:val="center"/>
              <w:rPr>
                <w:rFonts w:hint="default" w:ascii="Times New Roman" w:hAnsi="Times New Roman" w:eastAsia="宋体" w:cs="Times New Roman"/>
                <w:bCs/>
                <w:color w:val="000000"/>
                <w:sz w:val="21"/>
                <w:szCs w:val="22"/>
              </w:rPr>
            </w:pPr>
            <w:r>
              <w:rPr>
                <w:rFonts w:hint="default" w:ascii="Times New Roman" w:hAnsi="Times New Roman" w:eastAsia="宋体" w:cs="Times New Roman"/>
                <w:bCs/>
                <w:color w:val="000000"/>
                <w:sz w:val="21"/>
                <w:szCs w:val="22"/>
              </w:rPr>
              <w:t>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tcW w:w="405" w:type="dxa"/>
            <w:vMerge w:val="restart"/>
            <w:noWrap w:val="0"/>
            <w:tcMar>
              <w:left w:w="113" w:type="dxa"/>
              <w:right w:w="113" w:type="dxa"/>
            </w:tcMar>
            <w:vAlign w:val="center"/>
          </w:tcPr>
          <w:p>
            <w:pPr>
              <w:adjustRightInd w:val="0"/>
              <w:snapToGrid w:val="0"/>
              <w:spacing w:line="240" w:lineRule="atLeast"/>
              <w:ind w:firstLine="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废水</w:t>
            </w:r>
          </w:p>
        </w:tc>
        <w:tc>
          <w:tcPr>
            <w:tcW w:w="1073" w:type="dxa"/>
            <w:gridSpan w:val="2"/>
            <w:vMerge w:val="restart"/>
            <w:noWrap w:val="0"/>
            <w:vAlign w:val="center"/>
          </w:tcPr>
          <w:p>
            <w:pPr>
              <w:spacing w:line="240" w:lineRule="atLeast"/>
              <w:ind w:firstLine="0"/>
              <w:jc w:val="center"/>
              <w:rPr>
                <w:rFonts w:hint="default" w:ascii="Times New Roman" w:hAnsi="Times New Roman" w:eastAsia="宋体" w:cs="Times New Roman"/>
                <w:color w:val="auto"/>
                <w:sz w:val="21"/>
                <w:szCs w:val="21"/>
                <w:lang w:bidi="ar"/>
              </w:rPr>
            </w:pPr>
            <w:r>
              <w:rPr>
                <w:rFonts w:hint="eastAsia" w:ascii="Times New Roman" w:hAnsi="Times New Roman" w:eastAsia="宋体" w:cs="Times New Roman"/>
                <w:color w:val="auto"/>
                <w:sz w:val="21"/>
                <w:szCs w:val="21"/>
                <w:lang w:val="en-US" w:eastAsia="zh-CN" w:bidi="ar"/>
              </w:rPr>
              <w:t>工业</w:t>
            </w:r>
            <w:r>
              <w:rPr>
                <w:rFonts w:hint="default" w:ascii="Times New Roman" w:hAnsi="Times New Roman" w:eastAsia="宋体" w:cs="Times New Roman"/>
                <w:color w:val="auto"/>
                <w:sz w:val="21"/>
                <w:szCs w:val="21"/>
                <w:lang w:bidi="ar"/>
              </w:rPr>
              <w:t>废水排放口</w:t>
            </w:r>
          </w:p>
          <w:p>
            <w:pPr>
              <w:spacing w:line="240" w:lineRule="atLeast"/>
              <w:ind w:firstLine="0"/>
              <w:jc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b w:val="0"/>
                <w:bCs w:val="0"/>
                <w:color w:val="auto"/>
                <w:kern w:val="0"/>
                <w:sz w:val="21"/>
                <w:szCs w:val="21"/>
                <w:lang w:val="en-US" w:eastAsia="zh-CN" w:bidi="ar"/>
              </w:rPr>
              <w:t>（循环水站</w:t>
            </w:r>
            <w:r>
              <w:rPr>
                <w:rFonts w:hint="eastAsia" w:ascii="Times New Roman" w:hAnsi="Times New Roman" w:eastAsia="宋体" w:cs="Times New Roman"/>
                <w:b w:val="0"/>
                <w:bCs w:val="0"/>
                <w:color w:val="auto"/>
                <w:kern w:val="0"/>
                <w:sz w:val="21"/>
                <w:szCs w:val="21"/>
                <w:lang w:val="en-US" w:eastAsia="zh-CN" w:bidi="ar"/>
              </w:rPr>
              <w:t>间接冷却排水</w:t>
            </w:r>
            <w:r>
              <w:rPr>
                <w:rFonts w:hint="default" w:ascii="Times New Roman" w:hAnsi="Times New Roman" w:eastAsia="宋体" w:cs="Times New Roman"/>
                <w:b w:val="0"/>
                <w:bCs w:val="0"/>
                <w:color w:val="auto"/>
                <w:kern w:val="0"/>
                <w:sz w:val="21"/>
                <w:szCs w:val="21"/>
                <w:lang w:val="en-US" w:eastAsia="zh-CN" w:bidi="ar"/>
              </w:rPr>
              <w:t>、去离子水站排水、初期雨水）</w:t>
            </w:r>
          </w:p>
        </w:tc>
        <w:tc>
          <w:tcPr>
            <w:tcW w:w="851" w:type="dxa"/>
            <w:vMerge w:val="restart"/>
            <w:noWrap w:val="0"/>
            <w:vAlign w:val="center"/>
          </w:tcPr>
          <w:p>
            <w:pPr>
              <w:spacing w:line="240" w:lineRule="atLeast"/>
              <w:ind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33780</w:t>
            </w: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pH（无量纲）</w:t>
            </w:r>
          </w:p>
        </w:tc>
        <w:tc>
          <w:tcPr>
            <w:tcW w:w="984"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6~9</w:t>
            </w:r>
          </w:p>
        </w:tc>
        <w:tc>
          <w:tcPr>
            <w:tcW w:w="100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3161" w:type="dxa"/>
            <w:gridSpan w:val="3"/>
            <w:vMerge w:val="restart"/>
            <w:noWrap w:val="0"/>
            <w:vAlign w:val="center"/>
          </w:tcPr>
          <w:p>
            <w:pPr>
              <w:widowControl/>
              <w:spacing w:line="240" w:lineRule="auto"/>
              <w:ind w:firstLine="0"/>
              <w:jc w:val="both"/>
              <w:rPr>
                <w:rFonts w:hint="eastAsia"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rPr>
              <w:t>①</w:t>
            </w:r>
            <w:r>
              <w:rPr>
                <w:rFonts w:hint="eastAsia" w:ascii="Times New Roman" w:hAnsi="Times New Roman" w:eastAsia="宋体" w:cs="Times New Roman"/>
                <w:color w:val="auto"/>
                <w:kern w:val="0"/>
                <w:sz w:val="21"/>
                <w:szCs w:val="21"/>
                <w:lang w:val="en-US" w:eastAsia="zh-CN"/>
              </w:rPr>
              <w:t>废水经监控池监控pH、COD、氨氮，达标后</w:t>
            </w:r>
            <w:r>
              <w:rPr>
                <w:rFonts w:hint="default" w:ascii="Times New Roman" w:hAnsi="Times New Roman" w:eastAsia="宋体" w:cs="Times New Roman"/>
                <w:color w:val="auto"/>
                <w:kern w:val="0"/>
                <w:sz w:val="21"/>
                <w:szCs w:val="21"/>
              </w:rPr>
              <w:t>排入园区污水处理厂</w:t>
            </w:r>
            <w:r>
              <w:rPr>
                <w:rFonts w:hint="eastAsia" w:ascii="Times New Roman" w:hAnsi="Times New Roman" w:eastAsia="宋体" w:cs="Times New Roman"/>
                <w:color w:val="auto"/>
                <w:kern w:val="0"/>
                <w:sz w:val="21"/>
                <w:szCs w:val="21"/>
                <w:lang w:eastAsia="zh-CN"/>
              </w:rPr>
              <w:t>；</w:t>
            </w:r>
          </w:p>
          <w:p>
            <w:pPr>
              <w:widowControl/>
              <w:spacing w:line="240" w:lineRule="auto"/>
              <w:ind w:firstLine="0"/>
              <w:jc w:val="both"/>
              <w:rPr>
                <w:rFonts w:hint="eastAsia"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val="en-US" w:eastAsia="zh-CN"/>
              </w:rPr>
              <w:t>②雨水监控池设pH、COD监控，后期清净雨水监控达标后排入园区雨水管网。</w:t>
            </w:r>
          </w:p>
        </w:tc>
        <w:tc>
          <w:tcPr>
            <w:tcW w:w="1791" w:type="dxa"/>
            <w:gridSpan w:val="2"/>
            <w:vMerge w:val="restart"/>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58"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6~9</w:t>
            </w:r>
          </w:p>
        </w:tc>
        <w:tc>
          <w:tcPr>
            <w:tcW w:w="2715" w:type="dxa"/>
            <w:vMerge w:val="restart"/>
            <w:noWrap w:val="0"/>
            <w:tcMar>
              <w:left w:w="113" w:type="dxa"/>
              <w:right w:w="113" w:type="dxa"/>
            </w:tcMar>
            <w:vAlign w:val="center"/>
          </w:tcPr>
          <w:p>
            <w:pPr>
              <w:spacing w:line="240" w:lineRule="atLeast"/>
              <w:ind w:firstLine="0"/>
              <w:jc w:val="center"/>
              <w:rPr>
                <w:rFonts w:hint="default" w:ascii="Times New Roman" w:hAnsi="Times New Roman" w:eastAsia="宋体" w:cs="Times New Roman"/>
                <w:color w:val="000000"/>
                <w:sz w:val="21"/>
                <w:szCs w:val="22"/>
                <w:lang w:val="en-US" w:eastAsia="zh-CN"/>
              </w:rPr>
            </w:pPr>
            <w:r>
              <w:rPr>
                <w:rFonts w:hint="eastAsia" w:ascii="Times New Roman" w:hAnsi="Times New Roman" w:eastAsia="宋体" w:cs="Times New Roman"/>
                <w:color w:val="000000"/>
                <w:sz w:val="21"/>
                <w:szCs w:val="22"/>
                <w:lang w:val="en-US" w:eastAsia="zh-CN"/>
              </w:rPr>
              <w:t>GB31573-2015《无机化学工业污染物排放标准》表1（间接排放标准）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vMerge w:val="continue"/>
            <w:noWrap w:val="0"/>
          </w:tcP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COD</w:t>
            </w:r>
          </w:p>
        </w:tc>
        <w:tc>
          <w:tcPr>
            <w:tcW w:w="984"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88.2</w:t>
            </w:r>
          </w:p>
        </w:tc>
        <w:tc>
          <w:tcPr>
            <w:tcW w:w="100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2.979</w:t>
            </w:r>
          </w:p>
        </w:tc>
        <w:tc>
          <w:tcPr>
            <w:gridSpan w:val="3"/>
            <w:vMerge w:val="continue"/>
            <w:noWrap w:val="0"/>
          </w:tcPr>
          <w:p/>
        </w:tc>
        <w:tc>
          <w:tcPr>
            <w:gridSpan w:val="2"/>
            <w:vMerge w:val="continue"/>
            <w:noWrap w:val="0"/>
          </w:tcPr>
          <w:p/>
        </w:tc>
        <w:tc>
          <w:tcPr>
            <w:tcW w:w="958"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500</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vMerge w:val="continue"/>
            <w:noWrap w:val="0"/>
          </w:tcP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eastAsia" w:ascii="Times New Roman" w:hAnsi="Times New Roman" w:eastAsia="宋体" w:cs="Times New Roman"/>
                <w:color w:val="auto"/>
                <w:sz w:val="21"/>
                <w:szCs w:val="21"/>
                <w:lang w:val="en-US" w:eastAsia="zh-CN" w:bidi="ar"/>
              </w:rPr>
              <w:t>氨氮</w:t>
            </w:r>
          </w:p>
        </w:tc>
        <w:tc>
          <w:tcPr>
            <w:tcW w:w="984"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3.2</w:t>
            </w:r>
          </w:p>
        </w:tc>
        <w:tc>
          <w:tcPr>
            <w:tcW w:w="100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0.108</w:t>
            </w:r>
          </w:p>
        </w:tc>
        <w:tc>
          <w:tcPr>
            <w:gridSpan w:val="3"/>
            <w:vMerge w:val="continue"/>
            <w:noWrap w:val="0"/>
          </w:tcPr>
          <w:p/>
        </w:tc>
        <w:tc>
          <w:tcPr>
            <w:gridSpan w:val="2"/>
            <w:vMerge w:val="continue"/>
            <w:noWrap w:val="0"/>
          </w:tcPr>
          <w:p/>
        </w:tc>
        <w:tc>
          <w:tcPr>
            <w:tcW w:w="958" w:type="dxa"/>
            <w:noWrap w:val="0"/>
            <w:vAlign w:val="center"/>
          </w:tcPr>
          <w:p>
            <w:pPr>
              <w:spacing w:line="240" w:lineRule="atLeast"/>
              <w:ind w:firstLine="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400</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vMerge w:val="continue"/>
            <w:noWrap w:val="0"/>
          </w:tcP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SS</w:t>
            </w:r>
          </w:p>
        </w:tc>
        <w:tc>
          <w:tcPr>
            <w:tcW w:w="984"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84.1</w:t>
            </w:r>
          </w:p>
        </w:tc>
        <w:tc>
          <w:tcPr>
            <w:tcW w:w="100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2.841</w:t>
            </w:r>
          </w:p>
        </w:tc>
        <w:tc>
          <w:tcPr>
            <w:gridSpan w:val="3"/>
            <w:vMerge w:val="continue"/>
            <w:noWrap w:val="0"/>
          </w:tcPr>
          <w:p/>
        </w:tc>
        <w:tc>
          <w:tcPr>
            <w:gridSpan w:val="2"/>
            <w:vMerge w:val="continue"/>
            <w:noWrap w:val="0"/>
          </w:tcPr>
          <w:p/>
        </w:tc>
        <w:tc>
          <w:tcPr>
            <w:tcW w:w="958" w:type="dxa"/>
            <w:noWrap w:val="0"/>
            <w:vAlign w:val="center"/>
          </w:tcPr>
          <w:p>
            <w:pPr>
              <w:spacing w:line="240" w:lineRule="atLeast"/>
              <w:ind w:firstLine="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60</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vMerge w:val="continue"/>
            <w:noWrap w:val="0"/>
          </w:tcP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盐份</w:t>
            </w:r>
          </w:p>
        </w:tc>
        <w:tc>
          <w:tcPr>
            <w:tcW w:w="984"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339.6</w:t>
            </w:r>
          </w:p>
        </w:tc>
        <w:tc>
          <w:tcPr>
            <w:tcW w:w="1009" w:type="dxa"/>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11.472</w:t>
            </w:r>
          </w:p>
        </w:tc>
        <w:tc>
          <w:tcPr>
            <w:gridSpan w:val="3"/>
            <w:vMerge w:val="continue"/>
            <w:noWrap w:val="0"/>
          </w:tcPr>
          <w:p/>
        </w:tc>
        <w:tc>
          <w:tcPr>
            <w:gridSpan w:val="2"/>
            <w:vMerge w:val="continue"/>
            <w:noWrap w:val="0"/>
          </w:tcPr>
          <w:p/>
        </w:tc>
        <w:tc>
          <w:tcPr>
            <w:tcW w:w="958" w:type="dxa"/>
            <w:noWrap w:val="0"/>
            <w:vAlign w:val="center"/>
          </w:tcPr>
          <w:p>
            <w:pPr>
              <w:spacing w:line="240" w:lineRule="atLeast"/>
              <w:ind w:firstLine="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val="en-US" w:eastAsia="zh-CN"/>
              </w:rPr>
              <w:t>/</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tcW w:w="1073" w:type="dxa"/>
            <w:gridSpan w:val="2"/>
            <w:vMerge w:val="restart"/>
            <w:noWrap w:val="0"/>
            <w:vAlign w:val="center"/>
          </w:tcPr>
          <w:p>
            <w:pPr>
              <w:spacing w:line="240" w:lineRule="atLeast"/>
              <w:ind w:firstLine="0"/>
              <w:jc w:val="center"/>
              <w:rPr>
                <w:rFonts w:hint="default" w:ascii="Times New Roman" w:hAnsi="Times New Roman" w:eastAsia="宋体" w:cs="Times New Roman"/>
                <w:color w:val="000000"/>
                <w:sz w:val="21"/>
                <w:szCs w:val="21"/>
                <w:lang w:val="en-US" w:eastAsia="zh-CN" w:bidi="ar"/>
              </w:rPr>
            </w:pPr>
            <w:r>
              <w:rPr>
                <w:rFonts w:hint="eastAsia" w:ascii="Times New Roman" w:hAnsi="Times New Roman" w:eastAsia="宋体" w:cs="Times New Roman"/>
                <w:color w:val="000000"/>
                <w:sz w:val="21"/>
                <w:szCs w:val="21"/>
                <w:lang w:val="en-US" w:eastAsia="zh-CN" w:bidi="ar"/>
              </w:rPr>
              <w:t>生活污水排放口</w:t>
            </w:r>
          </w:p>
        </w:tc>
        <w:tc>
          <w:tcPr>
            <w:tcW w:w="851" w:type="dxa"/>
            <w:vMerge w:val="restart"/>
            <w:noWrap w:val="0"/>
            <w:vAlign w:val="center"/>
          </w:tcPr>
          <w:p>
            <w:pPr>
              <w:spacing w:line="240" w:lineRule="atLeast"/>
              <w:ind w:firstLine="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2496</w:t>
            </w: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pH（无量纲）</w:t>
            </w:r>
          </w:p>
        </w:tc>
        <w:tc>
          <w:tcPr>
            <w:tcW w:w="984"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6~9</w:t>
            </w:r>
          </w:p>
        </w:tc>
        <w:tc>
          <w:tcPr>
            <w:tcW w:w="1009"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3161" w:type="dxa"/>
            <w:gridSpan w:val="3"/>
            <w:vMerge w:val="restart"/>
            <w:noWrap w:val="0"/>
            <w:vAlign w:val="center"/>
          </w:tcPr>
          <w:p>
            <w:pPr>
              <w:widowControl/>
              <w:spacing w:line="240" w:lineRule="auto"/>
              <w:ind w:firstLine="0"/>
              <w:jc w:val="center"/>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化粪池处理后</w:t>
            </w:r>
            <w:r>
              <w:rPr>
                <w:rFonts w:hint="default" w:ascii="Times New Roman" w:hAnsi="Times New Roman" w:eastAsia="宋体" w:cs="Times New Roman"/>
                <w:color w:val="000000"/>
                <w:kern w:val="0"/>
                <w:sz w:val="21"/>
                <w:szCs w:val="21"/>
              </w:rPr>
              <w:t>排入园区污水处理厂</w:t>
            </w:r>
          </w:p>
        </w:tc>
        <w:tc>
          <w:tcPr>
            <w:tcW w:w="1791" w:type="dxa"/>
            <w:gridSpan w:val="2"/>
            <w:vMerge w:val="restart"/>
            <w:noWrap w:val="0"/>
            <w:vAlign w:val="center"/>
          </w:tcPr>
          <w:p>
            <w:pPr>
              <w:spacing w:line="240" w:lineRule="atLeast"/>
              <w:ind w:firstLine="0"/>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w:t>
            </w:r>
          </w:p>
        </w:tc>
        <w:tc>
          <w:tcPr>
            <w:tcW w:w="958" w:type="dxa"/>
            <w:noWrap w:val="0"/>
            <w:vAlign w:val="center"/>
          </w:tcPr>
          <w:p>
            <w:pPr>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6~9</w:t>
            </w:r>
          </w:p>
        </w:tc>
        <w:tc>
          <w:tcPr>
            <w:tcW w:w="2715" w:type="dxa"/>
            <w:vMerge w:val="restart"/>
            <w:noWrap w:val="0"/>
            <w:tcMar>
              <w:left w:w="113" w:type="dxa"/>
              <w:right w:w="113" w:type="dxa"/>
            </w:tcMar>
            <w:vAlign w:val="center"/>
          </w:tcPr>
          <w:p>
            <w:pPr>
              <w:spacing w:line="240" w:lineRule="atLeast"/>
              <w:ind w:firstLine="0"/>
              <w:jc w:val="center"/>
              <w:rPr>
                <w:rFonts w:hint="default" w:ascii="Times New Roman" w:hAnsi="Times New Roman" w:eastAsia="宋体" w:cs="Times New Roman"/>
                <w:color w:val="000000"/>
                <w:sz w:val="21"/>
                <w:szCs w:val="22"/>
                <w:lang w:val="en-US" w:eastAsia="zh-CN"/>
              </w:rPr>
            </w:pPr>
            <w:r>
              <w:rPr>
                <w:rFonts w:hint="default" w:ascii="Times New Roman" w:hAnsi="Times New Roman" w:eastAsia="宋体" w:cs="Times New Roman"/>
                <w:color w:val="auto"/>
                <w:kern w:val="0"/>
                <w:sz w:val="21"/>
                <w:szCs w:val="21"/>
              </w:rPr>
              <w:t>《污水综合排放标准》(GB8978-1996)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vMerge w:val="continue"/>
            <w:noWrap w:val="0"/>
          </w:tcP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COD</w:t>
            </w:r>
          </w:p>
        </w:tc>
        <w:tc>
          <w:tcPr>
            <w:tcW w:w="984"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200</w:t>
            </w:r>
          </w:p>
        </w:tc>
        <w:tc>
          <w:tcPr>
            <w:tcW w:w="1009"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0.499</w:t>
            </w:r>
          </w:p>
        </w:tc>
        <w:tc>
          <w:tcPr>
            <w:gridSpan w:val="3"/>
            <w:vMerge w:val="continue"/>
            <w:noWrap w:val="0"/>
          </w:tcPr>
          <w:p/>
        </w:tc>
        <w:tc>
          <w:tcPr>
            <w:gridSpan w:val="2"/>
            <w:vMerge w:val="continue"/>
            <w:noWrap w:val="0"/>
          </w:tcPr>
          <w:p/>
        </w:tc>
        <w:tc>
          <w:tcPr>
            <w:tcW w:w="958" w:type="dxa"/>
            <w:noWrap w:val="0"/>
            <w:vAlign w:val="center"/>
          </w:tcPr>
          <w:p>
            <w:pPr>
              <w:spacing w:line="240" w:lineRule="atLeast"/>
              <w:ind w:firstLine="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500</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vMerge w:val="continue"/>
            <w:noWrap w:val="0"/>
          </w:tcPr>
          <w:p/>
        </w:tc>
        <w:tc>
          <w:tcPr>
            <w:tcW w:w="112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SS</w:t>
            </w:r>
          </w:p>
        </w:tc>
        <w:tc>
          <w:tcPr>
            <w:tcW w:w="984"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150</w:t>
            </w:r>
          </w:p>
        </w:tc>
        <w:tc>
          <w:tcPr>
            <w:tcW w:w="1009"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0.374</w:t>
            </w:r>
          </w:p>
        </w:tc>
        <w:tc>
          <w:tcPr>
            <w:gridSpan w:val="3"/>
            <w:vMerge w:val="continue"/>
            <w:noWrap w:val="0"/>
          </w:tcPr>
          <w:p/>
        </w:tc>
        <w:tc>
          <w:tcPr>
            <w:gridSpan w:val="2"/>
            <w:vMerge w:val="continue"/>
            <w:noWrap w:val="0"/>
          </w:tcPr>
          <w:p/>
        </w:tc>
        <w:tc>
          <w:tcPr>
            <w:tcW w:w="958" w:type="dxa"/>
            <w:noWrap w:val="0"/>
            <w:vAlign w:val="center"/>
          </w:tcPr>
          <w:p>
            <w:pPr>
              <w:spacing w:line="240" w:lineRule="atLeast"/>
              <w:ind w:firstLine="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400</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vMerge w:val="continue"/>
            <w:noWrap w:val="0"/>
          </w:tcPr>
          <w:p/>
        </w:tc>
        <w:tc>
          <w:tcPr>
            <w:tcW w:w="1124" w:type="dxa"/>
            <w:gridSpan w:val="2"/>
            <w:noWrap w:val="0"/>
            <w:vAlign w:val="center"/>
          </w:tcPr>
          <w:p>
            <w:pPr>
              <w:widowControl/>
              <w:spacing w:line="300" w:lineRule="exact"/>
              <w:ind w:firstLine="0"/>
              <w:jc w:val="center"/>
              <w:textAlignment w:val="center"/>
              <w:rPr>
                <w:rFonts w:hint="eastAsia" w:ascii="Times New Roman" w:hAnsi="Times New Roman" w:eastAsia="宋体" w:cs="Times New Roman"/>
                <w:color w:val="000000"/>
                <w:sz w:val="21"/>
                <w:szCs w:val="21"/>
                <w:lang w:val="en-US" w:eastAsia="zh-CN" w:bidi="ar"/>
              </w:rPr>
            </w:pPr>
            <w:r>
              <w:rPr>
                <w:rFonts w:hint="eastAsia" w:ascii="Times New Roman" w:hAnsi="Times New Roman" w:eastAsia="宋体" w:cs="Times New Roman"/>
                <w:color w:val="000000"/>
                <w:sz w:val="21"/>
                <w:szCs w:val="21"/>
                <w:lang w:val="en-US" w:eastAsia="zh-CN" w:bidi="ar"/>
              </w:rPr>
              <w:t>氨氮</w:t>
            </w:r>
          </w:p>
        </w:tc>
        <w:tc>
          <w:tcPr>
            <w:tcW w:w="984"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35</w:t>
            </w:r>
          </w:p>
        </w:tc>
        <w:tc>
          <w:tcPr>
            <w:tcW w:w="1009" w:type="dxa"/>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0.087</w:t>
            </w:r>
          </w:p>
        </w:tc>
        <w:tc>
          <w:tcPr>
            <w:gridSpan w:val="3"/>
            <w:vMerge w:val="continue"/>
            <w:noWrap w:val="0"/>
          </w:tcPr>
          <w:p/>
        </w:tc>
        <w:tc>
          <w:tcPr>
            <w:gridSpan w:val="2"/>
            <w:vMerge w:val="continue"/>
            <w:noWrap w:val="0"/>
          </w:tcPr>
          <w:p/>
        </w:tc>
        <w:tc>
          <w:tcPr>
            <w:tcW w:w="958" w:type="dxa"/>
            <w:noWrap w:val="0"/>
            <w:vAlign w:val="center"/>
          </w:tcPr>
          <w:p>
            <w:pPr>
              <w:spacing w:line="240" w:lineRule="atLeast"/>
              <w:ind w:firstLine="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60</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tcW w:w="405" w:type="dxa"/>
            <w:noWrap w:val="0"/>
            <w:tcMar>
              <w:left w:w="113" w:type="dxa"/>
              <w:right w:w="113" w:type="dxa"/>
            </w:tcMar>
            <w:vAlign w:val="center"/>
          </w:tcPr>
          <w:p>
            <w:pPr>
              <w:adjustRightInd w:val="0"/>
              <w:snapToGrid w:val="0"/>
              <w:spacing w:line="240" w:lineRule="atLeast"/>
              <w:ind w:firstLine="0"/>
              <w:jc w:val="center"/>
              <w:textAlignment w:val="center"/>
              <w:rPr>
                <w:rFonts w:hint="default" w:ascii="Times New Roman" w:hAnsi="Times New Roman" w:eastAsia="宋体" w:cs="Times New Roman"/>
                <w:bCs/>
                <w:color w:val="000000"/>
                <w:kern w:val="0"/>
                <w:sz w:val="21"/>
                <w:szCs w:val="21"/>
              </w:rPr>
            </w:pPr>
            <w:r>
              <w:rPr>
                <w:rFonts w:hint="default" w:ascii="Times New Roman" w:hAnsi="Times New Roman" w:eastAsia="宋体" w:cs="Times New Roman"/>
                <w:bCs/>
                <w:color w:val="000000"/>
                <w:kern w:val="0"/>
                <w:sz w:val="21"/>
                <w:szCs w:val="21"/>
              </w:rPr>
              <w:t>类别</w:t>
            </w:r>
          </w:p>
        </w:tc>
        <w:tc>
          <w:tcPr>
            <w:tcW w:w="1073" w:type="dxa"/>
            <w:gridSpan w:val="2"/>
            <w:noWrap w:val="0"/>
            <w:vAlign w:val="center"/>
          </w:tcPr>
          <w:p>
            <w:pPr>
              <w:spacing w:line="240" w:lineRule="atLeast"/>
              <w:ind w:firstLine="0"/>
              <w:jc w:val="center"/>
              <w:rPr>
                <w:rFonts w:hint="default" w:ascii="Times New Roman" w:hAnsi="Times New Roman" w:eastAsia="宋体" w:cs="Times New Roman"/>
                <w:bCs/>
                <w:color w:val="000000"/>
                <w:sz w:val="21"/>
                <w:szCs w:val="21"/>
                <w:lang w:bidi="ar"/>
              </w:rPr>
            </w:pPr>
            <w:r>
              <w:rPr>
                <w:rFonts w:hint="default" w:ascii="Times New Roman" w:hAnsi="Times New Roman" w:eastAsia="宋体" w:cs="Times New Roman"/>
                <w:bCs/>
                <w:color w:val="000000"/>
                <w:sz w:val="21"/>
                <w:szCs w:val="21"/>
                <w:lang w:bidi="ar"/>
              </w:rPr>
              <w:t>项目</w:t>
            </w:r>
          </w:p>
        </w:tc>
        <w:tc>
          <w:tcPr>
            <w:tcW w:w="1344" w:type="dxa"/>
            <w:gridSpan w:val="2"/>
            <w:noWrap w:val="0"/>
            <w:vAlign w:val="center"/>
          </w:tcPr>
          <w:p>
            <w:pPr>
              <w:spacing w:line="240" w:lineRule="atLeast"/>
              <w:ind w:firstLine="0"/>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名称</w:t>
            </w:r>
          </w:p>
        </w:tc>
        <w:tc>
          <w:tcPr>
            <w:tcW w:w="1344" w:type="dxa"/>
            <w:gridSpan w:val="2"/>
            <w:noWrap w:val="0"/>
            <w:vAlign w:val="center"/>
          </w:tcPr>
          <w:p>
            <w:pPr>
              <w:widowControl/>
              <w:spacing w:line="300" w:lineRule="exact"/>
              <w:ind w:firstLine="0"/>
              <w:jc w:val="center"/>
              <w:textAlignment w:val="center"/>
              <w:rPr>
                <w:rFonts w:hint="default" w:ascii="Times New Roman" w:hAnsi="Times New Roman" w:eastAsia="宋体" w:cs="Times New Roman"/>
                <w:bCs/>
                <w:color w:val="000000"/>
                <w:sz w:val="21"/>
                <w:szCs w:val="21"/>
                <w:lang w:bidi="ar"/>
              </w:rPr>
            </w:pPr>
            <w:r>
              <w:rPr>
                <w:rFonts w:hint="default" w:ascii="Times New Roman" w:hAnsi="Times New Roman" w:eastAsia="宋体" w:cs="Times New Roman"/>
                <w:bCs/>
                <w:color w:val="000000"/>
                <w:sz w:val="21"/>
                <w:szCs w:val="21"/>
                <w:lang w:bidi="ar"/>
              </w:rPr>
              <w:t>代码</w:t>
            </w:r>
          </w:p>
        </w:tc>
        <w:tc>
          <w:tcPr>
            <w:tcW w:w="1280" w:type="dxa"/>
            <w:gridSpan w:val="2"/>
            <w:noWrap w:val="0"/>
            <w:vAlign w:val="center"/>
          </w:tcPr>
          <w:p>
            <w:pPr>
              <w:spacing w:line="240" w:lineRule="atLeast"/>
              <w:ind w:firstLine="0"/>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产生量</w:t>
            </w:r>
          </w:p>
          <w:p>
            <w:pPr>
              <w:spacing w:line="240" w:lineRule="atLeast"/>
              <w:ind w:firstLine="0"/>
              <w:jc w:val="center"/>
              <w:rPr>
                <w:rFonts w:hint="default" w:ascii="Times New Roman" w:hAnsi="Times New Roman" w:eastAsia="宋体" w:cs="Times New Roman"/>
                <w:bCs/>
                <w:color w:val="000000"/>
                <w:sz w:val="21"/>
                <w:szCs w:val="22"/>
              </w:rPr>
            </w:pPr>
            <w:r>
              <w:rPr>
                <w:rFonts w:hint="default" w:ascii="Times New Roman" w:hAnsi="Times New Roman" w:eastAsia="宋体" w:cs="Times New Roman"/>
                <w:bCs/>
                <w:color w:val="000000"/>
                <w:sz w:val="21"/>
                <w:szCs w:val="21"/>
              </w:rPr>
              <w:t>（t/a）</w:t>
            </w:r>
          </w:p>
        </w:tc>
        <w:tc>
          <w:tcPr>
            <w:tcW w:w="1408"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排放量</w:t>
            </w:r>
          </w:p>
        </w:tc>
        <w:tc>
          <w:tcPr>
            <w:tcW w:w="1753" w:type="dxa"/>
            <w:noWrap w:val="0"/>
            <w:vAlign w:val="center"/>
          </w:tcPr>
          <w:p>
            <w:pPr>
              <w:spacing w:line="240" w:lineRule="atLeast"/>
              <w:ind w:firstLine="0"/>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主要成分</w:t>
            </w:r>
          </w:p>
        </w:tc>
        <w:tc>
          <w:tcPr>
            <w:tcW w:w="2749" w:type="dxa"/>
            <w:gridSpan w:val="3"/>
            <w:noWrap w:val="0"/>
            <w:vAlign w:val="center"/>
          </w:tcPr>
          <w:p>
            <w:pPr>
              <w:spacing w:line="240" w:lineRule="atLeast"/>
              <w:ind w:firstLine="0"/>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处置方式</w:t>
            </w:r>
          </w:p>
        </w:tc>
        <w:tc>
          <w:tcPr>
            <w:tcW w:w="2715" w:type="dxa"/>
            <w:noWrap w:val="0"/>
            <w:tcMar>
              <w:left w:w="113" w:type="dxa"/>
              <w:right w:w="113" w:type="dxa"/>
            </w:tcMar>
            <w:vAlign w:val="center"/>
          </w:tcPr>
          <w:p>
            <w:pPr>
              <w:spacing w:line="240" w:lineRule="atLeast"/>
              <w:ind w:firstLine="0"/>
              <w:jc w:val="center"/>
              <w:rPr>
                <w:rFonts w:hint="default" w:ascii="Times New Roman" w:hAnsi="Times New Roman" w:eastAsia="宋体" w:cs="Times New Roman"/>
                <w:bCs/>
                <w:color w:val="000000"/>
                <w:sz w:val="21"/>
                <w:szCs w:val="22"/>
              </w:rPr>
            </w:pPr>
            <w:r>
              <w:rPr>
                <w:rFonts w:hint="default" w:ascii="Times New Roman" w:hAnsi="Times New Roman" w:eastAsia="宋体" w:cs="Times New Roman"/>
                <w:bCs/>
                <w:color w:val="000000"/>
                <w:sz w:val="21"/>
                <w:szCs w:val="22"/>
              </w:rPr>
              <w:t>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tcW w:w="405" w:type="dxa"/>
            <w:vMerge w:val="restart"/>
            <w:noWrap w:val="0"/>
            <w:tcMar>
              <w:left w:w="113" w:type="dxa"/>
              <w:right w:w="113" w:type="dxa"/>
            </w:tcMar>
            <w:vAlign w:val="center"/>
          </w:tcPr>
          <w:p>
            <w:pPr>
              <w:adjustRightInd w:val="0"/>
              <w:snapToGrid w:val="0"/>
              <w:spacing w:line="240" w:lineRule="atLeast"/>
              <w:ind w:firstLine="0"/>
              <w:jc w:val="center"/>
              <w:textAlignment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固废</w:t>
            </w:r>
          </w:p>
        </w:tc>
        <w:tc>
          <w:tcPr>
            <w:tcW w:w="1073" w:type="dxa"/>
            <w:gridSpan w:val="2"/>
            <w:vMerge w:val="restart"/>
            <w:noWrap w:val="0"/>
            <w:vAlign w:val="center"/>
          </w:tcPr>
          <w:p>
            <w:pPr>
              <w:spacing w:line="240" w:lineRule="atLeast"/>
              <w:ind w:firstLine="0"/>
              <w:jc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危险废物</w:t>
            </w: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精馏残液</w:t>
            </w: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HW34</w:t>
            </w:r>
          </w:p>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261-058-34</w:t>
            </w:r>
          </w:p>
        </w:tc>
        <w:tc>
          <w:tcPr>
            <w:tcW w:w="1280"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2</w:t>
            </w:r>
          </w:p>
        </w:tc>
        <w:tc>
          <w:tcPr>
            <w:tcW w:w="1408"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w:t>
            </w:r>
          </w:p>
        </w:tc>
        <w:tc>
          <w:tcPr>
            <w:tcW w:w="1753"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硝酸及杂质</w:t>
            </w:r>
          </w:p>
        </w:tc>
        <w:tc>
          <w:tcPr>
            <w:tcW w:w="2749" w:type="dxa"/>
            <w:gridSpan w:val="3"/>
            <w:vMerge w:val="restart"/>
            <w:noWrap w:val="0"/>
            <w:vAlign w:val="center"/>
          </w:tcPr>
          <w:p>
            <w:pPr>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委托有资质单位处理处置</w:t>
            </w:r>
          </w:p>
        </w:tc>
        <w:tc>
          <w:tcPr>
            <w:tcW w:w="2715" w:type="dxa"/>
            <w:vMerge w:val="restart"/>
            <w:noWrap w:val="0"/>
            <w:tcMar>
              <w:left w:w="113" w:type="dxa"/>
              <w:right w:w="113" w:type="dxa"/>
            </w:tcMar>
            <w:vAlign w:val="center"/>
          </w:tcPr>
          <w:p>
            <w:pPr>
              <w:spacing w:line="240" w:lineRule="atLeast"/>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执行</w:t>
            </w:r>
            <w:r>
              <w:rPr>
                <w:rFonts w:hint="default" w:ascii="Times New Roman" w:hAnsi="Times New Roman" w:eastAsia="宋体" w:cs="Times New Roman"/>
                <w:color w:val="000000"/>
                <w:sz w:val="21"/>
                <w:szCs w:val="22"/>
                <w:lang w:val="en-GB"/>
              </w:rPr>
              <w:t>GB18597-2001《危险废物贮存污染控制标准》及其2013年修改单、HJ2025-2012《危险废物收集贮存运输技术规范》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除杂渣</w:t>
            </w: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HW49</w:t>
            </w:r>
          </w:p>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900-047-49</w:t>
            </w:r>
          </w:p>
        </w:tc>
        <w:tc>
          <w:tcPr>
            <w:tcW w:w="1280"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0.054</w:t>
            </w:r>
          </w:p>
        </w:tc>
        <w:tc>
          <w:tcPr>
            <w:tcW w:w="1408"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w:t>
            </w:r>
          </w:p>
        </w:tc>
        <w:tc>
          <w:tcPr>
            <w:tcW w:w="1753"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含Ag、Cu、</w:t>
            </w:r>
            <w:r>
              <w:rPr>
                <w:rFonts w:hint="eastAsia" w:ascii="Times New Roman" w:hAnsi="Times New Roman" w:eastAsia="宋体" w:cs="Times New Roman"/>
                <w:color w:val="000000"/>
                <w:sz w:val="21"/>
                <w:szCs w:val="21"/>
                <w:lang w:val="en-US" w:eastAsia="zh-CN" w:bidi="ar"/>
              </w:rPr>
              <w:t>Sb</w:t>
            </w:r>
            <w:r>
              <w:rPr>
                <w:rFonts w:hint="default" w:ascii="Times New Roman" w:hAnsi="Times New Roman" w:eastAsia="宋体" w:cs="Times New Roman"/>
                <w:color w:val="000000"/>
                <w:sz w:val="21"/>
                <w:szCs w:val="21"/>
                <w:lang w:bidi="ar"/>
              </w:rPr>
              <w:t>、Pb等金属杂质</w:t>
            </w:r>
          </w:p>
        </w:tc>
        <w:tc>
          <w:tcPr>
            <w:gridSpan w:val="3"/>
            <w:vMerge w:val="continue"/>
            <w:noWrap w:val="0"/>
          </w:tcP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精馏残液</w:t>
            </w: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HW11</w:t>
            </w:r>
          </w:p>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900-013-11</w:t>
            </w:r>
          </w:p>
        </w:tc>
        <w:tc>
          <w:tcPr>
            <w:tcW w:w="1280"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29.67</w:t>
            </w:r>
          </w:p>
        </w:tc>
        <w:tc>
          <w:tcPr>
            <w:tcW w:w="1408"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w:t>
            </w:r>
          </w:p>
        </w:tc>
        <w:tc>
          <w:tcPr>
            <w:tcW w:w="1753"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含脱氢抗坏血酸、乙醇、银的残液</w:t>
            </w:r>
          </w:p>
        </w:tc>
        <w:tc>
          <w:tcPr>
            <w:gridSpan w:val="3"/>
            <w:vMerge w:val="continue"/>
            <w:noWrap w:val="0"/>
          </w:tcP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机修废机械油</w:t>
            </w: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HW08</w:t>
            </w:r>
          </w:p>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900-249-08</w:t>
            </w:r>
          </w:p>
        </w:tc>
        <w:tc>
          <w:tcPr>
            <w:tcW w:w="1280"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0.5</w:t>
            </w:r>
          </w:p>
        </w:tc>
        <w:tc>
          <w:tcPr>
            <w:tcW w:w="1408"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w:t>
            </w:r>
          </w:p>
        </w:tc>
        <w:tc>
          <w:tcPr>
            <w:tcW w:w="1753"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废机油</w:t>
            </w:r>
          </w:p>
        </w:tc>
        <w:tc>
          <w:tcPr>
            <w:gridSpan w:val="3"/>
            <w:vMerge w:val="continue"/>
            <w:noWrap w:val="0"/>
          </w:tcP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化验室废试剂及药品</w:t>
            </w: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HW49</w:t>
            </w:r>
          </w:p>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900-047-49</w:t>
            </w:r>
          </w:p>
        </w:tc>
        <w:tc>
          <w:tcPr>
            <w:tcW w:w="1280"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0.05</w:t>
            </w:r>
          </w:p>
        </w:tc>
        <w:tc>
          <w:tcPr>
            <w:tcW w:w="1408"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w:t>
            </w:r>
          </w:p>
        </w:tc>
        <w:tc>
          <w:tcPr>
            <w:tcW w:w="1753"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废试剂及药品</w:t>
            </w:r>
          </w:p>
        </w:tc>
        <w:tc>
          <w:tcPr>
            <w:gridSpan w:val="3"/>
            <w:vMerge w:val="continue"/>
            <w:noWrap w:val="0"/>
          </w:tcP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废包装袋（桶）</w:t>
            </w: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HW49</w:t>
            </w:r>
          </w:p>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900-041-49</w:t>
            </w:r>
          </w:p>
        </w:tc>
        <w:tc>
          <w:tcPr>
            <w:tcW w:w="1280"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0.3</w:t>
            </w:r>
          </w:p>
        </w:tc>
        <w:tc>
          <w:tcPr>
            <w:tcW w:w="1408"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w:t>
            </w:r>
          </w:p>
        </w:tc>
        <w:tc>
          <w:tcPr>
            <w:tcW w:w="1753"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废包装桶</w:t>
            </w:r>
          </w:p>
        </w:tc>
        <w:tc>
          <w:tcPr>
            <w:gridSpan w:val="3"/>
            <w:vMerge w:val="continue"/>
            <w:noWrap w:val="0"/>
          </w:tcP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tcW w:w="1344" w:type="dxa"/>
            <w:gridSpan w:val="2"/>
            <w:noWrap w:val="0"/>
            <w:vAlign w:val="center"/>
          </w:tcPr>
          <w:p>
            <w:pPr>
              <w:widowControl/>
              <w:snapToGrid w:val="0"/>
              <w:spacing w:line="300" w:lineRule="exact"/>
              <w:ind w:firstLine="0"/>
              <w:jc w:val="center"/>
              <w:textAlignment w:val="center"/>
              <w:rPr>
                <w:rFonts w:hint="eastAsia" w:ascii="Times New Roman" w:hAnsi="Times New Roman" w:eastAsia="宋体" w:cs="Times New Roman"/>
                <w:color w:val="auto"/>
                <w:sz w:val="21"/>
                <w:szCs w:val="21"/>
                <w:lang w:eastAsia="zh-CN" w:bidi="ar"/>
              </w:rPr>
            </w:pPr>
            <w:r>
              <w:rPr>
                <w:rFonts w:hint="eastAsia" w:ascii="Times New Roman" w:hAnsi="Times New Roman" w:eastAsia="宋体" w:cs="Times New Roman"/>
                <w:color w:val="auto"/>
                <w:kern w:val="0"/>
                <w:sz w:val="21"/>
                <w:szCs w:val="21"/>
                <w:lang w:val="en-US" w:eastAsia="zh-CN" w:bidi="ar"/>
              </w:rPr>
              <w:t>含银废水预</w:t>
            </w:r>
            <w:r>
              <w:rPr>
                <w:rFonts w:hint="default" w:ascii="Times New Roman" w:hAnsi="Times New Roman" w:eastAsia="宋体" w:cs="Times New Roman"/>
                <w:color w:val="auto"/>
                <w:kern w:val="0"/>
                <w:sz w:val="21"/>
                <w:szCs w:val="21"/>
                <w:lang w:bidi="ar"/>
              </w:rPr>
              <w:t>处理设施</w:t>
            </w:r>
            <w:r>
              <w:rPr>
                <w:rFonts w:hint="eastAsia" w:ascii="Times New Roman" w:hAnsi="Times New Roman" w:eastAsia="宋体" w:cs="Times New Roman"/>
                <w:color w:val="auto"/>
                <w:kern w:val="0"/>
                <w:sz w:val="21"/>
                <w:szCs w:val="21"/>
                <w:lang w:val="en-US" w:eastAsia="zh-CN" w:bidi="ar"/>
              </w:rPr>
              <w:t>-</w:t>
            </w:r>
            <w:r>
              <w:rPr>
                <w:rFonts w:hint="eastAsia" w:ascii="Times New Roman" w:hAnsi="Times New Roman" w:eastAsia="宋体" w:cs="Times New Roman"/>
                <w:color w:val="auto"/>
                <w:sz w:val="21"/>
                <w:szCs w:val="21"/>
                <w:lang w:val="en-US" w:eastAsia="zh-CN" w:bidi="ar"/>
              </w:rPr>
              <w:t>污泥</w:t>
            </w: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HW49</w:t>
            </w:r>
          </w:p>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900-047-49</w:t>
            </w:r>
          </w:p>
        </w:tc>
        <w:tc>
          <w:tcPr>
            <w:tcW w:w="1280" w:type="dxa"/>
            <w:gridSpan w:val="2"/>
            <w:noWrap w:val="0"/>
            <w:vAlign w:val="center"/>
          </w:tcPr>
          <w:p>
            <w:pPr>
              <w:widowControl/>
              <w:snapToGrid w:val="0"/>
              <w:spacing w:line="300" w:lineRule="exact"/>
              <w:ind w:firstLine="0"/>
              <w:jc w:val="center"/>
              <w:textAlignment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bidi="ar"/>
              </w:rPr>
              <w:t>7</w:t>
            </w:r>
          </w:p>
        </w:tc>
        <w:tc>
          <w:tcPr>
            <w:tcW w:w="1408"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753" w:type="dxa"/>
            <w:noWrap w:val="0"/>
            <w:vAlign w:val="center"/>
          </w:tcPr>
          <w:p>
            <w:pPr>
              <w:widowControl/>
              <w:snapToGrid w:val="0"/>
              <w:spacing w:line="300" w:lineRule="exact"/>
              <w:ind w:firstLine="0"/>
              <w:jc w:val="center"/>
              <w:textAlignment w:val="center"/>
              <w:rPr>
                <w:rFonts w:hint="eastAsia" w:ascii="Times New Roman" w:hAnsi="Times New Roman" w:eastAsia="宋体" w:cs="Times New Roman"/>
                <w:color w:val="auto"/>
                <w:sz w:val="21"/>
                <w:szCs w:val="21"/>
                <w:lang w:eastAsia="zh-CN" w:bidi="ar"/>
              </w:rPr>
            </w:pPr>
            <w:r>
              <w:rPr>
                <w:rFonts w:hint="default" w:ascii="Times New Roman" w:hAnsi="Times New Roman" w:eastAsia="宋体" w:cs="Times New Roman"/>
                <w:color w:val="auto"/>
                <w:sz w:val="21"/>
                <w:szCs w:val="21"/>
                <w:lang w:bidi="ar"/>
              </w:rPr>
              <w:t>含氧化银的</w:t>
            </w:r>
            <w:r>
              <w:rPr>
                <w:rFonts w:hint="eastAsia" w:ascii="Times New Roman" w:hAnsi="Times New Roman" w:eastAsia="宋体" w:cs="Times New Roman"/>
                <w:color w:val="auto"/>
                <w:sz w:val="21"/>
                <w:szCs w:val="21"/>
                <w:lang w:val="en-US" w:eastAsia="zh-CN" w:bidi="ar"/>
              </w:rPr>
              <w:t>污泥</w:t>
            </w:r>
          </w:p>
        </w:tc>
        <w:tc>
          <w:tcPr>
            <w:gridSpan w:val="3"/>
            <w:vMerge w:val="continue"/>
            <w:noWrap w:val="0"/>
          </w:tcP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含银废液</w:t>
            </w:r>
            <w:r>
              <w:rPr>
                <w:rFonts w:hint="eastAsia" w:ascii="Times New Roman" w:hAnsi="Times New Roman" w:eastAsia="宋体" w:cs="Times New Roman"/>
                <w:color w:val="auto"/>
                <w:sz w:val="21"/>
                <w:szCs w:val="21"/>
                <w:lang w:val="en-US" w:eastAsia="zh-CN" w:bidi="ar"/>
              </w:rPr>
              <w:t>三效</w:t>
            </w:r>
            <w:r>
              <w:rPr>
                <w:rFonts w:hint="default" w:ascii="Times New Roman" w:hAnsi="Times New Roman" w:eastAsia="宋体" w:cs="Times New Roman"/>
                <w:color w:val="auto"/>
                <w:sz w:val="21"/>
                <w:szCs w:val="21"/>
                <w:lang w:bidi="ar"/>
              </w:rPr>
              <w:t>蒸发器残渣</w:t>
            </w: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HW49</w:t>
            </w:r>
          </w:p>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900-047-49</w:t>
            </w:r>
          </w:p>
        </w:tc>
        <w:tc>
          <w:tcPr>
            <w:tcW w:w="1280"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bidi="ar"/>
              </w:rPr>
              <w:t>1</w:t>
            </w:r>
            <w:r>
              <w:rPr>
                <w:rFonts w:hint="eastAsia" w:ascii="Times New Roman" w:hAnsi="Times New Roman" w:eastAsia="宋体" w:cs="Times New Roman"/>
                <w:color w:val="auto"/>
                <w:sz w:val="21"/>
                <w:szCs w:val="21"/>
                <w:lang w:val="en-US" w:eastAsia="zh-CN" w:bidi="ar"/>
              </w:rPr>
              <w:t>330</w:t>
            </w:r>
          </w:p>
        </w:tc>
        <w:tc>
          <w:tcPr>
            <w:tcW w:w="1408"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753"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含脱氢抗坏血酸、无机盐、银的残渣</w:t>
            </w:r>
          </w:p>
        </w:tc>
        <w:tc>
          <w:tcPr>
            <w:gridSpan w:val="3"/>
            <w:vMerge w:val="continue"/>
            <w:noWrap w:val="0"/>
          </w:tcP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有机废气处理废活性炭</w:t>
            </w: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val="en-US" w:eastAsia="zh-CN" w:bidi="ar"/>
              </w:rPr>
            </w:pPr>
            <w:r>
              <w:rPr>
                <w:rFonts w:hint="default" w:ascii="Times New Roman" w:hAnsi="Times New Roman" w:eastAsia="宋体" w:cs="Times New Roman"/>
                <w:color w:val="000000"/>
                <w:sz w:val="21"/>
                <w:szCs w:val="21"/>
                <w:lang w:bidi="ar"/>
              </w:rPr>
              <w:t>HW4</w:t>
            </w:r>
            <w:r>
              <w:rPr>
                <w:rFonts w:hint="default" w:ascii="Times New Roman" w:hAnsi="Times New Roman" w:eastAsia="宋体" w:cs="Times New Roman"/>
                <w:color w:val="000000"/>
                <w:sz w:val="21"/>
                <w:szCs w:val="21"/>
                <w:lang w:val="en-US" w:eastAsia="zh-CN" w:bidi="ar"/>
              </w:rPr>
              <w:t>9</w:t>
            </w:r>
          </w:p>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900-039-49</w:t>
            </w:r>
          </w:p>
        </w:tc>
        <w:tc>
          <w:tcPr>
            <w:tcW w:w="1280"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bidi="ar"/>
              </w:rPr>
              <w:t>16.3</w:t>
            </w:r>
          </w:p>
        </w:tc>
        <w:tc>
          <w:tcPr>
            <w:tcW w:w="1408"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w:t>
            </w:r>
          </w:p>
        </w:tc>
        <w:tc>
          <w:tcPr>
            <w:tcW w:w="1753"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废活性炭</w:t>
            </w:r>
          </w:p>
        </w:tc>
        <w:tc>
          <w:tcPr>
            <w:gridSpan w:val="3"/>
            <w:vMerge w:val="continue"/>
            <w:noWrap w:val="0"/>
          </w:tcP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eastAsia" w:ascii="Times New Roman" w:hAnsi="Times New Roman" w:eastAsia="宋体" w:cs="Times New Roman"/>
                <w:color w:val="auto"/>
                <w:kern w:val="0"/>
                <w:sz w:val="21"/>
                <w:szCs w:val="21"/>
                <w:lang w:val="en-US" w:eastAsia="zh-CN" w:bidi="ar"/>
              </w:rPr>
              <w:t>污水站-蒸发器残渣</w:t>
            </w: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HW49</w:t>
            </w:r>
          </w:p>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kern w:val="0"/>
                <w:sz w:val="21"/>
                <w:szCs w:val="21"/>
                <w:lang w:bidi="ar"/>
              </w:rPr>
              <w:t>900-047-49</w:t>
            </w:r>
          </w:p>
        </w:tc>
        <w:tc>
          <w:tcPr>
            <w:tcW w:w="1280"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43</w:t>
            </w:r>
          </w:p>
        </w:tc>
        <w:tc>
          <w:tcPr>
            <w:tcW w:w="1408" w:type="dxa"/>
            <w:gridSpan w:val="2"/>
            <w:noWrap w:val="0"/>
            <w:vAlign w:val="center"/>
          </w:tcPr>
          <w:p>
            <w:pPr>
              <w:widowControl/>
              <w:spacing w:line="240" w:lineRule="auto"/>
              <w:ind w:firstLine="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1753"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kern w:val="0"/>
                <w:sz w:val="21"/>
                <w:szCs w:val="21"/>
                <w:lang w:bidi="ar"/>
              </w:rPr>
              <w:t>硝酸铵</w:t>
            </w:r>
            <w:r>
              <w:rPr>
                <w:rFonts w:hint="default" w:ascii="Times New Roman" w:hAnsi="Times New Roman" w:eastAsia="宋体" w:cs="Times New Roman"/>
                <w:color w:val="auto"/>
                <w:kern w:val="0"/>
                <w:sz w:val="21"/>
                <w:szCs w:val="21"/>
                <w:lang w:eastAsia="zh-CN" w:bidi="ar"/>
              </w:rPr>
              <w:t>、</w:t>
            </w:r>
            <w:r>
              <w:rPr>
                <w:rFonts w:hint="default" w:ascii="Times New Roman" w:hAnsi="Times New Roman" w:eastAsia="宋体" w:cs="Times New Roman"/>
                <w:color w:val="auto"/>
                <w:kern w:val="0"/>
                <w:sz w:val="21"/>
                <w:szCs w:val="21"/>
                <w:lang w:val="en-US" w:eastAsia="zh-CN" w:bidi="ar"/>
              </w:rPr>
              <w:t>硝酸钠</w:t>
            </w:r>
            <w:r>
              <w:rPr>
                <w:rFonts w:hint="default" w:ascii="Times New Roman" w:hAnsi="Times New Roman" w:eastAsia="宋体" w:cs="Times New Roman"/>
                <w:color w:val="auto"/>
                <w:kern w:val="0"/>
                <w:sz w:val="21"/>
                <w:szCs w:val="21"/>
                <w:lang w:bidi="ar"/>
              </w:rPr>
              <w:t>及</w:t>
            </w:r>
            <w:r>
              <w:rPr>
                <w:rFonts w:hint="default" w:ascii="Times New Roman" w:hAnsi="Times New Roman" w:eastAsia="宋体" w:cs="Times New Roman"/>
                <w:color w:val="auto"/>
                <w:kern w:val="0"/>
                <w:sz w:val="21"/>
                <w:szCs w:val="21"/>
                <w:lang w:val="en-US" w:eastAsia="zh-CN" w:bidi="ar"/>
              </w:rPr>
              <w:t>微量</w:t>
            </w:r>
            <w:r>
              <w:rPr>
                <w:rFonts w:hint="default" w:ascii="Times New Roman" w:hAnsi="Times New Roman" w:eastAsia="宋体" w:cs="Times New Roman"/>
                <w:color w:val="auto"/>
                <w:kern w:val="0"/>
                <w:sz w:val="21"/>
                <w:szCs w:val="21"/>
                <w:lang w:bidi="ar"/>
              </w:rPr>
              <w:t>银</w:t>
            </w:r>
            <w:r>
              <w:rPr>
                <w:rFonts w:hint="eastAsia" w:ascii="Times New Roman" w:hAnsi="Times New Roman" w:eastAsia="宋体" w:cs="Times New Roman"/>
                <w:color w:val="auto"/>
                <w:kern w:val="0"/>
                <w:sz w:val="21"/>
                <w:szCs w:val="21"/>
                <w:lang w:val="en-US" w:eastAsia="zh-CN" w:bidi="ar"/>
              </w:rPr>
              <w:t>的查吗在残渣</w:t>
            </w:r>
          </w:p>
        </w:tc>
        <w:tc>
          <w:tcPr>
            <w:gridSpan w:val="3"/>
            <w:vMerge w:val="continue"/>
            <w:noWrap w:val="0"/>
          </w:tcP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gridSpan w:val="2"/>
            <w:vMerge w:val="continue"/>
            <w:noWrap w:val="0"/>
          </w:tcPr>
          <w:p/>
        </w:tc>
        <w:tc>
          <w:tcPr>
            <w:tcW w:w="1344" w:type="dxa"/>
            <w:gridSpan w:val="2"/>
            <w:noWrap w:val="0"/>
            <w:vAlign w:val="center"/>
          </w:tcPr>
          <w:p>
            <w:pPr>
              <w:widowControl/>
              <w:snapToGrid w:val="0"/>
              <w:spacing w:line="300" w:lineRule="exact"/>
              <w:ind w:firstLine="0"/>
              <w:jc w:val="center"/>
              <w:textAlignment w:val="center"/>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废超滤膜、反渗透膜</w:t>
            </w: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HW13</w:t>
            </w:r>
          </w:p>
          <w:p>
            <w:pPr>
              <w:widowControl/>
              <w:snapToGrid w:val="0"/>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val="en-US" w:eastAsia="zh-CN" w:bidi="ar"/>
              </w:rPr>
              <w:t>900-015-13</w:t>
            </w:r>
          </w:p>
        </w:tc>
        <w:tc>
          <w:tcPr>
            <w:tcW w:w="1280"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0.6</w:t>
            </w:r>
          </w:p>
        </w:tc>
        <w:tc>
          <w:tcPr>
            <w:tcW w:w="1408"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1753"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val="en-US" w:eastAsia="zh-CN" w:bidi="ar"/>
              </w:rPr>
              <w:t>废超滤膜、反渗透膜</w:t>
            </w:r>
          </w:p>
        </w:tc>
        <w:tc>
          <w:tcPr>
            <w:gridSpan w:val="3"/>
            <w:vMerge w:val="continue"/>
            <w:noWrap w:val="0"/>
          </w:tcP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tcW w:w="1073" w:type="dxa"/>
            <w:gridSpan w:val="2"/>
            <w:noWrap w:val="0"/>
            <w:vAlign w:val="center"/>
          </w:tcPr>
          <w:p>
            <w:pPr>
              <w:spacing w:line="240" w:lineRule="atLeast"/>
              <w:ind w:firstLine="0"/>
              <w:jc w:val="center"/>
              <w:rPr>
                <w:rFonts w:hint="default" w:ascii="Times New Roman" w:hAnsi="Times New Roman" w:eastAsia="宋体" w:cs="Times New Roman"/>
                <w:color w:val="000000"/>
                <w:sz w:val="21"/>
                <w:szCs w:val="21"/>
                <w:lang w:val="en-US" w:eastAsia="zh-CN" w:bidi="ar"/>
              </w:rPr>
            </w:pPr>
            <w:r>
              <w:rPr>
                <w:rFonts w:hint="eastAsia" w:ascii="Times New Roman" w:hAnsi="Times New Roman" w:eastAsia="宋体" w:cs="Times New Roman"/>
                <w:color w:val="000000"/>
                <w:sz w:val="21"/>
                <w:szCs w:val="21"/>
                <w:lang w:val="en-US" w:eastAsia="zh-CN" w:bidi="ar"/>
              </w:rPr>
              <w:t>待鉴定固废</w:t>
            </w: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eastAsia" w:ascii="Times New Roman" w:hAnsi="Times New Roman" w:eastAsia="宋体" w:cs="Times New Roman"/>
                <w:color w:val="auto"/>
                <w:kern w:val="0"/>
                <w:sz w:val="21"/>
                <w:szCs w:val="21"/>
                <w:lang w:val="en-US" w:eastAsia="zh-CN" w:bidi="ar"/>
              </w:rPr>
              <w:t>污水站-</w:t>
            </w:r>
            <w:r>
              <w:rPr>
                <w:rFonts w:hint="default" w:ascii="Times New Roman" w:hAnsi="Times New Roman" w:eastAsia="宋体" w:cs="Times New Roman"/>
                <w:color w:val="auto"/>
                <w:sz w:val="21"/>
                <w:szCs w:val="21"/>
                <w:lang w:bidi="ar"/>
              </w:rPr>
              <w:t>生化污泥</w:t>
            </w:r>
          </w:p>
        </w:tc>
        <w:tc>
          <w:tcPr>
            <w:tcW w:w="1344" w:type="dxa"/>
            <w:gridSpan w:val="2"/>
            <w:noWrap w:val="0"/>
            <w:vAlign w:val="center"/>
          </w:tcPr>
          <w:p>
            <w:pPr>
              <w:widowControl/>
              <w:snapToGrid w:val="0"/>
              <w:spacing w:line="300" w:lineRule="exact"/>
              <w:ind w:firstLine="0"/>
              <w:jc w:val="center"/>
              <w:textAlignment w:val="center"/>
              <w:rPr>
                <w:rFonts w:hint="eastAsia"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待鉴定</w:t>
            </w:r>
          </w:p>
        </w:tc>
        <w:tc>
          <w:tcPr>
            <w:tcW w:w="1280"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sz w:val="21"/>
                <w:szCs w:val="21"/>
                <w:lang w:val="en-US" w:eastAsia="zh-CN" w:bidi="ar"/>
              </w:rPr>
              <w:t>40</w:t>
            </w:r>
          </w:p>
        </w:tc>
        <w:tc>
          <w:tcPr>
            <w:tcW w:w="1408"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753"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含脱氢抗坏血酸、乙醇等污泥</w:t>
            </w:r>
          </w:p>
        </w:tc>
        <w:tc>
          <w:tcPr>
            <w:tcW w:w="2749" w:type="dxa"/>
            <w:gridSpan w:val="3"/>
            <w:noWrap w:val="0"/>
            <w:vAlign w:val="center"/>
          </w:tcPr>
          <w:p>
            <w:pPr>
              <w:spacing w:line="240" w:lineRule="atLeast"/>
              <w:ind w:firstLine="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暂按照危险废物管理</w:t>
            </w:r>
          </w:p>
        </w:tc>
        <w:tc>
          <w:tcPr>
            <w:vMerge w:val="continue"/>
            <w:noWrap w:val="0"/>
            <w:tcMar>
              <w:left w:w="113" w:type="dxa"/>
              <w:right w:w="113" w:type="dxa"/>
            </w:tcMa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tcW w:w="1073" w:type="dxa"/>
            <w:gridSpan w:val="2"/>
            <w:noWrap w:val="0"/>
            <w:vAlign w:val="center"/>
          </w:tcPr>
          <w:p>
            <w:pPr>
              <w:spacing w:line="240" w:lineRule="atLeast"/>
              <w:ind w:firstLine="0"/>
              <w:jc w:val="center"/>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sz w:val="21"/>
                <w:szCs w:val="21"/>
                <w:lang w:bidi="ar"/>
              </w:rPr>
              <w:t>一般固废</w:t>
            </w: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废反渗透膜</w:t>
            </w: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900-999-99</w:t>
            </w:r>
          </w:p>
        </w:tc>
        <w:tc>
          <w:tcPr>
            <w:tcW w:w="1280"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0.2</w:t>
            </w:r>
          </w:p>
        </w:tc>
        <w:tc>
          <w:tcPr>
            <w:tcW w:w="1408"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753"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废反渗透膜</w:t>
            </w:r>
          </w:p>
        </w:tc>
        <w:tc>
          <w:tcPr>
            <w:tcW w:w="2749" w:type="dxa"/>
            <w:gridSpan w:val="3"/>
            <w:noWrap w:val="0"/>
            <w:vAlign w:val="center"/>
          </w:tcPr>
          <w:p>
            <w:pPr>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工业填埋场</w:t>
            </w:r>
          </w:p>
        </w:tc>
        <w:tc>
          <w:tcPr>
            <w:tcW w:w="2715" w:type="dxa"/>
            <w:noWrap w:val="0"/>
            <w:vAlign w:val="center"/>
          </w:tcPr>
          <w:p>
            <w:pPr>
              <w:spacing w:line="240" w:lineRule="atLeast"/>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lang w:val="en-GB"/>
              </w:rPr>
              <w:t>执行</w:t>
            </w:r>
            <w:r>
              <w:rPr>
                <w:rFonts w:hint="default" w:ascii="Times New Roman" w:hAnsi="Times New Roman" w:eastAsia="宋体" w:cs="Times New Roman"/>
                <w:color w:val="000000"/>
                <w:sz w:val="21"/>
                <w:szCs w:val="22"/>
              </w:rPr>
              <w:t>GB18599-2020《一般工业固体废物贮存和填埋污染控制标准》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tcW w:w="2417" w:type="dxa"/>
            <w:gridSpan w:val="4"/>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生活垃圾</w:t>
            </w: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w:t>
            </w:r>
          </w:p>
        </w:tc>
        <w:tc>
          <w:tcPr>
            <w:tcW w:w="1280"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31.2</w:t>
            </w:r>
          </w:p>
        </w:tc>
        <w:tc>
          <w:tcPr>
            <w:tcW w:w="1408"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753"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生活垃圾</w:t>
            </w:r>
          </w:p>
        </w:tc>
        <w:tc>
          <w:tcPr>
            <w:tcW w:w="2749" w:type="dxa"/>
            <w:gridSpan w:val="3"/>
            <w:noWrap w:val="0"/>
            <w:vAlign w:val="center"/>
          </w:tcPr>
          <w:p>
            <w:pPr>
              <w:spacing w:line="240" w:lineRule="atLeast"/>
              <w:ind w:firstLine="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bidi="ar"/>
              </w:rPr>
              <w:t>当地环卫部门定期清运</w:t>
            </w:r>
          </w:p>
        </w:tc>
        <w:tc>
          <w:tcPr>
            <w:tcW w:w="2715" w:type="dxa"/>
            <w:noWrap w:val="0"/>
            <w:vAlign w:val="center"/>
          </w:tcPr>
          <w:p>
            <w:pPr>
              <w:spacing w:line="240" w:lineRule="atLeast"/>
              <w:ind w:firstLine="0"/>
              <w:jc w:val="center"/>
              <w:rPr>
                <w:rFonts w:hint="default" w:ascii="Times New Roman" w:hAnsi="Times New Roman" w:eastAsia="宋体" w:cs="Times New Roman"/>
                <w:color w:val="000000"/>
                <w:sz w:val="21"/>
                <w:szCs w:val="22"/>
              </w:rPr>
            </w:pPr>
            <w:r>
              <w:rPr>
                <w:rFonts w:hint="default" w:ascii="Times New Roman" w:hAnsi="Times New Roman" w:eastAsia="宋体" w:cs="Times New Roman"/>
                <w:color w:val="000000"/>
                <w:sz w:val="21"/>
                <w:szCs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tcW w:w="798" w:type="dxa"/>
            <w:vMerge w:val="restart"/>
            <w:noWrap w:val="0"/>
            <w:vAlign w:val="center"/>
          </w:tcPr>
          <w:p>
            <w:pPr>
              <w:widowControl/>
              <w:snapToGrid w:val="0"/>
              <w:spacing w:line="300" w:lineRule="exact"/>
              <w:ind w:firstLine="0"/>
              <w:jc w:val="center"/>
              <w:textAlignment w:val="center"/>
              <w:rPr>
                <w:rFonts w:hint="eastAsia" w:ascii="Times New Roman" w:hAnsi="Times New Roman" w:eastAsia="宋体" w:cs="Times New Roman"/>
                <w:color w:val="000000"/>
                <w:sz w:val="21"/>
                <w:szCs w:val="21"/>
                <w:lang w:val="en-US" w:eastAsia="zh-CN" w:bidi="ar"/>
              </w:rPr>
            </w:pPr>
            <w:r>
              <w:rPr>
                <w:rFonts w:hint="eastAsia" w:ascii="Times New Roman" w:hAnsi="Times New Roman" w:eastAsia="宋体" w:cs="Times New Roman"/>
                <w:color w:val="000000"/>
                <w:sz w:val="21"/>
                <w:szCs w:val="21"/>
                <w:lang w:val="en-US" w:eastAsia="zh-CN" w:bidi="ar"/>
              </w:rPr>
              <w:t>合计</w:t>
            </w:r>
          </w:p>
        </w:tc>
        <w:tc>
          <w:tcPr>
            <w:tcW w:w="1619" w:type="dxa"/>
            <w:gridSpan w:val="3"/>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kern w:val="0"/>
                <w:sz w:val="21"/>
                <w:szCs w:val="21"/>
                <w:lang w:bidi="ar"/>
              </w:rPr>
              <w:t>一般工业废物</w:t>
            </w: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kern w:val="0"/>
                <w:sz w:val="21"/>
                <w:szCs w:val="21"/>
                <w:lang w:bidi="ar"/>
              </w:rPr>
              <w:t>0.2</w:t>
            </w:r>
          </w:p>
        </w:tc>
        <w:tc>
          <w:tcPr>
            <w:tcW w:w="1280"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p>
        </w:tc>
        <w:tc>
          <w:tcPr>
            <w:tcW w:w="1408"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rPr>
            </w:pPr>
          </w:p>
        </w:tc>
        <w:tc>
          <w:tcPr>
            <w:tcW w:w="1753"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p>
        </w:tc>
        <w:tc>
          <w:tcPr>
            <w:tcW w:w="2749" w:type="dxa"/>
            <w:gridSpan w:val="3"/>
            <w:noWrap w:val="0"/>
            <w:vAlign w:val="center"/>
          </w:tcPr>
          <w:p>
            <w:pPr>
              <w:spacing w:line="240" w:lineRule="atLeast"/>
              <w:ind w:firstLine="0"/>
              <w:jc w:val="center"/>
              <w:rPr>
                <w:rFonts w:hint="default" w:ascii="Times New Roman" w:hAnsi="Times New Roman" w:eastAsia="宋体" w:cs="Times New Roman"/>
                <w:color w:val="000000"/>
                <w:sz w:val="21"/>
                <w:szCs w:val="21"/>
                <w:lang w:bidi="ar"/>
              </w:rPr>
            </w:pPr>
          </w:p>
        </w:tc>
        <w:tc>
          <w:tcPr>
            <w:tcW w:w="2715" w:type="dxa"/>
            <w:noWrap w:val="0"/>
            <w:vAlign w:val="center"/>
          </w:tcPr>
          <w:p>
            <w:pPr>
              <w:spacing w:line="240" w:lineRule="atLeast"/>
              <w:ind w:firstLine="0"/>
              <w:jc w:val="center"/>
              <w:rPr>
                <w:rFonts w:hint="default" w:ascii="Times New Roman" w:hAnsi="Times New Roman" w:eastAsia="宋体" w:cs="Times New Roman"/>
                <w:color w:val="000000"/>
                <w:sz w:val="21"/>
                <w:szCs w:val="2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vMerge w:val="continue"/>
            <w:noWrap w:val="0"/>
          </w:tcPr>
          <w:p/>
        </w:tc>
        <w:tc>
          <w:tcPr>
            <w:tcW w:w="1619" w:type="dxa"/>
            <w:gridSpan w:val="3"/>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kern w:val="0"/>
                <w:sz w:val="21"/>
                <w:szCs w:val="21"/>
                <w:lang w:bidi="ar"/>
              </w:rPr>
              <w:t>危险废物</w:t>
            </w:r>
          </w:p>
        </w:tc>
        <w:tc>
          <w:tcPr>
            <w:tcW w:w="1344"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eastAsia" w:ascii="Times New Roman" w:hAnsi="Times New Roman" w:eastAsia="宋体" w:cs="Times New Roman"/>
                <w:color w:val="auto"/>
                <w:kern w:val="0"/>
                <w:sz w:val="21"/>
                <w:szCs w:val="21"/>
                <w:lang w:val="en-US" w:eastAsia="zh-CN" w:bidi="ar"/>
              </w:rPr>
              <w:t>1422.319</w:t>
            </w:r>
          </w:p>
        </w:tc>
        <w:tc>
          <w:tcPr>
            <w:tcW w:w="1280"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p>
        </w:tc>
        <w:tc>
          <w:tcPr>
            <w:tcW w:w="1408"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rPr>
            </w:pPr>
          </w:p>
        </w:tc>
        <w:tc>
          <w:tcPr>
            <w:tcW w:w="1753"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p>
        </w:tc>
        <w:tc>
          <w:tcPr>
            <w:tcW w:w="2749" w:type="dxa"/>
            <w:gridSpan w:val="3"/>
            <w:noWrap w:val="0"/>
            <w:vAlign w:val="center"/>
          </w:tcPr>
          <w:p>
            <w:pPr>
              <w:spacing w:line="240" w:lineRule="atLeast"/>
              <w:ind w:firstLine="0"/>
              <w:jc w:val="center"/>
              <w:rPr>
                <w:rFonts w:hint="default" w:ascii="Times New Roman" w:hAnsi="Times New Roman" w:eastAsia="宋体" w:cs="Times New Roman"/>
                <w:color w:val="000000"/>
                <w:sz w:val="21"/>
                <w:szCs w:val="21"/>
                <w:lang w:bidi="ar"/>
              </w:rPr>
            </w:pPr>
          </w:p>
        </w:tc>
        <w:tc>
          <w:tcPr>
            <w:tcW w:w="2715" w:type="dxa"/>
            <w:noWrap w:val="0"/>
            <w:vAlign w:val="center"/>
          </w:tcPr>
          <w:p>
            <w:pPr>
              <w:spacing w:line="240" w:lineRule="atLeast"/>
              <w:ind w:firstLine="0"/>
              <w:jc w:val="center"/>
              <w:rPr>
                <w:rFonts w:hint="default" w:ascii="Times New Roman" w:hAnsi="Times New Roman" w:eastAsia="宋体" w:cs="Times New Roman"/>
                <w:color w:val="000000"/>
                <w:sz w:val="21"/>
                <w:szCs w:val="2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vMerge w:val="continue"/>
            <w:noWrap w:val="0"/>
          </w:tcPr>
          <w:p/>
        </w:tc>
        <w:tc>
          <w:tcPr>
            <w:tcW w:w="1619" w:type="dxa"/>
            <w:gridSpan w:val="3"/>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kern w:val="0"/>
                <w:sz w:val="21"/>
                <w:szCs w:val="21"/>
                <w:lang w:bidi="ar"/>
              </w:rPr>
              <w:t>生活垃圾</w:t>
            </w:r>
          </w:p>
        </w:tc>
        <w:tc>
          <w:tcPr>
            <w:tcW w:w="1344" w:type="dxa"/>
            <w:gridSpan w:val="2"/>
            <w:noWrap w:val="0"/>
            <w:vAlign w:val="center"/>
          </w:tcPr>
          <w:p>
            <w:pPr>
              <w:snapToGrid w:val="0"/>
              <w:spacing w:line="300" w:lineRule="exact"/>
              <w:ind w:firstLine="0"/>
              <w:jc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kern w:val="0"/>
                <w:sz w:val="21"/>
                <w:szCs w:val="21"/>
              </w:rPr>
              <w:t>31.2</w:t>
            </w:r>
          </w:p>
        </w:tc>
        <w:tc>
          <w:tcPr>
            <w:tcW w:w="1280"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p>
        </w:tc>
        <w:tc>
          <w:tcPr>
            <w:tcW w:w="1408"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rPr>
            </w:pPr>
          </w:p>
        </w:tc>
        <w:tc>
          <w:tcPr>
            <w:tcW w:w="1753"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p>
        </w:tc>
        <w:tc>
          <w:tcPr>
            <w:tcW w:w="2749" w:type="dxa"/>
            <w:gridSpan w:val="3"/>
            <w:noWrap w:val="0"/>
            <w:vAlign w:val="center"/>
          </w:tcPr>
          <w:p>
            <w:pPr>
              <w:spacing w:line="240" w:lineRule="atLeast"/>
              <w:ind w:firstLine="0"/>
              <w:jc w:val="center"/>
              <w:rPr>
                <w:rFonts w:hint="default" w:ascii="Times New Roman" w:hAnsi="Times New Roman" w:eastAsia="宋体" w:cs="Times New Roman"/>
                <w:color w:val="000000"/>
                <w:sz w:val="21"/>
                <w:szCs w:val="21"/>
                <w:lang w:bidi="ar"/>
              </w:rPr>
            </w:pPr>
          </w:p>
        </w:tc>
        <w:tc>
          <w:tcPr>
            <w:tcW w:w="2715" w:type="dxa"/>
            <w:noWrap w:val="0"/>
            <w:vAlign w:val="center"/>
          </w:tcPr>
          <w:p>
            <w:pPr>
              <w:spacing w:line="240" w:lineRule="atLeast"/>
              <w:ind w:firstLine="0"/>
              <w:jc w:val="center"/>
              <w:rPr>
                <w:rFonts w:hint="default" w:ascii="Times New Roman" w:hAnsi="Times New Roman" w:eastAsia="宋体" w:cs="Times New Roman"/>
                <w:color w:val="000000"/>
                <w:sz w:val="21"/>
                <w:szCs w:val="2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jc w:val="center"/>
        </w:trPr>
        <w:tc>
          <w:tcPr>
            <w:vMerge w:val="continue"/>
            <w:noWrap w:val="0"/>
            <w:tcMar>
              <w:left w:w="113" w:type="dxa"/>
              <w:right w:w="113" w:type="dxa"/>
            </w:tcMar>
          </w:tcPr>
          <w:p/>
        </w:tc>
        <w:tc>
          <w:tcPr>
            <w:vMerge w:val="continue"/>
            <w:noWrap w:val="0"/>
          </w:tcPr>
          <w:p/>
        </w:tc>
        <w:tc>
          <w:tcPr>
            <w:tcW w:w="1619" w:type="dxa"/>
            <w:gridSpan w:val="3"/>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r>
              <w:rPr>
                <w:rFonts w:hint="eastAsia" w:ascii="Times New Roman" w:hAnsi="Times New Roman" w:eastAsia="宋体" w:cs="Times New Roman"/>
                <w:color w:val="auto"/>
                <w:kern w:val="0"/>
                <w:sz w:val="21"/>
                <w:szCs w:val="21"/>
                <w:lang w:val="en-US" w:eastAsia="zh-CN" w:bidi="ar"/>
              </w:rPr>
              <w:t>待鉴定固废</w:t>
            </w:r>
          </w:p>
        </w:tc>
        <w:tc>
          <w:tcPr>
            <w:tcW w:w="1344" w:type="dxa"/>
            <w:gridSpan w:val="2"/>
            <w:noWrap w:val="0"/>
            <w:vAlign w:val="center"/>
          </w:tcPr>
          <w:p>
            <w:pPr>
              <w:snapToGrid w:val="0"/>
              <w:spacing w:line="300" w:lineRule="exact"/>
              <w:ind w:firstLine="0"/>
              <w:jc w:val="center"/>
              <w:rPr>
                <w:rFonts w:hint="default" w:ascii="Times New Roman" w:hAnsi="Times New Roman" w:eastAsia="宋体" w:cs="Times New Roman"/>
                <w:color w:val="auto"/>
                <w:sz w:val="21"/>
                <w:szCs w:val="21"/>
                <w:lang w:bidi="ar"/>
              </w:rPr>
            </w:pPr>
            <w:r>
              <w:rPr>
                <w:rFonts w:hint="eastAsia" w:ascii="Times New Roman" w:hAnsi="Times New Roman" w:eastAsia="宋体" w:cs="Times New Roman"/>
                <w:color w:val="auto"/>
                <w:kern w:val="0"/>
                <w:sz w:val="21"/>
                <w:szCs w:val="21"/>
                <w:lang w:val="en-US" w:eastAsia="zh-CN"/>
              </w:rPr>
              <w:t>40</w:t>
            </w:r>
          </w:p>
        </w:tc>
        <w:tc>
          <w:tcPr>
            <w:tcW w:w="1280" w:type="dxa"/>
            <w:gridSpan w:val="2"/>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p>
        </w:tc>
        <w:tc>
          <w:tcPr>
            <w:tcW w:w="1408" w:type="dxa"/>
            <w:gridSpan w:val="2"/>
            <w:noWrap w:val="0"/>
            <w:vAlign w:val="center"/>
          </w:tcPr>
          <w:p>
            <w:pPr>
              <w:widowControl/>
              <w:spacing w:line="240" w:lineRule="auto"/>
              <w:ind w:firstLine="0"/>
              <w:jc w:val="center"/>
              <w:textAlignment w:val="center"/>
              <w:rPr>
                <w:rFonts w:hint="default" w:ascii="Times New Roman" w:hAnsi="Times New Roman" w:eastAsia="宋体" w:cs="Times New Roman"/>
                <w:color w:val="auto"/>
                <w:sz w:val="21"/>
                <w:szCs w:val="21"/>
              </w:rPr>
            </w:pPr>
          </w:p>
        </w:tc>
        <w:tc>
          <w:tcPr>
            <w:tcW w:w="1753" w:type="dxa"/>
            <w:noWrap w:val="0"/>
            <w:vAlign w:val="center"/>
          </w:tcPr>
          <w:p>
            <w:pPr>
              <w:widowControl/>
              <w:snapToGrid w:val="0"/>
              <w:spacing w:line="300" w:lineRule="exact"/>
              <w:ind w:firstLine="0"/>
              <w:jc w:val="center"/>
              <w:textAlignment w:val="center"/>
              <w:rPr>
                <w:rFonts w:hint="default" w:ascii="Times New Roman" w:hAnsi="Times New Roman" w:eastAsia="宋体" w:cs="Times New Roman"/>
                <w:color w:val="auto"/>
                <w:sz w:val="21"/>
                <w:szCs w:val="21"/>
                <w:lang w:bidi="ar"/>
              </w:rPr>
            </w:pPr>
          </w:p>
        </w:tc>
        <w:tc>
          <w:tcPr>
            <w:tcW w:w="2749" w:type="dxa"/>
            <w:gridSpan w:val="3"/>
            <w:noWrap w:val="0"/>
            <w:vAlign w:val="center"/>
          </w:tcPr>
          <w:p>
            <w:pPr>
              <w:spacing w:line="240" w:lineRule="atLeast"/>
              <w:ind w:firstLine="0"/>
              <w:jc w:val="center"/>
              <w:rPr>
                <w:rFonts w:hint="default" w:ascii="Times New Roman" w:hAnsi="Times New Roman" w:eastAsia="宋体" w:cs="Times New Roman"/>
                <w:color w:val="000000"/>
                <w:sz w:val="21"/>
                <w:szCs w:val="21"/>
                <w:lang w:bidi="ar"/>
              </w:rPr>
            </w:pPr>
          </w:p>
        </w:tc>
        <w:tc>
          <w:tcPr>
            <w:tcW w:w="2715" w:type="dxa"/>
            <w:noWrap w:val="0"/>
            <w:vAlign w:val="center"/>
          </w:tcPr>
          <w:p>
            <w:pPr>
              <w:spacing w:line="240" w:lineRule="atLeast"/>
              <w:ind w:firstLine="0"/>
              <w:jc w:val="center"/>
              <w:rPr>
                <w:rFonts w:hint="default" w:ascii="Times New Roman" w:hAnsi="Times New Roman" w:eastAsia="宋体" w:cs="Times New Roman"/>
                <w:color w:val="000000"/>
                <w:sz w:val="21"/>
                <w:szCs w:val="22"/>
              </w:rPr>
            </w:pPr>
          </w:p>
        </w:tc>
      </w:tr>
    </w:tbl>
    <w:p>
      <w:pPr>
        <w:spacing w:line="240" w:lineRule="auto"/>
        <w:ind w:firstLine="480"/>
        <w:jc w:val="center"/>
        <w:rPr>
          <w:rFonts w:hint="eastAsia" w:ascii="Times New Roman" w:hAnsi="Times New Roman" w:eastAsia="黑体" w:cs="Times New Roman"/>
          <w:bCs/>
          <w:sz w:val="24"/>
          <w:szCs w:val="24"/>
          <w:lang w:eastAsia="zh-CN"/>
        </w:rPr>
      </w:pPr>
    </w:p>
    <w:p>
      <w:pPr>
        <w:pStyle w:val="5"/>
        <w:rPr>
          <w:rFonts w:hint="eastAsia"/>
          <w:lang w:eastAsia="zh-CN"/>
        </w:rPr>
        <w:sectPr>
          <w:pgSz w:w="16838" w:h="11906" w:orient="landscape"/>
          <w:pgMar w:top="1797" w:right="1440" w:bottom="1797" w:left="1440" w:header="851" w:footer="992" w:gutter="0"/>
          <w:pgNumType w:fmt="decimal"/>
          <w:cols w:space="720" w:num="1"/>
          <w:docGrid w:type="lines" w:linePitch="312" w:charSpace="0"/>
        </w:sectPr>
      </w:pPr>
    </w:p>
    <w:p>
      <w:pPr>
        <w:spacing w:line="360" w:lineRule="auto"/>
        <w:ind w:firstLine="0"/>
        <w:outlineLvl w:val="2"/>
        <w:rPr>
          <w:rFonts w:hint="default" w:ascii="Times New Roman" w:hAnsi="Times New Roman" w:eastAsia="黑体" w:cs="Times New Roman"/>
          <w:sz w:val="30"/>
          <w:szCs w:val="28"/>
        </w:rPr>
      </w:pPr>
      <w:r>
        <w:rPr>
          <w:rFonts w:hint="default" w:ascii="Times New Roman" w:hAnsi="Times New Roman" w:eastAsia="黑体" w:cs="Times New Roman"/>
          <w:sz w:val="30"/>
          <w:szCs w:val="28"/>
        </w:rPr>
        <w:t>9.4.2信息公开内容</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根据《企业事业单位环境信息公开办法》（环境保护部令第31号），企业事业单位应当按照强制公开和自愿公开相结合的原则，及时、如实地公开其环境信息。企业事业单位应当建立健全本单位环境信息公开制度，指定机构负责本单位环境信息公开日常工作，排污单位应当公开以下信息：</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（一）基础信息，包括单位名称、组织机构代码、法定代表人、生产地址、联系方式，以及生产经营和管理服务的主要内容、产品及规模；</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（二）排污信息，包括主要污染物及特征污染物的名称、排放方式、排放口数量和分布情况、排放浓度和总量、超标情况，以及执行的污染物排放标准、核定的排放总量；</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（三）防治污染设施的建设和运行情况；</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（四）建设项目环境影响评价及其他环境保护行政许可情况；</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（五）突发环境事件应急预案；</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（六）其他应当公开的环境信息。</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列入国家重点监控企业名单的重点排污单位还应当公开其环境自行监测方案。</w:t>
      </w:r>
    </w:p>
    <w:p>
      <w:pPr>
        <w:spacing w:line="360" w:lineRule="auto"/>
        <w:ind w:firstLine="48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公司按照上述要求自愿公开企业环境信息。环境信息公开途径包括：①公告或者公开发行的信息专刊；②广播、电视等新闻媒体；③信息公开服务、监督热线电话；④本单位的资料索取点、信息公开栏、信息亭、电子屏幕、电子触摸屏等场所或者设施；⑤其他便于公众及时、准确获得信息的方式。</w:t>
      </w:r>
    </w:p>
    <w:p>
      <w:pPr>
        <w:spacing w:line="360" w:lineRule="auto"/>
        <w:ind w:firstLine="480"/>
        <w:rPr>
          <w:rFonts w:hint="default" w:ascii="Times New Roman" w:hAnsi="Times New Roman" w:eastAsia="宋体" w:cs="Times New Roman"/>
          <w:sz w:val="24"/>
          <w:szCs w:val="24"/>
        </w:rPr>
      </w:pPr>
    </w:p>
    <w:p>
      <w:pPr>
        <w:spacing w:line="240" w:lineRule="auto"/>
        <w:ind w:firstLine="0"/>
        <w:rPr>
          <w:rFonts w:hint="default" w:ascii="Times New Roman" w:hAnsi="Times New Roman" w:eastAsia="宋体" w:cs="Times New Roman"/>
          <w:sz w:val="21"/>
          <w:szCs w:val="22"/>
        </w:rPr>
      </w:pPr>
    </w:p>
    <w:p>
      <w:pPr>
        <w:spacing w:line="360" w:lineRule="auto"/>
        <w:ind w:firstLine="480"/>
        <w:rPr>
          <w:rFonts w:hint="default" w:ascii="Times New Roman" w:hAnsi="Times New Roman" w:eastAsia="宋体" w:cs="Times New Roman"/>
          <w:color w:val="FF0000"/>
          <w:sz w:val="24"/>
          <w:szCs w:val="24"/>
        </w:rPr>
      </w:pPr>
    </w:p>
    <w:p>
      <w:pPr>
        <w:spacing w:line="360" w:lineRule="auto"/>
        <w:ind w:firstLine="480"/>
        <w:rPr>
          <w:rFonts w:hint="default" w:ascii="Times New Roman" w:hAnsi="Times New Roman" w:eastAsia="宋体" w:cs="Times New Roman"/>
          <w:color w:val="FF0000"/>
          <w:sz w:val="24"/>
          <w:szCs w:val="24"/>
          <w:lang w:val="en-GB"/>
        </w:rPr>
      </w:pPr>
    </w:p>
    <w:p>
      <w:pPr>
        <w:spacing w:line="360" w:lineRule="auto"/>
        <w:ind w:firstLine="480"/>
        <w:rPr>
          <w:rFonts w:hint="default" w:ascii="Times New Roman" w:hAnsi="Times New Roman" w:eastAsia="宋体" w:cs="Times New Roman"/>
          <w:color w:val="FF0000"/>
          <w:sz w:val="24"/>
          <w:szCs w:val="24"/>
          <w:lang w:val="en-GB"/>
        </w:rPr>
        <w:sectPr>
          <w:pgSz w:w="11907" w:h="16840"/>
          <w:pgMar w:top="1418" w:right="1418" w:bottom="1418" w:left="1418" w:header="851" w:footer="992" w:gutter="0"/>
          <w:pgNumType w:fmt="decimal"/>
          <w:cols w:space="720" w:num="1"/>
          <w:docGrid w:linePitch="389" w:charSpace="0"/>
        </w:sectPr>
      </w:pPr>
    </w:p>
    <w:p>
      <w:pPr>
        <w:widowControl/>
        <w:snapToGrid w:val="0"/>
        <w:spacing w:line="360" w:lineRule="auto"/>
        <w:ind w:firstLine="0"/>
        <w:jc w:val="left"/>
        <w:outlineLvl w:val="0"/>
        <w:rPr>
          <w:rFonts w:hint="default" w:ascii="Times New Roman" w:hAnsi="Times New Roman" w:eastAsia="黑体" w:cs="Times New Roman"/>
          <w:bCs/>
          <w:sz w:val="36"/>
          <w:szCs w:val="24"/>
        </w:rPr>
      </w:pPr>
      <w:bookmarkStart w:id="458" w:name="_Toc444681363"/>
      <w:bookmarkStart w:id="459" w:name="_Toc451443504"/>
      <w:bookmarkStart w:id="460" w:name="_Toc446444487"/>
      <w:bookmarkStart w:id="461" w:name="_Toc443924328"/>
      <w:bookmarkStart w:id="462" w:name="_Toc444794277"/>
      <w:bookmarkStart w:id="463" w:name="_Toc443982910"/>
      <w:bookmarkStart w:id="464" w:name="_Toc451601656"/>
      <w:bookmarkStart w:id="465" w:name="_Toc17730"/>
      <w:bookmarkStart w:id="466" w:name="_Toc451609139"/>
      <w:bookmarkStart w:id="467" w:name="_Toc446445062"/>
      <w:r>
        <w:rPr>
          <w:rFonts w:hint="default" w:ascii="Times New Roman" w:hAnsi="Times New Roman" w:eastAsia="黑体" w:cs="Times New Roman"/>
          <w:bCs/>
          <w:sz w:val="36"/>
          <w:szCs w:val="24"/>
        </w:rPr>
        <w:t>10评价结论</w:t>
      </w:r>
      <w:bookmarkEnd w:id="458"/>
      <w:bookmarkEnd w:id="459"/>
      <w:bookmarkEnd w:id="460"/>
      <w:bookmarkEnd w:id="461"/>
      <w:bookmarkEnd w:id="462"/>
      <w:bookmarkEnd w:id="463"/>
      <w:bookmarkEnd w:id="464"/>
      <w:bookmarkEnd w:id="465"/>
      <w:bookmarkEnd w:id="466"/>
      <w:bookmarkEnd w:id="467"/>
    </w:p>
    <w:p>
      <w:pPr>
        <w:widowControl/>
        <w:snapToGrid w:val="0"/>
        <w:spacing w:line="360" w:lineRule="auto"/>
        <w:ind w:firstLine="0"/>
        <w:jc w:val="left"/>
        <w:outlineLvl w:val="1"/>
        <w:rPr>
          <w:rFonts w:hint="default" w:ascii="Times New Roman" w:hAnsi="Times New Roman" w:eastAsia="黑体" w:cs="Times New Roman"/>
          <w:sz w:val="32"/>
          <w:szCs w:val="28"/>
        </w:rPr>
      </w:pPr>
      <w:bookmarkStart w:id="468" w:name="_Toc451601657"/>
      <w:bookmarkStart w:id="469" w:name="_Toc444794278"/>
      <w:bookmarkStart w:id="470" w:name="_Toc446445063"/>
      <w:bookmarkStart w:id="471" w:name="_Toc443924329"/>
      <w:bookmarkStart w:id="472" w:name="_Toc443982911"/>
      <w:bookmarkStart w:id="473" w:name="_Toc18046"/>
      <w:bookmarkStart w:id="474" w:name="_Toc446444488"/>
      <w:bookmarkStart w:id="475" w:name="_Toc451443505"/>
      <w:bookmarkStart w:id="476" w:name="_Toc444681364"/>
      <w:bookmarkStart w:id="477" w:name="_Toc451609140"/>
      <w:r>
        <w:rPr>
          <w:rFonts w:hint="default" w:ascii="Times New Roman" w:hAnsi="Times New Roman" w:eastAsia="黑体" w:cs="Times New Roman"/>
          <w:sz w:val="32"/>
          <w:szCs w:val="28"/>
        </w:rPr>
        <w:t>10.1项目概况</w:t>
      </w:r>
      <w:bookmarkEnd w:id="468"/>
      <w:bookmarkEnd w:id="469"/>
      <w:bookmarkEnd w:id="470"/>
      <w:bookmarkEnd w:id="471"/>
      <w:bookmarkEnd w:id="472"/>
      <w:bookmarkEnd w:id="473"/>
      <w:bookmarkEnd w:id="474"/>
      <w:bookmarkEnd w:id="475"/>
      <w:bookmarkEnd w:id="476"/>
      <w:bookmarkEnd w:id="477"/>
    </w:p>
    <w:p>
      <w:pPr>
        <w:snapToGrid w:val="0"/>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color w:val="000000"/>
          <w:sz w:val="24"/>
          <w:szCs w:val="21"/>
        </w:rPr>
        <w:t>福建富轩科技有限公司新能源纳米材料项目位于福建省福州江阴港城经济区。项目为新建性质，总投资目性质41784.07万元，占地面积42000平方米，建设1条电子级硝酸生产线，年产5000吨电子级硝酸；建设3条硝酸银生产线，年产4000吨硝酸银；建设4条超细银粉生产线，年产1200吨超细银粉</w:t>
      </w:r>
      <w:r>
        <w:rPr>
          <w:rFonts w:hint="default" w:ascii="Times New Roman" w:hAnsi="Times New Roman" w:eastAsia="宋体" w:cs="Times New Roman"/>
          <w:sz w:val="24"/>
          <w:szCs w:val="24"/>
        </w:rPr>
        <w:t>。</w:t>
      </w:r>
      <w:r>
        <w:rPr>
          <w:rFonts w:hint="default" w:ascii="Times New Roman" w:hAnsi="Times New Roman" w:eastAsia="宋体" w:cs="Times New Roman"/>
          <w:color w:val="000000"/>
          <w:sz w:val="24"/>
          <w:szCs w:val="24"/>
        </w:rPr>
        <w:t>项目职工104人</w:t>
      </w:r>
      <w:r>
        <w:rPr>
          <w:rFonts w:hint="default" w:ascii="Times New Roman" w:hAnsi="Times New Roman" w:eastAsia="宋体" w:cs="Times New Roman"/>
          <w:sz w:val="24"/>
          <w:szCs w:val="24"/>
        </w:rPr>
        <w:t>，</w:t>
      </w:r>
      <w:r>
        <w:rPr>
          <w:rFonts w:hint="default" w:ascii="Times New Roman" w:hAnsi="Times New Roman" w:eastAsia="宋体" w:cs="Times New Roman"/>
          <w:color w:val="000000"/>
          <w:sz w:val="24"/>
          <w:szCs w:val="21"/>
        </w:rPr>
        <w:t>年工作300天，4班2倒</w:t>
      </w:r>
      <w:r>
        <w:rPr>
          <w:rFonts w:hint="default" w:ascii="Times New Roman" w:hAnsi="Times New Roman" w:eastAsia="宋体" w:cs="Times New Roman"/>
          <w:sz w:val="24"/>
          <w:szCs w:val="24"/>
        </w:rPr>
        <w:t>。项目预计202</w:t>
      </w:r>
      <w:r>
        <w:rPr>
          <w:rFonts w:hint="eastAsia"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年</w:t>
      </w:r>
      <w:r>
        <w:rPr>
          <w:rFonts w:hint="eastAsia"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rPr>
        <w:t>月动工，工期3个月。</w:t>
      </w:r>
    </w:p>
    <w:p>
      <w:pPr>
        <w:widowControl/>
        <w:snapToGrid w:val="0"/>
        <w:spacing w:line="360" w:lineRule="auto"/>
        <w:ind w:firstLine="0"/>
        <w:jc w:val="left"/>
        <w:outlineLvl w:val="1"/>
        <w:rPr>
          <w:rFonts w:hint="default" w:ascii="Times New Roman" w:hAnsi="Times New Roman" w:eastAsia="黑体" w:cs="Times New Roman"/>
          <w:sz w:val="30"/>
          <w:szCs w:val="30"/>
        </w:rPr>
      </w:pPr>
      <w:bookmarkStart w:id="478" w:name="_Toc444794279"/>
      <w:bookmarkStart w:id="479" w:name="_Toc451601658"/>
      <w:bookmarkStart w:id="480" w:name="_Toc443982912"/>
      <w:bookmarkStart w:id="481" w:name="_Toc446444489"/>
      <w:bookmarkStart w:id="482" w:name="_Toc4885"/>
      <w:bookmarkStart w:id="483" w:name="_Toc451609141"/>
      <w:bookmarkStart w:id="484" w:name="_Toc444681365"/>
      <w:bookmarkStart w:id="485" w:name="_Toc446445064"/>
      <w:bookmarkStart w:id="486" w:name="_Toc443924330"/>
      <w:bookmarkStart w:id="487" w:name="_Toc451443506"/>
      <w:r>
        <w:rPr>
          <w:rFonts w:hint="default" w:ascii="Times New Roman" w:hAnsi="Times New Roman" w:eastAsia="黑体" w:cs="Times New Roman"/>
          <w:sz w:val="30"/>
          <w:szCs w:val="30"/>
        </w:rPr>
        <w:t>10.2工程环境影响评价</w:t>
      </w:r>
      <w:bookmarkEnd w:id="478"/>
      <w:bookmarkEnd w:id="479"/>
      <w:bookmarkEnd w:id="480"/>
      <w:bookmarkEnd w:id="481"/>
      <w:bookmarkEnd w:id="482"/>
      <w:bookmarkEnd w:id="483"/>
      <w:bookmarkEnd w:id="484"/>
      <w:bookmarkEnd w:id="485"/>
      <w:bookmarkEnd w:id="486"/>
      <w:bookmarkEnd w:id="487"/>
    </w:p>
    <w:p>
      <w:pPr>
        <w:widowControl/>
        <w:snapToGrid w:val="0"/>
        <w:spacing w:line="360" w:lineRule="auto"/>
        <w:ind w:firstLine="0"/>
        <w:jc w:val="left"/>
        <w:outlineLvl w:val="2"/>
        <w:rPr>
          <w:rFonts w:hint="default" w:ascii="Times New Roman" w:hAnsi="Times New Roman" w:eastAsia="黑体" w:cs="Times New Roman"/>
          <w:bCs/>
          <w:szCs w:val="24"/>
        </w:rPr>
      </w:pPr>
      <w:r>
        <w:rPr>
          <w:rFonts w:hint="default" w:ascii="Times New Roman" w:hAnsi="Times New Roman" w:eastAsia="黑体" w:cs="Times New Roman"/>
          <w:bCs/>
          <w:szCs w:val="24"/>
        </w:rPr>
        <w:t>10.2.1环境空气</w:t>
      </w:r>
    </w:p>
    <w:p>
      <w:pPr>
        <w:snapToGrid w:val="0"/>
        <w:spacing w:line="360" w:lineRule="auto"/>
        <w:ind w:firstLine="480"/>
        <w:rPr>
          <w:rFonts w:hint="default" w:ascii="Times New Roman" w:hAnsi="Times New Roman" w:eastAsia="宋体" w:cs="Times New Roman"/>
          <w:b/>
          <w:bCs/>
          <w:sz w:val="24"/>
          <w:szCs w:val="21"/>
        </w:rPr>
      </w:pPr>
      <w:r>
        <w:rPr>
          <w:rFonts w:hint="default" w:ascii="Times New Roman" w:hAnsi="Times New Roman" w:eastAsia="宋体" w:cs="Times New Roman"/>
          <w:b/>
          <w:bCs/>
          <w:sz w:val="24"/>
          <w:szCs w:val="21"/>
        </w:rPr>
        <w:t>（1）主要环境保护目标</w:t>
      </w:r>
    </w:p>
    <w:p>
      <w:pPr>
        <w:snapToGrid w:val="0"/>
        <w:spacing w:line="360" w:lineRule="auto"/>
        <w:ind w:firstLine="48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南曹村、东井村、何厝村、下石村</w:t>
      </w:r>
      <w:r>
        <w:rPr>
          <w:rFonts w:hint="default" w:ascii="Times New Roman" w:hAnsi="Times New Roman" w:eastAsia="宋体" w:cs="Times New Roman"/>
          <w:color w:val="auto"/>
          <w:sz w:val="24"/>
          <w:szCs w:val="24"/>
        </w:rPr>
        <w:t>等评价范围内的村庄居民。</w:t>
      </w:r>
    </w:p>
    <w:p>
      <w:pPr>
        <w:snapToGrid w:val="0"/>
        <w:spacing w:line="360" w:lineRule="auto"/>
        <w:ind w:firstLine="480"/>
        <w:rPr>
          <w:rFonts w:hint="default" w:ascii="Times New Roman" w:hAnsi="Times New Roman" w:eastAsia="宋体" w:cs="Times New Roman"/>
          <w:b/>
          <w:bCs/>
          <w:color w:val="auto"/>
          <w:sz w:val="24"/>
          <w:szCs w:val="21"/>
        </w:rPr>
      </w:pPr>
      <w:r>
        <w:rPr>
          <w:rFonts w:hint="default" w:ascii="Times New Roman" w:hAnsi="Times New Roman" w:eastAsia="宋体" w:cs="Times New Roman"/>
          <w:b/>
          <w:bCs/>
          <w:color w:val="auto"/>
          <w:sz w:val="24"/>
          <w:szCs w:val="21"/>
        </w:rPr>
        <w:t>（2）空气质量现状</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根据福清环境监测站在福州江阴港城经济区布置的监测站点的2020年全年大气数据，</w:t>
      </w:r>
      <w:r>
        <w:rPr>
          <w:rFonts w:hint="default" w:ascii="Times New Roman" w:hAnsi="Times New Roman" w:eastAsia="宋体" w:cs="Times New Roman"/>
          <w:caps w:val="0"/>
          <w:color w:val="auto"/>
          <w:sz w:val="24"/>
          <w:highlight w:val="none"/>
          <w:u w:val="none" w:color="auto"/>
        </w:rPr>
        <w:t>SO</w:t>
      </w:r>
      <w:r>
        <w:rPr>
          <w:rFonts w:hint="default" w:ascii="Times New Roman" w:hAnsi="Times New Roman" w:eastAsia="宋体" w:cs="Times New Roman"/>
          <w:caps w:val="0"/>
          <w:color w:val="auto"/>
          <w:sz w:val="24"/>
          <w:highlight w:val="none"/>
          <w:u w:val="none" w:color="auto"/>
          <w:vertAlign w:val="subscript"/>
        </w:rPr>
        <w:t>2</w:t>
      </w:r>
      <w:r>
        <w:rPr>
          <w:rFonts w:hint="default" w:ascii="Times New Roman" w:hAnsi="Times New Roman" w:eastAsia="宋体" w:cs="Times New Roman"/>
          <w:caps w:val="0"/>
          <w:color w:val="auto"/>
          <w:sz w:val="24"/>
          <w:highlight w:val="none"/>
          <w:u w:val="none" w:color="auto"/>
        </w:rPr>
        <w:t>、NO</w:t>
      </w:r>
      <w:r>
        <w:rPr>
          <w:rFonts w:hint="default" w:ascii="Times New Roman" w:hAnsi="Times New Roman" w:eastAsia="宋体" w:cs="Times New Roman"/>
          <w:caps w:val="0"/>
          <w:color w:val="auto"/>
          <w:sz w:val="24"/>
          <w:highlight w:val="none"/>
          <w:u w:val="none" w:color="auto"/>
          <w:vertAlign w:val="subscript"/>
        </w:rPr>
        <w:t>2</w:t>
      </w:r>
      <w:r>
        <w:rPr>
          <w:rFonts w:hint="default" w:ascii="Times New Roman" w:hAnsi="Times New Roman" w:eastAsia="宋体" w:cs="Times New Roman"/>
          <w:caps w:val="0"/>
          <w:color w:val="auto"/>
          <w:sz w:val="24"/>
          <w:highlight w:val="none"/>
          <w:u w:val="none" w:color="auto"/>
        </w:rPr>
        <w:t>年平均及24小时平均第98百分位数浓度达到《环境空气质量标准》（GB3095-2012）二级标准；PM</w:t>
      </w:r>
      <w:r>
        <w:rPr>
          <w:rFonts w:hint="default" w:ascii="Times New Roman" w:hAnsi="Times New Roman" w:eastAsia="宋体" w:cs="Times New Roman"/>
          <w:caps w:val="0"/>
          <w:color w:val="auto"/>
          <w:sz w:val="24"/>
          <w:highlight w:val="none"/>
          <w:u w:val="none" w:color="auto"/>
          <w:vertAlign w:val="subscript"/>
        </w:rPr>
        <w:t>2.5</w:t>
      </w:r>
      <w:r>
        <w:rPr>
          <w:rFonts w:hint="eastAsia" w:ascii="Times New Roman" w:hAnsi="Times New Roman" w:eastAsia="宋体" w:cs="Times New Roman"/>
          <w:caps w:val="0"/>
          <w:color w:val="auto"/>
          <w:sz w:val="24"/>
          <w:highlight w:val="none"/>
          <w:u w:val="none" w:color="auto"/>
          <w:lang w:eastAsia="zh-CN"/>
        </w:rPr>
        <w:t>、</w:t>
      </w:r>
      <w:r>
        <w:rPr>
          <w:rFonts w:hint="default" w:ascii="Times New Roman" w:hAnsi="Times New Roman" w:eastAsia="宋体" w:cs="Times New Roman"/>
          <w:caps w:val="0"/>
          <w:color w:val="auto"/>
          <w:sz w:val="24"/>
          <w:highlight w:val="none"/>
          <w:u w:val="none" w:color="auto"/>
        </w:rPr>
        <w:t>PM</w:t>
      </w:r>
      <w:r>
        <w:rPr>
          <w:rFonts w:hint="default" w:ascii="Times New Roman" w:hAnsi="Times New Roman" w:eastAsia="宋体" w:cs="Times New Roman"/>
          <w:caps w:val="0"/>
          <w:color w:val="auto"/>
          <w:sz w:val="24"/>
          <w:highlight w:val="none"/>
          <w:u w:val="none" w:color="auto"/>
          <w:vertAlign w:val="subscript"/>
        </w:rPr>
        <w:t>10</w:t>
      </w:r>
      <w:r>
        <w:rPr>
          <w:rFonts w:hint="default" w:ascii="Times New Roman" w:hAnsi="Times New Roman" w:eastAsia="宋体" w:cs="Times New Roman"/>
          <w:caps w:val="0"/>
          <w:color w:val="auto"/>
          <w:sz w:val="24"/>
          <w:highlight w:val="none"/>
          <w:u w:val="none" w:color="auto"/>
        </w:rPr>
        <w:t>年平均及24小时平均第95百分位数浓度达到《环境空气质量标准》（GB3095-2012）二级标准；CO 24小时平均第95百分位数、O</w:t>
      </w:r>
      <w:r>
        <w:rPr>
          <w:rFonts w:hint="default" w:ascii="Times New Roman" w:hAnsi="Times New Roman" w:eastAsia="宋体" w:cs="Times New Roman"/>
          <w:caps w:val="0"/>
          <w:color w:val="auto"/>
          <w:sz w:val="24"/>
          <w:highlight w:val="none"/>
          <w:u w:val="none" w:color="auto"/>
          <w:vertAlign w:val="subscript"/>
        </w:rPr>
        <w:t>3</w:t>
      </w:r>
      <w:r>
        <w:rPr>
          <w:rFonts w:hint="default" w:ascii="Times New Roman" w:hAnsi="Times New Roman" w:eastAsia="宋体" w:cs="Times New Roman"/>
          <w:caps w:val="0"/>
          <w:color w:val="auto"/>
          <w:sz w:val="24"/>
          <w:highlight w:val="none"/>
          <w:u w:val="none" w:color="auto"/>
        </w:rPr>
        <w:t>日最大8小时平均第90百分位数浓度达到《环境空气质量标准》（GB3095-2012）二级标准。</w:t>
      </w:r>
      <w:r>
        <w:rPr>
          <w:rFonts w:hint="default" w:ascii="Times New Roman" w:hAnsi="Times New Roman" w:eastAsia="宋体" w:cs="Times New Roman"/>
          <w:caps w:val="0"/>
          <w:color w:val="auto"/>
          <w:sz w:val="24"/>
          <w:highlight w:val="none"/>
          <w:u w:val="none" w:color="auto"/>
          <w:lang w:val="en-US" w:eastAsia="zh-CN"/>
        </w:rPr>
        <w:t>说明项目所在区域环境空气质量属于达标区。</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甲醛、氨符合《环境影响评价技术导则  大气环境》（HJ2.2-2018）附录D浓度限值，</w:t>
      </w:r>
      <w:r>
        <w:rPr>
          <w:rFonts w:hint="eastAsia" w:ascii="Times New Roman" w:hAnsi="Times New Roman" w:eastAsia="宋体" w:cs="Times New Roman"/>
          <w:color w:val="auto"/>
          <w:sz w:val="24"/>
          <w:szCs w:val="21"/>
          <w:lang w:val="en-US" w:eastAsia="zh-CN"/>
        </w:rPr>
        <w:t>非甲烷总烃</w:t>
      </w:r>
      <w:r>
        <w:rPr>
          <w:rFonts w:hint="default" w:ascii="Times New Roman" w:hAnsi="Times New Roman" w:eastAsia="宋体" w:cs="Times New Roman"/>
          <w:color w:val="auto"/>
          <w:sz w:val="24"/>
          <w:szCs w:val="21"/>
        </w:rPr>
        <w:t>符合《大气污染物综合排放标准详解》中Cm取值的标准，</w:t>
      </w:r>
      <w:r>
        <w:rPr>
          <w:rFonts w:hint="default" w:ascii="Times New Roman" w:hAnsi="Times New Roman" w:eastAsia="宋体" w:cs="Times New Roman"/>
          <w:color w:val="auto"/>
          <w:sz w:val="24"/>
          <w:szCs w:val="24"/>
        </w:rPr>
        <w:t>评价区域的环境空气质量现状良好。</w:t>
      </w:r>
    </w:p>
    <w:p>
      <w:pPr>
        <w:snapToGrid w:val="0"/>
        <w:spacing w:line="360" w:lineRule="auto"/>
        <w:ind w:firstLine="480"/>
        <w:rPr>
          <w:rFonts w:hint="default" w:ascii="Times New Roman" w:hAnsi="Times New Roman" w:eastAsia="宋体" w:cs="Times New Roman"/>
          <w:b/>
          <w:bCs/>
          <w:color w:val="auto"/>
          <w:sz w:val="24"/>
          <w:szCs w:val="21"/>
        </w:rPr>
      </w:pPr>
      <w:r>
        <w:rPr>
          <w:rFonts w:hint="default" w:ascii="Times New Roman" w:hAnsi="Times New Roman" w:eastAsia="宋体" w:cs="Times New Roman"/>
          <w:b/>
          <w:bCs/>
          <w:color w:val="auto"/>
          <w:sz w:val="24"/>
          <w:szCs w:val="21"/>
        </w:rPr>
        <w:t>（3）主要环保措施</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全厂设</w:t>
      </w:r>
      <w:r>
        <w:rPr>
          <w:rFonts w:hint="eastAsia" w:ascii="Times New Roman" w:hAnsi="Times New Roman" w:eastAsia="宋体" w:cs="Times New Roman"/>
          <w:color w:val="auto"/>
          <w:sz w:val="24"/>
          <w:szCs w:val="21"/>
          <w:lang w:val="en-US" w:eastAsia="zh-CN"/>
        </w:rPr>
        <w:t>5</w:t>
      </w:r>
      <w:r>
        <w:rPr>
          <w:rFonts w:hint="default" w:ascii="Times New Roman" w:hAnsi="Times New Roman" w:eastAsia="宋体" w:cs="Times New Roman"/>
          <w:color w:val="auto"/>
          <w:sz w:val="24"/>
          <w:szCs w:val="21"/>
        </w:rPr>
        <w:t>个排气筒。</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①DA001</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电子级硝酸生产废气经二级水吸收+强氧化吸收+二级碱吸收处理后由1根25m高排气筒（DA001）排放；硝酸银溶银废气经双氧水预洗塔后的尾气经二级水吸收+强氧化吸收+二级碱吸收后DA001排放。</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②DA002</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含银废液三效蒸发器不凝气、超细银粉反应废气先经氨回收塔回收氨气后再经二级水吸收+二级水洗+高效除雾装置+活性炭吸附处理后由25m高排气筒（DA002）排放；分散废气、乙醇精馏不凝气、干燥废气经二级水洗+高效除雾装置+活性炭吸附处理后由DA002排放。</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③DA003</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罐区废气、污水站生化系统废气</w:t>
      </w:r>
      <w:r>
        <w:rPr>
          <w:rFonts w:hint="eastAsia" w:ascii="Times New Roman" w:hAnsi="Times New Roman" w:eastAsia="宋体" w:cs="Times New Roman"/>
          <w:color w:val="auto"/>
          <w:sz w:val="24"/>
          <w:szCs w:val="21"/>
          <w:lang w:eastAsia="zh-CN"/>
        </w:rPr>
        <w:t>、</w:t>
      </w:r>
      <w:r>
        <w:rPr>
          <w:rFonts w:hint="eastAsia" w:ascii="Times New Roman" w:hAnsi="Times New Roman" w:eastAsia="宋体" w:cs="Times New Roman"/>
          <w:color w:val="auto"/>
          <w:sz w:val="24"/>
          <w:szCs w:val="21"/>
          <w:lang w:val="en-US" w:eastAsia="zh-CN"/>
        </w:rPr>
        <w:t>危废间废气</w:t>
      </w:r>
      <w:r>
        <w:rPr>
          <w:rFonts w:hint="default" w:ascii="Times New Roman" w:hAnsi="Times New Roman" w:eastAsia="宋体" w:cs="Times New Roman"/>
          <w:color w:val="auto"/>
          <w:sz w:val="24"/>
          <w:szCs w:val="21"/>
        </w:rPr>
        <w:t>经集气收集后进入氧化吸收+碱吸收+生物除臭处理由15m高排气筒（DA003）排放。</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④DA004</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超细银粉抗坏血酸投料废气、破碎、包装废气经相当的布袋除尘器处理后由25m高排气筒（DA004）排放。</w:t>
      </w:r>
    </w:p>
    <w:p>
      <w:pPr>
        <w:pStyle w:val="27"/>
        <w:keepNext w:val="0"/>
        <w:keepLines w:val="0"/>
        <w:pageBreakBefore w:val="0"/>
        <w:widowControl w:val="0"/>
        <w:kinsoku/>
        <w:wordWrap/>
        <w:overflowPunct/>
        <w:topLinePunct w:val="0"/>
        <w:autoSpaceDE/>
        <w:autoSpaceDN/>
        <w:bidi w:val="0"/>
        <w:adjustRightInd/>
        <w:snapToGrid/>
        <w:spacing w:after="0" w:line="360" w:lineRule="auto"/>
        <w:ind w:firstLine="480"/>
        <w:textAlignment w:val="auto"/>
        <w:rPr>
          <w:rFonts w:hint="default"/>
          <w:color w:val="auto"/>
          <w:sz w:val="24"/>
          <w:szCs w:val="32"/>
        </w:rPr>
      </w:pPr>
      <w:r>
        <w:rPr>
          <w:rFonts w:hint="eastAsia"/>
          <w:color w:val="auto"/>
          <w:sz w:val="24"/>
          <w:szCs w:val="32"/>
          <w:lang w:val="en-US" w:eastAsia="zh-CN"/>
        </w:rPr>
        <w:t>⑤</w:t>
      </w:r>
      <w:r>
        <w:rPr>
          <w:rFonts w:hint="default"/>
          <w:color w:val="auto"/>
          <w:sz w:val="24"/>
          <w:szCs w:val="32"/>
        </w:rPr>
        <w:t>DA005 污水站配套的三效蒸发器蒸发气通过15m高排气筒（DA005）排放。</w:t>
      </w:r>
    </w:p>
    <w:p>
      <w:pPr>
        <w:snapToGrid w:val="0"/>
        <w:spacing w:line="360" w:lineRule="auto"/>
        <w:ind w:firstLine="480"/>
        <w:rPr>
          <w:rFonts w:hint="default" w:ascii="Times New Roman" w:hAnsi="Times New Roman" w:eastAsia="宋体" w:cs="Times New Roman"/>
          <w:b/>
          <w:bCs/>
          <w:color w:val="auto"/>
          <w:sz w:val="24"/>
          <w:szCs w:val="21"/>
        </w:rPr>
      </w:pPr>
      <w:r>
        <w:rPr>
          <w:rFonts w:hint="default" w:ascii="Times New Roman" w:hAnsi="Times New Roman" w:eastAsia="宋体" w:cs="Times New Roman"/>
          <w:b/>
          <w:bCs/>
          <w:color w:val="auto"/>
          <w:sz w:val="24"/>
          <w:szCs w:val="21"/>
        </w:rPr>
        <w:t>（4）环境影响</w:t>
      </w:r>
    </w:p>
    <w:p>
      <w:pPr>
        <w:snapToGrid w:val="0"/>
        <w:spacing w:line="360" w:lineRule="auto"/>
        <w:ind w:firstLine="480"/>
        <w:rPr>
          <w:rFonts w:hint="default" w:ascii="Times New Roman" w:hAnsi="Times New Roman" w:eastAsia="宋体" w:cs="Times New Roman"/>
          <w:color w:val="auto"/>
          <w:sz w:val="24"/>
          <w:szCs w:val="24"/>
        </w:rPr>
      </w:pPr>
      <w:bookmarkStart w:id="488" w:name="OLE_LINK5"/>
      <w:r>
        <w:rPr>
          <w:rFonts w:hint="default" w:ascii="Times New Roman" w:hAnsi="Times New Roman" w:eastAsia="宋体" w:cs="Times New Roman"/>
          <w:color w:val="auto"/>
          <w:sz w:val="24"/>
          <w:szCs w:val="24"/>
        </w:rPr>
        <w:t>①项目所在区域为环境空气达标区，根据AERMOD进一步预测结果，项目正常运行时，新增污染源正常排放下污染物短期浓度贡献值的最大浓度占标率≤100%，项目环境影响符合环境功能区划。叠加现状浓度、区域在建、拟建项目的环境影响后，各污染物短期浓度均符合相应环境质量标准，项目大气环境影响可以接受。根据非正常排放预测结果，各污染物在各敏感点和网格点的贡献质量浓度均可达标，应杜绝项目废气非正常排放，减少环境影响。</w:t>
      </w:r>
    </w:p>
    <w:p>
      <w:pPr>
        <w:snapToGrid w:val="0"/>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②采用进一步预测模型预测本项目主要污染物的短期贡献浓度分布，本项目厂界线外部没有超标点，因此，本项目无须设置大气环境防护距离。本项目</w:t>
      </w:r>
      <w:r>
        <w:rPr>
          <w:rFonts w:hint="eastAsia" w:ascii="Times New Roman" w:hAnsi="Times New Roman" w:eastAsia="宋体" w:cs="Times New Roman"/>
          <w:color w:val="auto"/>
          <w:sz w:val="24"/>
          <w:szCs w:val="24"/>
          <w:lang w:val="en-US" w:eastAsia="zh-CN"/>
        </w:rPr>
        <w:t>环境</w:t>
      </w:r>
      <w:r>
        <w:rPr>
          <w:rFonts w:hint="default" w:ascii="Times New Roman" w:hAnsi="Times New Roman" w:eastAsia="宋体" w:cs="Times New Roman"/>
          <w:color w:val="auto"/>
          <w:sz w:val="24"/>
          <w:szCs w:val="24"/>
        </w:rPr>
        <w:t>防护距离为</w:t>
      </w:r>
      <w:r>
        <w:rPr>
          <w:rFonts w:hint="eastAsia" w:ascii="Times New Roman" w:hAnsi="Times New Roman" w:eastAsia="宋体" w:cs="Times New Roman"/>
          <w:color w:val="auto"/>
          <w:sz w:val="24"/>
          <w:szCs w:val="24"/>
          <w:lang w:val="en-US" w:eastAsia="zh-CN"/>
        </w:rPr>
        <w:t>二号</w:t>
      </w:r>
      <w:r>
        <w:rPr>
          <w:rFonts w:hint="default" w:ascii="Times New Roman" w:hAnsi="Times New Roman" w:eastAsia="宋体" w:cs="Times New Roman"/>
          <w:color w:val="auto"/>
          <w:sz w:val="24"/>
          <w:szCs w:val="24"/>
        </w:rPr>
        <w:t>车间外100m、污水站外100m形成的包络区域。</w:t>
      </w:r>
    </w:p>
    <w:bookmarkEnd w:id="488"/>
    <w:p>
      <w:pPr>
        <w:widowControl/>
        <w:snapToGrid w:val="0"/>
        <w:spacing w:line="360" w:lineRule="auto"/>
        <w:ind w:firstLine="0"/>
        <w:jc w:val="left"/>
        <w:outlineLvl w:val="2"/>
        <w:rPr>
          <w:rFonts w:hint="default" w:ascii="Times New Roman" w:hAnsi="Times New Roman" w:eastAsia="黑体" w:cs="Times New Roman"/>
          <w:bCs/>
          <w:color w:val="auto"/>
          <w:szCs w:val="24"/>
        </w:rPr>
      </w:pPr>
      <w:r>
        <w:rPr>
          <w:rFonts w:hint="default" w:ascii="Times New Roman" w:hAnsi="Times New Roman" w:eastAsia="黑体" w:cs="Times New Roman"/>
          <w:bCs/>
          <w:color w:val="auto"/>
          <w:szCs w:val="24"/>
        </w:rPr>
        <w:t>10.2.2水环境</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（1）主要环境保护目标</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项目冷却水循环使用</w:t>
      </w:r>
      <w:r>
        <w:rPr>
          <w:rFonts w:hint="eastAsia" w:ascii="Times New Roman" w:hAnsi="Times New Roman" w:eastAsia="宋体" w:cs="Times New Roman"/>
          <w:color w:val="auto"/>
          <w:sz w:val="24"/>
          <w:szCs w:val="21"/>
          <w:lang w:eastAsia="zh-CN"/>
        </w:rPr>
        <w:t>；</w:t>
      </w:r>
      <w:r>
        <w:rPr>
          <w:rFonts w:hint="default" w:ascii="Times New Roman" w:hAnsi="Times New Roman" w:eastAsia="宋体" w:cs="Times New Roman"/>
          <w:color w:val="auto"/>
          <w:sz w:val="24"/>
          <w:szCs w:val="21"/>
        </w:rPr>
        <w:t>含银废水等各</w:t>
      </w:r>
      <w:r>
        <w:rPr>
          <w:rFonts w:hint="eastAsia" w:ascii="Times New Roman" w:hAnsi="Times New Roman" w:eastAsia="宋体" w:cs="Times New Roman"/>
          <w:color w:val="auto"/>
          <w:sz w:val="24"/>
          <w:szCs w:val="21"/>
          <w:lang w:eastAsia="zh-CN"/>
        </w:rPr>
        <w:t>、</w:t>
      </w:r>
      <w:r>
        <w:rPr>
          <w:rFonts w:hint="default" w:ascii="Times New Roman" w:hAnsi="Times New Roman" w:eastAsia="宋体" w:cs="Times New Roman"/>
          <w:color w:val="auto"/>
          <w:sz w:val="24"/>
          <w:szCs w:val="21"/>
        </w:rPr>
        <w:t>废气处理塔排水、水环真空泵废水、化验室废水经处理后回用不外排</w:t>
      </w:r>
      <w:r>
        <w:rPr>
          <w:rFonts w:hint="eastAsia" w:ascii="Times New Roman" w:hAnsi="Times New Roman" w:eastAsia="宋体" w:cs="Times New Roman"/>
          <w:color w:val="auto"/>
          <w:sz w:val="24"/>
          <w:szCs w:val="21"/>
          <w:lang w:eastAsia="zh-CN"/>
        </w:rPr>
        <w:t>；</w:t>
      </w:r>
      <w:r>
        <w:rPr>
          <w:rFonts w:hint="eastAsia" w:ascii="Times New Roman" w:hAnsi="Times New Roman" w:eastAsia="宋体" w:cs="Times New Roman"/>
          <w:color w:val="auto"/>
          <w:sz w:val="24"/>
          <w:szCs w:val="21"/>
          <w:lang w:val="en-US" w:eastAsia="zh-CN"/>
        </w:rPr>
        <w:t>去离子水站排水、</w:t>
      </w:r>
      <w:r>
        <w:rPr>
          <w:rFonts w:hint="default" w:ascii="Times New Roman" w:hAnsi="Times New Roman" w:eastAsia="宋体" w:cs="Times New Roman"/>
          <w:color w:val="auto"/>
          <w:sz w:val="24"/>
          <w:szCs w:val="21"/>
        </w:rPr>
        <w:t>循环水场</w:t>
      </w:r>
      <w:r>
        <w:rPr>
          <w:rFonts w:hint="eastAsia" w:ascii="Times New Roman" w:hAnsi="Times New Roman" w:eastAsia="宋体" w:cs="Times New Roman"/>
          <w:color w:val="auto"/>
          <w:sz w:val="24"/>
          <w:szCs w:val="21"/>
          <w:lang w:val="en-US" w:eastAsia="zh-CN"/>
        </w:rPr>
        <w:t>间接冷却</w:t>
      </w:r>
      <w:r>
        <w:rPr>
          <w:rFonts w:hint="default" w:ascii="Times New Roman" w:hAnsi="Times New Roman" w:eastAsia="宋体" w:cs="Times New Roman"/>
          <w:color w:val="auto"/>
          <w:sz w:val="24"/>
          <w:szCs w:val="21"/>
        </w:rPr>
        <w:t>排水、</w:t>
      </w:r>
      <w:r>
        <w:rPr>
          <w:rFonts w:hint="eastAsia" w:ascii="Times New Roman" w:hAnsi="Times New Roman" w:eastAsia="宋体" w:cs="Times New Roman"/>
          <w:color w:val="auto"/>
          <w:sz w:val="24"/>
          <w:szCs w:val="21"/>
          <w:lang w:val="en-US" w:eastAsia="zh-CN"/>
        </w:rPr>
        <w:t>生活污水</w:t>
      </w:r>
      <w:r>
        <w:rPr>
          <w:rFonts w:hint="default" w:ascii="Times New Roman" w:hAnsi="Times New Roman" w:eastAsia="宋体" w:cs="Times New Roman"/>
          <w:color w:val="auto"/>
          <w:sz w:val="24"/>
          <w:szCs w:val="21"/>
        </w:rPr>
        <w:t>排入江阴污水处理厂进一步处理后排入兴化湾。因此，确定本项目水环境保护目标为排污口附近兴化湾海域。</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（2）海域环境质量现状</w:t>
      </w:r>
    </w:p>
    <w:p>
      <w:pPr>
        <w:snapToGrid w:val="0"/>
        <w:spacing w:line="360" w:lineRule="auto"/>
        <w:ind w:firstLine="48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①海水监测及评价结果</w:t>
      </w:r>
    </w:p>
    <w:p>
      <w:pPr>
        <w:snapToGrid w:val="0"/>
        <w:spacing w:line="360" w:lineRule="auto"/>
        <w:ind w:firstLine="48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本评价海域资料引用福建省环保厅发布的《2020年春季福建省海洋环境质量监测数据信息公开（234个国省控点位）》和《2020年秋季福建省海洋环境质量监测数据信息公开（234个国省控点位）》中FJD01026点位（E119.3211，N25.3861）监测数据。FJD01026点位pH、COD、石油类、DO、无机氮</w:t>
      </w:r>
      <w:r>
        <w:rPr>
          <w:rFonts w:hint="eastAsia" w:ascii="Times New Roman" w:hAnsi="Times New Roman" w:eastAsia="宋体" w:cs="Times New Roman"/>
          <w:bCs/>
          <w:color w:val="auto"/>
          <w:sz w:val="24"/>
          <w:szCs w:val="24"/>
          <w:lang w:val="en-US" w:eastAsia="zh-CN"/>
        </w:rPr>
        <w:t>等</w:t>
      </w:r>
      <w:r>
        <w:rPr>
          <w:rFonts w:hint="default" w:ascii="Times New Roman" w:hAnsi="Times New Roman" w:eastAsia="宋体" w:cs="Times New Roman"/>
          <w:bCs/>
          <w:color w:val="auto"/>
          <w:sz w:val="24"/>
          <w:szCs w:val="24"/>
        </w:rPr>
        <w:t>浓度均能满足《海水水质标准》（GB3097-1997）第三类标准；活性磷酸盐超过第三类海水水质标准要求，可能与城镇生活污水、周边海域养殖废水直接排入近岸海域有关。</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（3）主要环保措施</w:t>
      </w:r>
    </w:p>
    <w:p>
      <w:pPr>
        <w:snapToGrid w:val="0"/>
        <w:spacing w:line="360" w:lineRule="auto"/>
        <w:ind w:firstLine="480"/>
        <w:rPr>
          <w:rFonts w:hint="eastAsia" w:ascii="Times New Roman" w:hAnsi="Times New Roman" w:eastAsia="宋体" w:cs="Times New Roman"/>
          <w:color w:val="auto"/>
          <w:sz w:val="24"/>
          <w:szCs w:val="21"/>
          <w:lang w:val="en-US" w:eastAsia="zh-CN"/>
        </w:rPr>
      </w:pPr>
      <w:r>
        <w:rPr>
          <w:rFonts w:hint="eastAsia" w:ascii="Times New Roman" w:hAnsi="Times New Roman" w:eastAsia="宋体" w:cs="Times New Roman"/>
          <w:color w:val="auto"/>
          <w:sz w:val="24"/>
          <w:szCs w:val="21"/>
          <w:lang w:val="en-US" w:eastAsia="zh-CN"/>
        </w:rPr>
        <w:t>①超细银粉一道洗涤废水去含银废液三效（处理能力3t/h）蒸发，冷凝液去污水站处理。</w:t>
      </w:r>
    </w:p>
    <w:p>
      <w:pPr>
        <w:snapToGrid w:val="0"/>
        <w:spacing w:line="360" w:lineRule="auto"/>
        <w:ind w:firstLine="480"/>
        <w:rPr>
          <w:rFonts w:hint="eastAsia" w:ascii="Times New Roman" w:hAnsi="Times New Roman" w:eastAsia="宋体" w:cs="Times New Roman"/>
          <w:color w:val="auto"/>
          <w:sz w:val="24"/>
          <w:szCs w:val="21"/>
          <w:lang w:val="en-US" w:eastAsia="zh-CN"/>
        </w:rPr>
      </w:pPr>
      <w:r>
        <w:rPr>
          <w:rFonts w:hint="eastAsia" w:ascii="Times New Roman" w:hAnsi="Times New Roman" w:eastAsia="宋体" w:cs="Times New Roman"/>
          <w:color w:val="auto"/>
          <w:sz w:val="24"/>
          <w:szCs w:val="21"/>
          <w:lang w:val="en-US" w:eastAsia="zh-CN"/>
        </w:rPr>
        <w:t>②硝酸银生产线蒸馏冷凝液、超细银粉二、三道洗涤废水去含银废水预处理系统处理后再去污水站处理。</w:t>
      </w:r>
    </w:p>
    <w:p>
      <w:pPr>
        <w:snapToGrid w:val="0"/>
        <w:spacing w:line="360" w:lineRule="auto"/>
        <w:ind w:firstLine="480"/>
        <w:rPr>
          <w:rFonts w:hint="eastAsia" w:ascii="Times New Roman" w:hAnsi="Times New Roman" w:eastAsia="宋体" w:cs="Times New Roman"/>
          <w:color w:val="auto"/>
          <w:sz w:val="24"/>
          <w:szCs w:val="21"/>
          <w:lang w:val="en-US" w:eastAsia="zh-CN"/>
        </w:rPr>
      </w:pPr>
      <w:r>
        <w:rPr>
          <w:rFonts w:hint="eastAsia" w:ascii="Times New Roman" w:hAnsi="Times New Roman" w:eastAsia="宋体" w:cs="Times New Roman"/>
          <w:color w:val="auto"/>
          <w:sz w:val="24"/>
          <w:szCs w:val="21"/>
          <w:lang w:val="en-US" w:eastAsia="zh-CN"/>
        </w:rPr>
        <w:t>③各废气处理塔排水、水环真空泵废水、化验室废水及预处理后的含银废水进入污水站处理，污水站生化处理系统处理能力15t/h，生化出水进入UF+二级RO系统处理，浓水进入污水站配套的三效蒸发器（处理能力3t/h）蒸发处理，产水回用；</w:t>
      </w:r>
    </w:p>
    <w:p>
      <w:pPr>
        <w:snapToGrid w:val="0"/>
        <w:spacing w:line="360" w:lineRule="auto"/>
        <w:ind w:firstLine="480"/>
        <w:rPr>
          <w:rFonts w:hint="eastAsia" w:ascii="Times New Roman" w:hAnsi="Times New Roman" w:eastAsia="宋体" w:cs="Times New Roman"/>
          <w:color w:val="auto"/>
          <w:sz w:val="24"/>
          <w:szCs w:val="21"/>
          <w:lang w:val="en-US" w:eastAsia="zh-CN"/>
        </w:rPr>
      </w:pPr>
      <w:r>
        <w:rPr>
          <w:rFonts w:hint="eastAsia" w:ascii="Times New Roman" w:hAnsi="Times New Roman" w:eastAsia="宋体" w:cs="Times New Roman"/>
          <w:color w:val="auto"/>
          <w:sz w:val="24"/>
          <w:szCs w:val="21"/>
          <w:lang w:val="en-US" w:eastAsia="zh-CN"/>
        </w:rPr>
        <w:t>④经化粪池处理后的生活污水经过生活污水排放口排入江阴污水处理厂；</w:t>
      </w:r>
    </w:p>
    <w:p>
      <w:pPr>
        <w:snapToGrid w:val="0"/>
        <w:spacing w:line="360" w:lineRule="auto"/>
        <w:ind w:firstLine="480"/>
        <w:rPr>
          <w:rFonts w:hint="eastAsia" w:ascii="Times New Roman" w:hAnsi="Times New Roman" w:eastAsia="宋体" w:cs="Times New Roman"/>
          <w:color w:val="auto"/>
          <w:sz w:val="24"/>
          <w:szCs w:val="21"/>
          <w:vertAlign w:val="superscript"/>
          <w:lang w:val="en-US" w:eastAsia="zh-CN"/>
        </w:rPr>
      </w:pPr>
      <w:r>
        <w:rPr>
          <w:rFonts w:hint="eastAsia" w:ascii="Times New Roman" w:hAnsi="Times New Roman" w:eastAsia="宋体" w:cs="Times New Roman"/>
          <w:color w:val="auto"/>
          <w:sz w:val="24"/>
          <w:szCs w:val="21"/>
          <w:lang w:val="en-US" w:eastAsia="zh-CN"/>
        </w:rPr>
        <w:t>⑤全厂设置1座初期雨水池，有效容积为400m</w:t>
      </w:r>
      <w:r>
        <w:rPr>
          <w:rFonts w:hint="eastAsia" w:ascii="Times New Roman" w:hAnsi="Times New Roman" w:eastAsia="宋体" w:cs="Times New Roman"/>
          <w:color w:val="auto"/>
          <w:sz w:val="24"/>
          <w:szCs w:val="21"/>
          <w:vertAlign w:val="superscript"/>
          <w:lang w:val="en-US" w:eastAsia="zh-CN"/>
        </w:rPr>
        <w:t>3</w:t>
      </w:r>
      <w:r>
        <w:rPr>
          <w:rFonts w:hint="eastAsia" w:ascii="Times New Roman" w:hAnsi="Times New Roman" w:eastAsia="宋体" w:cs="Times New Roman"/>
          <w:color w:val="auto"/>
          <w:sz w:val="24"/>
          <w:szCs w:val="21"/>
          <w:lang w:val="en-US" w:eastAsia="zh-CN"/>
        </w:rPr>
        <w:t>，设置1座雨水监控池，有效容积为500m</w:t>
      </w:r>
      <w:r>
        <w:rPr>
          <w:rFonts w:hint="eastAsia" w:ascii="Times New Roman" w:hAnsi="Times New Roman" w:eastAsia="宋体" w:cs="Times New Roman"/>
          <w:color w:val="auto"/>
          <w:sz w:val="24"/>
          <w:szCs w:val="21"/>
          <w:vertAlign w:val="superscript"/>
          <w:lang w:val="en-US" w:eastAsia="zh-CN"/>
        </w:rPr>
        <w:t>3；</w:t>
      </w:r>
    </w:p>
    <w:p>
      <w:pPr>
        <w:snapToGrid w:val="0"/>
        <w:spacing w:line="360" w:lineRule="auto"/>
        <w:ind w:firstLine="480"/>
        <w:rPr>
          <w:rFonts w:hint="default" w:ascii="Times New Roman" w:hAnsi="Times New Roman" w:eastAsia="宋体" w:cs="Times New Roman"/>
          <w:color w:val="auto"/>
          <w:sz w:val="24"/>
          <w:szCs w:val="21"/>
        </w:rPr>
      </w:pPr>
      <w:r>
        <w:rPr>
          <w:rFonts w:hint="eastAsia" w:ascii="Times New Roman" w:hAnsi="Times New Roman" w:eastAsia="宋体" w:cs="Times New Roman"/>
          <w:color w:val="auto"/>
          <w:sz w:val="24"/>
          <w:szCs w:val="21"/>
          <w:lang w:val="en-US" w:eastAsia="zh-CN"/>
        </w:rPr>
        <w:t>⑥循环冷却水站间接冷却排水、去离子水站排水及收集的初期雨水进入沉淀池处理后经监控池监控达标后通过工业废水排污口排入江阴污水处理厂。</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（4）环境影响</w:t>
      </w:r>
    </w:p>
    <w:p>
      <w:pPr>
        <w:snapToGrid w:val="0"/>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w:t>
      </w:r>
      <w:r>
        <w:rPr>
          <w:rFonts w:hint="eastAsia" w:ascii="Times New Roman" w:hAnsi="Times New Roman" w:eastAsia="宋体" w:cs="Times New Roman"/>
          <w:color w:val="auto"/>
          <w:sz w:val="24"/>
          <w:szCs w:val="24"/>
          <w:lang w:val="en-US" w:eastAsia="zh-CN"/>
        </w:rPr>
        <w:t>去离子水站排水、</w:t>
      </w:r>
      <w:r>
        <w:rPr>
          <w:rFonts w:hint="default" w:ascii="Times New Roman" w:hAnsi="Times New Roman" w:eastAsia="宋体" w:cs="Times New Roman"/>
          <w:color w:val="auto"/>
          <w:sz w:val="24"/>
          <w:szCs w:val="24"/>
        </w:rPr>
        <w:t>循环水站</w:t>
      </w:r>
      <w:r>
        <w:rPr>
          <w:rFonts w:hint="eastAsia" w:ascii="Times New Roman" w:hAnsi="Times New Roman" w:eastAsia="宋体" w:cs="Times New Roman"/>
          <w:color w:val="auto"/>
          <w:sz w:val="24"/>
          <w:szCs w:val="24"/>
          <w:lang w:val="en-US" w:eastAsia="zh-CN"/>
        </w:rPr>
        <w:t>间接冷却</w:t>
      </w:r>
      <w:r>
        <w:rPr>
          <w:rFonts w:hint="default" w:ascii="Times New Roman" w:hAnsi="Times New Roman" w:eastAsia="宋体" w:cs="Times New Roman"/>
          <w:color w:val="auto"/>
          <w:sz w:val="24"/>
          <w:szCs w:val="24"/>
        </w:rPr>
        <w:t>排水、</w:t>
      </w:r>
      <w:r>
        <w:rPr>
          <w:rFonts w:hint="eastAsia" w:ascii="Times New Roman" w:hAnsi="Times New Roman" w:eastAsia="宋体" w:cs="Times New Roman"/>
          <w:color w:val="auto"/>
          <w:sz w:val="24"/>
          <w:szCs w:val="24"/>
          <w:lang w:val="en-US" w:eastAsia="zh-CN"/>
        </w:rPr>
        <w:t>生活污水</w:t>
      </w:r>
      <w:r>
        <w:rPr>
          <w:rFonts w:hint="default" w:ascii="Times New Roman" w:hAnsi="Times New Roman" w:eastAsia="宋体" w:cs="Times New Roman"/>
          <w:color w:val="auto"/>
          <w:sz w:val="24"/>
          <w:szCs w:val="24"/>
        </w:rPr>
        <w:t>排水进入园区污水处理厂处理，从接管范围、水量、水质分析，项目废水不会对江阴污水处理厂造成影响。</w:t>
      </w:r>
    </w:p>
    <w:p>
      <w:pPr>
        <w:widowControl/>
        <w:snapToGrid w:val="0"/>
        <w:spacing w:line="360" w:lineRule="auto"/>
        <w:ind w:firstLine="0"/>
        <w:jc w:val="left"/>
        <w:outlineLvl w:val="2"/>
        <w:rPr>
          <w:rFonts w:hint="default" w:ascii="Times New Roman" w:hAnsi="Times New Roman" w:eastAsia="黑体" w:cs="Times New Roman"/>
          <w:bCs/>
          <w:color w:val="auto"/>
          <w:szCs w:val="24"/>
        </w:rPr>
      </w:pPr>
      <w:r>
        <w:rPr>
          <w:rFonts w:hint="default" w:ascii="Times New Roman" w:hAnsi="Times New Roman" w:eastAsia="黑体" w:cs="Times New Roman"/>
          <w:bCs/>
          <w:color w:val="auto"/>
          <w:szCs w:val="24"/>
        </w:rPr>
        <w:t>10.2.3地下水环境</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（1）主要环境保护目标</w:t>
      </w:r>
    </w:p>
    <w:p>
      <w:pPr>
        <w:snapToGrid w:val="0"/>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厂址区域地下水潜水层下游地下水水质。</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（2）地下水质量现状</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lang w:val="en-US" w:eastAsia="zh-CN"/>
        </w:rPr>
        <w:t>地下水各项指标中除</w:t>
      </w:r>
      <w:r>
        <w:rPr>
          <w:rFonts w:hint="default" w:ascii="Times New Roman" w:hAnsi="Times New Roman" w:eastAsia="宋体" w:cs="Times New Roman"/>
          <w:color w:val="auto"/>
          <w:sz w:val="24"/>
          <w:szCs w:val="21"/>
          <w:lang w:val="zh-CN"/>
        </w:rPr>
        <w:t>总硬度、溶解性总固体、氯化物、钠离子、硝酸盐</w:t>
      </w:r>
      <w:r>
        <w:rPr>
          <w:rFonts w:hint="default" w:ascii="Times New Roman" w:hAnsi="Times New Roman" w:eastAsia="宋体" w:cs="Times New Roman"/>
          <w:color w:val="auto"/>
          <w:sz w:val="24"/>
          <w:szCs w:val="21"/>
          <w:lang w:val="en-US" w:eastAsia="zh-CN"/>
        </w:rPr>
        <w:t>为《地下水质量标准》（GB/T 14848-2017）</w:t>
      </w:r>
      <w:r>
        <w:rPr>
          <w:rFonts w:hint="default" w:ascii="Times New Roman" w:hAnsi="Times New Roman" w:eastAsia="宋体" w:cs="Times New Roman"/>
          <w:color w:val="auto"/>
          <w:sz w:val="24"/>
          <w:szCs w:val="21"/>
          <w:lang w:val="zh-CN"/>
        </w:rPr>
        <w:t>Ⅴ</w:t>
      </w:r>
      <w:r>
        <w:rPr>
          <w:rFonts w:hint="default" w:ascii="Times New Roman" w:hAnsi="Times New Roman" w:eastAsia="宋体" w:cs="Times New Roman"/>
          <w:color w:val="auto"/>
          <w:sz w:val="24"/>
          <w:szCs w:val="21"/>
          <w:lang w:val="en-US" w:eastAsia="zh-CN"/>
        </w:rPr>
        <w:t>类标准，耗氧量达到《地下水质量标准》（GB/T 14848-2017）Ⅳ类标准，其余各指标均能达到《地下水质量标准》（GB/T 14848-2017）Ⅰ－Ⅲ类标准。</w:t>
      </w:r>
      <w:r>
        <w:rPr>
          <w:rFonts w:hint="default" w:ascii="Times New Roman" w:hAnsi="Times New Roman" w:eastAsia="宋体" w:cs="Times New Roman"/>
          <w:color w:val="auto"/>
          <w:sz w:val="24"/>
          <w:lang w:val="zh-CN"/>
        </w:rPr>
        <w:t>据调查分析本区地下水次生污染源主要为生活污染源，原农村生活污水的直接排放以及生活垃圾的随意堆放，可致使地下水受生活污染源</w:t>
      </w:r>
      <w:r>
        <w:rPr>
          <w:rFonts w:hint="eastAsia" w:ascii="Times New Roman" w:hAnsi="Times New Roman" w:eastAsia="宋体" w:cs="Times New Roman"/>
          <w:color w:val="auto"/>
          <w:sz w:val="24"/>
          <w:lang w:val="en-US" w:eastAsia="zh-CN"/>
        </w:rPr>
        <w:t>污染，且</w:t>
      </w:r>
      <w:r>
        <w:rPr>
          <w:rFonts w:hint="default" w:ascii="Times New Roman" w:hAnsi="Times New Roman" w:eastAsia="宋体" w:cs="Times New Roman"/>
          <w:color w:val="auto"/>
          <w:sz w:val="24"/>
          <w:lang w:val="zh-CN"/>
        </w:rPr>
        <w:t>项目处于滨海区域，受海水倒灌影响，导致地下水中总硬度</w:t>
      </w:r>
      <w:r>
        <w:rPr>
          <w:rFonts w:hint="eastAsia" w:ascii="Times New Roman" w:hAnsi="Times New Roman" w:eastAsia="宋体" w:cs="Times New Roman"/>
          <w:color w:val="auto"/>
          <w:sz w:val="24"/>
          <w:lang w:val="zh-CN"/>
        </w:rPr>
        <w:t>、耗氧量</w:t>
      </w:r>
      <w:r>
        <w:rPr>
          <w:rFonts w:hint="default" w:ascii="Times New Roman" w:hAnsi="Times New Roman" w:eastAsia="宋体" w:cs="Times New Roman"/>
          <w:color w:val="auto"/>
          <w:sz w:val="24"/>
          <w:lang w:val="zh-CN"/>
        </w:rPr>
        <w:t>、溶解性总固体、氯化物、钠离子</w:t>
      </w:r>
      <w:r>
        <w:rPr>
          <w:rFonts w:hint="eastAsia" w:ascii="Times New Roman" w:hAnsi="Times New Roman" w:eastAsia="宋体" w:cs="Times New Roman"/>
          <w:color w:val="auto"/>
          <w:sz w:val="24"/>
          <w:lang w:val="zh-CN"/>
        </w:rPr>
        <w:t>含量较高，甚至超出地下水质量标准Ⅲ类限值</w:t>
      </w:r>
      <w:r>
        <w:rPr>
          <w:rFonts w:hint="default" w:ascii="Times New Roman" w:hAnsi="Times New Roman" w:eastAsia="宋体" w:cs="Times New Roman"/>
          <w:color w:val="auto"/>
          <w:sz w:val="24"/>
          <w:lang w:val="zh-CN"/>
        </w:rPr>
        <w:t>。</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（3）主要环保措施</w:t>
      </w:r>
    </w:p>
    <w:p>
      <w:pPr>
        <w:snapToGrid w:val="0"/>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rPr>
        <w:t>从原料和产品的储存、装卸、运输、生产过程、污染处理装置等全过程控制各种有毒有害原辅材料、中间材料、产品泄漏（含跑、冒、滴、漏）。</w:t>
      </w:r>
      <w:r>
        <w:rPr>
          <w:rFonts w:hint="default" w:ascii="Times New Roman" w:hAnsi="Times New Roman" w:eastAsia="宋体" w:cs="Times New Roman"/>
          <w:color w:val="auto"/>
          <w:sz w:val="24"/>
          <w:szCs w:val="24"/>
          <w:lang w:bidi="ar"/>
        </w:rPr>
        <w:t>根据《石油化工工程防渗技术规范》（GB/T50934-2013）以及《环境影响评价技术导则-地下水环境》（HJ610-2016）进行防渗区域划分。根据《地下水环境监测技术规范》（HJ/T164-2004）的要求，结合本项目所在区域的水文地质条件、厂区及周边的现有情况，根据《地下水环境监测技术规范》（HJ/T164-2004）的要求，结合本项目所在区域的水文地质条件、厂区及周边的现有情况。</w:t>
      </w:r>
    </w:p>
    <w:p>
      <w:pPr>
        <w:snapToGrid w:val="0"/>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在厂区内设置3个地下水水质监控井，对地下水水质进行监测，及时发现问题采取针对性的应急处置措施。</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（4）环境影响</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由预测结果可知，①氨水储罐泄漏，不考虑防渗、包气带的阻滞、自净作用，泄漏物料进入地下水100d、1000d、7300d后氨氮的最大迁移距离分别为13m、45m、140m，下游12m、39m、122m内地下水中氨氮浓度将超过《地下水环境质量标准》（GB/T14848-2017）III类标准限值（0.5mg/L）。②污水站调节池漏物料进入地下水100 d、1000 d、7300d后COD的最大迁移距离分别为1</w:t>
      </w:r>
      <w:r>
        <w:rPr>
          <w:rFonts w:hint="eastAsia" w:ascii="Times New Roman" w:hAnsi="Times New Roman" w:eastAsia="宋体" w:cs="Times New Roman"/>
          <w:color w:val="auto"/>
          <w:sz w:val="24"/>
          <w:szCs w:val="21"/>
          <w:lang w:val="en-US" w:eastAsia="zh-CN"/>
        </w:rPr>
        <w:t>3</w:t>
      </w:r>
      <w:r>
        <w:rPr>
          <w:rFonts w:hint="default" w:ascii="Times New Roman" w:hAnsi="Times New Roman" w:eastAsia="宋体" w:cs="Times New Roman"/>
          <w:color w:val="auto"/>
          <w:sz w:val="24"/>
          <w:szCs w:val="21"/>
        </w:rPr>
        <w:t>m、42 m、</w:t>
      </w:r>
      <w:r>
        <w:rPr>
          <w:rFonts w:hint="eastAsia" w:ascii="Times New Roman" w:hAnsi="Times New Roman" w:eastAsia="宋体" w:cs="Times New Roman"/>
          <w:color w:val="auto"/>
          <w:sz w:val="24"/>
          <w:szCs w:val="21"/>
          <w:lang w:val="en-US" w:eastAsia="zh-CN"/>
        </w:rPr>
        <w:t>129</w:t>
      </w:r>
      <w:r>
        <w:rPr>
          <w:rFonts w:hint="default" w:ascii="Times New Roman" w:hAnsi="Times New Roman" w:eastAsia="宋体" w:cs="Times New Roman"/>
          <w:color w:val="auto"/>
          <w:sz w:val="24"/>
          <w:szCs w:val="21"/>
        </w:rPr>
        <w:t>m。下游</w:t>
      </w:r>
      <w:r>
        <w:rPr>
          <w:rFonts w:hint="eastAsia" w:ascii="Times New Roman" w:hAnsi="Times New Roman" w:eastAsia="宋体" w:cs="Times New Roman"/>
          <w:color w:val="auto"/>
          <w:sz w:val="24"/>
          <w:szCs w:val="21"/>
          <w:lang w:val="en-US" w:eastAsia="zh-CN"/>
        </w:rPr>
        <w:t>11</w:t>
      </w:r>
      <w:r>
        <w:rPr>
          <w:rFonts w:hint="default" w:ascii="Times New Roman" w:hAnsi="Times New Roman" w:eastAsia="宋体" w:cs="Times New Roman"/>
          <w:color w:val="auto"/>
          <w:sz w:val="24"/>
          <w:szCs w:val="21"/>
        </w:rPr>
        <w:t>m、3</w:t>
      </w:r>
      <w:r>
        <w:rPr>
          <w:rFonts w:hint="eastAsia" w:ascii="Times New Roman" w:hAnsi="Times New Roman" w:eastAsia="宋体" w:cs="Times New Roman"/>
          <w:color w:val="auto"/>
          <w:sz w:val="24"/>
          <w:szCs w:val="21"/>
          <w:lang w:val="en-US" w:eastAsia="zh-CN"/>
        </w:rPr>
        <w:t>4</w:t>
      </w:r>
      <w:r>
        <w:rPr>
          <w:rFonts w:hint="default" w:ascii="Times New Roman" w:hAnsi="Times New Roman" w:eastAsia="宋体" w:cs="Times New Roman"/>
          <w:color w:val="auto"/>
          <w:sz w:val="24"/>
          <w:szCs w:val="21"/>
        </w:rPr>
        <w:t>m、</w:t>
      </w:r>
      <w:r>
        <w:rPr>
          <w:rFonts w:hint="eastAsia" w:ascii="Times New Roman" w:hAnsi="Times New Roman" w:eastAsia="宋体" w:cs="Times New Roman"/>
          <w:color w:val="auto"/>
          <w:sz w:val="24"/>
          <w:szCs w:val="21"/>
          <w:lang w:val="en-US" w:eastAsia="zh-CN"/>
        </w:rPr>
        <w:t>107</w:t>
      </w:r>
      <w:r>
        <w:rPr>
          <w:rFonts w:hint="default" w:ascii="Times New Roman" w:hAnsi="Times New Roman" w:eastAsia="宋体" w:cs="Times New Roman"/>
          <w:color w:val="auto"/>
          <w:sz w:val="24"/>
          <w:szCs w:val="21"/>
        </w:rPr>
        <w:t>m内内地下水中COD浓度将超过《地下水环境质量标准》（GB/T14848-2017）III类标准限值（3mg/L）。泄漏物料进入地下水100d、1000d、7300d后氨氮的最大迁移距离分别为12m、</w:t>
      </w:r>
      <w:r>
        <w:rPr>
          <w:rFonts w:hint="eastAsia" w:ascii="Times New Roman" w:hAnsi="Times New Roman" w:eastAsia="宋体" w:cs="Times New Roman"/>
          <w:color w:val="auto"/>
          <w:sz w:val="24"/>
          <w:szCs w:val="21"/>
          <w:lang w:val="en-US" w:eastAsia="zh-CN"/>
        </w:rPr>
        <w:t>40</w:t>
      </w:r>
      <w:r>
        <w:rPr>
          <w:rFonts w:hint="default" w:ascii="Times New Roman" w:hAnsi="Times New Roman" w:eastAsia="宋体" w:cs="Times New Roman"/>
          <w:color w:val="auto"/>
          <w:sz w:val="24"/>
          <w:szCs w:val="21"/>
        </w:rPr>
        <w:t>m、1</w:t>
      </w:r>
      <w:r>
        <w:rPr>
          <w:rFonts w:hint="eastAsia" w:ascii="Times New Roman" w:hAnsi="Times New Roman" w:eastAsia="宋体" w:cs="Times New Roman"/>
          <w:color w:val="auto"/>
          <w:sz w:val="24"/>
          <w:szCs w:val="21"/>
          <w:lang w:val="en-US" w:eastAsia="zh-CN"/>
        </w:rPr>
        <w:t>2</w:t>
      </w:r>
      <w:r>
        <w:rPr>
          <w:rFonts w:hint="default" w:ascii="Times New Roman" w:hAnsi="Times New Roman" w:eastAsia="宋体" w:cs="Times New Roman"/>
          <w:color w:val="auto"/>
          <w:sz w:val="24"/>
          <w:szCs w:val="21"/>
        </w:rPr>
        <w:t>6m，下游10m、</w:t>
      </w:r>
      <w:r>
        <w:rPr>
          <w:rFonts w:hint="default" w:ascii="Times New Roman" w:hAnsi="Times New Roman" w:eastAsia="宋体" w:cs="Times New Roman"/>
          <w:color w:val="auto"/>
          <w:sz w:val="24"/>
          <w:szCs w:val="21"/>
          <w:lang w:val="en-US" w:eastAsia="zh-CN"/>
        </w:rPr>
        <w:t>3</w:t>
      </w:r>
      <w:r>
        <w:rPr>
          <w:rFonts w:hint="eastAsia" w:ascii="Times New Roman" w:hAnsi="Times New Roman" w:eastAsia="宋体" w:cs="Times New Roman"/>
          <w:color w:val="auto"/>
          <w:sz w:val="24"/>
          <w:szCs w:val="21"/>
          <w:lang w:val="en-US" w:eastAsia="zh-CN"/>
        </w:rPr>
        <w:t>4</w:t>
      </w:r>
      <w:r>
        <w:rPr>
          <w:rFonts w:hint="default" w:ascii="Times New Roman" w:hAnsi="Times New Roman" w:eastAsia="宋体" w:cs="Times New Roman"/>
          <w:color w:val="auto"/>
          <w:sz w:val="24"/>
          <w:szCs w:val="21"/>
        </w:rPr>
        <w:t>m、</w:t>
      </w:r>
      <w:r>
        <w:rPr>
          <w:rFonts w:hint="default" w:ascii="Times New Roman" w:hAnsi="Times New Roman" w:eastAsia="宋体" w:cs="Times New Roman"/>
          <w:color w:val="auto"/>
          <w:sz w:val="24"/>
          <w:szCs w:val="21"/>
          <w:lang w:val="en-US" w:eastAsia="zh-CN"/>
        </w:rPr>
        <w:t>10</w:t>
      </w:r>
      <w:r>
        <w:rPr>
          <w:rFonts w:hint="eastAsia" w:ascii="Times New Roman" w:hAnsi="Times New Roman" w:eastAsia="宋体" w:cs="Times New Roman"/>
          <w:color w:val="auto"/>
          <w:sz w:val="24"/>
          <w:szCs w:val="21"/>
          <w:lang w:val="en-US" w:eastAsia="zh-CN"/>
        </w:rPr>
        <w:t>8</w:t>
      </w:r>
      <w:r>
        <w:rPr>
          <w:rFonts w:hint="default" w:ascii="Times New Roman" w:hAnsi="Times New Roman" w:eastAsia="宋体" w:cs="Times New Roman"/>
          <w:color w:val="auto"/>
          <w:sz w:val="24"/>
          <w:szCs w:val="21"/>
        </w:rPr>
        <w:t>m内地下水中氨氮浓度将超过《地下水环境质量标准》（GB/T14848-2017）III类标准限值（0.5mg/L）。③化学除银沉淀池泄漏，不考虑防渗、包气带的阻滞、自净作用，泄漏物料进入地下水100d、1000d、7300d后氨氮的最大迁移距离分别为</w:t>
      </w:r>
      <w:r>
        <w:rPr>
          <w:rFonts w:hint="eastAsia" w:ascii="Times New Roman" w:hAnsi="Times New Roman" w:eastAsia="宋体" w:cs="Times New Roman"/>
          <w:color w:val="auto"/>
          <w:sz w:val="24"/>
          <w:szCs w:val="21"/>
          <w:lang w:val="en-US" w:eastAsia="zh-CN"/>
        </w:rPr>
        <w:t>10</w:t>
      </w:r>
      <w:r>
        <w:rPr>
          <w:rFonts w:hint="default" w:ascii="Times New Roman" w:hAnsi="Times New Roman" w:eastAsia="宋体" w:cs="Times New Roman"/>
          <w:color w:val="auto"/>
          <w:sz w:val="24"/>
          <w:szCs w:val="21"/>
        </w:rPr>
        <w:t>m、</w:t>
      </w:r>
      <w:r>
        <w:rPr>
          <w:rFonts w:hint="eastAsia" w:ascii="Times New Roman" w:hAnsi="Times New Roman" w:eastAsia="宋体" w:cs="Times New Roman"/>
          <w:color w:val="auto"/>
          <w:sz w:val="24"/>
          <w:szCs w:val="21"/>
          <w:lang w:val="en-US" w:eastAsia="zh-CN"/>
        </w:rPr>
        <w:t>33</w:t>
      </w:r>
      <w:r>
        <w:rPr>
          <w:rFonts w:hint="default" w:ascii="Times New Roman" w:hAnsi="Times New Roman" w:eastAsia="宋体" w:cs="Times New Roman"/>
          <w:color w:val="auto"/>
          <w:sz w:val="24"/>
          <w:szCs w:val="21"/>
        </w:rPr>
        <w:t>m、</w:t>
      </w:r>
      <w:r>
        <w:rPr>
          <w:rFonts w:hint="eastAsia" w:ascii="Times New Roman" w:hAnsi="Times New Roman" w:eastAsia="宋体" w:cs="Times New Roman"/>
          <w:color w:val="auto"/>
          <w:sz w:val="24"/>
          <w:szCs w:val="21"/>
          <w:lang w:val="en-US" w:eastAsia="zh-CN"/>
        </w:rPr>
        <w:t>106</w:t>
      </w:r>
      <w:r>
        <w:rPr>
          <w:rFonts w:hint="default" w:ascii="Times New Roman" w:hAnsi="Times New Roman" w:eastAsia="宋体" w:cs="Times New Roman"/>
          <w:color w:val="auto"/>
          <w:sz w:val="24"/>
          <w:szCs w:val="21"/>
        </w:rPr>
        <w:t>m，下游</w:t>
      </w:r>
      <w:r>
        <w:rPr>
          <w:rFonts w:hint="eastAsia" w:ascii="Times New Roman" w:hAnsi="Times New Roman" w:eastAsia="宋体" w:cs="Times New Roman"/>
          <w:color w:val="auto"/>
          <w:sz w:val="24"/>
          <w:szCs w:val="21"/>
          <w:lang w:val="en-US" w:eastAsia="zh-CN"/>
        </w:rPr>
        <w:t>9</w:t>
      </w:r>
      <w:r>
        <w:rPr>
          <w:rFonts w:hint="default" w:ascii="Times New Roman" w:hAnsi="Times New Roman" w:eastAsia="宋体" w:cs="Times New Roman"/>
          <w:color w:val="auto"/>
          <w:sz w:val="24"/>
          <w:szCs w:val="21"/>
        </w:rPr>
        <w:t>m、</w:t>
      </w:r>
      <w:r>
        <w:rPr>
          <w:rFonts w:hint="eastAsia" w:ascii="Times New Roman" w:hAnsi="Times New Roman" w:eastAsia="宋体" w:cs="Times New Roman"/>
          <w:color w:val="auto"/>
          <w:sz w:val="24"/>
          <w:szCs w:val="21"/>
          <w:lang w:val="en-US" w:eastAsia="zh-CN"/>
        </w:rPr>
        <w:t>30</w:t>
      </w:r>
      <w:r>
        <w:rPr>
          <w:rFonts w:hint="default" w:ascii="Times New Roman" w:hAnsi="Times New Roman" w:eastAsia="宋体" w:cs="Times New Roman"/>
          <w:color w:val="auto"/>
          <w:sz w:val="24"/>
          <w:szCs w:val="21"/>
        </w:rPr>
        <w:t>m、</w:t>
      </w:r>
      <w:r>
        <w:rPr>
          <w:rFonts w:hint="eastAsia" w:ascii="Times New Roman" w:hAnsi="Times New Roman" w:eastAsia="宋体" w:cs="Times New Roman"/>
          <w:color w:val="auto"/>
          <w:sz w:val="24"/>
          <w:szCs w:val="21"/>
          <w:lang w:val="en-US" w:eastAsia="zh-CN"/>
        </w:rPr>
        <w:t>97</w:t>
      </w:r>
      <w:r>
        <w:rPr>
          <w:rFonts w:hint="default" w:ascii="Times New Roman" w:hAnsi="Times New Roman" w:eastAsia="宋体" w:cs="Times New Roman"/>
          <w:color w:val="auto"/>
          <w:sz w:val="24"/>
          <w:szCs w:val="21"/>
        </w:rPr>
        <w:t>m内地下水中Ag浓度将超过《地下水环境质量标准》（GB/T14848-2017）III类标准限值（0.05mg/L）。</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项目对各工程及生产场所进行切实有效的地下水污染防渗。通过污染途径及对应措施分析可知，项目对可能产生地下水影响的各项途径均进行有效预防。在正常情况下，项目污染地下水可能性较小，不会对所在区域地下水环境造成明显不利影响。但在防渗层出现裂缝的非正常状况下，将对地下水环境造成明显不利影响。</w:t>
      </w:r>
    </w:p>
    <w:p>
      <w:pPr>
        <w:widowControl/>
        <w:spacing w:line="360" w:lineRule="auto"/>
        <w:ind w:firstLine="0"/>
        <w:jc w:val="left"/>
        <w:outlineLvl w:val="2"/>
        <w:rPr>
          <w:rFonts w:hint="default" w:ascii="Times New Roman" w:hAnsi="Times New Roman" w:eastAsia="黑体" w:cs="Times New Roman"/>
          <w:bCs/>
          <w:color w:val="auto"/>
          <w:szCs w:val="24"/>
        </w:rPr>
      </w:pPr>
      <w:r>
        <w:rPr>
          <w:rFonts w:hint="default" w:ascii="Times New Roman" w:hAnsi="Times New Roman" w:eastAsia="黑体" w:cs="Times New Roman"/>
          <w:bCs/>
          <w:color w:val="auto"/>
          <w:szCs w:val="24"/>
        </w:rPr>
        <w:t>10.2.4声环境</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（1）主要环境保护目标</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本项目厂界外200m范围内无声环境敏感目标。</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（2）声环境质量现状</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4"/>
        </w:rPr>
        <w:t>项目区域噪声符合《声环境质量标准》(GB3096-2008)的3类区标准。</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（3）主要环保措施</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①首先应从声源上控制，生产设备、风机、循环水站应优先选用先进的低噪声、低振动设备，从源头上降低设备源强。</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②对主要噪声设备进行减振、隔声、消声处理，重点对冷却塔、风机、泵等设备进行噪声治理。</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③建议装置墙体采用隔声材料，以达到更好的隔声效果。</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④加强机械设备的定期检修和维护，以减少机械故障等原因造成的机械振动及噪声。</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⑤加强设备使用管理，合理安排高噪声设备的工作时间。</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（4）环境影响</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本项目投产后，厂界昼、夜间的噪声贡献值在42.0~5</w:t>
      </w:r>
      <w:r>
        <w:rPr>
          <w:rFonts w:hint="eastAsia" w:ascii="Times New Roman" w:hAnsi="Times New Roman" w:eastAsia="宋体" w:cs="Times New Roman"/>
          <w:color w:val="auto"/>
          <w:sz w:val="24"/>
          <w:szCs w:val="21"/>
          <w:lang w:val="en-US" w:eastAsia="zh-CN"/>
        </w:rPr>
        <w:t>3</w:t>
      </w:r>
      <w:r>
        <w:rPr>
          <w:rFonts w:hint="default" w:ascii="Times New Roman" w:hAnsi="Times New Roman" w:eastAsia="宋体" w:cs="Times New Roman"/>
          <w:color w:val="auto"/>
          <w:sz w:val="24"/>
          <w:szCs w:val="21"/>
        </w:rPr>
        <w:t>.</w:t>
      </w:r>
      <w:r>
        <w:rPr>
          <w:rFonts w:hint="eastAsia" w:ascii="Times New Roman" w:hAnsi="Times New Roman" w:eastAsia="宋体" w:cs="Times New Roman"/>
          <w:color w:val="auto"/>
          <w:sz w:val="24"/>
          <w:szCs w:val="21"/>
          <w:lang w:val="en-US" w:eastAsia="zh-CN"/>
        </w:rPr>
        <w:t>2</w:t>
      </w:r>
      <w:r>
        <w:rPr>
          <w:rFonts w:hint="default" w:ascii="Times New Roman" w:hAnsi="Times New Roman" w:eastAsia="宋体" w:cs="Times New Roman"/>
          <w:color w:val="auto"/>
          <w:sz w:val="24"/>
          <w:szCs w:val="21"/>
        </w:rPr>
        <w:t>dB（A）之间，昼、夜间噪声均符合《工业企业厂界环境噪声排放标准》（GB12348-2008）中3类标准的要求。。</w:t>
      </w:r>
    </w:p>
    <w:p>
      <w:pPr>
        <w:widowControl/>
        <w:spacing w:line="360" w:lineRule="auto"/>
        <w:ind w:firstLine="0"/>
        <w:jc w:val="left"/>
        <w:outlineLvl w:val="2"/>
        <w:rPr>
          <w:rFonts w:hint="default" w:ascii="Times New Roman" w:hAnsi="Times New Roman" w:eastAsia="黑体" w:cs="Times New Roman"/>
          <w:bCs/>
          <w:color w:val="auto"/>
          <w:szCs w:val="24"/>
        </w:rPr>
      </w:pPr>
      <w:r>
        <w:rPr>
          <w:rFonts w:hint="default" w:ascii="Times New Roman" w:hAnsi="Times New Roman" w:eastAsia="黑体" w:cs="Times New Roman"/>
          <w:bCs/>
          <w:color w:val="auto"/>
          <w:szCs w:val="24"/>
        </w:rPr>
        <w:t>10.2.5土壤</w:t>
      </w:r>
    </w:p>
    <w:p>
      <w:pPr>
        <w:adjustRightInd w:val="0"/>
        <w:snapToGrid w:val="0"/>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（1）环境现状</w:t>
      </w:r>
    </w:p>
    <w:p>
      <w:pPr>
        <w:adjustRightInd w:val="0"/>
        <w:snapToGrid w:val="0"/>
        <w:spacing w:line="360" w:lineRule="auto"/>
        <w:ind w:firstLine="480"/>
        <w:rPr>
          <w:rFonts w:hint="default" w:ascii="Times New Roman" w:hAnsi="Times New Roman" w:eastAsia="宋体" w:cs="Times New Roman"/>
          <w:color w:val="auto"/>
          <w:sz w:val="24"/>
          <w:szCs w:val="24"/>
          <w:lang w:val="en-GB" w:bidi="ar"/>
        </w:rPr>
      </w:pPr>
      <w:r>
        <w:rPr>
          <w:rFonts w:hint="default" w:ascii="Times New Roman" w:hAnsi="Times New Roman" w:eastAsia="宋体" w:cs="Times New Roman"/>
          <w:color w:val="auto"/>
          <w:sz w:val="24"/>
          <w:szCs w:val="24"/>
          <w:lang w:val="en-GB" w:bidi="ar"/>
        </w:rPr>
        <w:t>由监测结果可知，项目所在区域土壤各项指标浓度能满足《土壤环境质量建设用地土壤污染风险管控标准（试行）》（GB36600-2018）中第二类用地筛选值要求。</w:t>
      </w:r>
    </w:p>
    <w:p>
      <w:pPr>
        <w:adjustRightInd w:val="0"/>
        <w:snapToGrid w:val="0"/>
        <w:spacing w:line="360" w:lineRule="auto"/>
        <w:ind w:firstLine="48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（2）影响分析及环保措施</w:t>
      </w:r>
    </w:p>
    <w:p>
      <w:pPr>
        <w:adjustRightInd w:val="0"/>
        <w:snapToGrid w:val="0"/>
        <w:spacing w:line="360" w:lineRule="auto"/>
        <w:ind w:firstLine="480"/>
        <w:rPr>
          <w:rFonts w:hint="default" w:ascii="Times New Roman" w:hAnsi="Times New Roman" w:eastAsia="宋体" w:cs="Times New Roman"/>
          <w:color w:val="auto"/>
          <w:sz w:val="24"/>
          <w:szCs w:val="24"/>
          <w:lang w:val="en-GB" w:bidi="ar"/>
        </w:rPr>
      </w:pPr>
      <w:r>
        <w:rPr>
          <w:rFonts w:hint="default" w:ascii="Times New Roman" w:hAnsi="Times New Roman" w:eastAsia="宋体" w:cs="Times New Roman"/>
          <w:color w:val="auto"/>
          <w:sz w:val="24"/>
          <w:szCs w:val="24"/>
          <w:lang w:val="en-GB" w:bidi="ar"/>
        </w:rPr>
        <w:t>正常情况下，本项目废气排放银累积贡献值逐年增加，排放的银的累积贡献值较低，对土壤生态环境的风险低。事故状态下排放的总银和甲醛累积量较小，对土壤环境的影响很小。因此，本项目对土壤环境的影响可以接受。</w:t>
      </w:r>
    </w:p>
    <w:p>
      <w:pPr>
        <w:widowControl/>
        <w:spacing w:line="360" w:lineRule="auto"/>
        <w:ind w:firstLine="0"/>
        <w:jc w:val="left"/>
        <w:outlineLvl w:val="2"/>
        <w:rPr>
          <w:rFonts w:hint="default" w:ascii="Times New Roman" w:hAnsi="Times New Roman" w:eastAsia="黑体" w:cs="Times New Roman"/>
          <w:bCs/>
          <w:color w:val="auto"/>
          <w:szCs w:val="24"/>
        </w:rPr>
      </w:pPr>
      <w:r>
        <w:rPr>
          <w:rFonts w:hint="default" w:ascii="Times New Roman" w:hAnsi="Times New Roman" w:eastAsia="黑体" w:cs="Times New Roman"/>
          <w:bCs/>
          <w:color w:val="auto"/>
          <w:szCs w:val="24"/>
        </w:rPr>
        <w:t>10.2.6固体废物</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4"/>
        </w:rPr>
        <w:t>（1）项目产生的精馏残液、除杂渣、含银废液</w:t>
      </w:r>
      <w:r>
        <w:rPr>
          <w:rFonts w:hint="eastAsia" w:ascii="Times New Roman" w:hAnsi="Times New Roman" w:eastAsia="宋体" w:cs="Times New Roman"/>
          <w:color w:val="auto"/>
          <w:sz w:val="24"/>
          <w:szCs w:val="24"/>
          <w:lang w:val="en-US" w:eastAsia="zh-CN"/>
        </w:rPr>
        <w:t>三效</w:t>
      </w:r>
      <w:r>
        <w:rPr>
          <w:rFonts w:hint="default" w:ascii="Times New Roman" w:hAnsi="Times New Roman" w:eastAsia="宋体" w:cs="Times New Roman"/>
          <w:color w:val="auto"/>
          <w:sz w:val="24"/>
          <w:szCs w:val="24"/>
        </w:rPr>
        <w:t>蒸发器残渣、废活性炭</w:t>
      </w:r>
      <w:r>
        <w:rPr>
          <w:rFonts w:hint="default" w:ascii="Times New Roman" w:hAnsi="Times New Roman" w:eastAsia="宋体" w:cs="Times New Roman"/>
          <w:color w:val="auto"/>
          <w:sz w:val="24"/>
          <w:szCs w:val="21"/>
          <w:lang w:bidi="ar"/>
        </w:rPr>
        <w:t>等危险废物暂存在</w:t>
      </w:r>
      <w:r>
        <w:rPr>
          <w:rFonts w:hint="default" w:ascii="Times New Roman" w:hAnsi="Times New Roman" w:eastAsia="宋体" w:cs="Times New Roman"/>
          <w:color w:val="auto"/>
          <w:sz w:val="24"/>
          <w:szCs w:val="24"/>
        </w:rPr>
        <w:t>300m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的</w:t>
      </w:r>
      <w:r>
        <w:rPr>
          <w:rFonts w:hint="default" w:ascii="Times New Roman" w:hAnsi="Times New Roman" w:eastAsia="宋体" w:cs="Times New Roman"/>
          <w:color w:val="auto"/>
          <w:sz w:val="24"/>
          <w:szCs w:val="24"/>
          <w:lang w:val="en-GB"/>
        </w:rPr>
        <w:t>危废暂存间</w:t>
      </w:r>
      <w:r>
        <w:rPr>
          <w:rFonts w:hint="default" w:ascii="Times New Roman" w:hAnsi="Times New Roman" w:eastAsia="宋体" w:cs="Times New Roman"/>
          <w:color w:val="auto"/>
          <w:sz w:val="24"/>
          <w:szCs w:val="24"/>
        </w:rPr>
        <w:t>暂存</w:t>
      </w:r>
      <w:r>
        <w:rPr>
          <w:rFonts w:hint="default" w:ascii="Times New Roman" w:hAnsi="Times New Roman" w:eastAsia="宋体" w:cs="Times New Roman"/>
          <w:color w:val="auto"/>
          <w:sz w:val="24"/>
          <w:szCs w:val="24"/>
          <w:lang w:val="en-GB"/>
        </w:rPr>
        <w:t>，危废暂存间</w:t>
      </w:r>
      <w:r>
        <w:rPr>
          <w:rFonts w:hint="default" w:ascii="Times New Roman" w:hAnsi="Times New Roman" w:eastAsia="宋体" w:cs="Times New Roman"/>
          <w:color w:val="auto"/>
          <w:sz w:val="24"/>
          <w:szCs w:val="24"/>
        </w:rPr>
        <w:t>按照</w:t>
      </w:r>
      <w:r>
        <w:rPr>
          <w:rFonts w:hint="default" w:ascii="Times New Roman" w:hAnsi="Times New Roman" w:eastAsia="宋体" w:cs="Times New Roman"/>
          <w:color w:val="auto"/>
          <w:sz w:val="24"/>
          <w:szCs w:val="24"/>
          <w:lang w:val="en-GB"/>
        </w:rPr>
        <w:t>《危险废物贮存污染控制标准》（GB18597-2001）要求</w:t>
      </w:r>
      <w:r>
        <w:rPr>
          <w:rFonts w:hint="default" w:ascii="Times New Roman" w:hAnsi="Times New Roman" w:eastAsia="宋体" w:cs="Times New Roman"/>
          <w:color w:val="auto"/>
          <w:sz w:val="24"/>
          <w:szCs w:val="24"/>
        </w:rPr>
        <w:t>建设</w:t>
      </w:r>
      <w:r>
        <w:rPr>
          <w:rFonts w:hint="default" w:ascii="Times New Roman" w:hAnsi="Times New Roman" w:eastAsia="宋体" w:cs="Times New Roman"/>
          <w:color w:val="auto"/>
          <w:sz w:val="24"/>
          <w:szCs w:val="24"/>
          <w:lang w:val="en-GB"/>
        </w:rPr>
        <w:t>，</w:t>
      </w:r>
      <w:r>
        <w:rPr>
          <w:rFonts w:hint="default" w:ascii="Times New Roman" w:hAnsi="Times New Roman" w:eastAsia="宋体" w:cs="Times New Roman"/>
          <w:color w:val="auto"/>
          <w:sz w:val="24"/>
          <w:szCs w:val="24"/>
        </w:rPr>
        <w:t>定期委托</w:t>
      </w:r>
      <w:r>
        <w:rPr>
          <w:rFonts w:hint="default" w:ascii="Times New Roman" w:hAnsi="Times New Roman" w:eastAsia="宋体" w:cs="Times New Roman"/>
          <w:color w:val="auto"/>
          <w:sz w:val="24"/>
          <w:szCs w:val="21"/>
        </w:rPr>
        <w:t>有资质单位处置。污水站污泥</w:t>
      </w:r>
      <w:r>
        <w:rPr>
          <w:rFonts w:hint="eastAsia" w:ascii="Times New Roman" w:hAnsi="Times New Roman" w:eastAsia="宋体" w:cs="Times New Roman"/>
          <w:color w:val="auto"/>
          <w:sz w:val="24"/>
          <w:szCs w:val="21"/>
          <w:lang w:val="en-US" w:eastAsia="zh-CN"/>
        </w:rPr>
        <w:t>为待鉴定固废，暂按危险废物管理。</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（2）项目</w:t>
      </w:r>
      <w:r>
        <w:rPr>
          <w:rFonts w:hint="eastAsia" w:ascii="Times New Roman" w:hAnsi="Times New Roman" w:eastAsia="宋体" w:cs="Times New Roman"/>
          <w:color w:val="auto"/>
          <w:sz w:val="24"/>
          <w:szCs w:val="21"/>
          <w:lang w:val="en-US" w:eastAsia="zh-CN"/>
        </w:rPr>
        <w:t>废反渗透膜</w:t>
      </w:r>
      <w:r>
        <w:rPr>
          <w:rFonts w:hint="default" w:ascii="Times New Roman" w:hAnsi="Times New Roman" w:eastAsia="宋体" w:cs="Times New Roman"/>
          <w:color w:val="auto"/>
          <w:sz w:val="24"/>
          <w:szCs w:val="21"/>
        </w:rPr>
        <w:t>暂存在一般固废暂存间，一般固废暂存间按照</w:t>
      </w:r>
      <w:r>
        <w:rPr>
          <w:rFonts w:hint="default" w:ascii="Times New Roman" w:hAnsi="Times New Roman" w:eastAsia="宋体" w:cs="Times New Roman"/>
          <w:color w:val="auto"/>
          <w:sz w:val="24"/>
          <w:szCs w:val="24"/>
        </w:rPr>
        <w:t>《一般工业固体废物贮存和填埋污染控制标准》（GB18599-2020），委托环卫部门</w:t>
      </w:r>
      <w:r>
        <w:rPr>
          <w:rFonts w:hint="default" w:ascii="Times New Roman" w:hAnsi="Times New Roman" w:eastAsia="宋体" w:cs="Times New Roman"/>
          <w:color w:val="auto"/>
          <w:sz w:val="24"/>
          <w:szCs w:val="21"/>
        </w:rPr>
        <w:t>处置。</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4"/>
          <w:lang w:val="en-GB"/>
        </w:rPr>
        <w:t>（</w:t>
      </w:r>
      <w:r>
        <w:rPr>
          <w:rFonts w:hint="default" w:ascii="Times New Roman" w:hAnsi="Times New Roman" w:eastAsia="宋体" w:cs="Times New Roman"/>
          <w:color w:val="auto"/>
          <w:sz w:val="24"/>
          <w:szCs w:val="24"/>
        </w:rPr>
        <w:t>3</w:t>
      </w:r>
      <w:r>
        <w:rPr>
          <w:rFonts w:hint="default" w:ascii="Times New Roman" w:hAnsi="Times New Roman" w:eastAsia="宋体" w:cs="Times New Roman"/>
          <w:color w:val="auto"/>
          <w:sz w:val="24"/>
          <w:szCs w:val="24"/>
          <w:lang w:val="en-GB"/>
        </w:rPr>
        <w:t>）生活垃圾委托环卫部门收集处置。</w:t>
      </w:r>
    </w:p>
    <w:p>
      <w:pPr>
        <w:widowControl/>
        <w:spacing w:line="360" w:lineRule="auto"/>
        <w:ind w:firstLine="0"/>
        <w:jc w:val="left"/>
        <w:outlineLvl w:val="2"/>
        <w:rPr>
          <w:rFonts w:hint="default" w:ascii="Times New Roman" w:hAnsi="Times New Roman" w:eastAsia="黑体" w:cs="Times New Roman"/>
          <w:bCs/>
          <w:color w:val="auto"/>
          <w:szCs w:val="24"/>
        </w:rPr>
      </w:pPr>
      <w:r>
        <w:rPr>
          <w:rFonts w:hint="default" w:ascii="Times New Roman" w:hAnsi="Times New Roman" w:eastAsia="黑体" w:cs="Times New Roman"/>
          <w:bCs/>
          <w:color w:val="auto"/>
          <w:szCs w:val="24"/>
        </w:rPr>
        <w:t>10.2.7环境风险</w:t>
      </w:r>
    </w:p>
    <w:p>
      <w:pPr>
        <w:snapToGrid w:val="0"/>
        <w:spacing w:line="360" w:lineRule="auto"/>
        <w:ind w:firstLine="480"/>
        <w:rPr>
          <w:rFonts w:hint="default" w:ascii="Times New Roman" w:hAnsi="Times New Roman" w:eastAsia="宋体" w:cs="Times New Roman"/>
          <w:color w:val="auto"/>
          <w:sz w:val="24"/>
          <w:szCs w:val="21"/>
        </w:rPr>
      </w:pPr>
      <w:bookmarkStart w:id="489" w:name="_Toc446444490"/>
      <w:bookmarkStart w:id="490" w:name="_Toc443924331"/>
      <w:bookmarkStart w:id="491" w:name="_Toc444794280"/>
      <w:bookmarkStart w:id="492" w:name="_Toc451609142"/>
      <w:bookmarkStart w:id="493" w:name="_Toc446445065"/>
      <w:bookmarkStart w:id="494" w:name="_Toc451443507"/>
      <w:bookmarkStart w:id="495" w:name="_Toc444681366"/>
      <w:bookmarkStart w:id="496" w:name="_Toc451601659"/>
      <w:bookmarkStart w:id="497" w:name="_Toc443982913"/>
      <w:bookmarkStart w:id="498" w:name="_Toc376879113"/>
      <w:r>
        <w:rPr>
          <w:rFonts w:hint="default" w:ascii="Times New Roman" w:hAnsi="Times New Roman" w:eastAsia="宋体" w:cs="Times New Roman"/>
          <w:color w:val="auto"/>
          <w:sz w:val="24"/>
          <w:szCs w:val="21"/>
        </w:rPr>
        <w:t>（1）主要环境保护目标</w:t>
      </w:r>
    </w:p>
    <w:p>
      <w:pPr>
        <w:snapToGrid w:val="0"/>
        <w:spacing w:line="360" w:lineRule="auto"/>
        <w:ind w:firstLine="480"/>
        <w:rPr>
          <w:rFonts w:hint="default" w:ascii="Times New Roman" w:hAnsi="Times New Roman" w:eastAsia="宋体" w:cs="Times New Roman"/>
          <w:color w:val="auto"/>
          <w:sz w:val="24"/>
          <w:szCs w:val="21"/>
        </w:rPr>
      </w:pPr>
      <w:r>
        <w:rPr>
          <w:rFonts w:hint="eastAsia" w:ascii="Times New Roman" w:hAnsi="Times New Roman" w:eastAsia="宋体" w:cs="Times New Roman"/>
          <w:color w:val="auto"/>
          <w:sz w:val="24"/>
          <w:szCs w:val="21"/>
          <w:lang w:val="en-US" w:eastAsia="zh-CN"/>
        </w:rPr>
        <w:t>大气保护目标为</w:t>
      </w:r>
      <w:r>
        <w:rPr>
          <w:rFonts w:hint="default" w:ascii="Times New Roman" w:hAnsi="Times New Roman" w:eastAsia="宋体" w:cs="Times New Roman"/>
          <w:color w:val="auto"/>
          <w:sz w:val="24"/>
          <w:szCs w:val="21"/>
        </w:rPr>
        <w:t>厂区周边5km范围内村庄等敏感目标</w:t>
      </w:r>
      <w:r>
        <w:rPr>
          <w:rFonts w:hint="eastAsia" w:ascii="Times New Roman" w:hAnsi="Times New Roman" w:eastAsia="宋体" w:cs="Times New Roman"/>
          <w:color w:val="auto"/>
          <w:sz w:val="24"/>
          <w:szCs w:val="21"/>
          <w:lang w:eastAsia="zh-CN"/>
        </w:rPr>
        <w:t>，</w:t>
      </w:r>
      <w:r>
        <w:rPr>
          <w:rFonts w:hint="eastAsia" w:ascii="Times New Roman" w:hAnsi="Times New Roman" w:eastAsia="宋体" w:cs="Times New Roman"/>
          <w:color w:val="auto"/>
          <w:sz w:val="24"/>
          <w:szCs w:val="21"/>
          <w:lang w:val="en-US" w:eastAsia="zh-CN"/>
        </w:rPr>
        <w:t>包括南曹村、东井村、何厝村等，地表水保护目标为项目周边兴化湾，地下水保护目标为项目所在水文地质单元，具体见1.7-1</w:t>
      </w:r>
      <w:r>
        <w:rPr>
          <w:rFonts w:hint="default" w:ascii="Times New Roman" w:hAnsi="Times New Roman" w:eastAsia="宋体" w:cs="Times New Roman"/>
          <w:color w:val="auto"/>
          <w:sz w:val="24"/>
          <w:szCs w:val="21"/>
        </w:rPr>
        <w:t>。</w:t>
      </w:r>
    </w:p>
    <w:p>
      <w:pPr>
        <w:snapToGrid w:val="0"/>
        <w:spacing w:line="360" w:lineRule="auto"/>
        <w:ind w:firstLine="48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（2）环境风险</w:t>
      </w:r>
    </w:p>
    <w:p>
      <w:pPr>
        <w:widowControl/>
        <w:adjustRightInd w:val="0"/>
        <w:snapToGrid w:val="0"/>
        <w:spacing w:line="360" w:lineRule="auto"/>
        <w:ind w:firstLine="480"/>
        <w:jc w:val="left"/>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lang w:val="zh-CN" w:bidi="ar"/>
        </w:rPr>
        <w:t>本项目主要危险单元主要是</w:t>
      </w:r>
      <w:r>
        <w:rPr>
          <w:rFonts w:hint="default" w:ascii="Times New Roman" w:hAnsi="Times New Roman" w:eastAsia="宋体" w:cs="Times New Roman"/>
          <w:bCs/>
          <w:color w:val="auto"/>
          <w:sz w:val="24"/>
          <w:szCs w:val="24"/>
          <w:lang w:bidi="ar"/>
        </w:rPr>
        <w:t>二号车间</w:t>
      </w:r>
      <w:r>
        <w:rPr>
          <w:rFonts w:hint="default" w:ascii="Times New Roman" w:hAnsi="Times New Roman" w:eastAsia="宋体" w:cs="Times New Roman"/>
          <w:bCs/>
          <w:color w:val="auto"/>
          <w:sz w:val="24"/>
          <w:szCs w:val="24"/>
          <w:lang w:val="zh-CN" w:bidi="ar"/>
        </w:rPr>
        <w:t>、储罐区等，主要危险物质有</w:t>
      </w:r>
      <w:r>
        <w:rPr>
          <w:rFonts w:hint="default" w:ascii="Times New Roman" w:hAnsi="Times New Roman" w:eastAsia="宋体" w:cs="Times New Roman"/>
          <w:bCs/>
          <w:color w:val="auto"/>
          <w:sz w:val="24"/>
          <w:szCs w:val="24"/>
          <w:lang w:bidi="ar"/>
        </w:rPr>
        <w:t>工业级硝酸、电子级硝酸、氨水、乙醇、福尔马林、氢氧化钠、硝酸银、双氧水</w:t>
      </w:r>
      <w:r>
        <w:rPr>
          <w:rFonts w:hint="default" w:ascii="Times New Roman" w:hAnsi="Times New Roman" w:eastAsia="宋体" w:cs="Times New Roman"/>
          <w:bCs/>
          <w:color w:val="auto"/>
          <w:sz w:val="24"/>
          <w:szCs w:val="24"/>
          <w:lang w:val="zh-CN" w:bidi="ar"/>
        </w:rPr>
        <w:t>等储罐破损泄漏对周围大气的影响。本项目主要考虑原料储罐区代表危险物质</w:t>
      </w:r>
      <w:r>
        <w:rPr>
          <w:rFonts w:hint="default" w:ascii="Times New Roman" w:hAnsi="Times New Roman" w:eastAsia="宋体" w:cs="Times New Roman"/>
          <w:bCs/>
          <w:color w:val="auto"/>
          <w:sz w:val="24"/>
          <w:szCs w:val="24"/>
          <w:lang w:bidi="ar"/>
        </w:rPr>
        <w:t>工业级硝酸、氨水、福尔马林</w:t>
      </w:r>
      <w:r>
        <w:rPr>
          <w:rFonts w:hint="default" w:ascii="Times New Roman" w:hAnsi="Times New Roman" w:eastAsia="宋体" w:cs="Times New Roman"/>
          <w:bCs/>
          <w:color w:val="auto"/>
          <w:sz w:val="24"/>
          <w:szCs w:val="24"/>
          <w:lang w:val="zh-CN" w:bidi="ar"/>
        </w:rPr>
        <w:t>等储罐破损泄漏对周围大气的影响。</w:t>
      </w:r>
    </w:p>
    <w:p>
      <w:pPr>
        <w:snapToGrid w:val="0"/>
        <w:spacing w:line="360" w:lineRule="auto"/>
        <w:ind w:firstLine="480"/>
        <w:rPr>
          <w:rFonts w:hint="default" w:ascii="Times New Roman" w:hAnsi="Times New Roman" w:eastAsia="宋体" w:cs="Times New Roman"/>
          <w:color w:val="FF0000"/>
          <w:kern w:val="0"/>
          <w:sz w:val="24"/>
          <w:szCs w:val="21"/>
          <w:lang w:bidi="ar"/>
        </w:rPr>
      </w:pPr>
      <w:r>
        <w:rPr>
          <w:rFonts w:hint="default" w:ascii="Times New Roman" w:hAnsi="Times New Roman" w:eastAsia="宋体" w:cs="Times New Roman"/>
          <w:bCs/>
          <w:color w:val="auto"/>
          <w:kern w:val="0"/>
          <w:sz w:val="24"/>
          <w:szCs w:val="24"/>
          <w:lang w:bidi="ar"/>
        </w:rPr>
        <w:t>本项目物料储罐、输送管道发生火灾爆炸和泄漏会都周围环境造成影响。根据事故环境风险事故的影响预测结果可知，在本评价预设条件下发生气相毒物风险事故时，装置区和罐区中各风险物质毒性终点浓度-1出现的距离在96m内，毒性终点浓度-2出现的距离在312m内。</w:t>
      </w:r>
      <w:r>
        <w:rPr>
          <w:rFonts w:hint="default" w:ascii="Times New Roman" w:hAnsi="Times New Roman" w:eastAsia="宋体" w:cs="Times New Roman"/>
          <w:color w:val="auto"/>
          <w:kern w:val="1"/>
          <w:sz w:val="24"/>
          <w:szCs w:val="24"/>
          <w:lang w:bidi="ar"/>
        </w:rPr>
        <w:t>各事故情形下各污染物的毒性终点浓度影响范围内均不存在大气敏感目标。</w:t>
      </w:r>
      <w:r>
        <w:rPr>
          <w:rFonts w:hint="default" w:ascii="Times New Roman" w:hAnsi="Times New Roman" w:eastAsia="宋体" w:cs="Times New Roman"/>
          <w:color w:val="auto"/>
          <w:kern w:val="0"/>
          <w:sz w:val="24"/>
          <w:szCs w:val="24"/>
          <w:lang w:val="zh-CN" w:bidi="ar"/>
        </w:rPr>
        <w:t>项目加强管理的情况下尽快察觉发生的泄漏，能采取有效措施清理泄漏现场。厂区严禁烟火，可有效避免易燃物质泄漏时发生燃烧事故，降低对大气环境的影响。</w:t>
      </w:r>
      <w:r>
        <w:rPr>
          <w:rFonts w:hint="default" w:ascii="Times New Roman" w:hAnsi="Times New Roman" w:eastAsia="宋体" w:cs="Times New Roman"/>
          <w:color w:val="auto"/>
          <w:kern w:val="0"/>
          <w:sz w:val="24"/>
          <w:szCs w:val="24"/>
          <w:lang w:bidi="ar"/>
        </w:rPr>
        <w:t>新建1400m</w:t>
      </w:r>
      <w:r>
        <w:rPr>
          <w:rFonts w:hint="default" w:ascii="Times New Roman" w:hAnsi="Times New Roman" w:eastAsia="宋体" w:cs="Times New Roman"/>
          <w:color w:val="auto"/>
          <w:kern w:val="0"/>
          <w:sz w:val="24"/>
          <w:szCs w:val="24"/>
          <w:vertAlign w:val="superscript"/>
          <w:lang w:bidi="ar"/>
        </w:rPr>
        <w:t>3</w:t>
      </w:r>
      <w:r>
        <w:rPr>
          <w:rFonts w:hint="default" w:ascii="Times New Roman" w:hAnsi="Times New Roman" w:eastAsia="宋体" w:cs="Times New Roman"/>
          <w:color w:val="auto"/>
          <w:kern w:val="0"/>
          <w:sz w:val="24"/>
          <w:szCs w:val="24"/>
          <w:lang w:val="zh-CN" w:bidi="ar"/>
        </w:rPr>
        <w:t>的事故应急池及导流系统，确保在事故状态下能顺利收集消防废水。通过以上措施，本项目消防废水可控制在厂内，基本不会对周边水体造成影响。项目</w:t>
      </w:r>
      <w:r>
        <w:rPr>
          <w:rFonts w:hint="default" w:ascii="Times New Roman" w:hAnsi="Times New Roman" w:eastAsia="宋体" w:cs="Times New Roman"/>
          <w:kern w:val="0"/>
          <w:sz w:val="24"/>
          <w:szCs w:val="24"/>
          <w:lang w:val="zh-CN" w:bidi="ar"/>
        </w:rPr>
        <w:t>建成后，正常情况下对地下水的水质基本没有影响。企业采取有效的措施防止污染物泄漏，按分区防渗级别的要求采取场地防渗措施，加强环境管理，维护环保设施的正常运行，杜绝非正常排放。</w:t>
      </w:r>
    </w:p>
    <w:p>
      <w:pPr>
        <w:snapToGrid w:val="0"/>
        <w:spacing w:line="360" w:lineRule="auto"/>
        <w:ind w:firstLine="480"/>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kern w:val="0"/>
          <w:sz w:val="24"/>
          <w:szCs w:val="21"/>
          <w:lang w:bidi="ar"/>
        </w:rPr>
        <w:t>建设单位应严格按照本评价的要求采取相应的风险防范措施，在本质安全基础上，针对潜在的各类风险事故制定相应的应急预案，并严格执行，以最大程度降低风险影响，则本项目的环境风险总体是可防可控的。</w:t>
      </w:r>
    </w:p>
    <w:p>
      <w:pPr>
        <w:widowControl/>
        <w:snapToGrid w:val="0"/>
        <w:spacing w:line="360" w:lineRule="auto"/>
        <w:ind w:firstLine="0"/>
        <w:jc w:val="left"/>
        <w:outlineLvl w:val="1"/>
        <w:rPr>
          <w:rFonts w:hint="default" w:ascii="Times New Roman" w:hAnsi="Times New Roman" w:eastAsia="黑体" w:cs="Times New Roman"/>
          <w:sz w:val="30"/>
          <w:szCs w:val="30"/>
        </w:rPr>
      </w:pPr>
      <w:bookmarkStart w:id="499" w:name="_Toc15710"/>
      <w:r>
        <w:rPr>
          <w:rFonts w:hint="default" w:ascii="Times New Roman" w:hAnsi="Times New Roman" w:eastAsia="黑体" w:cs="Times New Roman"/>
          <w:sz w:val="30"/>
          <w:szCs w:val="30"/>
        </w:rPr>
        <w:t>10.3工程建设的环境可行性</w:t>
      </w:r>
      <w:bookmarkEnd w:id="489"/>
      <w:bookmarkEnd w:id="490"/>
      <w:bookmarkEnd w:id="491"/>
      <w:bookmarkEnd w:id="492"/>
      <w:bookmarkEnd w:id="493"/>
      <w:bookmarkEnd w:id="494"/>
      <w:bookmarkEnd w:id="495"/>
      <w:bookmarkEnd w:id="496"/>
      <w:bookmarkEnd w:id="497"/>
      <w:bookmarkEnd w:id="499"/>
    </w:p>
    <w:p>
      <w:pPr>
        <w:widowControl/>
        <w:snapToGrid w:val="0"/>
        <w:spacing w:line="360" w:lineRule="auto"/>
        <w:ind w:firstLine="0"/>
        <w:jc w:val="left"/>
        <w:outlineLvl w:val="2"/>
        <w:rPr>
          <w:rFonts w:hint="default" w:ascii="Times New Roman" w:hAnsi="Times New Roman" w:eastAsia="黑体" w:cs="Times New Roman"/>
          <w:bCs/>
          <w:szCs w:val="24"/>
        </w:rPr>
      </w:pPr>
      <w:bookmarkStart w:id="500" w:name="_Toc376879116"/>
      <w:r>
        <w:rPr>
          <w:rFonts w:hint="default" w:ascii="Times New Roman" w:hAnsi="Times New Roman" w:eastAsia="黑体" w:cs="Times New Roman"/>
          <w:bCs/>
          <w:szCs w:val="24"/>
        </w:rPr>
        <w:t>10.3.1产业政策符合性</w:t>
      </w:r>
    </w:p>
    <w:p>
      <w:pPr>
        <w:snapToGrid w:val="0"/>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拟建工程产品为电子级硝酸、硝酸银、超细银粉，均为新型电子元器件用材料，通过查阅《产业结构调整指导目录（2019年本）》，属于第二十八项“信息产业”第22条：半导体、光电子器件、新型电子元器件等电子产品用材料鼓励类项目。此外，本项目电子级硝酸、硝酸银、超细银粉制造业属于无机化工行业及延伸下游高附加值产品，不属于《产业结构调整指导目录（2019年本）》石化化工中限制类和淘汰类。因此，项目的建设符合国家当前的产业政策。</w:t>
      </w:r>
    </w:p>
    <w:p>
      <w:pPr>
        <w:snapToGrid w:val="0"/>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同时，本项目已于2021年5月31日获得福清市发展和改革局备案证明（闽发改备〔2021〕A060201号）。</w:t>
      </w:r>
    </w:p>
    <w:bookmarkEnd w:id="500"/>
    <w:p>
      <w:pPr>
        <w:widowControl/>
        <w:snapToGrid w:val="0"/>
        <w:spacing w:line="360" w:lineRule="auto"/>
        <w:ind w:firstLine="0"/>
        <w:jc w:val="left"/>
        <w:outlineLvl w:val="2"/>
        <w:rPr>
          <w:rFonts w:hint="default" w:ascii="Times New Roman" w:hAnsi="Times New Roman" w:eastAsia="黑体" w:cs="Times New Roman"/>
          <w:bCs/>
          <w:szCs w:val="24"/>
        </w:rPr>
      </w:pPr>
      <w:r>
        <w:rPr>
          <w:rFonts w:hint="default" w:ascii="Times New Roman" w:hAnsi="Times New Roman" w:eastAsia="黑体" w:cs="Times New Roman"/>
          <w:bCs/>
          <w:szCs w:val="24"/>
        </w:rPr>
        <w:t>10.3.2规划符合性</w:t>
      </w:r>
    </w:p>
    <w:p>
      <w:pPr>
        <w:snapToGrid w:val="0"/>
        <w:spacing w:line="360" w:lineRule="auto"/>
        <w:ind w:firstLine="480"/>
        <w:rPr>
          <w:rFonts w:hint="default" w:ascii="Times New Roman" w:hAnsi="Times New Roman" w:eastAsia="宋体" w:cs="Times New Roman"/>
          <w:sz w:val="24"/>
          <w:szCs w:val="21"/>
        </w:rPr>
      </w:pPr>
      <w:r>
        <w:rPr>
          <w:rFonts w:hint="default" w:ascii="Times New Roman" w:hAnsi="Times New Roman" w:eastAsia="宋体" w:cs="Times New Roman"/>
          <w:sz w:val="24"/>
          <w:szCs w:val="21"/>
        </w:rPr>
        <w:t>本项目选址建设符合《江阴港城总体规划（2018-2035）》、《福州市江阴工业集中区总体规划(修编)》等区域相关规划，与《福建省主体功能区规划》、《福建省近岸海域环境功能区划（修编）》、《福建省海洋功能区划》、《福建省海洋环境保护规划（2011-2020）》等环境规划基本协调。</w:t>
      </w:r>
    </w:p>
    <w:p>
      <w:pPr>
        <w:widowControl/>
        <w:snapToGrid w:val="0"/>
        <w:spacing w:line="360" w:lineRule="auto"/>
        <w:ind w:firstLine="0"/>
        <w:jc w:val="left"/>
        <w:outlineLvl w:val="2"/>
        <w:rPr>
          <w:rFonts w:hint="default" w:ascii="Times New Roman" w:hAnsi="Times New Roman" w:eastAsia="黑体" w:cs="Times New Roman"/>
          <w:bCs/>
          <w:szCs w:val="24"/>
        </w:rPr>
      </w:pPr>
      <w:r>
        <w:rPr>
          <w:rFonts w:hint="default" w:ascii="Times New Roman" w:hAnsi="Times New Roman" w:eastAsia="黑体" w:cs="Times New Roman"/>
          <w:bCs/>
          <w:szCs w:val="24"/>
        </w:rPr>
        <w:t>10.3.4主要环保工程及竣工环保验收要求</w:t>
      </w:r>
    </w:p>
    <w:p>
      <w:pPr>
        <w:snapToGrid w:val="0"/>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落实本评价提出的施工期污染防治措施、加强施工期环境管理的前提下，施工期的环境影响可以得到有效的控制。运营期厂区的污染防治是本项目环境保护的重点，在严格执行环保“三同时”制度，通过实施清洁生产、采取本评价要求的各项污染防治措施和加强环境管理，可确保所排放污染物得到有效地控制，并做到达标排放。</w:t>
      </w:r>
    </w:p>
    <w:p>
      <w:pPr>
        <w:snapToGrid w:val="0"/>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项目竣工环境保护验收主要内容见表10.3-1。</w:t>
      </w:r>
    </w:p>
    <w:bookmarkEnd w:id="498"/>
    <w:p>
      <w:pPr>
        <w:snapToGrid w:val="0"/>
        <w:spacing w:line="360" w:lineRule="auto"/>
        <w:ind w:firstLine="480"/>
        <w:rPr>
          <w:rFonts w:hint="default" w:ascii="Times New Roman" w:hAnsi="Times New Roman" w:eastAsia="宋体" w:cs="Times New Roman"/>
          <w:sz w:val="24"/>
          <w:szCs w:val="24"/>
        </w:rPr>
      </w:pPr>
    </w:p>
    <w:p>
      <w:pPr>
        <w:snapToGrid w:val="0"/>
        <w:spacing w:line="360" w:lineRule="auto"/>
        <w:ind w:firstLine="480"/>
        <w:rPr>
          <w:rFonts w:hint="default" w:ascii="Times New Roman" w:hAnsi="Times New Roman" w:eastAsia="宋体" w:cs="Times New Roman"/>
          <w:sz w:val="24"/>
          <w:szCs w:val="24"/>
        </w:rPr>
        <w:sectPr>
          <w:headerReference r:id="rId27" w:type="first"/>
          <w:footerReference r:id="rId30" w:type="first"/>
          <w:headerReference r:id="rId25" w:type="default"/>
          <w:footerReference r:id="rId28" w:type="default"/>
          <w:headerReference r:id="rId26" w:type="even"/>
          <w:footerReference r:id="rId29" w:type="even"/>
          <w:pgSz w:w="11906" w:h="16838"/>
          <w:pgMar w:top="1417" w:right="1417" w:bottom="1417" w:left="1417" w:header="1021" w:footer="907" w:gutter="0"/>
          <w:pgNumType w:fmt="decimal"/>
          <w:cols w:space="720" w:num="1"/>
          <w:docGrid w:type="linesAndChars" w:linePitch="381" w:charSpace="0"/>
        </w:sectPr>
      </w:pPr>
    </w:p>
    <w:p>
      <w:pPr>
        <w:widowControl/>
        <w:spacing w:line="360" w:lineRule="auto"/>
        <w:ind w:firstLine="0"/>
        <w:jc w:val="center"/>
        <w:outlineLvl w:val="4"/>
        <w:rPr>
          <w:rFonts w:hint="default" w:ascii="Times New Roman" w:hAnsi="Times New Roman" w:eastAsia="黑体" w:cs="Times New Roman"/>
          <w:bCs/>
          <w:snapToGrid w:val="0"/>
          <w:sz w:val="24"/>
          <w:szCs w:val="24"/>
        </w:rPr>
      </w:pPr>
      <w:r>
        <w:rPr>
          <w:rFonts w:hint="default" w:ascii="Times New Roman" w:hAnsi="Times New Roman" w:eastAsia="黑体" w:cs="Times New Roman"/>
          <w:bCs/>
          <w:snapToGrid w:val="0"/>
          <w:sz w:val="24"/>
          <w:szCs w:val="24"/>
        </w:rPr>
        <w:t xml:space="preserve">表10.3-1  </w:t>
      </w:r>
      <w:r>
        <w:rPr>
          <w:rFonts w:hint="default" w:ascii="Times New Roman" w:hAnsi="Times New Roman" w:eastAsia="黑体" w:cs="Times New Roman"/>
          <w:bCs/>
          <w:sz w:val="24"/>
          <w:szCs w:val="24"/>
        </w:rPr>
        <w:t>项目</w:t>
      </w:r>
      <w:r>
        <w:rPr>
          <w:rFonts w:hint="default" w:ascii="Times New Roman" w:hAnsi="Times New Roman" w:eastAsia="黑体" w:cs="Times New Roman"/>
          <w:bCs/>
          <w:snapToGrid w:val="0"/>
          <w:sz w:val="24"/>
          <w:szCs w:val="24"/>
        </w:rPr>
        <w:t>环保设施（措施）及验收要求一览表</w:t>
      </w:r>
    </w:p>
    <w:tbl>
      <w:tblPr>
        <w:tblStyle w:val="9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425"/>
        <w:gridCol w:w="1206"/>
        <w:gridCol w:w="5489"/>
        <w:gridCol w:w="58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395" w:type="dxa"/>
            <w:gridSpan w:val="3"/>
            <w:noWrap w:val="0"/>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类别</w:t>
            </w:r>
          </w:p>
        </w:tc>
        <w:tc>
          <w:tcPr>
            <w:tcW w:w="5489"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防治措施</w:t>
            </w:r>
          </w:p>
        </w:tc>
        <w:tc>
          <w:tcPr>
            <w:tcW w:w="5887"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验收标准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395" w:type="dxa"/>
            <w:gridSpan w:val="3"/>
            <w:vMerge w:val="restart"/>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w:t>
            </w:r>
          </w:p>
        </w:tc>
        <w:tc>
          <w:tcPr>
            <w:tcW w:w="5489"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（1）对雨污水收集系统规划，建设雨污、清污分流收集系统：</w:t>
            </w:r>
          </w:p>
          <w:p>
            <w:pPr>
              <w:keepLines/>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①超细银粉一道洗涤废水去含银废液三效（处理能力3t/h）蒸发，蒸汽经除雾器再进入冷凝器，冷凝液去污水站处理；</w:t>
            </w:r>
          </w:p>
          <w:p>
            <w:pPr>
              <w:keepLines/>
              <w:snapToGrid w:val="0"/>
              <w:spacing w:line="300" w:lineRule="exact"/>
              <w:ind w:firstLine="0"/>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②硝酸</w:t>
            </w:r>
            <w:r>
              <w:rPr>
                <w:rFonts w:hint="eastAsia" w:ascii="Times New Roman" w:hAnsi="Times New Roman" w:eastAsia="宋体" w:cs="Times New Roman"/>
                <w:color w:val="auto"/>
                <w:sz w:val="21"/>
                <w:szCs w:val="21"/>
                <w:lang w:val="en-US" w:eastAsia="zh-CN"/>
              </w:rPr>
              <w:t>银</w:t>
            </w:r>
            <w:r>
              <w:rPr>
                <w:rFonts w:hint="default" w:ascii="Times New Roman" w:hAnsi="Times New Roman" w:eastAsia="宋体" w:cs="Times New Roman"/>
                <w:color w:val="auto"/>
                <w:sz w:val="21"/>
                <w:szCs w:val="21"/>
              </w:rPr>
              <w:t>生产线蒸馏冷凝液、超细银粉二、三道洗涤废水去含银废水预处理系统</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处理工艺中和+混凝+沉淀，处理能力10t/h</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处理后再去污水站处理</w:t>
            </w:r>
            <w:r>
              <w:rPr>
                <w:rFonts w:hint="eastAsia" w:ascii="Times New Roman" w:hAnsi="Times New Roman" w:eastAsia="宋体" w:cs="Times New Roman"/>
                <w:color w:val="auto"/>
                <w:sz w:val="21"/>
                <w:szCs w:val="21"/>
                <w:lang w:eastAsia="zh-CN"/>
              </w:rPr>
              <w:t>；</w:t>
            </w:r>
          </w:p>
          <w:p>
            <w:pPr>
              <w:keepLines/>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③各废气处理塔排水、水环真空泵废水、化验室废水进入污水站处理</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处理工艺中和混凝沉淀+</w:t>
            </w:r>
            <w:r>
              <w:rPr>
                <w:rFonts w:hint="default" w:ascii="Times New Roman" w:hAnsi="Times New Roman" w:eastAsia="宋体" w:cs="Times New Roman"/>
                <w:color w:val="auto"/>
                <w:sz w:val="21"/>
                <w:szCs w:val="21"/>
              </w:rPr>
              <w:t>一级A/O+二级A+MBR工艺，生化处理系统处理能力15t/h</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，生化出水进入UF+</w:t>
            </w:r>
            <w:r>
              <w:rPr>
                <w:rFonts w:hint="eastAsia" w:ascii="Times New Roman" w:hAnsi="Times New Roman" w:eastAsia="宋体" w:cs="Times New Roman"/>
                <w:color w:val="auto"/>
                <w:sz w:val="21"/>
                <w:szCs w:val="21"/>
                <w:lang w:val="en-US" w:eastAsia="zh-CN"/>
              </w:rPr>
              <w:t>二级</w:t>
            </w:r>
            <w:r>
              <w:rPr>
                <w:rFonts w:hint="default" w:ascii="Times New Roman" w:hAnsi="Times New Roman" w:eastAsia="宋体" w:cs="Times New Roman"/>
                <w:color w:val="auto"/>
                <w:sz w:val="21"/>
                <w:szCs w:val="21"/>
              </w:rPr>
              <w:t>RO系统处理，浓水进入污水站配套的三效蒸发器（处理能力3t/h）蒸发处理，产水回用。</w:t>
            </w:r>
          </w:p>
        </w:tc>
        <w:tc>
          <w:tcPr>
            <w:tcW w:w="5887" w:type="dxa"/>
            <w:noWrap w:val="0"/>
            <w:tcMar>
              <w:left w:w="28" w:type="dxa"/>
              <w:right w:w="28" w:type="dxa"/>
            </w:tcMar>
            <w:vAlign w:val="center"/>
          </w:tcPr>
          <w:p>
            <w:pPr>
              <w:keepLines/>
              <w:snapToGrid w:val="0"/>
              <w:spacing w:line="300" w:lineRule="exact"/>
              <w:ind w:firstLine="0"/>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sz w:val="21"/>
                <w:szCs w:val="21"/>
              </w:rPr>
              <w:t>验收落实情况</w:t>
            </w:r>
            <w:r>
              <w:rPr>
                <w:rFonts w:hint="eastAsia" w:ascii="Times New Roman" w:hAnsi="Times New Roman" w:eastAsia="宋体" w:cs="Times New Roman"/>
                <w:sz w:val="21"/>
                <w:szCs w:val="21"/>
                <w:lang w:eastAsia="zh-CN"/>
              </w:rPr>
              <w:t>，其中车间含银废水处理设施出水总银达到《无机化学工业污染物排放标准》（GB31573-2015）表1中车间或生产设施废水排放口限值标准（总银不高于0.5mg/L）。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80" w:hRule="atLeast"/>
          <w:jc w:val="center"/>
        </w:trPr>
        <w:tc>
          <w:tcPr>
            <w:gridSpan w:val="3"/>
            <w:vMerge w:val="continue"/>
            <w:noWrap w:val="0"/>
            <w:tcMar>
              <w:left w:w="28" w:type="dxa"/>
              <w:right w:w="28" w:type="dxa"/>
            </w:tcMar>
          </w:tcPr>
          <w:p/>
        </w:tc>
        <w:tc>
          <w:tcPr>
            <w:tcW w:w="5489"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）建设1座的</w:t>
            </w:r>
            <w:r>
              <w:rPr>
                <w:rFonts w:hint="eastAsia"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00m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初期雨水池；建设1座的500m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雨水监控池。</w:t>
            </w:r>
            <w:r>
              <w:rPr>
                <w:rFonts w:hint="eastAsia" w:ascii="Times New Roman" w:hAnsi="Times New Roman" w:eastAsia="宋体" w:cs="Times New Roman"/>
                <w:color w:val="auto"/>
                <w:sz w:val="21"/>
                <w:szCs w:val="21"/>
                <w:lang w:val="en-US" w:eastAsia="zh-CN"/>
              </w:rPr>
              <w:t>去离子水站排水、循环水站间接冷却排水、初期雨水经沉淀后监控达标后排入江阴污水处理厂。</w:t>
            </w:r>
          </w:p>
        </w:tc>
        <w:tc>
          <w:tcPr>
            <w:tcW w:w="5887" w:type="dxa"/>
            <w:noWrap w:val="0"/>
            <w:tcMar>
              <w:left w:w="28" w:type="dxa"/>
              <w:right w:w="28" w:type="dxa"/>
            </w:tcMar>
            <w:vAlign w:val="center"/>
          </w:tcPr>
          <w:p>
            <w:pPr>
              <w:keepLines/>
              <w:snapToGrid w:val="0"/>
              <w:spacing w:line="300" w:lineRule="exact"/>
              <w:ind w:firstLine="0"/>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《无机化学工业污染物排放标准》（GB31573-2015）表1间接排放标准（COD≤200mg/L，SS≤100mg/L，</w:t>
            </w:r>
            <w:r>
              <w:rPr>
                <w:rFonts w:hint="default" w:ascii="Times New Roman" w:hAnsi="Times New Roman" w:eastAsia="宋体" w:cs="Times New Roman"/>
                <w:color w:val="auto"/>
                <w:sz w:val="21"/>
                <w:szCs w:val="21"/>
                <w:lang w:val="en-GB"/>
              </w:rPr>
              <w:t>氨氮</w:t>
            </w:r>
            <w:r>
              <w:rPr>
                <w:rFonts w:hint="default" w:ascii="Times New Roman" w:hAnsi="Times New Roman" w:eastAsia="宋体" w:cs="Times New Roman"/>
                <w:color w:val="auto"/>
                <w:sz w:val="21"/>
                <w:szCs w:val="21"/>
              </w:rPr>
              <w:t>≤40mg/L</w:t>
            </w:r>
            <w:r>
              <w:rPr>
                <w:rFonts w:hint="default" w:ascii="Times New Roman" w:hAnsi="Times New Roman" w:eastAsia="宋体" w:cs="Times New Roman"/>
                <w:color w:val="auto"/>
                <w:sz w:val="21"/>
                <w:szCs w:val="21"/>
                <w:lang w:val="en-GB"/>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gridSpan w:val="3"/>
            <w:vMerge w:val="continue"/>
            <w:noWrap w:val="0"/>
            <w:tcMar>
              <w:left w:w="28" w:type="dxa"/>
              <w:right w:w="28" w:type="dxa"/>
            </w:tcMar>
          </w:tcPr>
          <w:p/>
        </w:tc>
        <w:tc>
          <w:tcPr>
            <w:tcW w:w="5489"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生活污水经化粪池处理后排入园区污水处理厂</w:t>
            </w:r>
          </w:p>
        </w:tc>
        <w:tc>
          <w:tcPr>
            <w:tcW w:w="5887"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《污水综合排放标准》(GB8978-1996)（COD≤</w:t>
            </w: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00mg/L，</w:t>
            </w:r>
            <w:r>
              <w:rPr>
                <w:rFonts w:hint="default" w:ascii="Times New Roman" w:hAnsi="Times New Roman" w:eastAsia="宋体" w:cs="Times New Roman"/>
                <w:color w:val="auto"/>
                <w:kern w:val="0"/>
                <w:sz w:val="21"/>
                <w:szCs w:val="21"/>
              </w:rPr>
              <w:t>BOD</w:t>
            </w:r>
            <w:r>
              <w:rPr>
                <w:rFonts w:hint="default" w:ascii="Times New Roman" w:hAnsi="Times New Roman" w:eastAsia="宋体" w:cs="Times New Roman"/>
                <w:color w:val="auto"/>
                <w:kern w:val="0"/>
                <w:sz w:val="21"/>
                <w:szCs w:val="21"/>
                <w:vertAlign w:val="subscript"/>
              </w:rPr>
              <w:t>5</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00mg/L，SS≤</w:t>
            </w:r>
            <w:r>
              <w:rPr>
                <w:rFonts w:hint="eastAsia"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00mg/L，</w:t>
            </w:r>
            <w:r>
              <w:rPr>
                <w:rFonts w:hint="default" w:ascii="Times New Roman" w:hAnsi="Times New Roman" w:eastAsia="宋体" w:cs="Times New Roman"/>
                <w:color w:val="auto"/>
                <w:sz w:val="21"/>
                <w:szCs w:val="21"/>
                <w:lang w:val="en-GB"/>
              </w:rPr>
              <w:t>氨氮</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45</w:t>
            </w:r>
            <w:r>
              <w:rPr>
                <w:rFonts w:hint="default" w:ascii="Times New Roman" w:hAnsi="Times New Roman" w:eastAsia="宋体" w:cs="Times New Roman"/>
                <w:color w:val="auto"/>
                <w:sz w:val="21"/>
                <w:szCs w:val="21"/>
              </w:rPr>
              <w:t>mg/L</w:t>
            </w:r>
            <w:r>
              <w:rPr>
                <w:rFonts w:hint="default" w:ascii="Times New Roman" w:hAnsi="Times New Roman" w:eastAsia="宋体" w:cs="Times New Roman"/>
                <w:color w:val="auto"/>
                <w:sz w:val="21"/>
                <w:szCs w:val="21"/>
                <w:lang w:val="en-GB"/>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395" w:type="dxa"/>
            <w:gridSpan w:val="3"/>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废气</w:t>
            </w:r>
          </w:p>
        </w:tc>
        <w:tc>
          <w:tcPr>
            <w:tcW w:w="5489" w:type="dxa"/>
            <w:noWrap w:val="0"/>
            <w:tcMar>
              <w:left w:w="28" w:type="dxa"/>
              <w:right w:w="28" w:type="dxa"/>
            </w:tcMar>
            <w:vAlign w:val="center"/>
          </w:tcPr>
          <w:p>
            <w:pPr>
              <w:keepLines/>
              <w:snapToGrid w:val="0"/>
              <w:spacing w:line="300" w:lineRule="exact"/>
              <w:ind w:firstLine="0"/>
              <w:jc w:val="left"/>
              <w:rPr>
                <w:rFonts w:hint="eastAsia" w:ascii="宋体" w:hAnsi="宋体" w:eastAsia="宋体" w:cs="宋体"/>
                <w:color w:val="auto"/>
                <w:sz w:val="21"/>
                <w:szCs w:val="21"/>
              </w:rPr>
            </w:pPr>
            <w:r>
              <w:rPr>
                <w:rFonts w:hint="eastAsia" w:ascii="宋体" w:hAnsi="宋体" w:eastAsia="宋体" w:cs="宋体"/>
                <w:color w:val="auto"/>
                <w:sz w:val="21"/>
                <w:szCs w:val="21"/>
              </w:rPr>
              <w:t>②全厂设</w:t>
            </w:r>
            <w:r>
              <w:rPr>
                <w:rFonts w:hint="eastAsia" w:ascii="宋体" w:hAnsi="宋体" w:eastAsia="宋体" w:cs="宋体"/>
                <w:color w:val="auto"/>
                <w:sz w:val="21"/>
                <w:szCs w:val="21"/>
                <w:lang w:val="en-US" w:eastAsia="zh-CN"/>
              </w:rPr>
              <w:t>5</w:t>
            </w:r>
            <w:r>
              <w:rPr>
                <w:rFonts w:hint="eastAsia" w:ascii="宋体" w:hAnsi="宋体" w:eastAsia="宋体" w:cs="宋体"/>
                <w:color w:val="auto"/>
                <w:sz w:val="21"/>
                <w:szCs w:val="21"/>
              </w:rPr>
              <w:t>个排气筒。</w:t>
            </w:r>
          </w:p>
          <w:p>
            <w:pPr>
              <w:keepLines/>
              <w:snapToGrid w:val="0"/>
              <w:spacing w:line="300" w:lineRule="exact"/>
              <w:ind w:firstLine="0"/>
              <w:jc w:val="left"/>
              <w:rPr>
                <w:rFonts w:hint="eastAsia" w:ascii="宋体" w:hAnsi="宋体" w:eastAsia="宋体" w:cs="宋体"/>
                <w:color w:val="auto"/>
                <w:sz w:val="21"/>
                <w:szCs w:val="21"/>
              </w:rPr>
            </w:pPr>
            <w:r>
              <w:rPr>
                <w:rFonts w:hint="eastAsia" w:ascii="宋体" w:hAnsi="宋体" w:eastAsia="宋体" w:cs="宋体"/>
                <w:color w:val="auto"/>
                <w:sz w:val="21"/>
                <w:szCs w:val="21"/>
              </w:rPr>
              <w:t>①DA001</w:t>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sz w:val="21"/>
                <w:szCs w:val="21"/>
              </w:rPr>
              <w:t>电子级硝酸生产废气经二级水吸收+强氧化吸收+二级碱吸收处理后由1根25m高排气筒（DA001）排放；硝酸银溶银废气经双氧水预洗塔后的尾气经二级水吸收+强氧化吸收+二级碱吸收后DA001排放。</w:t>
            </w:r>
          </w:p>
          <w:p>
            <w:pPr>
              <w:keepLines/>
              <w:snapToGrid w:val="0"/>
              <w:spacing w:line="300" w:lineRule="exact"/>
              <w:ind w:firstLine="0"/>
              <w:jc w:val="left"/>
              <w:rPr>
                <w:rFonts w:hint="eastAsia" w:ascii="宋体" w:hAnsi="宋体" w:eastAsia="宋体" w:cs="宋体"/>
                <w:color w:val="auto"/>
                <w:sz w:val="21"/>
                <w:szCs w:val="21"/>
              </w:rPr>
            </w:pPr>
            <w:r>
              <w:rPr>
                <w:rFonts w:hint="eastAsia" w:ascii="宋体" w:hAnsi="宋体" w:eastAsia="宋体" w:cs="宋体"/>
                <w:color w:val="auto"/>
                <w:sz w:val="21"/>
                <w:szCs w:val="21"/>
              </w:rPr>
              <w:t>②DA002</w:t>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sz w:val="21"/>
                <w:szCs w:val="21"/>
              </w:rPr>
              <w:t>含银废液三效蒸发器不凝气、超细银粉反应废气先经氨回收塔回收氨气后再经二级水吸收+二级水洗+高效除雾装置+活性炭吸附处理后由25m高排气筒（DA002）排放；分散废气、乙醇精馏不凝气、干燥废气经二级水洗+高效除雾装置+活性炭吸附处理后由DA002排放。</w:t>
            </w:r>
          </w:p>
          <w:p>
            <w:pPr>
              <w:keepLines/>
              <w:snapToGrid w:val="0"/>
              <w:spacing w:line="300" w:lineRule="exact"/>
              <w:ind w:firstLine="0"/>
              <w:jc w:val="left"/>
              <w:rPr>
                <w:rFonts w:hint="eastAsia" w:ascii="宋体" w:hAnsi="宋体" w:eastAsia="宋体" w:cs="宋体"/>
                <w:color w:val="auto"/>
                <w:sz w:val="21"/>
                <w:szCs w:val="21"/>
              </w:rPr>
            </w:pPr>
            <w:r>
              <w:rPr>
                <w:rFonts w:hint="eastAsia" w:ascii="宋体" w:hAnsi="宋体" w:eastAsia="宋体" w:cs="宋体"/>
                <w:color w:val="auto"/>
                <w:sz w:val="21"/>
                <w:szCs w:val="21"/>
              </w:rPr>
              <w:t>③DA003</w:t>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sz w:val="21"/>
                <w:szCs w:val="21"/>
              </w:rPr>
              <w:t>罐区废气、污水站生化系统废气</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lang w:val="en-US" w:eastAsia="zh-CN"/>
              </w:rPr>
              <w:t>危废间废气</w:t>
            </w:r>
            <w:r>
              <w:rPr>
                <w:rFonts w:hint="eastAsia" w:ascii="宋体" w:hAnsi="宋体" w:eastAsia="宋体" w:cs="宋体"/>
                <w:color w:val="auto"/>
                <w:sz w:val="21"/>
                <w:szCs w:val="21"/>
              </w:rPr>
              <w:t>经集气收集后进入氧化吸收+碱吸收+生物除臭处理由15m高排气筒（DA003）排放。</w:t>
            </w:r>
          </w:p>
          <w:p>
            <w:pPr>
              <w:keepLines/>
              <w:snapToGrid w:val="0"/>
              <w:spacing w:line="300" w:lineRule="exact"/>
              <w:ind w:firstLine="0"/>
              <w:jc w:val="left"/>
              <w:rPr>
                <w:rFonts w:hint="eastAsia" w:ascii="宋体" w:hAnsi="宋体" w:eastAsia="宋体" w:cs="宋体"/>
                <w:color w:val="auto"/>
                <w:sz w:val="21"/>
                <w:szCs w:val="21"/>
              </w:rPr>
            </w:pPr>
            <w:r>
              <w:rPr>
                <w:rFonts w:hint="eastAsia" w:ascii="宋体" w:hAnsi="宋体" w:eastAsia="宋体" w:cs="宋体"/>
                <w:color w:val="auto"/>
                <w:sz w:val="21"/>
                <w:szCs w:val="21"/>
              </w:rPr>
              <w:t>④DA004</w:t>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sz w:val="21"/>
                <w:szCs w:val="21"/>
              </w:rPr>
              <w:t>超细银粉抗坏血酸投料废气、破碎、包装废气经相应的布袋除尘器处理后由25m高排气筒（DA004）排放。</w:t>
            </w:r>
          </w:p>
          <w:p>
            <w:pPr>
              <w:pStyle w:val="417"/>
              <w:jc w:val="left"/>
              <w:rPr>
                <w:rFonts w:hint="default"/>
                <w:color w:val="auto"/>
              </w:rPr>
            </w:pPr>
            <w:r>
              <w:rPr>
                <w:rFonts w:hint="eastAsia" w:ascii="宋体" w:hAnsi="宋体" w:eastAsia="宋体" w:cs="宋体"/>
                <w:color w:val="auto"/>
                <w:kern w:val="0"/>
                <w:sz w:val="21"/>
                <w:szCs w:val="21"/>
                <w:lang w:val="en-US" w:eastAsia="zh-CN"/>
              </w:rPr>
              <w:t>DA005 污水站配套的三效蒸发器蒸发气通过15m高排气筒（DA005）排放，蒸发气中含少量氨、非甲烷总烃。</w:t>
            </w:r>
          </w:p>
        </w:tc>
        <w:tc>
          <w:tcPr>
            <w:tcW w:w="5887"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①排气筒中</w:t>
            </w:r>
            <w:r>
              <w:rPr>
                <w:rFonts w:hint="default" w:ascii="Times New Roman" w:hAnsi="Times New Roman" w:eastAsia="宋体" w:cs="Times New Roman"/>
                <w:color w:val="auto"/>
                <w:sz w:val="21"/>
                <w:szCs w:val="21"/>
                <w:lang w:val="en-GB"/>
              </w:rPr>
              <w:t>颗粒物、</w:t>
            </w:r>
            <w:r>
              <w:rPr>
                <w:rFonts w:hint="default" w:ascii="Times New Roman" w:hAnsi="Times New Roman" w:eastAsia="宋体" w:cs="Times New Roman"/>
                <w:color w:val="auto"/>
                <w:sz w:val="21"/>
                <w:szCs w:val="21"/>
              </w:rPr>
              <w:t>氮氧化物、氨</w:t>
            </w:r>
            <w:r>
              <w:rPr>
                <w:rFonts w:hint="default" w:ascii="Times New Roman" w:hAnsi="Times New Roman" w:eastAsia="宋体" w:cs="Times New Roman"/>
                <w:color w:val="auto"/>
                <w:sz w:val="21"/>
                <w:szCs w:val="21"/>
                <w:lang w:val="en-GB"/>
              </w:rPr>
              <w:t>执行《无机化学工业污染物排放标准》（GB3157</w:t>
            </w:r>
            <w:r>
              <w:rPr>
                <w:rFonts w:hint="default" w:ascii="Times New Roman" w:hAnsi="Times New Roman" w:eastAsia="宋体" w:cs="Times New Roman"/>
                <w:color w:val="auto"/>
                <w:sz w:val="21"/>
                <w:szCs w:val="21"/>
              </w:rPr>
              <w:t>3</w:t>
            </w:r>
            <w:r>
              <w:rPr>
                <w:rFonts w:hint="default" w:ascii="Times New Roman" w:hAnsi="Times New Roman" w:eastAsia="宋体" w:cs="Times New Roman"/>
                <w:color w:val="auto"/>
                <w:sz w:val="21"/>
                <w:szCs w:val="21"/>
                <w:lang w:val="en-GB"/>
              </w:rPr>
              <w:t>-2015）</w:t>
            </w:r>
            <w:r>
              <w:rPr>
                <w:rFonts w:hint="default" w:ascii="Times New Roman" w:hAnsi="Times New Roman" w:eastAsia="宋体" w:cs="Times New Roman"/>
                <w:color w:val="auto"/>
                <w:sz w:val="21"/>
                <w:szCs w:val="21"/>
              </w:rPr>
              <w:t>表3</w:t>
            </w:r>
            <w:r>
              <w:rPr>
                <w:rFonts w:hint="default" w:ascii="Times New Roman" w:hAnsi="Times New Roman" w:eastAsia="宋体" w:cs="Times New Roman"/>
                <w:color w:val="auto"/>
                <w:sz w:val="21"/>
                <w:szCs w:val="21"/>
                <w:lang w:val="en-GB"/>
              </w:rPr>
              <w:t>限值要求</w:t>
            </w:r>
            <w:r>
              <w:rPr>
                <w:rFonts w:hint="default" w:ascii="Times New Roman" w:hAnsi="Times New Roman" w:eastAsia="宋体" w:cs="Times New Roman"/>
                <w:color w:val="auto"/>
                <w:sz w:val="21"/>
                <w:szCs w:val="21"/>
              </w:rPr>
              <w:t>（颗粒物≤30mg/m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，氮氧化物≤200mg/m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，氨≤20mg/m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w:t>
            </w:r>
          </w:p>
          <w:p>
            <w:pPr>
              <w:keepLines/>
              <w:snapToGrid w:val="0"/>
              <w:spacing w:line="300" w:lineRule="exact"/>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②排气筒中甲醛、非甲烷总烃执行《工业企业挥发性有机物排放标准》（DB35/1782-2018）表1其他行业排放标准（甲醛≤10mg/m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，20m高排气筒最高允许排放速率≤0.3kg/h；非甲烷总烃≤100mg/m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，20m高排气筒最高允许排放速率≤3.6kg/h）；</w:t>
            </w:r>
          </w:p>
          <w:p>
            <w:pPr>
              <w:keepLines/>
              <w:snapToGrid w:val="0"/>
              <w:spacing w:line="300" w:lineRule="exact"/>
              <w:ind w:firstLine="0"/>
              <w:jc w:val="center"/>
              <w:rPr>
                <w:rFonts w:hint="default" w:ascii="Times New Roman" w:hAnsi="Times New Roman" w:eastAsia="宋体" w:cs="Times New Roman"/>
                <w:color w:val="auto"/>
                <w:sz w:val="21"/>
                <w:szCs w:val="21"/>
                <w:lang w:val="en-GB"/>
              </w:rPr>
            </w:pPr>
            <w:r>
              <w:rPr>
                <w:rFonts w:hint="default" w:ascii="Times New Roman" w:hAnsi="Times New Roman" w:eastAsia="宋体" w:cs="Times New Roman"/>
                <w:color w:val="auto"/>
                <w:sz w:val="21"/>
                <w:szCs w:val="21"/>
                <w:lang w:val="en-GB"/>
              </w:rPr>
              <w:t>③企业边界</w:t>
            </w:r>
            <w:r>
              <w:rPr>
                <w:rFonts w:hint="eastAsia" w:ascii="Times New Roman" w:hAnsi="Times New Roman" w:eastAsia="宋体" w:cs="Times New Roman"/>
                <w:color w:val="auto"/>
                <w:sz w:val="21"/>
                <w:szCs w:val="21"/>
                <w:lang w:val="en-US" w:eastAsia="zh-CN"/>
              </w:rPr>
              <w:t>颗粒物、氮氧化物</w:t>
            </w:r>
            <w:r>
              <w:rPr>
                <w:rFonts w:hint="default" w:ascii="Times New Roman" w:hAnsi="Times New Roman" w:eastAsia="宋体" w:cs="Times New Roman"/>
                <w:color w:val="auto"/>
                <w:sz w:val="21"/>
                <w:szCs w:val="21"/>
                <w:lang w:val="en-GB"/>
              </w:rPr>
              <w:t>执行《大气污染物综合排放标准》（GB16297-1996）表2</w:t>
            </w:r>
            <w:r>
              <w:rPr>
                <w:rFonts w:hint="default" w:ascii="Times New Roman" w:hAnsi="Times New Roman" w:eastAsia="宋体" w:cs="Times New Roman"/>
                <w:color w:val="auto"/>
                <w:sz w:val="21"/>
                <w:szCs w:val="21"/>
              </w:rPr>
              <w:t>限值</w:t>
            </w:r>
            <w:r>
              <w:rPr>
                <w:rFonts w:hint="default" w:ascii="Times New Roman" w:hAnsi="Times New Roman" w:eastAsia="宋体" w:cs="Times New Roman"/>
                <w:color w:val="auto"/>
                <w:sz w:val="21"/>
                <w:szCs w:val="21"/>
                <w:lang w:val="en-GB"/>
              </w:rPr>
              <w:t>（</w:t>
            </w:r>
            <w:r>
              <w:rPr>
                <w:rFonts w:hint="default" w:ascii="Times New Roman" w:hAnsi="Times New Roman" w:eastAsia="宋体" w:cs="Times New Roman"/>
                <w:color w:val="auto"/>
                <w:sz w:val="21"/>
                <w:szCs w:val="21"/>
              </w:rPr>
              <w:t>颗粒物≤1.0mg/m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，氮氧化物≤0.12mg/m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GB"/>
              </w:rPr>
              <w:t>；</w:t>
            </w:r>
            <w:r>
              <w:rPr>
                <w:rFonts w:hint="default" w:ascii="Times New Roman" w:hAnsi="Times New Roman" w:eastAsia="宋体" w:cs="Times New Roman"/>
                <w:color w:val="auto"/>
                <w:sz w:val="21"/>
                <w:szCs w:val="21"/>
              </w:rPr>
              <w:t>甲醛、非甲烷总烃执行《工业企业挥发性有机物排放标准》（DB35/1782-2018）表3限值</w:t>
            </w:r>
            <w:r>
              <w:rPr>
                <w:rFonts w:hint="default" w:ascii="Times New Roman" w:hAnsi="Times New Roman" w:eastAsia="宋体" w:cs="Times New Roman"/>
                <w:color w:val="auto"/>
                <w:sz w:val="21"/>
                <w:szCs w:val="21"/>
                <w:lang w:val="en-GB"/>
              </w:rPr>
              <w:t>（甲醛</w:t>
            </w:r>
            <w:r>
              <w:rPr>
                <w:rFonts w:hint="default" w:ascii="Times New Roman" w:hAnsi="Times New Roman" w:eastAsia="宋体" w:cs="Times New Roman"/>
                <w:color w:val="auto"/>
                <w:sz w:val="21"/>
                <w:szCs w:val="21"/>
              </w:rPr>
              <w:t>≤0.1mg/m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lang w:val="en-GB"/>
              </w:rPr>
              <w:t>、非甲烷总烃</w:t>
            </w:r>
            <w:r>
              <w:rPr>
                <w:rFonts w:hint="default" w:ascii="Times New Roman" w:hAnsi="Times New Roman" w:eastAsia="宋体" w:cs="Times New Roman"/>
                <w:color w:val="auto"/>
                <w:sz w:val="21"/>
                <w:szCs w:val="21"/>
              </w:rPr>
              <w:t>≤2.0mg/m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）；氨执行《恶臭污染物综合排放标准》(GB14554-1993) 表2规定的排放限值</w:t>
            </w:r>
            <w:r>
              <w:rPr>
                <w:rFonts w:hint="default" w:ascii="Times New Roman" w:hAnsi="Times New Roman" w:eastAsia="宋体" w:cs="Times New Roman"/>
                <w:color w:val="auto"/>
                <w:sz w:val="21"/>
                <w:szCs w:val="21"/>
                <w:lang w:val="en-GB"/>
              </w:rPr>
              <w:t>（</w:t>
            </w:r>
            <w:r>
              <w:rPr>
                <w:rFonts w:hint="default" w:ascii="Times New Roman" w:hAnsi="Times New Roman" w:eastAsia="宋体" w:cs="Times New Roman"/>
                <w:color w:val="auto"/>
                <w:sz w:val="21"/>
                <w:szCs w:val="21"/>
              </w:rPr>
              <w:t>氨≤1.5mg/m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GB"/>
              </w:rPr>
              <w:t>。</w:t>
            </w:r>
          </w:p>
          <w:p>
            <w:pPr>
              <w:pStyle w:val="24"/>
              <w:rPr>
                <w:rFonts w:hint="eastAsia"/>
                <w:color w:val="auto"/>
                <w:lang w:eastAsia="zh-CN"/>
              </w:rPr>
            </w:pPr>
            <w:r>
              <w:rPr>
                <w:rFonts w:hint="default" w:ascii="Times New Roman" w:hAnsi="Times New Roman" w:eastAsia="宋体" w:cs="Times New Roman"/>
                <w:color w:val="auto"/>
                <w:sz w:val="21"/>
                <w:szCs w:val="21"/>
              </w:rPr>
              <w:t>④</w:t>
            </w:r>
            <w:r>
              <w:rPr>
                <w:rFonts w:hint="default" w:ascii="Times New Roman" w:hAnsi="Times New Roman" w:eastAsia="宋体" w:cs="Times New Roman"/>
                <w:color w:val="auto"/>
                <w:sz w:val="21"/>
                <w:szCs w:val="21"/>
                <w:lang w:val="en-GB"/>
              </w:rPr>
              <w:t>厂内：厂区内挥发性有机物VOC</w:t>
            </w:r>
            <w:r>
              <w:rPr>
                <w:rFonts w:hint="default" w:ascii="Times New Roman" w:hAnsi="Times New Roman" w:eastAsia="宋体" w:cs="Times New Roman"/>
                <w:color w:val="auto"/>
                <w:sz w:val="21"/>
                <w:szCs w:val="21"/>
              </w:rPr>
              <w:t>s</w:t>
            </w:r>
            <w:r>
              <w:rPr>
                <w:rFonts w:hint="default" w:ascii="Times New Roman" w:hAnsi="Times New Roman" w:eastAsia="宋体" w:cs="Times New Roman"/>
                <w:color w:val="auto"/>
                <w:sz w:val="21"/>
                <w:szCs w:val="21"/>
                <w:lang w:val="en-GB"/>
              </w:rPr>
              <w:t>（以NMHC计）无组织排放执行GB37822-2019附录A的表A.1规定（</w:t>
            </w:r>
            <w:r>
              <w:rPr>
                <w:rFonts w:hint="default" w:ascii="Times New Roman" w:hAnsi="Times New Roman" w:eastAsia="宋体" w:cs="Times New Roman"/>
                <w:color w:val="auto"/>
                <w:sz w:val="21"/>
                <w:szCs w:val="21"/>
              </w:rPr>
              <w:t>1h平均浓度值</w:t>
            </w:r>
            <w:r>
              <w:rPr>
                <w:rFonts w:hint="default" w:ascii="Times New Roman" w:hAnsi="Times New Roman" w:eastAsia="宋体" w:cs="Times New Roman"/>
                <w:color w:val="auto"/>
                <w:sz w:val="21"/>
                <w:szCs w:val="21"/>
                <w:lang w:val="en-GB"/>
              </w:rPr>
              <w:t>≤</w:t>
            </w:r>
            <w:r>
              <w:rPr>
                <w:rFonts w:hint="default" w:ascii="Times New Roman" w:hAnsi="Times New Roman" w:eastAsia="宋体" w:cs="Times New Roman"/>
                <w:color w:val="auto"/>
                <w:sz w:val="21"/>
                <w:szCs w:val="21"/>
              </w:rPr>
              <w:t>6.0mg/m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、监控点处任意一次浓度值</w:t>
            </w:r>
            <w:r>
              <w:rPr>
                <w:rFonts w:hint="default" w:ascii="Times New Roman" w:hAnsi="Times New Roman" w:eastAsia="宋体" w:cs="Times New Roman"/>
                <w:color w:val="auto"/>
                <w:sz w:val="21"/>
                <w:szCs w:val="21"/>
                <w:lang w:val="en-GB"/>
              </w:rPr>
              <w:t>≤</w:t>
            </w:r>
            <w:r>
              <w:rPr>
                <w:rFonts w:hint="default" w:ascii="Times New Roman" w:hAnsi="Times New Roman" w:eastAsia="宋体" w:cs="Times New Roman"/>
                <w:color w:val="auto"/>
                <w:sz w:val="21"/>
                <w:szCs w:val="21"/>
              </w:rPr>
              <w:t>20mg/m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lang w:val="en-GB"/>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395" w:type="dxa"/>
            <w:gridSpan w:val="3"/>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w:t>
            </w:r>
          </w:p>
        </w:tc>
        <w:tc>
          <w:tcPr>
            <w:tcW w:w="5489" w:type="dxa"/>
            <w:noWrap w:val="0"/>
            <w:tcMar>
              <w:left w:w="28" w:type="dxa"/>
              <w:right w:w="28" w:type="dxa"/>
            </w:tcMar>
            <w:vAlign w:val="center"/>
          </w:tcPr>
          <w:p>
            <w:pPr>
              <w:keepLines/>
              <w:snapToGrid w:val="0"/>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首先是尽量选用低噪声设备，其次采用消声、隔声、减震和个体防护等措施，尽量降低厂界噪声。</w:t>
            </w:r>
          </w:p>
        </w:tc>
        <w:tc>
          <w:tcPr>
            <w:tcW w:w="5887"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《工业企业厂界环境噪声排放标准》（GB12348-2008）3类（昼间≤65dB（A）、夜间≤55dB（A））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764" w:type="dxa"/>
            <w:vMerge w:val="restart"/>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固体</w:t>
            </w:r>
          </w:p>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废物</w:t>
            </w:r>
          </w:p>
        </w:tc>
        <w:tc>
          <w:tcPr>
            <w:tcW w:w="425" w:type="dxa"/>
            <w:vMerge w:val="restart"/>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危险废物</w:t>
            </w:r>
          </w:p>
        </w:tc>
        <w:tc>
          <w:tcPr>
            <w:tcW w:w="1206"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危险废物处置</w:t>
            </w:r>
          </w:p>
        </w:tc>
        <w:tc>
          <w:tcPr>
            <w:tcW w:w="5489" w:type="dxa"/>
            <w:noWrap w:val="0"/>
            <w:tcMar>
              <w:left w:w="28" w:type="dxa"/>
              <w:right w:w="28" w:type="dxa"/>
            </w:tcMar>
            <w:vAlign w:val="center"/>
          </w:tcPr>
          <w:p>
            <w:pPr>
              <w:keepLines/>
              <w:snapToGrid w:val="0"/>
              <w:spacing w:line="300" w:lineRule="exact"/>
              <w:ind w:firstLine="0"/>
              <w:rPr>
                <w:rFonts w:hint="default" w:ascii="Times New Roman" w:hAnsi="Times New Roman" w:eastAsia="宋体" w:cs="Times New Roman"/>
                <w:sz w:val="21"/>
                <w:szCs w:val="21"/>
                <w:lang w:val="en-GB"/>
              </w:rPr>
            </w:pPr>
            <w:r>
              <w:rPr>
                <w:rFonts w:hint="default" w:ascii="Times New Roman" w:hAnsi="Times New Roman" w:eastAsia="宋体" w:cs="Times New Roman"/>
                <w:sz w:val="21"/>
                <w:szCs w:val="21"/>
                <w:lang w:val="en-GB"/>
              </w:rPr>
              <w:t>精馏残液、除杂渣、含银废液</w:t>
            </w:r>
            <w:r>
              <w:rPr>
                <w:rFonts w:hint="eastAsia" w:ascii="Times New Roman" w:hAnsi="Times New Roman" w:eastAsia="宋体" w:cs="Times New Roman"/>
                <w:sz w:val="21"/>
                <w:szCs w:val="21"/>
                <w:lang w:val="en-US" w:eastAsia="zh-CN"/>
              </w:rPr>
              <w:t>三效</w:t>
            </w:r>
            <w:r>
              <w:rPr>
                <w:rFonts w:hint="default" w:ascii="Times New Roman" w:hAnsi="Times New Roman" w:eastAsia="宋体" w:cs="Times New Roman"/>
                <w:sz w:val="21"/>
                <w:szCs w:val="21"/>
                <w:lang w:val="en-GB"/>
              </w:rPr>
              <w:t>蒸发器残渣、废活性炭</w:t>
            </w:r>
            <w:r>
              <w:rPr>
                <w:rFonts w:hint="default" w:ascii="Times New Roman" w:hAnsi="Times New Roman" w:eastAsia="宋体" w:cs="Times New Roman"/>
                <w:sz w:val="21"/>
                <w:szCs w:val="21"/>
              </w:rPr>
              <w:t>等危险废物</w:t>
            </w:r>
            <w:r>
              <w:rPr>
                <w:rFonts w:hint="default" w:ascii="Times New Roman" w:hAnsi="Times New Roman" w:eastAsia="宋体" w:cs="Times New Roman"/>
                <w:sz w:val="21"/>
                <w:szCs w:val="21"/>
                <w:lang w:val="en-GB"/>
              </w:rPr>
              <w:t>委托</w:t>
            </w:r>
            <w:r>
              <w:rPr>
                <w:rFonts w:hint="default" w:ascii="Times New Roman" w:hAnsi="Times New Roman" w:eastAsia="宋体" w:cs="Times New Roman"/>
                <w:sz w:val="21"/>
                <w:szCs w:val="21"/>
              </w:rPr>
              <w:t>有资质单位</w:t>
            </w:r>
            <w:r>
              <w:rPr>
                <w:rFonts w:hint="default" w:ascii="Times New Roman" w:hAnsi="Times New Roman" w:eastAsia="宋体" w:cs="Times New Roman"/>
                <w:sz w:val="21"/>
                <w:szCs w:val="21"/>
                <w:lang w:val="en-GB"/>
              </w:rPr>
              <w:t>处置。</w:t>
            </w:r>
          </w:p>
        </w:tc>
        <w:tc>
          <w:tcPr>
            <w:tcW w:w="5887"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转运处置应严格执行危险废物转移 “电子联单”制度</w:t>
            </w:r>
          </w:p>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验收落实情况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vMerge w:val="continue"/>
            <w:noWrap w:val="0"/>
            <w:tcMar>
              <w:left w:w="28" w:type="dxa"/>
              <w:right w:w="28" w:type="dxa"/>
            </w:tcMar>
          </w:tcPr>
          <w:p/>
        </w:tc>
        <w:tc>
          <w:tcPr>
            <w:vMerge w:val="continue"/>
            <w:noWrap w:val="0"/>
            <w:tcMar>
              <w:left w:w="28" w:type="dxa"/>
              <w:right w:w="28" w:type="dxa"/>
            </w:tcMar>
          </w:tcPr>
          <w:p/>
        </w:tc>
        <w:tc>
          <w:tcPr>
            <w:tcW w:w="1206"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危险废物储存</w:t>
            </w:r>
          </w:p>
        </w:tc>
        <w:tc>
          <w:tcPr>
            <w:tcW w:w="5489"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新建一个</w:t>
            </w:r>
            <w:r>
              <w:rPr>
                <w:rFonts w:hint="default" w:ascii="Times New Roman" w:hAnsi="Times New Roman" w:eastAsia="宋体" w:cs="Times New Roman"/>
                <w:color w:val="000000"/>
                <w:sz w:val="21"/>
                <w:szCs w:val="21"/>
              </w:rPr>
              <w:t>占地300m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rPr>
              <w:t>的危废</w:t>
            </w:r>
            <w:r>
              <w:rPr>
                <w:rFonts w:hint="default" w:ascii="Times New Roman" w:hAnsi="Times New Roman" w:eastAsia="宋体" w:cs="Times New Roman"/>
                <w:sz w:val="21"/>
                <w:szCs w:val="21"/>
              </w:rPr>
              <w:t>暂存间暂存</w:t>
            </w:r>
          </w:p>
        </w:tc>
        <w:tc>
          <w:tcPr>
            <w:tcW w:w="5887"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按照《危险废物贮存污染控制标准》（GB18597-2001）建设，验收落实情况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vMerge w:val="continue"/>
            <w:noWrap w:val="0"/>
            <w:tcMar>
              <w:left w:w="28" w:type="dxa"/>
              <w:right w:w="28" w:type="dxa"/>
            </w:tcMar>
          </w:tcPr>
          <w:p/>
        </w:tc>
        <w:tc>
          <w:tcPr>
            <w:tcW w:w="1631" w:type="dxa"/>
            <w:gridSpan w:val="2"/>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待鉴定固废</w:t>
            </w:r>
          </w:p>
        </w:tc>
        <w:tc>
          <w:tcPr>
            <w:tcW w:w="5489"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污水站污泥为待鉴定固废，暂按照危废废物管理</w:t>
            </w:r>
          </w:p>
        </w:tc>
        <w:tc>
          <w:tcPr>
            <w:tcW w:w="5887"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验收落实情况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vMerge w:val="continue"/>
            <w:noWrap w:val="0"/>
            <w:tcMar>
              <w:left w:w="28" w:type="dxa"/>
              <w:right w:w="28" w:type="dxa"/>
            </w:tcMar>
          </w:tcPr>
          <w:p/>
        </w:tc>
        <w:tc>
          <w:tcPr>
            <w:tcW w:w="425" w:type="dxa"/>
            <w:vMerge w:val="restart"/>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一般固废</w:t>
            </w:r>
          </w:p>
        </w:tc>
        <w:tc>
          <w:tcPr>
            <w:tcW w:w="1206"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一般固废处置</w:t>
            </w:r>
          </w:p>
        </w:tc>
        <w:tc>
          <w:tcPr>
            <w:tcW w:w="5489"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委托环卫部门处置</w:t>
            </w:r>
          </w:p>
        </w:tc>
        <w:tc>
          <w:tcPr>
            <w:tcW w:w="5887"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验收落实情况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vMerge w:val="continue"/>
            <w:noWrap w:val="0"/>
            <w:tcMar>
              <w:left w:w="28" w:type="dxa"/>
              <w:right w:w="28" w:type="dxa"/>
            </w:tcMar>
          </w:tcPr>
          <w:p/>
        </w:tc>
        <w:tc>
          <w:tcPr>
            <w:vMerge w:val="continue"/>
            <w:noWrap w:val="0"/>
            <w:tcMar>
              <w:left w:w="28" w:type="dxa"/>
              <w:right w:w="28" w:type="dxa"/>
            </w:tcMar>
          </w:tcPr>
          <w:p/>
        </w:tc>
        <w:tc>
          <w:tcPr>
            <w:tcW w:w="1206"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一般固废储存</w:t>
            </w:r>
          </w:p>
        </w:tc>
        <w:tc>
          <w:tcPr>
            <w:tcW w:w="5489"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新建一个</w:t>
            </w:r>
            <w:r>
              <w:rPr>
                <w:rFonts w:hint="default" w:ascii="Times New Roman" w:hAnsi="Times New Roman" w:eastAsia="宋体" w:cs="Times New Roman"/>
                <w:color w:val="000000"/>
                <w:sz w:val="21"/>
                <w:szCs w:val="21"/>
              </w:rPr>
              <w:t>占地50m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rPr>
              <w:t>的一般固废暂存间</w:t>
            </w:r>
          </w:p>
        </w:tc>
        <w:tc>
          <w:tcPr>
            <w:tcW w:w="5887"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按照《一般工业固体废物贮存和填埋污染控制标准》（GB18599-2020）建设，验收落实情况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vMerge w:val="continue"/>
            <w:noWrap w:val="0"/>
            <w:tcMar>
              <w:left w:w="28" w:type="dxa"/>
              <w:right w:w="28" w:type="dxa"/>
            </w:tcMar>
          </w:tcPr>
          <w:p/>
        </w:tc>
        <w:tc>
          <w:tcPr>
            <w:tcW w:w="1631" w:type="dxa"/>
            <w:gridSpan w:val="2"/>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生活垃圾</w:t>
            </w:r>
          </w:p>
        </w:tc>
        <w:tc>
          <w:tcPr>
            <w:tcW w:w="5489"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委托环卫部门收集处置</w:t>
            </w:r>
          </w:p>
        </w:tc>
        <w:tc>
          <w:tcPr>
            <w:tcW w:w="5887"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验收落实情况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764" w:type="dxa"/>
            <w:vMerge w:val="restart"/>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地下水</w:t>
            </w:r>
          </w:p>
        </w:tc>
        <w:tc>
          <w:tcPr>
            <w:tcW w:w="1631" w:type="dxa"/>
            <w:gridSpan w:val="2"/>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防渗措施</w:t>
            </w:r>
          </w:p>
        </w:tc>
        <w:tc>
          <w:tcPr>
            <w:tcW w:w="5489" w:type="dxa"/>
            <w:noWrap w:val="0"/>
            <w:tcMar>
              <w:left w:w="28" w:type="dxa"/>
              <w:right w:w="28" w:type="dxa"/>
            </w:tcMar>
            <w:vAlign w:val="center"/>
          </w:tcPr>
          <w:p>
            <w:pPr>
              <w:keepLines/>
              <w:snapToGrid w:val="0"/>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场地按照一般污染防治区、非污染放置区的划定情况进行分区防渗</w:t>
            </w:r>
          </w:p>
        </w:tc>
        <w:tc>
          <w:tcPr>
            <w:tcW w:w="5887"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验收落实情况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vMerge w:val="continue"/>
            <w:noWrap w:val="0"/>
            <w:tcMar>
              <w:left w:w="28" w:type="dxa"/>
              <w:right w:w="28" w:type="dxa"/>
            </w:tcMar>
          </w:tcPr>
          <w:p/>
        </w:tc>
        <w:tc>
          <w:tcPr>
            <w:tcW w:w="1631" w:type="dxa"/>
            <w:gridSpan w:val="2"/>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监控井设置</w:t>
            </w:r>
          </w:p>
        </w:tc>
        <w:tc>
          <w:tcPr>
            <w:tcW w:w="5489" w:type="dxa"/>
            <w:noWrap w:val="0"/>
            <w:tcMar>
              <w:left w:w="28" w:type="dxa"/>
              <w:right w:w="28" w:type="dxa"/>
            </w:tcMar>
            <w:vAlign w:val="center"/>
          </w:tcPr>
          <w:p>
            <w:pPr>
              <w:keepLines/>
              <w:snapToGrid w:val="0"/>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设置3个地下水监测井位</w:t>
            </w:r>
          </w:p>
        </w:tc>
        <w:tc>
          <w:tcPr>
            <w:tcW w:w="5887"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验收落实情况，并开展地下水定期监控工作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395" w:type="dxa"/>
            <w:gridSpan w:val="3"/>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环境风险</w:t>
            </w:r>
          </w:p>
        </w:tc>
        <w:tc>
          <w:tcPr>
            <w:tcW w:w="5489" w:type="dxa"/>
            <w:noWrap w:val="0"/>
            <w:tcMar>
              <w:left w:w="28" w:type="dxa"/>
              <w:right w:w="28" w:type="dxa"/>
            </w:tcMar>
            <w:vAlign w:val="center"/>
          </w:tcPr>
          <w:p>
            <w:pPr>
              <w:keepLines/>
              <w:snapToGrid w:val="0"/>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bCs/>
                <w:kern w:val="0"/>
                <w:sz w:val="21"/>
                <w:szCs w:val="21"/>
              </w:rPr>
              <w:t>项目新建</w:t>
            </w:r>
            <w:r>
              <w:rPr>
                <w:rFonts w:hint="default" w:ascii="Times New Roman" w:hAnsi="Times New Roman" w:eastAsia="宋体" w:cs="Times New Roman"/>
                <w:bCs/>
                <w:color w:val="auto"/>
                <w:kern w:val="0"/>
                <w:sz w:val="21"/>
                <w:szCs w:val="21"/>
              </w:rPr>
              <w:t>1座</w:t>
            </w:r>
            <w:r>
              <w:rPr>
                <w:rFonts w:hint="eastAsia" w:ascii="Times New Roman" w:hAnsi="Times New Roman" w:eastAsia="宋体" w:cs="Times New Roman"/>
                <w:bCs/>
                <w:color w:val="auto"/>
                <w:kern w:val="0"/>
                <w:sz w:val="21"/>
                <w:szCs w:val="21"/>
                <w:lang w:val="en-US" w:eastAsia="zh-CN"/>
              </w:rPr>
              <w:t>4</w:t>
            </w:r>
            <w:r>
              <w:rPr>
                <w:rFonts w:hint="default" w:ascii="Times New Roman" w:hAnsi="Times New Roman" w:eastAsia="宋体" w:cs="Times New Roman"/>
                <w:bCs/>
                <w:color w:val="auto"/>
                <w:kern w:val="0"/>
                <w:sz w:val="21"/>
                <w:szCs w:val="21"/>
              </w:rPr>
              <w:t>00m</w:t>
            </w:r>
            <w:r>
              <w:rPr>
                <w:rFonts w:hint="default" w:ascii="Times New Roman" w:hAnsi="Times New Roman" w:eastAsia="宋体" w:cs="Times New Roman"/>
                <w:bCs/>
                <w:color w:val="auto"/>
                <w:kern w:val="0"/>
                <w:sz w:val="21"/>
                <w:szCs w:val="21"/>
                <w:vertAlign w:val="superscript"/>
              </w:rPr>
              <w:t>3</w:t>
            </w:r>
            <w:r>
              <w:rPr>
                <w:rFonts w:hint="default" w:ascii="Times New Roman" w:hAnsi="Times New Roman" w:eastAsia="宋体" w:cs="Times New Roman"/>
                <w:bCs/>
                <w:color w:val="auto"/>
                <w:kern w:val="0"/>
                <w:sz w:val="21"/>
                <w:szCs w:val="21"/>
              </w:rPr>
              <w:t>初</w:t>
            </w:r>
            <w:r>
              <w:rPr>
                <w:rFonts w:hint="default" w:ascii="Times New Roman" w:hAnsi="Times New Roman" w:eastAsia="宋体" w:cs="Times New Roman"/>
                <w:bCs/>
                <w:kern w:val="0"/>
                <w:sz w:val="21"/>
                <w:szCs w:val="21"/>
              </w:rPr>
              <w:t>期雨水池，并配套相应的雨水收集管道、初期雨水转换阀门；新建1座500m</w:t>
            </w:r>
            <w:r>
              <w:rPr>
                <w:rFonts w:hint="default" w:ascii="Times New Roman" w:hAnsi="Times New Roman" w:eastAsia="宋体" w:cs="Times New Roman"/>
                <w:bCs/>
                <w:kern w:val="0"/>
                <w:sz w:val="21"/>
                <w:szCs w:val="21"/>
                <w:vertAlign w:val="superscript"/>
              </w:rPr>
              <w:t>3</w:t>
            </w:r>
            <w:r>
              <w:rPr>
                <w:rFonts w:hint="default" w:ascii="Times New Roman" w:hAnsi="Times New Roman" w:eastAsia="宋体" w:cs="Times New Roman"/>
                <w:bCs/>
                <w:kern w:val="0"/>
                <w:sz w:val="21"/>
                <w:szCs w:val="21"/>
              </w:rPr>
              <w:t>雨水监控池。项目新建1座1400m</w:t>
            </w:r>
            <w:r>
              <w:rPr>
                <w:rFonts w:hint="default" w:ascii="Times New Roman" w:hAnsi="Times New Roman" w:eastAsia="宋体" w:cs="Times New Roman"/>
                <w:bCs/>
                <w:kern w:val="0"/>
                <w:sz w:val="21"/>
                <w:szCs w:val="21"/>
                <w:vertAlign w:val="superscript"/>
              </w:rPr>
              <w:t>3</w:t>
            </w:r>
            <w:r>
              <w:rPr>
                <w:rFonts w:hint="default" w:ascii="Times New Roman" w:hAnsi="Times New Roman" w:eastAsia="宋体" w:cs="Times New Roman"/>
                <w:bCs/>
                <w:kern w:val="0"/>
                <w:sz w:val="21"/>
                <w:szCs w:val="21"/>
              </w:rPr>
              <w:t>事故应急池。编制</w:t>
            </w:r>
            <w:r>
              <w:rPr>
                <w:rFonts w:hint="default" w:ascii="Times New Roman" w:hAnsi="Times New Roman" w:eastAsia="宋体" w:cs="Times New Roman"/>
                <w:kern w:val="1"/>
                <w:sz w:val="21"/>
                <w:szCs w:val="21"/>
              </w:rPr>
              <w:t>突发环境事件应急预案并定期演练</w:t>
            </w:r>
            <w:r>
              <w:rPr>
                <w:rFonts w:hint="default" w:ascii="Times New Roman" w:hAnsi="Times New Roman" w:eastAsia="宋体" w:cs="Times New Roman"/>
                <w:kern w:val="0"/>
                <w:sz w:val="21"/>
                <w:szCs w:val="21"/>
              </w:rPr>
              <w:t>。</w:t>
            </w:r>
          </w:p>
        </w:tc>
        <w:tc>
          <w:tcPr>
            <w:tcW w:w="5887" w:type="dxa"/>
            <w:noWrap w:val="0"/>
            <w:tcMar>
              <w:left w:w="28" w:type="dxa"/>
              <w:right w:w="28" w:type="dxa"/>
            </w:tcMar>
            <w:vAlign w:val="center"/>
          </w:tcPr>
          <w:p>
            <w:pPr>
              <w:keepLines/>
              <w:snapToGrid w:val="0"/>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验收落实情况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395" w:type="dxa"/>
            <w:gridSpan w:val="3"/>
            <w:noWrap w:val="0"/>
            <w:tcMar>
              <w:left w:w="28" w:type="dxa"/>
              <w:right w:w="28" w:type="dxa"/>
            </w:tcMar>
            <w:vAlign w:val="center"/>
          </w:tcPr>
          <w:p>
            <w:pPr>
              <w:snapToGrid w:val="0"/>
              <w:spacing w:line="300" w:lineRule="atLeas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环境管理</w:t>
            </w:r>
          </w:p>
        </w:tc>
        <w:tc>
          <w:tcPr>
            <w:tcW w:w="5489"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tLeast"/>
              <w:ind w:firstLine="0"/>
              <w:textAlignment w:val="auto"/>
              <w:outlineLvl w:val="9"/>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①</w:t>
            </w:r>
            <w:r>
              <w:rPr>
                <w:rFonts w:hint="eastAsia" w:ascii="Times New Roman" w:hAnsi="Times New Roman" w:eastAsia="宋体" w:cs="Times New Roman"/>
                <w:bCs/>
                <w:kern w:val="0"/>
                <w:sz w:val="21"/>
                <w:szCs w:val="21"/>
                <w:lang w:val="en-US" w:eastAsia="zh-CN"/>
              </w:rPr>
              <w:t>建立环境管理</w:t>
            </w:r>
            <w:r>
              <w:rPr>
                <w:rFonts w:hint="default" w:ascii="Times New Roman" w:hAnsi="Times New Roman" w:eastAsia="宋体" w:cs="Times New Roman"/>
                <w:bCs/>
                <w:kern w:val="0"/>
                <w:sz w:val="21"/>
                <w:szCs w:val="21"/>
              </w:rPr>
              <w:t>机构</w:t>
            </w:r>
            <w:r>
              <w:rPr>
                <w:rFonts w:hint="eastAsia" w:ascii="Times New Roman" w:hAnsi="Times New Roman" w:eastAsia="宋体" w:cs="Times New Roman"/>
                <w:bCs/>
                <w:kern w:val="0"/>
                <w:sz w:val="21"/>
                <w:szCs w:val="21"/>
                <w:lang w:eastAsia="zh-CN"/>
              </w:rPr>
              <w:t>，</w:t>
            </w:r>
            <w:r>
              <w:rPr>
                <w:rFonts w:hint="default" w:ascii="Times New Roman" w:hAnsi="Times New Roman" w:eastAsia="宋体" w:cs="Times New Roman"/>
                <w:bCs/>
                <w:kern w:val="0"/>
                <w:sz w:val="21"/>
                <w:szCs w:val="21"/>
              </w:rPr>
              <w:t>建立日常环境管理制度和环境管理工作计划。</w:t>
            </w:r>
          </w:p>
          <w:p>
            <w:pPr>
              <w:keepNext w:val="0"/>
              <w:keepLines w:val="0"/>
              <w:pageBreakBefore w:val="0"/>
              <w:widowControl w:val="0"/>
              <w:kinsoku/>
              <w:wordWrap/>
              <w:overflowPunct/>
              <w:topLinePunct w:val="0"/>
              <w:autoSpaceDE/>
              <w:autoSpaceDN/>
              <w:bidi w:val="0"/>
              <w:adjustRightInd/>
              <w:snapToGrid w:val="0"/>
              <w:spacing w:line="240" w:lineRule="atLeast"/>
              <w:ind w:left="0" w:firstLine="0"/>
              <w:textAlignment w:val="auto"/>
              <w:outlineLvl w:val="9"/>
              <w:rPr>
                <w:rFonts w:hint="default" w:eastAsia="宋体"/>
                <w:lang w:val="en-US" w:eastAsia="zh-CN"/>
              </w:rPr>
            </w:pPr>
            <w:r>
              <w:rPr>
                <w:rFonts w:hint="default" w:ascii="Times New Roman" w:hAnsi="Times New Roman" w:eastAsia="宋体" w:cs="Times New Roman"/>
                <w:bCs/>
                <w:kern w:val="0"/>
                <w:sz w:val="21"/>
                <w:szCs w:val="21"/>
              </w:rPr>
              <w:t>②</w:t>
            </w:r>
            <w:r>
              <w:rPr>
                <w:rFonts w:hint="eastAsia" w:ascii="Times New Roman" w:hAnsi="Times New Roman" w:eastAsia="宋体" w:cs="Times New Roman"/>
                <w:bCs/>
                <w:kern w:val="0"/>
                <w:sz w:val="21"/>
                <w:szCs w:val="21"/>
                <w:lang w:val="en-US" w:eastAsia="zh-CN"/>
              </w:rPr>
              <w:t>排污口规范化建设。</w:t>
            </w:r>
          </w:p>
          <w:p>
            <w:pPr>
              <w:keepNext w:val="0"/>
              <w:keepLines w:val="0"/>
              <w:pageBreakBefore w:val="0"/>
              <w:widowControl w:val="0"/>
              <w:kinsoku/>
              <w:wordWrap/>
              <w:overflowPunct/>
              <w:topLinePunct w:val="0"/>
              <w:autoSpaceDE/>
              <w:autoSpaceDN/>
              <w:bidi w:val="0"/>
              <w:adjustRightInd/>
              <w:snapToGrid w:val="0"/>
              <w:spacing w:line="240" w:lineRule="atLeast"/>
              <w:ind w:firstLine="0"/>
              <w:textAlignment w:val="auto"/>
              <w:outlineLvl w:val="9"/>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③加强环保设施运行管理维护，建立环保设施运行台账，确保环保设施正常运行及污染物稳定达标排放。</w:t>
            </w:r>
          </w:p>
          <w:p>
            <w:pPr>
              <w:keepNext w:val="0"/>
              <w:keepLines w:val="0"/>
              <w:pageBreakBefore w:val="0"/>
              <w:widowControl w:val="0"/>
              <w:kinsoku/>
              <w:wordWrap/>
              <w:overflowPunct/>
              <w:topLinePunct w:val="0"/>
              <w:autoSpaceDE/>
              <w:autoSpaceDN/>
              <w:bidi w:val="0"/>
              <w:adjustRightInd/>
              <w:snapToGrid w:val="0"/>
              <w:spacing w:line="240" w:lineRule="atLeast"/>
              <w:ind w:firstLine="0"/>
              <w:textAlignment w:val="auto"/>
              <w:outlineLvl w:val="9"/>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④</w:t>
            </w:r>
            <w:r>
              <w:rPr>
                <w:rFonts w:hint="default" w:ascii="Times New Roman" w:hAnsi="Times New Roman" w:eastAsia="宋体" w:cs="Times New Roman"/>
                <w:kern w:val="0"/>
                <w:sz w:val="21"/>
                <w:szCs w:val="21"/>
              </w:rPr>
              <w:t>按9.2章节所提监测计划落实。</w:t>
            </w:r>
          </w:p>
        </w:tc>
        <w:tc>
          <w:tcPr>
            <w:tcW w:w="5887" w:type="dxa"/>
            <w:noWrap w:val="0"/>
            <w:tcMar>
              <w:left w:w="28" w:type="dxa"/>
              <w:right w:w="28" w:type="dxa"/>
            </w:tcMar>
            <w:vAlign w:val="center"/>
          </w:tcPr>
          <w:p>
            <w:pPr>
              <w:snapToGrid w:val="0"/>
              <w:spacing w:line="300" w:lineRule="atLeas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验收落实情况</w:t>
            </w:r>
          </w:p>
        </w:tc>
      </w:tr>
    </w:tbl>
    <w:p>
      <w:pPr>
        <w:spacing w:line="360" w:lineRule="auto"/>
        <w:ind w:firstLine="480"/>
        <w:rPr>
          <w:rFonts w:hint="default" w:ascii="Times New Roman" w:hAnsi="Times New Roman" w:eastAsia="宋体" w:cs="Times New Roman"/>
          <w:snapToGrid w:val="0"/>
          <w:sz w:val="24"/>
          <w:szCs w:val="24"/>
        </w:rPr>
      </w:pPr>
    </w:p>
    <w:p>
      <w:pPr>
        <w:spacing w:after="120" w:line="360" w:lineRule="auto"/>
        <w:ind w:left="560" w:firstLine="480"/>
        <w:rPr>
          <w:rFonts w:hint="default" w:ascii="Times New Roman" w:hAnsi="Times New Roman" w:eastAsia="宋体" w:cs="Times New Roman"/>
          <w:snapToGrid w:val="0"/>
          <w:sz w:val="24"/>
          <w:szCs w:val="24"/>
        </w:rPr>
        <w:sectPr>
          <w:pgSz w:w="16840" w:h="11907" w:orient="landscape"/>
          <w:pgMar w:top="1418" w:right="1418" w:bottom="1418" w:left="1418" w:header="851" w:footer="992" w:gutter="0"/>
          <w:pgNumType w:fmt="decimal"/>
          <w:cols w:space="720" w:num="1"/>
          <w:docGrid w:linePitch="389" w:charSpace="0"/>
        </w:sectPr>
      </w:pPr>
    </w:p>
    <w:p>
      <w:pPr>
        <w:widowControl/>
        <w:snapToGrid w:val="0"/>
        <w:spacing w:line="360" w:lineRule="auto"/>
        <w:ind w:firstLine="0"/>
        <w:jc w:val="left"/>
        <w:outlineLvl w:val="2"/>
        <w:rPr>
          <w:rFonts w:hint="default" w:ascii="Times New Roman" w:hAnsi="Times New Roman" w:eastAsia="黑体" w:cs="Times New Roman"/>
          <w:bCs/>
          <w:szCs w:val="24"/>
        </w:rPr>
      </w:pPr>
      <w:r>
        <w:rPr>
          <w:rFonts w:hint="default" w:ascii="Times New Roman" w:hAnsi="Times New Roman" w:eastAsia="黑体" w:cs="Times New Roman"/>
          <w:bCs/>
          <w:szCs w:val="24"/>
        </w:rPr>
        <w:t>10.3.5总量控制</w:t>
      </w:r>
    </w:p>
    <w:p>
      <w:pPr>
        <w:tabs>
          <w:tab w:val="left" w:pos="420"/>
          <w:tab w:val="left" w:pos="870"/>
          <w:tab w:val="left" w:pos="3150"/>
        </w:tabs>
        <w:autoSpaceDE w:val="0"/>
        <w:autoSpaceDN w:val="0"/>
        <w:adjustRightInd w:val="0"/>
        <w:snapToGrid w:val="0"/>
        <w:spacing w:line="360" w:lineRule="auto"/>
        <w:ind w:firstLine="560"/>
        <w:jc w:val="left"/>
        <w:textAlignment w:val="baseline"/>
        <w:rPr>
          <w:rFonts w:hint="default" w:ascii="Times New Roman" w:hAnsi="Times New Roman" w:eastAsia="宋体" w:cs="Times New Roman"/>
          <w:color w:val="auto"/>
          <w:spacing w:val="20"/>
          <w:kern w:val="0"/>
          <w:sz w:val="24"/>
          <w:szCs w:val="18"/>
        </w:rPr>
      </w:pPr>
      <w:r>
        <w:rPr>
          <w:rFonts w:hint="default" w:ascii="Times New Roman" w:hAnsi="Times New Roman" w:eastAsia="宋体" w:cs="Times New Roman"/>
          <w:color w:val="auto"/>
          <w:spacing w:val="20"/>
          <w:kern w:val="0"/>
          <w:sz w:val="24"/>
          <w:szCs w:val="18"/>
          <w:lang w:val="zh-CN"/>
        </w:rPr>
        <w:t>根据国家“十三五”对污染物总量控制的要求，结合项目的特征污染物，项目</w:t>
      </w:r>
      <w:r>
        <w:rPr>
          <w:rFonts w:hint="default" w:ascii="Times New Roman" w:hAnsi="Times New Roman" w:eastAsia="宋体" w:cs="Times New Roman"/>
          <w:color w:val="auto"/>
          <w:spacing w:val="20"/>
          <w:kern w:val="0"/>
          <w:sz w:val="24"/>
          <w:szCs w:val="18"/>
        </w:rPr>
        <w:t>排放</w:t>
      </w:r>
      <w:r>
        <w:rPr>
          <w:rFonts w:hint="default" w:ascii="Times New Roman" w:hAnsi="Times New Roman" w:eastAsia="宋体" w:cs="Times New Roman"/>
          <w:color w:val="auto"/>
          <w:spacing w:val="20"/>
          <w:kern w:val="0"/>
          <w:sz w:val="24"/>
          <w:szCs w:val="18"/>
          <w:lang w:val="zh-CN"/>
        </w:rPr>
        <w:t>污染物总量控制的有：水污染物：COD</w:t>
      </w:r>
      <w:r>
        <w:rPr>
          <w:rFonts w:hint="default" w:ascii="Times New Roman" w:hAnsi="Times New Roman" w:eastAsia="宋体" w:cs="Times New Roman"/>
          <w:color w:val="auto"/>
          <w:spacing w:val="20"/>
          <w:kern w:val="0"/>
          <w:sz w:val="24"/>
          <w:szCs w:val="18"/>
        </w:rPr>
        <w:t>、氨氮；废气污染物：氮氧化物、</w:t>
      </w:r>
      <w:r>
        <w:rPr>
          <w:rFonts w:hint="default" w:ascii="Times New Roman" w:hAnsi="Times New Roman" w:eastAsia="宋体" w:cs="Times New Roman"/>
          <w:color w:val="auto"/>
          <w:spacing w:val="20"/>
          <w:kern w:val="0"/>
          <w:sz w:val="24"/>
          <w:szCs w:val="18"/>
          <w:lang w:val="zh-CN"/>
        </w:rPr>
        <w:t>VOC</w:t>
      </w:r>
      <w:r>
        <w:rPr>
          <w:rFonts w:hint="default" w:ascii="Times New Roman" w:hAnsi="Times New Roman" w:eastAsia="宋体" w:cs="Times New Roman"/>
          <w:color w:val="auto"/>
          <w:spacing w:val="20"/>
          <w:kern w:val="0"/>
          <w:sz w:val="24"/>
          <w:szCs w:val="18"/>
          <w:vertAlign w:val="subscript"/>
          <w:lang w:val="zh-CN"/>
        </w:rPr>
        <w:t>S</w:t>
      </w:r>
      <w:r>
        <w:rPr>
          <w:rFonts w:hint="default" w:ascii="Times New Roman" w:hAnsi="Times New Roman" w:eastAsia="宋体" w:cs="Times New Roman"/>
          <w:color w:val="auto"/>
          <w:spacing w:val="20"/>
          <w:kern w:val="0"/>
          <w:sz w:val="24"/>
          <w:szCs w:val="18"/>
          <w:lang w:val="zh-CN"/>
        </w:rPr>
        <w:t>（</w:t>
      </w:r>
      <w:r>
        <w:rPr>
          <w:rFonts w:hint="default" w:ascii="Times New Roman" w:hAnsi="Times New Roman" w:eastAsia="宋体" w:cs="Times New Roman"/>
          <w:color w:val="auto"/>
          <w:spacing w:val="20"/>
          <w:kern w:val="0"/>
          <w:sz w:val="24"/>
          <w:szCs w:val="18"/>
        </w:rPr>
        <w:t>以非甲烷总烃计</w:t>
      </w:r>
      <w:r>
        <w:rPr>
          <w:rFonts w:hint="default" w:ascii="Times New Roman" w:hAnsi="Times New Roman" w:eastAsia="宋体" w:cs="Times New Roman"/>
          <w:color w:val="auto"/>
          <w:spacing w:val="20"/>
          <w:kern w:val="0"/>
          <w:sz w:val="24"/>
          <w:szCs w:val="18"/>
          <w:lang w:val="zh-CN"/>
        </w:rPr>
        <w:t>）。</w:t>
      </w:r>
    </w:p>
    <w:p>
      <w:pPr>
        <w:snapToGrid w:val="0"/>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18"/>
          <w:lang w:val="zh-CN"/>
        </w:rPr>
        <w:t>本项目</w:t>
      </w:r>
      <w:r>
        <w:rPr>
          <w:rFonts w:hint="eastAsia" w:ascii="Times New Roman" w:hAnsi="Times New Roman" w:eastAsia="宋体" w:cs="Times New Roman"/>
          <w:color w:val="auto"/>
          <w:sz w:val="24"/>
          <w:szCs w:val="18"/>
          <w:lang w:val="en-US" w:eastAsia="zh-CN"/>
        </w:rPr>
        <w:t>需要申报的</w:t>
      </w:r>
      <w:r>
        <w:rPr>
          <w:rFonts w:hint="default" w:ascii="Times New Roman" w:hAnsi="Times New Roman" w:eastAsia="宋体" w:cs="Times New Roman"/>
          <w:color w:val="auto"/>
          <w:sz w:val="24"/>
          <w:szCs w:val="18"/>
          <w:lang w:val="zh-CN"/>
        </w:rPr>
        <w:t>污染物排放总量</w:t>
      </w:r>
      <w:r>
        <w:rPr>
          <w:rFonts w:hint="default" w:ascii="Times New Roman" w:hAnsi="Times New Roman" w:eastAsia="宋体" w:cs="Times New Roman"/>
          <w:color w:val="auto"/>
          <w:sz w:val="24"/>
          <w:szCs w:val="18"/>
        </w:rPr>
        <w:t>COD</w:t>
      </w:r>
      <w:r>
        <w:rPr>
          <w:rFonts w:hint="eastAsia" w:ascii="Times New Roman" w:hAnsi="Times New Roman" w:eastAsia="宋体" w:cs="Times New Roman"/>
          <w:color w:val="auto"/>
          <w:sz w:val="24"/>
          <w:szCs w:val="18"/>
          <w:lang w:val="en-US" w:eastAsia="zh-CN"/>
        </w:rPr>
        <w:t>1.689</w:t>
      </w:r>
      <w:r>
        <w:rPr>
          <w:rFonts w:hint="default" w:ascii="Times New Roman" w:hAnsi="Times New Roman" w:eastAsia="宋体" w:cs="Times New Roman"/>
          <w:color w:val="auto"/>
          <w:sz w:val="24"/>
          <w:szCs w:val="18"/>
        </w:rPr>
        <w:t>t/a、氨氮</w:t>
      </w:r>
      <w:r>
        <w:rPr>
          <w:rFonts w:hint="eastAsia" w:ascii="Times New Roman" w:hAnsi="Times New Roman" w:eastAsia="宋体" w:cs="Times New Roman"/>
          <w:color w:val="auto"/>
          <w:sz w:val="24"/>
          <w:szCs w:val="18"/>
          <w:lang w:val="en-US" w:eastAsia="zh-CN"/>
        </w:rPr>
        <w:t>0.169</w:t>
      </w:r>
      <w:r>
        <w:rPr>
          <w:rFonts w:hint="default" w:ascii="Times New Roman" w:hAnsi="Times New Roman" w:eastAsia="宋体" w:cs="Times New Roman"/>
          <w:color w:val="auto"/>
          <w:sz w:val="24"/>
          <w:szCs w:val="18"/>
        </w:rPr>
        <w:t>t/a，氮氧化物</w:t>
      </w:r>
      <w:r>
        <w:rPr>
          <w:rFonts w:hint="eastAsia" w:ascii="Times New Roman" w:hAnsi="Times New Roman" w:eastAsia="宋体" w:cs="Times New Roman"/>
          <w:color w:val="auto"/>
          <w:sz w:val="24"/>
          <w:szCs w:val="18"/>
          <w:lang w:val="en-US" w:eastAsia="zh-CN"/>
        </w:rPr>
        <w:t>2.415</w:t>
      </w:r>
      <w:r>
        <w:rPr>
          <w:rFonts w:hint="default" w:ascii="Times New Roman" w:hAnsi="Times New Roman" w:eastAsia="宋体" w:cs="Times New Roman"/>
          <w:color w:val="auto"/>
          <w:sz w:val="24"/>
          <w:szCs w:val="18"/>
        </w:rPr>
        <w:t>t/a：非甲烷总烃</w:t>
      </w:r>
      <w:r>
        <w:rPr>
          <w:rFonts w:hint="eastAsia" w:ascii="Times New Roman" w:hAnsi="Times New Roman" w:eastAsia="宋体" w:cs="Times New Roman"/>
          <w:color w:val="auto"/>
          <w:sz w:val="24"/>
          <w:szCs w:val="18"/>
          <w:lang w:val="en-US" w:eastAsia="zh-CN"/>
        </w:rPr>
        <w:t>1.924</w:t>
      </w:r>
      <w:r>
        <w:rPr>
          <w:rFonts w:hint="default" w:ascii="Times New Roman" w:hAnsi="Times New Roman" w:eastAsia="宋体" w:cs="Times New Roman"/>
          <w:color w:val="auto"/>
          <w:sz w:val="24"/>
          <w:szCs w:val="18"/>
        </w:rPr>
        <w:t>t/a</w:t>
      </w:r>
      <w:r>
        <w:rPr>
          <w:rFonts w:hint="default" w:ascii="Times New Roman" w:hAnsi="Times New Roman" w:eastAsia="宋体" w:cs="Times New Roman"/>
          <w:color w:val="auto"/>
          <w:sz w:val="24"/>
          <w:szCs w:val="18"/>
          <w:lang w:val="zh-CN"/>
        </w:rPr>
        <w:t>。根据地方管理办法，COD、氨氮、</w:t>
      </w:r>
      <w:r>
        <w:rPr>
          <w:rFonts w:hint="default" w:ascii="Times New Roman" w:hAnsi="Times New Roman" w:eastAsia="宋体" w:cs="Times New Roman"/>
          <w:color w:val="auto"/>
          <w:sz w:val="24"/>
          <w:szCs w:val="18"/>
        </w:rPr>
        <w:t>氨氮</w:t>
      </w:r>
      <w:r>
        <w:rPr>
          <w:rFonts w:hint="default" w:ascii="Times New Roman" w:hAnsi="Times New Roman" w:eastAsia="宋体" w:cs="Times New Roman"/>
          <w:color w:val="auto"/>
          <w:sz w:val="24"/>
          <w:szCs w:val="18"/>
          <w:lang w:val="zh-CN"/>
        </w:rPr>
        <w:t>指标需要在海峡股权交易中心进行交易取得</w:t>
      </w:r>
      <w:r>
        <w:rPr>
          <w:rFonts w:hint="default" w:ascii="Times New Roman" w:hAnsi="Times New Roman" w:eastAsia="宋体" w:cs="Times New Roman"/>
          <w:color w:val="auto"/>
          <w:sz w:val="24"/>
          <w:szCs w:val="24"/>
        </w:rPr>
        <w:t>。</w:t>
      </w:r>
    </w:p>
    <w:p>
      <w:pPr>
        <w:widowControl/>
        <w:snapToGrid w:val="0"/>
        <w:spacing w:line="360" w:lineRule="auto"/>
        <w:ind w:firstLine="0"/>
        <w:jc w:val="left"/>
        <w:outlineLvl w:val="2"/>
        <w:rPr>
          <w:rFonts w:hint="default" w:ascii="Times New Roman" w:hAnsi="Times New Roman" w:eastAsia="黑体" w:cs="Times New Roman"/>
          <w:bCs/>
          <w:color w:val="auto"/>
          <w:szCs w:val="24"/>
        </w:rPr>
      </w:pPr>
      <w:bookmarkStart w:id="501" w:name="_Toc451609143"/>
      <w:bookmarkStart w:id="502" w:name="_Toc444681367"/>
      <w:bookmarkStart w:id="503" w:name="_Toc446445066"/>
      <w:bookmarkStart w:id="504" w:name="_Toc451443508"/>
      <w:bookmarkStart w:id="505" w:name="_Toc443982914"/>
      <w:bookmarkStart w:id="506" w:name="_Toc446444491"/>
      <w:bookmarkStart w:id="507" w:name="_Toc451601660"/>
      <w:bookmarkStart w:id="508" w:name="_Toc443924332"/>
      <w:bookmarkStart w:id="509" w:name="_Toc444794281"/>
      <w:r>
        <w:rPr>
          <w:rFonts w:hint="default" w:ascii="Times New Roman" w:hAnsi="Times New Roman" w:eastAsia="黑体" w:cs="Times New Roman"/>
          <w:bCs/>
          <w:color w:val="auto"/>
          <w:szCs w:val="24"/>
        </w:rPr>
        <w:t>10.3.6公众参与</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在环评编制过程中，建设单位进行了项目环评公众参与调查并编制了《</w:t>
      </w:r>
      <w:bookmarkStart w:id="510" w:name="_Toc28751"/>
      <w:bookmarkStart w:id="511" w:name="_Toc23693"/>
      <w:r>
        <w:rPr>
          <w:rFonts w:hint="default" w:ascii="Times New Roman" w:hAnsi="Times New Roman" w:eastAsia="宋体" w:cs="Times New Roman"/>
          <w:color w:val="auto"/>
          <w:sz w:val="24"/>
          <w:szCs w:val="21"/>
        </w:rPr>
        <w:t>福建富轩科技有限公司新能源纳米材料项目</w:t>
      </w:r>
      <w:r>
        <w:rPr>
          <w:rFonts w:hint="default" w:ascii="Times New Roman" w:hAnsi="Times New Roman" w:eastAsia="宋体" w:cs="Times New Roman"/>
          <w:color w:val="auto"/>
          <w:sz w:val="24"/>
          <w:szCs w:val="24"/>
        </w:rPr>
        <w:t>环境影响评价</w:t>
      </w:r>
      <w:bookmarkEnd w:id="510"/>
      <w:bookmarkEnd w:id="511"/>
      <w:bookmarkStart w:id="512" w:name="_Toc17124"/>
      <w:bookmarkStart w:id="513" w:name="_Toc2702"/>
      <w:r>
        <w:rPr>
          <w:rFonts w:hint="default" w:ascii="Times New Roman" w:hAnsi="Times New Roman" w:eastAsia="宋体" w:cs="Times New Roman"/>
          <w:color w:val="auto"/>
          <w:sz w:val="24"/>
          <w:szCs w:val="24"/>
        </w:rPr>
        <w:t>公众参与调查报告</w:t>
      </w:r>
      <w:bookmarkEnd w:id="512"/>
      <w:bookmarkEnd w:id="513"/>
      <w:r>
        <w:rPr>
          <w:rFonts w:hint="default" w:ascii="Times New Roman" w:hAnsi="Times New Roman" w:eastAsia="宋体" w:cs="Times New Roman"/>
          <w:color w:val="auto"/>
          <w:sz w:val="24"/>
          <w:szCs w:val="24"/>
        </w:rPr>
        <w:t>》。根据报告，建设单位于202</w:t>
      </w:r>
      <w:r>
        <w:rPr>
          <w:rFonts w:hint="eastAsia"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年</w:t>
      </w:r>
      <w:r>
        <w:rPr>
          <w:rFonts w:hint="eastAsia"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5日在福建环保网进行（</w:t>
      </w:r>
      <w:r>
        <w:rPr>
          <w:rFonts w:hint="default" w:ascii="Times New Roman" w:hAnsi="Times New Roman" w:eastAsia="宋体" w:cs="Times New Roman"/>
          <w:color w:val="auto"/>
          <w:sz w:val="24"/>
          <w:szCs w:val="21"/>
          <w:lang w:val="en-GB"/>
        </w:rPr>
        <w:t>https://www.fjhb.org/huanping/yici/4599.html</w:t>
      </w:r>
      <w:r>
        <w:rPr>
          <w:rFonts w:hint="default" w:ascii="Times New Roman" w:hAnsi="Times New Roman" w:eastAsia="宋体" w:cs="Times New Roman"/>
          <w:color w:val="auto"/>
          <w:sz w:val="24"/>
          <w:szCs w:val="24"/>
        </w:rPr>
        <w:t>）网络第一次公示。同时在征求意见期间，建设单位于2021年</w:t>
      </w:r>
      <w:r>
        <w:rPr>
          <w:rFonts w:hint="eastAsia" w:ascii="Times New Roman" w:hAnsi="Times New Roman" w:eastAsia="宋体" w:cs="Times New Roman"/>
          <w:color w:val="auto"/>
          <w:sz w:val="24"/>
          <w:szCs w:val="24"/>
          <w:lang w:val="en-US" w:eastAsia="zh-CN"/>
        </w:rPr>
        <w:t>9</w:t>
      </w:r>
      <w:r>
        <w:rPr>
          <w:rFonts w:hint="default"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16</w:t>
      </w:r>
      <w:r>
        <w:rPr>
          <w:rFonts w:hint="default" w:ascii="Times New Roman" w:hAnsi="Times New Roman" w:eastAsia="宋体" w:cs="Times New Roman"/>
          <w:color w:val="auto"/>
          <w:sz w:val="24"/>
          <w:szCs w:val="24"/>
        </w:rPr>
        <w:t>日在福建省石油化学工业设计院</w:t>
      </w:r>
      <w:r>
        <w:rPr>
          <w:rFonts w:hint="eastAsia" w:ascii="Times New Roman" w:hAnsi="Times New Roman" w:eastAsia="宋体" w:cs="Times New Roman"/>
          <w:color w:val="auto"/>
          <w:sz w:val="24"/>
          <w:szCs w:val="24"/>
          <w:lang w:val="en-US" w:eastAsia="zh-CN"/>
        </w:rPr>
        <w:t>有限公司</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rPr>
        <w:t>http://www.fjpcdi.com/content.asp?id=1038</w:t>
      </w:r>
      <w:r>
        <w:rPr>
          <w:rFonts w:hint="default" w:ascii="Times New Roman" w:hAnsi="Times New Roman" w:eastAsia="宋体" w:cs="Times New Roman"/>
          <w:color w:val="auto"/>
          <w:sz w:val="24"/>
          <w:szCs w:val="24"/>
        </w:rPr>
        <w:t>）进行公示，公示日期为2021年</w:t>
      </w:r>
      <w:r>
        <w:rPr>
          <w:rFonts w:hint="eastAsia" w:ascii="Times New Roman" w:hAnsi="Times New Roman" w:eastAsia="宋体" w:cs="Times New Roman"/>
          <w:color w:val="auto"/>
          <w:sz w:val="24"/>
          <w:szCs w:val="24"/>
          <w:lang w:val="en-US" w:eastAsia="zh-CN"/>
        </w:rPr>
        <w:t>9</w:t>
      </w:r>
      <w:r>
        <w:rPr>
          <w:rFonts w:hint="default"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16</w:t>
      </w:r>
      <w:r>
        <w:rPr>
          <w:rFonts w:hint="default" w:ascii="Times New Roman" w:hAnsi="Times New Roman" w:eastAsia="宋体" w:cs="Times New Roman"/>
          <w:color w:val="auto"/>
          <w:sz w:val="24"/>
          <w:szCs w:val="24"/>
        </w:rPr>
        <w:t>日~</w:t>
      </w:r>
      <w:r>
        <w:rPr>
          <w:rFonts w:hint="eastAsia" w:ascii="Times New Roman" w:hAnsi="Times New Roman" w:eastAsia="宋体" w:cs="Times New Roman"/>
          <w:color w:val="auto"/>
          <w:sz w:val="24"/>
          <w:szCs w:val="24"/>
          <w:lang w:val="en-US" w:eastAsia="zh-CN"/>
        </w:rPr>
        <w:t>9</w:t>
      </w:r>
      <w:r>
        <w:rPr>
          <w:rFonts w:hint="default"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29</w:t>
      </w:r>
      <w:r>
        <w:rPr>
          <w:rFonts w:hint="default" w:ascii="Times New Roman" w:hAnsi="Times New Roman" w:eastAsia="宋体" w:cs="Times New Roman"/>
          <w:color w:val="auto"/>
          <w:sz w:val="24"/>
          <w:szCs w:val="24"/>
        </w:rPr>
        <w:t>日，共计10个工作日。在东南快报上公开信息2次（第一次为2021年</w:t>
      </w:r>
      <w:r>
        <w:rPr>
          <w:rFonts w:hint="eastAsia" w:ascii="Times New Roman" w:hAnsi="Times New Roman" w:eastAsia="宋体" w:cs="Times New Roman"/>
          <w:color w:val="auto"/>
          <w:sz w:val="24"/>
          <w:szCs w:val="24"/>
          <w:lang w:val="en-US" w:eastAsia="zh-CN"/>
        </w:rPr>
        <w:t>9</w:t>
      </w:r>
      <w:r>
        <w:rPr>
          <w:rFonts w:hint="default" w:ascii="Times New Roman" w:hAnsi="Times New Roman" w:eastAsia="宋体" w:cs="Times New Roman"/>
          <w:color w:val="auto"/>
          <w:sz w:val="24"/>
          <w:szCs w:val="24"/>
        </w:rPr>
        <w:t>月1</w:t>
      </w:r>
      <w:r>
        <w:rPr>
          <w:rFonts w:hint="eastAsia"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日，第二次为2021年</w:t>
      </w:r>
      <w:r>
        <w:rPr>
          <w:rFonts w:hint="eastAsia" w:ascii="Times New Roman" w:hAnsi="Times New Roman" w:eastAsia="宋体" w:cs="Times New Roman"/>
          <w:color w:val="auto"/>
          <w:sz w:val="24"/>
          <w:szCs w:val="24"/>
          <w:lang w:val="en-US" w:eastAsia="zh-CN"/>
        </w:rPr>
        <w:t>9</w:t>
      </w:r>
      <w:r>
        <w:rPr>
          <w:rFonts w:hint="default"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21</w:t>
      </w:r>
      <w:r>
        <w:rPr>
          <w:rFonts w:hint="default" w:ascii="Times New Roman" w:hAnsi="Times New Roman" w:eastAsia="宋体" w:cs="Times New Roman"/>
          <w:color w:val="auto"/>
          <w:sz w:val="24"/>
          <w:szCs w:val="24"/>
        </w:rPr>
        <w:t>日）</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于2021年12月6日在</w:t>
      </w:r>
      <w:r>
        <w:rPr>
          <w:rFonts w:hint="default" w:ascii="Times New Roman" w:hAnsi="Times New Roman" w:eastAsia="宋体" w:cs="Times New Roman"/>
          <w:color w:val="auto"/>
          <w:sz w:val="24"/>
          <w:szCs w:val="24"/>
        </w:rPr>
        <w:t>福建省石油化学工业设计院</w:t>
      </w:r>
      <w:r>
        <w:rPr>
          <w:rFonts w:hint="eastAsia" w:ascii="Times New Roman" w:hAnsi="Times New Roman" w:eastAsia="宋体" w:cs="Times New Roman"/>
          <w:color w:val="auto"/>
          <w:sz w:val="24"/>
          <w:szCs w:val="24"/>
          <w:lang w:val="en-US" w:eastAsia="zh-CN"/>
        </w:rPr>
        <w:t>有限公司</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rPr>
        <w:t>http://www.fjpcdi.com/content.asp?id=1297</w:t>
      </w:r>
      <w:r>
        <w:rPr>
          <w:rFonts w:hint="default" w:ascii="Times New Roman" w:hAnsi="Times New Roman" w:eastAsia="宋体" w:cs="Times New Roman"/>
          <w:color w:val="auto"/>
          <w:sz w:val="24"/>
          <w:szCs w:val="24"/>
        </w:rPr>
        <w:t>）进行</w:t>
      </w:r>
      <w:r>
        <w:rPr>
          <w:rFonts w:hint="eastAsia" w:ascii="Times New Roman" w:hAnsi="Times New Roman" w:eastAsia="宋体" w:cs="Times New Roman"/>
          <w:color w:val="auto"/>
          <w:sz w:val="24"/>
          <w:szCs w:val="24"/>
          <w:lang w:val="en-US" w:eastAsia="zh-CN"/>
        </w:rPr>
        <w:t>报批前公示，</w:t>
      </w:r>
      <w:r>
        <w:rPr>
          <w:rFonts w:hint="default" w:ascii="Times New Roman" w:hAnsi="Times New Roman" w:eastAsia="宋体" w:cs="Times New Roman"/>
          <w:color w:val="auto"/>
          <w:sz w:val="24"/>
          <w:szCs w:val="24"/>
        </w:rPr>
        <w:t>公示期间未收到公众意见。</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outlineLvl w:val="9"/>
        <w:rPr>
          <w:rFonts w:hint="default" w:ascii="Times New Roman" w:hAnsi="Times New Roman" w:eastAsia="宋体" w:cs="Times New Roman"/>
          <w:color w:val="000000"/>
          <w:sz w:val="24"/>
          <w:szCs w:val="21"/>
        </w:rPr>
      </w:pPr>
      <w:r>
        <w:rPr>
          <w:rFonts w:hint="default" w:ascii="Times New Roman" w:hAnsi="Times New Roman" w:eastAsia="宋体" w:cs="Times New Roman"/>
          <w:sz w:val="24"/>
          <w:szCs w:val="24"/>
        </w:rPr>
        <w:t>建设单位将严格按照环境保护要求，严格落实各项污染防治措施，做到污染物排放达标，并符合总量控制的要求，减少对周围环境的影响。同时加强环境风险防范措施，杜绝事故性排放。</w:t>
      </w:r>
    </w:p>
    <w:p>
      <w:pPr>
        <w:widowControl/>
        <w:snapToGrid w:val="0"/>
        <w:spacing w:line="360" w:lineRule="auto"/>
        <w:ind w:firstLine="0"/>
        <w:jc w:val="left"/>
        <w:outlineLvl w:val="1"/>
        <w:rPr>
          <w:rFonts w:hint="default" w:ascii="Times New Roman" w:hAnsi="Times New Roman" w:eastAsia="黑体" w:cs="Times New Roman"/>
          <w:sz w:val="30"/>
          <w:szCs w:val="30"/>
        </w:rPr>
      </w:pPr>
      <w:bookmarkStart w:id="514" w:name="_Toc19337"/>
      <w:r>
        <w:rPr>
          <w:rFonts w:hint="default" w:ascii="Times New Roman" w:hAnsi="Times New Roman" w:eastAsia="黑体" w:cs="Times New Roman"/>
          <w:sz w:val="30"/>
          <w:szCs w:val="30"/>
        </w:rPr>
        <w:t>10.4评价结论与建议</w:t>
      </w:r>
      <w:bookmarkEnd w:id="501"/>
      <w:bookmarkEnd w:id="502"/>
      <w:bookmarkEnd w:id="503"/>
      <w:bookmarkEnd w:id="504"/>
      <w:bookmarkEnd w:id="505"/>
      <w:bookmarkEnd w:id="506"/>
      <w:bookmarkEnd w:id="507"/>
      <w:bookmarkEnd w:id="508"/>
      <w:bookmarkEnd w:id="509"/>
      <w:bookmarkEnd w:id="514"/>
    </w:p>
    <w:p>
      <w:pPr>
        <w:widowControl/>
        <w:snapToGrid w:val="0"/>
        <w:spacing w:line="360" w:lineRule="auto"/>
        <w:ind w:firstLine="0"/>
        <w:jc w:val="left"/>
        <w:outlineLvl w:val="2"/>
        <w:rPr>
          <w:rFonts w:hint="default" w:ascii="Times New Roman" w:hAnsi="Times New Roman" w:eastAsia="黑体" w:cs="Times New Roman"/>
          <w:bCs/>
          <w:szCs w:val="24"/>
        </w:rPr>
      </w:pPr>
      <w:r>
        <w:rPr>
          <w:rFonts w:hint="default" w:ascii="Times New Roman" w:hAnsi="Times New Roman" w:eastAsia="黑体" w:cs="Times New Roman"/>
          <w:bCs/>
          <w:szCs w:val="24"/>
        </w:rPr>
        <w:t>10.4.1评价结论</w:t>
      </w:r>
    </w:p>
    <w:p>
      <w:pPr>
        <w:snapToGrid w:val="0"/>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rPr>
        <w:t>福建富轩科技有限公司新能源纳米材料项目</w:t>
      </w:r>
      <w:r>
        <w:rPr>
          <w:rFonts w:hint="default" w:ascii="Times New Roman" w:hAnsi="Times New Roman" w:eastAsia="宋体" w:cs="Times New Roman"/>
          <w:sz w:val="24"/>
          <w:szCs w:val="24"/>
        </w:rPr>
        <w:t>符合当前国家和福建省产业政策，符合福清江阴工业集中区规划和江阴海港新城总体规划产业定位和规划布局，在项目的空间布局、环境准入及污染控制等方面总体符合福清江阴工业集中区规划和江阴海港新城总体规划环评及其审查意见的相关要求，符合国家及福建省大气污染防治、水污染防治等环保政策。在严格落实报告书提出的各项环保措施和风险防范措施，严格执行环保“三同时”制度，各项污染物经处理后可实现达标排放，从环保的角度分析，项目建设是可行的。</w:t>
      </w:r>
    </w:p>
    <w:p>
      <w:pPr>
        <w:widowControl/>
        <w:snapToGrid w:val="0"/>
        <w:spacing w:line="360" w:lineRule="auto"/>
        <w:ind w:firstLine="0"/>
        <w:jc w:val="left"/>
        <w:outlineLvl w:val="2"/>
        <w:rPr>
          <w:rFonts w:hint="default" w:ascii="Times New Roman" w:hAnsi="Times New Roman" w:eastAsia="黑体" w:cs="Times New Roman"/>
          <w:bCs/>
          <w:szCs w:val="24"/>
        </w:rPr>
      </w:pPr>
      <w:r>
        <w:rPr>
          <w:rFonts w:hint="default" w:ascii="Times New Roman" w:hAnsi="Times New Roman" w:eastAsia="黑体" w:cs="Times New Roman"/>
          <w:bCs/>
          <w:szCs w:val="24"/>
        </w:rPr>
        <w:t>10.4.2建议</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（1）进一步加强节能减排工作，做好节水、节能，进一步提高废水的回用率，减少外排污水量；加强生产设施的运行维护和管理，最大限度地控制生产过程废气的无组织排放。</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适时建立并运行ISO14001环境管理体系，承诺遵守有关环境法律、法规，持续改进和预防污染。通过建立一个文件化、程序化、系统化的环境管理体系，来规范企业的环境行为，改进环境保护工作，提高企业的环境管理水平和清洁生产水平。</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（3）以构建和谐社会为出发点，尊重公众合法权益，在确保污染物稳定达标排放的同时，加强与当地居民的沟通和交流，处理好经济建设与公众利益的关系，以利于工程建设的顺利实施。</w:t>
      </w:r>
    </w:p>
    <w:p>
      <w:pPr>
        <w:pStyle w:val="27"/>
        <w:keepNext w:val="0"/>
        <w:keepLines w:val="0"/>
        <w:pageBreakBefore w:val="0"/>
        <w:widowControl w:val="0"/>
        <w:kinsoku/>
        <w:wordWrap/>
        <w:overflowPunct/>
        <w:topLinePunct w:val="0"/>
        <w:autoSpaceDE/>
        <w:autoSpaceDN/>
        <w:bidi w:val="0"/>
        <w:adjustRightInd/>
        <w:snapToGrid/>
        <w:spacing w:after="0" w:line="360" w:lineRule="auto"/>
        <w:ind w:firstLine="480"/>
        <w:textAlignment w:val="auto"/>
        <w:rPr>
          <w:rFonts w:hint="default"/>
        </w:rPr>
      </w:pPr>
      <w:r>
        <w:rPr>
          <w:rFonts w:hint="default" w:ascii="Times New Roman" w:hAnsi="Times New Roman" w:eastAsia="宋体" w:cs="Times New Roman"/>
          <w:sz w:val="24"/>
          <w:szCs w:val="24"/>
        </w:rPr>
        <w:t>（4）建议建设单位按照《建设项目环境保护事中事后监督管理办法（试行）》及工业区规划环评的相关要求，对项目展环境影响后评价工作，并根据后评价结果进一步优化工程建设方案及环保措施，最大限度的减轻项目建设带来的不利环境影响。</w:t>
      </w:r>
    </w:p>
    <w:p>
      <w:pPr>
        <w:widowControl/>
        <w:spacing w:line="360" w:lineRule="auto"/>
        <w:ind w:firstLine="0"/>
        <w:rPr>
          <w:rFonts w:hint="default" w:ascii="Times New Roman" w:hAnsi="Times New Roman" w:eastAsia="黑体" w:cs="Times New Roman"/>
          <w:bCs/>
          <w:sz w:val="21"/>
          <w:szCs w:val="24"/>
        </w:rPr>
      </w:pPr>
      <w:r>
        <w:rPr>
          <w:rFonts w:hint="default" w:ascii="Times New Roman" w:hAnsi="Times New Roman" w:eastAsia="黑体" w:cs="Times New Roman"/>
          <w:bCs/>
          <w:sz w:val="21"/>
          <w:szCs w:val="24"/>
        </w:rPr>
        <w:t xml:space="preserve"> </w:t>
      </w:r>
    </w:p>
    <w:p>
      <w:pPr>
        <w:spacing w:line="360" w:lineRule="auto"/>
        <w:ind w:firstLine="480"/>
        <w:rPr>
          <w:rFonts w:hint="default" w:ascii="Times New Roman" w:hAnsi="Times New Roman" w:eastAsia="宋体" w:cs="Times New Roman"/>
          <w:color w:val="FF0000"/>
          <w:sz w:val="24"/>
          <w:szCs w:val="24"/>
          <w:lang w:val="en-GB"/>
        </w:rPr>
      </w:pPr>
    </w:p>
    <w:p>
      <w:pPr>
        <w:spacing w:line="240" w:lineRule="auto"/>
        <w:ind w:firstLine="0"/>
        <w:rPr>
          <w:rFonts w:hint="default" w:ascii="Times New Roman" w:hAnsi="Times New Roman" w:eastAsia="宋体" w:cs="Times New Roman"/>
          <w:sz w:val="21"/>
          <w:szCs w:val="22"/>
        </w:rPr>
      </w:pPr>
    </w:p>
    <w:p>
      <w:pPr>
        <w:adjustRightInd w:val="0"/>
        <w:snapToGrid w:val="0"/>
        <w:spacing w:line="360" w:lineRule="auto"/>
        <w:ind w:firstLine="480"/>
        <w:rPr>
          <w:rFonts w:hint="default" w:ascii="Times New Roman" w:hAnsi="Times New Roman" w:eastAsia="宋体" w:cs="Times New Roman"/>
          <w:sz w:val="24"/>
        </w:rPr>
      </w:pPr>
    </w:p>
    <w:p>
      <w:pPr>
        <w:pStyle w:val="481"/>
        <w:rPr>
          <w:rFonts w:hint="default" w:ascii="Times New Roman" w:hAnsi="Times New Roman" w:cs="Times New Roman"/>
          <w:color w:val="auto"/>
        </w:rPr>
      </w:pPr>
    </w:p>
    <w:sectPr>
      <w:pgSz w:w="11907" w:h="16840"/>
      <w:pgMar w:top="1418" w:right="1418" w:bottom="1418" w:left="1418" w:header="851" w:footer="992" w:gutter="0"/>
      <w:pgNumType w:fmt="decimal"/>
      <w:cols w:space="720" w:num="1"/>
      <w:docGrid w:linePitch="38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Arial Black">
    <w:panose1 w:val="020B0A04020102020204"/>
    <w:charset w:val="00"/>
    <w:family w:val="swiss"/>
    <w:pitch w:val="default"/>
    <w:sig w:usb0="00000287" w:usb1="00000000" w:usb2="00000000" w:usb3="00000000" w:csb0="2000009F" w:csb1="DFD70000"/>
  </w:font>
  <w:font w:name="仿宋_GB2312">
    <w:panose1 w:val="02010609030101010101"/>
    <w:charset w:val="86"/>
    <w:family w:val="modern"/>
    <w:pitch w:val="default"/>
    <w:sig w:usb0="00000001" w:usb1="080E0000" w:usb2="00000000" w:usb3="00000000" w:csb0="00040000" w:csb1="00000000"/>
  </w:font>
  <w:font w:name="Microsoft JhengHei">
    <w:panose1 w:val="020B0604030504040204"/>
    <w:charset w:val="88"/>
    <w:family w:val="swiss"/>
    <w:pitch w:val="default"/>
    <w:sig w:usb0="00000087" w:usb1="28AF4000" w:usb2="00000016" w:usb3="00000000" w:csb0="00100009" w:csb1="00000000"/>
  </w:font>
  <w:font w:name="Batang">
    <w:panose1 w:val="02030600000101010101"/>
    <w:charset w:val="81"/>
    <w:family w:val="auto"/>
    <w:pitch w:val="default"/>
    <w:sig w:usb0="B00002AF" w:usb1="69D77CFB" w:usb2="00000030" w:usb3="00000000" w:csb0="4008009F" w:csb1="DFD70000"/>
  </w:font>
  <w:font w:name="等线">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 w:name="MingLiU">
    <w:panose1 w:val="02020509000000000000"/>
    <w:charset w:val="88"/>
    <w:family w:val="modern"/>
    <w:pitch w:val="default"/>
    <w:sig w:usb0="A00002FF" w:usb1="28CFFCFA" w:usb2="00000016" w:usb3="00000000" w:csb0="00100001" w:csb1="00000000"/>
  </w:font>
  <w:font w:name="Ђˎ̥">
    <w:altName w:val="Times New Roman"/>
    <w:panose1 w:val="00000000000000000000"/>
    <w:charset w:val="00"/>
    <w:family w:val="roman"/>
    <w:pitch w:val="default"/>
    <w:sig w:usb0="00000000" w:usb1="00000000" w:usb2="00000000" w:usb3="00000000" w:csb0="00040001" w:csb1="00000000"/>
  </w:font>
  <w:font w:name="ˎ̥">
    <w:altName w:val="Times New Roman"/>
    <w:panose1 w:val="00000000000000000000"/>
    <w:charset w:val="00"/>
    <w:family w:val="roman"/>
    <w:pitch w:val="default"/>
    <w:sig w:usb0="00000000" w:usb1="00000000" w:usb2="00000000" w:usb3="00000000" w:csb0="00040001" w:csb1="00000000"/>
  </w:font>
  <w:font w:name="Tahoma">
    <w:panose1 w:val="020B0604030504040204"/>
    <w:charset w:val="00"/>
    <w:family w:val="swiss"/>
    <w:pitch w:val="default"/>
    <w:sig w:usb0="E1002EFF" w:usb1="C000605B" w:usb2="00000029" w:usb3="00000000" w:csb0="200101FF" w:csb1="20280000"/>
  </w:font>
  <w:font w:name="Palatino Linotype">
    <w:panose1 w:val="02040502050505030304"/>
    <w:charset w:val="00"/>
    <w:family w:val="roman"/>
    <w:pitch w:val="default"/>
    <w:sig w:usb0="E0000287" w:usb1="40000013" w:usb2="00000000" w:usb3="00000000" w:csb0="2000019F" w:csb1="00000000"/>
  </w:font>
  <w:font w:name="Verdana">
    <w:panose1 w:val="020B0604030504040204"/>
    <w:charset w:val="00"/>
    <w:family w:val="swiss"/>
    <w:pitch w:val="default"/>
    <w:sig w:usb0="A10006FF" w:usb1="4000205B" w:usb2="00000010" w:usb3="00000000" w:csb0="2000019F" w:csb1="00000000"/>
  </w:font>
  <w:font w:name="Arial Unicode MS">
    <w:altName w:val="宋体"/>
    <w:panose1 w:val="020B0604020202020204"/>
    <w:charset w:val="86"/>
    <w:family w:val="swiss"/>
    <w:pitch w:val="default"/>
    <w:sig w:usb0="00000000" w:usb1="00000000" w:usb2="0000003F" w:usb3="00000000" w:csb0="603F01FF" w:csb1="FFFF0000"/>
  </w:font>
  <w:font w:name="á￥êé">
    <w:altName w:val="宋体"/>
    <w:panose1 w:val="00000000000000000000"/>
    <w:charset w:val="86"/>
    <w:family w:val="roman"/>
    <w:pitch w:val="default"/>
    <w:sig w:usb0="00000000" w:usb1="00000000" w:usb2="00000010" w:usb3="00000000" w:csb0="00040000" w:csb1="00000000"/>
  </w:font>
  <w:font w:name="华文中宋">
    <w:altName w:val="宋体"/>
    <w:panose1 w:val="02010600040101010101"/>
    <w:charset w:val="86"/>
    <w:family w:val="auto"/>
    <w:pitch w:val="default"/>
    <w:sig w:usb0="00000000" w:usb1="00000000" w:usb2="00000000" w:usb3="00000000" w:csb0="0004009F" w:csb1="DFD70000"/>
  </w:font>
  <w:font w:name="Garamond">
    <w:panose1 w:val="02020404030301010803"/>
    <w:charset w:val="00"/>
    <w:family w:val="roman"/>
    <w:pitch w:val="default"/>
    <w:sig w:usb0="00000287" w:usb1="00000000" w:usb2="00000000" w:usb3="00000000" w:csb0="0000009F" w:csb1="DFD70000"/>
  </w:font>
  <w:font w:name="仿宋体">
    <w:altName w:val="宋体"/>
    <w:panose1 w:val="00000000000000000000"/>
    <w:charset w:val="86"/>
    <w:family w:val="roman"/>
    <w:pitch w:val="default"/>
    <w:sig w:usb0="00000000" w:usb1="00000000" w:usb2="00000010" w:usb3="00000000" w:csb0="00040000" w:csb1="00000000"/>
  </w:font>
  <w:font w:name="全真楷書">
    <w:altName w:val="宋体"/>
    <w:panose1 w:val="02010609000101010101"/>
    <w:charset w:val="88"/>
    <w:family w:val="modern"/>
    <w:pitch w:val="default"/>
    <w:sig w:usb0="00000000" w:usb1="00000000" w:usb2="00000010" w:usb3="00000000" w:csb0="00100000" w:csb1="00000000"/>
  </w:font>
  <w:font w:name="_x000B__x000C_">
    <w:altName w:val="Times New Roman"/>
    <w:panose1 w:val="00000000000000000000"/>
    <w:charset w:val="00"/>
    <w:family w:val="roman"/>
    <w:pitch w:val="default"/>
    <w:sig w:usb0="00000000" w:usb1="00000000" w:usb2="00000000" w:usb3="00000000" w:csb0="00040001" w:csb1="00000000"/>
  </w:font>
  <w:font w:name="Century">
    <w:altName w:val="Bookman Old Style"/>
    <w:panose1 w:val="02040604050505020304"/>
    <w:charset w:val="00"/>
    <w:family w:val="roman"/>
    <w:pitch w:val="default"/>
    <w:sig w:usb0="00000000" w:usb1="00000000" w:usb2="00000000" w:usb3="00000000" w:csb0="2000009F" w:csb1="DFD70000"/>
  </w:font>
  <w:font w:name="Bookman Old Style">
    <w:panose1 w:val="02050604050505020204"/>
    <w:charset w:val="00"/>
    <w:family w:val="auto"/>
    <w:pitch w:val="default"/>
    <w:sig w:usb0="00000287" w:usb1="00000000" w:usb2="00000000" w:usb3="00000000" w:csb0="2000009F" w:csb1="DFD7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_x001A_">
    <w:altName w:val="Times New Roman"/>
    <w:panose1 w:val="00000000000000000000"/>
    <w:charset w:val="00"/>
    <w:family w:val="roman"/>
    <w:pitch w:val="default"/>
    <w:sig w:usb0="00000000" w:usb1="00000000" w:usb2="00000000" w:usb3="00000000" w:csb0="00040001" w:csb1="00000000"/>
  </w:font>
  <w:font w:name="Times">
    <w:altName w:val="Times New Roman"/>
    <w:panose1 w:val="02020603050405020304"/>
    <w:charset w:val="00"/>
    <w:family w:val="roman"/>
    <w:pitch w:val="default"/>
    <w:sig w:usb0="00000000" w:usb1="00000000" w:usb2="00000009" w:usb3="00000000" w:csb0="000001FF" w:csb1="00000000"/>
  </w:font>
  <w:font w:name="华文新魏">
    <w:altName w:val="宋体"/>
    <w:panose1 w:val="02010800040101010101"/>
    <w:charset w:val="86"/>
    <w:family w:val="auto"/>
    <w:pitch w:val="default"/>
    <w:sig w:usb0="00000000" w:usb1="00000000" w:usb2="00000000" w:usb3="00000000" w:csb0="00040000" w:csb1="00000000"/>
  </w:font>
  <w:font w:name="Arial Narrow">
    <w:panose1 w:val="020B0606020202030204"/>
    <w:charset w:val="00"/>
    <w:family w:val="swiss"/>
    <w:pitch w:val="default"/>
    <w:sig w:usb0="00000287" w:usb1="00000800" w:usb2="00000000" w:usb3="00000000" w:csb0="2000009F" w:csb1="DFD70000"/>
  </w:font>
  <w:font w:name="等线 Light">
    <w:altName w:val="宋体"/>
    <w:panose1 w:val="02010600030101010101"/>
    <w:charset w:val="86"/>
    <w:family w:val="auto"/>
    <w:pitch w:val="default"/>
    <w:sig w:usb0="00000000" w:usb1="00000000" w:usb2="00000016" w:usb3="00000000" w:csb0="0004000F" w:csb1="00000000"/>
  </w:font>
  <w:font w:name="Wingdings 2">
    <w:panose1 w:val="05020102010507070707"/>
    <w:charset w:val="02"/>
    <w:family w:val="roman"/>
    <w:pitch w:val="default"/>
    <w:sig w:usb0="00000000" w:usb1="00000000" w:usb2="00000000" w:usb3="00000000" w:csb0="80000000" w:csb1="00000000"/>
  </w:font>
  <w:font w:name="PMingLiU">
    <w:panose1 w:val="02020500000000000000"/>
    <w:charset w:val="88"/>
    <w:family w:val="auto"/>
    <w:pitch w:val="default"/>
    <w:sig w:usb0="A00002FF" w:usb1="28CFFCFA" w:usb2="00000016" w:usb3="00000000" w:csb0="00100001" w:csb1="00000000"/>
  </w:font>
  <w:font w:name="TimesNewRoman">
    <w:altName w:val="MS Mincho"/>
    <w:panose1 w:val="00000000000000000000"/>
    <w:charset w:val="80"/>
    <w:family w:val="auto"/>
    <w:pitch w:val="default"/>
    <w:sig w:usb0="00000000" w:usb1="00000000" w:usb2="00000000" w:usb3="00000000" w:csb0="00020000" w:csb1="00000000"/>
  </w:font>
  <w:font w:name="MS Mincho">
    <w:panose1 w:val="02020609040205080304"/>
    <w:charset w:val="80"/>
    <w:family w:val="auto"/>
    <w:pitch w:val="default"/>
    <w:sig w:usb0="E00002FF" w:usb1="6AC7FDFB"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pBdr>
        <w:top w:val="single" w:color="auto" w:sz="4" w:space="1"/>
      </w:pBdr>
      <w:ind w:firstLine="0"/>
      <w:rPr>
        <w:rFonts w:ascii="楷体" w:hAnsi="楷体" w:eastAsia="楷体"/>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22" name="文本框 10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rPr>
                              <w:rFonts w:hint="eastAsia"/>
                              <w:lang w:eastAsia="zh-CN"/>
                            </w:rPr>
                          </w:pPr>
                        </w:p>
                      </w:txbxContent>
                    </wps:txbx>
                    <wps:bodyPr vert="horz" wrap="none" lIns="0" tIns="0" rIns="0" bIns="0" anchor="t" anchorCtr="0" upright="0">
                      <a:spAutoFit/>
                    </wps:bodyPr>
                  </wps:wsp>
                </a:graphicData>
              </a:graphic>
            </wp:anchor>
          </w:drawing>
        </mc:Choice>
        <mc:Fallback>
          <w:pict>
            <v:shape id="文本框 1028"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IvaG7bgAQAAwwMAAA4AAAAA&#10;AAAAAQAgAAAAHgEAAGRycy9lMm9Eb2MueG1sUEsFBgAAAAAGAAYAWQEAAHAFAAAAAA==&#10;">
              <v:fill on="f" focussize="0,0"/>
              <v:stroke on="f"/>
              <v:imagedata o:title=""/>
              <o:lock v:ext="edit" aspectratio="f"/>
              <v:textbox inset="0mm,0mm,0mm,0mm" style="mso-fit-shape-to-text:t;">
                <w:txbxContent>
                  <w:p>
                    <w:pPr>
                      <w:rPr>
                        <w:rFonts w:hint="eastAsia"/>
                        <w:lang w:eastAsia="zh-CN"/>
                      </w:rPr>
                    </w:pPr>
                  </w:p>
                </w:txbxContent>
              </v:textbox>
            </v:shape>
          </w:pict>
        </mc:Fallback>
      </mc:AlternateContent>
    </w:r>
    <w:r>
      <w:rPr>
        <w:rFonts w:hint="eastAsia" w:ascii="楷体" w:hAnsi="楷体" w:eastAsia="楷体"/>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0" w:lineRule="auto"/>
      <w:ind w:firstLine="4935" w:firstLineChars="2350"/>
      <w:rPr>
        <w:rFonts w:hint="eastAsia" w:ascii="Calibri" w:hAnsi="Calibri" w:eastAsia="宋体" w:cs="Times New Roman"/>
        <w:sz w:val="21"/>
      </w:rPr>
    </w:pPr>
    <w:r>
      <w:rPr>
        <w:sz w:val="21"/>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9"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5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243</w:t>
                          </w:r>
                          <w:r>
                            <w:rPr>
                              <w:rFonts w:hint="eastAsia"/>
                              <w:lang w:eastAsia="zh-CN"/>
                            </w:rPr>
                            <w:fldChar w:fldCharType="end"/>
                          </w:r>
                        </w:p>
                      </w:txbxContent>
                    </wps:txbx>
                    <wps:bodyPr vert="horz" wrap="none" lIns="0" tIns="0" rIns="0" bIns="0" anchor="t" anchorCtr="0" upright="0">
                      <a:spAutoFit/>
                    </wps:bodyPr>
                  </wps:wsp>
                </a:graphicData>
              </a:graphic>
            </wp:anchor>
          </w:drawing>
        </mc:Choice>
        <mc:Fallback>
          <w:pict>
            <v:shape id="文本框 1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JSoqwngAQAAwQMAAA4AAAAA&#10;AAAAAQAgAAAAHgEAAGRycy9lMm9Eb2MueG1sUEsFBgAAAAAGAAYAWQEAAHAFAAAAAA==&#10;">
              <v:fill on="f" focussize="0,0"/>
              <v:stroke on="f"/>
              <v:imagedata o:title=""/>
              <o:lock v:ext="edit" aspectratio="f"/>
              <v:textbox inset="0mm,0mm,0mm,0mm" style="mso-fit-shape-to-text:t;">
                <w:txbxContent>
                  <w:p>
                    <w:pPr>
                      <w:pStyle w:val="5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243</w:t>
                    </w:r>
                    <w:r>
                      <w:rPr>
                        <w:rFonts w:hint="eastAsia"/>
                        <w:lang w:eastAsia="zh-CN"/>
                      </w:rPr>
                      <w:fldChar w:fldCharType="end"/>
                    </w:r>
                  </w:p>
                </w:txbxContent>
              </v:textbox>
            </v:shape>
          </w:pict>
        </mc:Fallback>
      </mc:AlternateContent>
    </w:r>
  </w:p>
  <w:p>
    <w:pPr>
      <w:spacing w:line="240" w:lineRule="auto"/>
      <w:ind w:firstLine="0"/>
      <w:rPr>
        <w:rFonts w:ascii="Calibri" w:hAnsi="Calibri" w:eastAsia="宋体" w:cs="Times New Roman"/>
        <w:sz w:val="21"/>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framePr w:wrap="around" w:vAnchor="text" w:hAnchor="margin" w:xAlign="center" w:y="1"/>
      <w:spacing w:line="240" w:lineRule="auto"/>
      <w:ind w:firstLine="0"/>
      <w:rPr>
        <w:rFonts w:ascii="Calibri" w:hAnsi="Calibri" w:eastAsia="宋体" w:cs="Times New Roman"/>
        <w:sz w:val="21"/>
      </w:rPr>
    </w:pPr>
    <w:r>
      <w:rPr>
        <w:rFonts w:ascii="Calibri" w:hAnsi="Calibri" w:eastAsia="宋体" w:cs="Times New Roman"/>
        <w:sz w:val="21"/>
      </w:rPr>
      <w:fldChar w:fldCharType="begin"/>
    </w:r>
    <w:r>
      <w:rPr>
        <w:rFonts w:ascii="Calibri" w:hAnsi="Calibri" w:eastAsia="宋体" w:cs="Times New Roman"/>
        <w:sz w:val="21"/>
      </w:rPr>
      <w:instrText xml:space="preserve">PAGE  </w:instrText>
    </w:r>
    <w:r>
      <w:rPr>
        <w:rFonts w:ascii="Calibri" w:hAnsi="Calibri" w:eastAsia="宋体" w:cs="Times New Roman"/>
        <w:sz w:val="21"/>
      </w:rPr>
      <w:fldChar w:fldCharType="end"/>
    </w:r>
  </w:p>
  <w:p>
    <w:pPr>
      <w:spacing w:line="240" w:lineRule="auto"/>
      <w:ind w:firstLine="0"/>
      <w:rPr>
        <w:rFonts w:ascii="Calibri" w:hAnsi="Calibri" w:eastAsia="宋体" w:cs="Times New Roman"/>
        <w:sz w:val="21"/>
      </w:rPr>
    </w:pPr>
  </w:p>
  <w:p>
    <w:pPr>
      <w:spacing w:line="240" w:lineRule="auto"/>
      <w:ind w:firstLine="0"/>
      <w:rPr>
        <w:rFonts w:ascii="Calibri" w:hAnsi="Calibri" w:eastAsia="宋体" w:cs="Times New Roman"/>
        <w:sz w:val="21"/>
      </w:rPr>
    </w:pPr>
  </w:p>
  <w:p>
    <w:pPr>
      <w:spacing w:line="240" w:lineRule="auto"/>
      <w:ind w:firstLine="0"/>
      <w:rPr>
        <w:rFonts w:ascii="Calibri" w:hAnsi="Calibri" w:eastAsia="宋体" w:cs="Times New Roman"/>
        <w:sz w:val="21"/>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ind w:firstLine="0"/>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0"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5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314</w:t>
                          </w:r>
                          <w:r>
                            <w:rPr>
                              <w:rFonts w:hint="eastAsia"/>
                              <w:lang w:eastAsia="zh-CN"/>
                            </w:rPr>
                            <w:fldChar w:fldCharType="end"/>
                          </w:r>
                        </w:p>
                      </w:txbxContent>
                    </wps:txbx>
                    <wps:bodyPr vert="horz" wrap="none" lIns="0" tIns="0" rIns="0" bIns="0" anchor="t" anchorCtr="0" upright="0">
                      <a:spAutoFit/>
                    </wps:bodyPr>
                  </wps:wsp>
                </a:graphicData>
              </a:graphic>
            </wp:anchor>
          </w:drawing>
        </mc:Choice>
        <mc:Fallback>
          <w:pict>
            <v:shape id="文本框 17"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cClECN8BAADBAwAADgAAAAAA&#10;AAABACAAAAAeAQAAZHJzL2Uyb0RvYy54bWxQSwUGAAAAAAYABgBZAQAAbwUAAAAA&#10;">
              <v:fill on="f" focussize="0,0"/>
              <v:stroke on="f"/>
              <v:imagedata o:title=""/>
              <o:lock v:ext="edit" aspectratio="f"/>
              <v:textbox inset="0mm,0mm,0mm,0mm" style="mso-fit-shape-to-text:t;">
                <w:txbxContent>
                  <w:p>
                    <w:pPr>
                      <w:pStyle w:val="5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314</w:t>
                    </w:r>
                    <w:r>
                      <w:rPr>
                        <w:rFonts w:hint="eastAsia"/>
                        <w:lang w:eastAsia="zh-CN"/>
                      </w:rPr>
                      <w:fldChar w:fldCharType="end"/>
                    </w:r>
                  </w:p>
                </w:txbxContent>
              </v:textbox>
            </v:shape>
          </w:pict>
        </mc:Fallback>
      </mc:AlternateContent>
    </w: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26" name="文本框 10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59"/>
                            <w:ind w:firstLine="0"/>
                            <w:rPr>
                              <w:rStyle w:val="139"/>
                              <w:rFonts w:ascii="黑体" w:hAnsi="黑体" w:eastAsia="黑体"/>
                            </w:rPr>
                          </w:pPr>
                        </w:p>
                      </w:txbxContent>
                    </wps:txbx>
                    <wps:bodyPr vert="horz" wrap="none" lIns="0" tIns="0" rIns="0" bIns="0" anchor="t" anchorCtr="0" upright="0">
                      <a:spAutoFit/>
                    </wps:bodyPr>
                  </wps:wsp>
                </a:graphicData>
              </a:graphic>
            </wp:anchor>
          </w:drawing>
        </mc:Choice>
        <mc:Fallback>
          <w:pict>
            <v:shape id="文本框 1035"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fKKDOeIBAADDAwAADgAA&#10;AAAAAAABACAAAAAeAQAAZHJzL2Uyb0RvYy54bWxQSwUGAAAAAAYABgBZAQAAcgUAAAAA&#10;">
              <v:fill on="f" focussize="0,0"/>
              <v:stroke on="f"/>
              <v:imagedata o:title=""/>
              <o:lock v:ext="edit" aspectratio="f"/>
              <v:textbox inset="0mm,0mm,0mm,0mm" style="mso-fit-shape-to-text:t;">
                <w:txbxContent>
                  <w:p>
                    <w:pPr>
                      <w:pStyle w:val="59"/>
                      <w:ind w:firstLine="0"/>
                      <w:rPr>
                        <w:rStyle w:val="139"/>
                        <w:rFonts w:ascii="黑体" w:hAnsi="黑体" w:eastAsia="黑体"/>
                      </w:rPr>
                    </w:pP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1"/>
      </w:pBdr>
      <w:ind w:firstLine="0"/>
      <w:rPr>
        <w:rFonts w:hint="eastAsia"/>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2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59"/>
                            <w:pBdr>
                              <w:top w:val="none" w:color="auto" w:sz="0" w:space="1"/>
                            </w:pBdr>
                            <w:ind w:left="0" w:leftChars="0" w:firstLine="0" w:firstLineChars="0"/>
                            <w:rPr>
                              <w:rFonts w:hint="eastAsia" w:ascii="黑体" w:hAnsi="黑体" w:eastAsia="黑体" w:cs="黑体"/>
                            </w:rPr>
                          </w:pPr>
                          <w:r>
                            <w:rPr>
                              <w:rFonts w:hint="eastAsia" w:ascii="黑体" w:hAnsi="黑体" w:eastAsia="黑体" w:cs="黑体"/>
                            </w:rPr>
                            <w:fldChar w:fldCharType="begin"/>
                          </w:r>
                          <w:r>
                            <w:rPr>
                              <w:rFonts w:hint="eastAsia" w:ascii="黑体" w:hAnsi="黑体" w:eastAsia="黑体" w:cs="黑体"/>
                            </w:rPr>
                            <w:instrText xml:space="preserve"> PAGE  \* MERGEFORMAT </w:instrText>
                          </w:r>
                          <w:r>
                            <w:rPr>
                              <w:rFonts w:hint="eastAsia" w:ascii="黑体" w:hAnsi="黑体" w:eastAsia="黑体" w:cs="黑体"/>
                            </w:rPr>
                            <w:fldChar w:fldCharType="separate"/>
                          </w:r>
                          <w:r>
                            <w:rPr>
                              <w:rFonts w:ascii="黑体" w:hAnsi="黑体" w:eastAsia="黑体" w:cs="黑体"/>
                            </w:rPr>
                            <w:t>235</w:t>
                          </w:r>
                          <w:r>
                            <w:rPr>
                              <w:rFonts w:hint="eastAsia" w:ascii="黑体" w:hAnsi="黑体" w:eastAsia="黑体" w:cs="黑体"/>
                            </w:rPr>
                            <w:fldChar w:fldCharType="end"/>
                          </w:r>
                        </w:p>
                      </w:txbxContent>
                    </wps:txbx>
                    <wps:bodyPr wrap="none" lIns="0" tIns="0" rIns="0" bIns="0" upright="0">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SQM3YyQEAAJsDAAAOAAAAAAAAAAEAIAAAAB4BAABkcnMvZTJvRG9j&#10;LnhtbFBLBQYAAAAABgAGAFkBAABZBQAAAAA=&#10;">
              <v:fill on="f" focussize="0,0"/>
              <v:stroke on="f"/>
              <v:imagedata o:title=""/>
              <o:lock v:ext="edit" aspectratio="f"/>
              <v:textbox inset="0mm,0mm,0mm,0mm" style="mso-fit-shape-to-text:t;">
                <w:txbxContent>
                  <w:p>
                    <w:pPr>
                      <w:pStyle w:val="59"/>
                      <w:pBdr>
                        <w:top w:val="none" w:color="auto" w:sz="0" w:space="1"/>
                      </w:pBdr>
                      <w:ind w:left="0" w:leftChars="0" w:firstLine="0" w:firstLineChars="0"/>
                      <w:rPr>
                        <w:rFonts w:hint="eastAsia" w:ascii="黑体" w:hAnsi="黑体" w:eastAsia="黑体" w:cs="黑体"/>
                      </w:rPr>
                    </w:pPr>
                    <w:r>
                      <w:rPr>
                        <w:rFonts w:hint="eastAsia" w:ascii="黑体" w:hAnsi="黑体" w:eastAsia="黑体" w:cs="黑体"/>
                      </w:rPr>
                      <w:fldChar w:fldCharType="begin"/>
                    </w:r>
                    <w:r>
                      <w:rPr>
                        <w:rFonts w:hint="eastAsia" w:ascii="黑体" w:hAnsi="黑体" w:eastAsia="黑体" w:cs="黑体"/>
                      </w:rPr>
                      <w:instrText xml:space="preserve"> PAGE  \* MERGEFORMAT </w:instrText>
                    </w:r>
                    <w:r>
                      <w:rPr>
                        <w:rFonts w:hint="eastAsia" w:ascii="黑体" w:hAnsi="黑体" w:eastAsia="黑体" w:cs="黑体"/>
                      </w:rPr>
                      <w:fldChar w:fldCharType="separate"/>
                    </w:r>
                    <w:r>
                      <w:rPr>
                        <w:rFonts w:ascii="黑体" w:hAnsi="黑体" w:eastAsia="黑体" w:cs="黑体"/>
                      </w:rPr>
                      <w:t>235</w:t>
                    </w:r>
                    <w:r>
                      <w:rPr>
                        <w:rFonts w:hint="eastAsia" w:ascii="黑体" w:hAnsi="黑体" w:eastAsia="黑体" w:cs="黑体"/>
                      </w:rP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pBdr>
        <w:top w:val="single" w:color="auto" w:sz="4" w:space="1"/>
      </w:pBdr>
      <w:ind w:firstLine="0"/>
      <w:rPr>
        <w:rFonts w:ascii="楷体" w:hAnsi="楷体" w:eastAsia="楷体"/>
      </w:rPr>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27"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5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vert="horz" wrap="none" lIns="0" tIns="0" rIns="0" bIns="0" anchor="t" anchorCtr="0" upright="0">
                      <a:spAutoFit/>
                    </wps:bodyPr>
                  </wps:wsp>
                </a:graphicData>
              </a:graphic>
            </wp:anchor>
          </w:drawing>
        </mc:Choice>
        <mc:Fallback>
          <w:pict>
            <v:shape id="文本框 15"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EJzSU7gAQAAwQMAAA4AAAAA&#10;AAAAAQAgAAAAHgEAAGRycy9lMm9Eb2MueG1sUEsFBgAAAAAGAAYAWQEAAHAFAAAAAA==&#10;">
              <v:fill on="f" focussize="0,0"/>
              <v:stroke on="f"/>
              <v:imagedata o:title=""/>
              <o:lock v:ext="edit" aspectratio="f"/>
              <v:textbox inset="0mm,0mm,0mm,0mm" style="mso-fit-shape-to-text:t;">
                <w:txbxContent>
                  <w:p>
                    <w:pPr>
                      <w:pStyle w:val="5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r>
      <w:rPr>
        <w:rFonts w:hint="eastAsia" w:ascii="楷体" w:hAnsi="楷体" w:eastAsia="楷体"/>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snapToGrid w:val="0"/>
      <w:jc w:val="left"/>
      <w:rPr>
        <w:rFonts w:ascii="Times New Roman" w:hAnsi="Times New Roman" w:eastAsia="宋体" w:cs="Times New Roman"/>
        <w:kern w:val="2"/>
        <w:sz w:val="18"/>
        <w:szCs w:val="18"/>
        <w:lang w:val="en-US" w:eastAsia="zh-CN" w:bidi="ar-SA"/>
      </w:rP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3" name="文本框 10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5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w:t>
                          </w:r>
                          <w:r>
                            <w:rPr>
                              <w:rFonts w:hint="eastAsia"/>
                              <w:lang w:eastAsia="zh-CN"/>
                            </w:rPr>
                            <w:fldChar w:fldCharType="end"/>
                          </w:r>
                        </w:p>
                      </w:txbxContent>
                    </wps:txbx>
                    <wps:bodyPr vert="horz" wrap="none" lIns="0" tIns="0" rIns="0" bIns="0" anchor="t" anchorCtr="0" upright="0">
                      <a:spAutoFit/>
                    </wps:bodyPr>
                  </wps:wsp>
                </a:graphicData>
              </a:graphic>
            </wp:anchor>
          </w:drawing>
        </mc:Choice>
        <mc:Fallback>
          <w:pict>
            <v:shape id="文本框 1029"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C9CxfG4QEAAMMDAAAOAAAA&#10;AAAAAAEAIAAAAB4BAABkcnMvZTJvRG9jLnhtbFBLBQYAAAAABgAGAFkBAABxBQAAAAA=&#10;">
              <v:fill on="f" focussize="0,0"/>
              <v:stroke on="f"/>
              <v:imagedata o:title=""/>
              <o:lock v:ext="edit" aspectratio="f"/>
              <v:textbox inset="0mm,0mm,0mm,0mm" style="mso-fit-shape-to-text:t;">
                <w:txbxContent>
                  <w:p>
                    <w:pPr>
                      <w:pStyle w:val="5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w:t>
                    </w:r>
                    <w:r>
                      <w:rPr>
                        <w:rFonts w:hint="eastAsia"/>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keepNext w:val="0"/>
      <w:keepLines w:val="0"/>
      <w:pageBreakBefore w:val="0"/>
      <w:widowControl w:val="0"/>
      <w:kinsoku/>
      <w:wordWrap/>
      <w:overflowPunct/>
      <w:topLinePunct w:val="0"/>
      <w:autoSpaceDE/>
      <w:autoSpaceDN/>
      <w:bidi w:val="0"/>
      <w:adjustRightInd/>
      <w:snapToGrid w:val="0"/>
      <w:ind w:firstLine="0"/>
      <w:jc w:val="center"/>
      <w:textAlignment w:val="auto"/>
      <w:outlineLvl w:val="9"/>
      <w:rPr>
        <w:sz w:val="21"/>
        <w:szCs w:val="21"/>
      </w:rPr>
    </w:pPr>
    <w:r>
      <w:rPr>
        <w:sz w:val="21"/>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1"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59"/>
                            <w:ind w:left="0" w:leftChars="0" w:firstLine="0" w:firstLineChars="0"/>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28</w:t>
                          </w:r>
                          <w:r>
                            <w:rPr>
                              <w:rFonts w:hint="eastAsia"/>
                              <w:lang w:eastAsia="zh-CN"/>
                            </w:rPr>
                            <w:fldChar w:fldCharType="end"/>
                          </w:r>
                        </w:p>
                      </w:txbxContent>
                    </wps:txbx>
                    <wps:bodyPr vert="horz" wrap="none" lIns="0" tIns="0" rIns="0" bIns="0" anchor="t" anchorCtr="0" upright="0">
                      <a:spAutoFit/>
                    </wps:bodyPr>
                  </wps:wsp>
                </a:graphicData>
              </a:graphic>
            </wp:anchor>
          </w:drawing>
        </mc:Choice>
        <mc:Fallback>
          <w:pict>
            <v:shape id="文本框 19"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Pu52bfgAQAAwQMAAA4AAAAA&#10;AAAAAQAgAAAAHgEAAGRycy9lMm9Eb2MueG1sUEsFBgAAAAAGAAYAWQEAAHAFAAAAAA==&#10;">
              <v:fill on="f" focussize="0,0"/>
              <v:stroke on="f"/>
              <v:imagedata o:title=""/>
              <o:lock v:ext="edit" aspectratio="f"/>
              <v:textbox inset="0mm,0mm,0mm,0mm" style="mso-fit-shape-to-text:t;">
                <w:txbxContent>
                  <w:p>
                    <w:pPr>
                      <w:pStyle w:val="59"/>
                      <w:ind w:left="0" w:leftChars="0" w:firstLine="0" w:firstLineChars="0"/>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28</w:t>
                    </w:r>
                    <w:r>
                      <w:rPr>
                        <w:rFonts w:hint="eastAsia"/>
                        <w:lang w:eastAsia="zh-CN"/>
                      </w:rPr>
                      <w:fldChar w:fldCharType="end"/>
                    </w:r>
                  </w:p>
                </w:txbxContent>
              </v:textbox>
            </v:shape>
          </w:pict>
        </mc:Fallback>
      </mc:AlternateContent>
    </w:r>
    <w:r>
      <w:rPr>
        <w:sz w:val="2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-19050</wp:posOffset>
              </wp:positionV>
              <wp:extent cx="492125" cy="362585"/>
              <wp:effectExtent l="0" t="0" r="0" b="0"/>
              <wp:wrapNone/>
              <wp:docPr id="119" name="文本框 1025"/>
              <wp:cNvGraphicFramePr/>
              <a:graphic xmlns:a="http://schemas.openxmlformats.org/drawingml/2006/main">
                <a:graphicData uri="http://schemas.microsoft.com/office/word/2010/wordprocessingShape">
                  <wps:wsp>
                    <wps:cNvSpPr txBox="1"/>
                    <wps:spPr>
                      <a:xfrm>
                        <a:off x="0" y="0"/>
                        <a:ext cx="492125" cy="362585"/>
                      </a:xfrm>
                      <a:prstGeom prst="rect">
                        <a:avLst/>
                      </a:prstGeom>
                      <a:noFill/>
                      <a:ln>
                        <a:noFill/>
                      </a:ln>
                    </wps:spPr>
                    <wps:txbx>
                      <w:txbxContent>
                        <w:p>
                          <w:pPr>
                            <w:pStyle w:val="59"/>
                            <w:ind w:left="0" w:leftChars="0" w:firstLine="0" w:firstLineChars="0"/>
                            <w:jc w:val="both"/>
                          </w:pPr>
                        </w:p>
                      </w:txbxContent>
                    </wps:txbx>
                    <wps:bodyPr vert="horz" wrap="square" lIns="0" tIns="0" rIns="0" bIns="0" anchor="t" anchorCtr="0" upright="0"/>
                  </wps:wsp>
                </a:graphicData>
              </a:graphic>
            </wp:anchor>
          </w:drawing>
        </mc:Choice>
        <mc:Fallback>
          <w:pict>
            <v:shape id="文本框 1025" o:spid="_x0000_s1026" o:spt="202" type="#_x0000_t202" style="position:absolute;left:0pt;margin-top:-1.5pt;height:28.55pt;width:38.75pt;mso-position-horizontal:center;mso-position-horizontal-relative:margin;z-index:251660288;mso-width-relative:page;mso-height-relative:page;" filled="f" stroked="f" coordsize="21600,21600" o:gfxdata="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FKrouXWAAAABQEAAA8AAAAA&#10;AAAAAQAgAAAAIgAAAGRycy9kb3ducmV2LnhtbFBLAQIUABQAAAAIAIdO4kDbJlk93QEAAKkDAAAO&#10;AAAAAAAAAAEAIAAAACUBAABkcnMvZTJvRG9jLnhtbFBLBQYAAAAABgAGAFkBAAB0BQAAAAA=&#10;">
              <v:fill on="f" focussize="0,0"/>
              <v:stroke on="f"/>
              <v:imagedata o:title=""/>
              <o:lock v:ext="edit" aspectratio="f"/>
              <v:textbox inset="0mm,0mm,0mm,0mm">
                <w:txbxContent>
                  <w:p>
                    <w:pPr>
                      <w:pStyle w:val="59"/>
                      <w:ind w:left="0" w:leftChars="0" w:firstLine="0" w:firstLineChars="0"/>
                      <w:jc w:val="both"/>
                    </w:pP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framePr w:wrap="around" w:vAnchor="text" w:hAnchor="margin" w:xAlign="center" w:y="1"/>
      <w:rPr>
        <w:rStyle w:val="139"/>
      </w:rPr>
    </w:pPr>
    <w:r>
      <w:fldChar w:fldCharType="begin"/>
    </w:r>
    <w:r>
      <w:rPr>
        <w:rStyle w:val="139"/>
      </w:rPr>
      <w:instrText xml:space="preserve">PAGE  </w:instrText>
    </w:r>
    <w:r>
      <w:fldChar w:fldCharType="separate"/>
    </w:r>
    <w:r>
      <w:fldChar w:fldCharType="end"/>
    </w:r>
  </w:p>
  <w:p>
    <w:pPr>
      <w:pStyle w:val="59"/>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jc w:val="center"/>
      <w:rPr>
        <w:sz w:val="21"/>
        <w:szCs w:val="21"/>
      </w:rPr>
    </w:pPr>
    <w:r>
      <w:rPr>
        <w:sz w:val="21"/>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0" name="文本框 10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59"/>
                            <w:ind w:left="0" w:leftChars="0" w:firstLine="0" w:firstLineChars="0"/>
                            <w:jc w:val="both"/>
                          </w:pPr>
                          <w:r>
                            <w:rPr>
                              <w:sz w:val="21"/>
                              <w:szCs w:val="21"/>
                            </w:rPr>
                            <w:fldChar w:fldCharType="begin"/>
                          </w:r>
                          <w:r>
                            <w:rPr>
                              <w:rStyle w:val="139"/>
                              <w:sz w:val="21"/>
                              <w:szCs w:val="21"/>
                            </w:rPr>
                            <w:instrText xml:space="preserve"> PAGE </w:instrText>
                          </w:r>
                          <w:r>
                            <w:rPr>
                              <w:sz w:val="21"/>
                              <w:szCs w:val="21"/>
                            </w:rPr>
                            <w:fldChar w:fldCharType="separate"/>
                          </w:r>
                          <w:r>
                            <w:rPr>
                              <w:rStyle w:val="139"/>
                              <w:sz w:val="21"/>
                              <w:szCs w:val="21"/>
                            </w:rPr>
                            <w:t>2</w:t>
                          </w:r>
                          <w:r>
                            <w:rPr>
                              <w:sz w:val="21"/>
                              <w:szCs w:val="21"/>
                            </w:rPr>
                            <w:fldChar w:fldCharType="end"/>
                          </w:r>
                        </w:p>
                      </w:txbxContent>
                    </wps:txbx>
                    <wps:bodyPr wrap="none" lIns="0" tIns="0" rIns="0" bIns="0" upright="0">
                      <a:spAutoFit/>
                    </wps:bodyPr>
                  </wps:wsp>
                </a:graphicData>
              </a:graphic>
            </wp:anchor>
          </w:drawing>
        </mc:Choice>
        <mc:Fallback>
          <w:pict>
            <v:shape id="文本框 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M95YYDLAQAAngMAAA4AAAAAAAAAAQAgAAAAHgEAAGRycy9lMm9E&#10;b2MueG1sUEsFBgAAAAAGAAYAWQEAAFsFAAAAAA==&#10;">
              <v:fill on="f" focussize="0,0"/>
              <v:stroke on="f"/>
              <v:imagedata o:title=""/>
              <o:lock v:ext="edit" aspectratio="f"/>
              <v:textbox inset="0mm,0mm,0mm,0mm" style="mso-fit-shape-to-text:t;">
                <w:txbxContent>
                  <w:p>
                    <w:pPr>
                      <w:pStyle w:val="59"/>
                      <w:ind w:left="0" w:leftChars="0" w:firstLine="0" w:firstLineChars="0"/>
                      <w:jc w:val="both"/>
                    </w:pPr>
                    <w:r>
                      <w:rPr>
                        <w:sz w:val="21"/>
                        <w:szCs w:val="21"/>
                      </w:rPr>
                      <w:fldChar w:fldCharType="begin"/>
                    </w:r>
                    <w:r>
                      <w:rPr>
                        <w:rStyle w:val="139"/>
                        <w:sz w:val="21"/>
                        <w:szCs w:val="21"/>
                      </w:rPr>
                      <w:instrText xml:space="preserve"> PAGE </w:instrText>
                    </w:r>
                    <w:r>
                      <w:rPr>
                        <w:sz w:val="21"/>
                        <w:szCs w:val="21"/>
                      </w:rPr>
                      <w:fldChar w:fldCharType="separate"/>
                    </w:r>
                    <w:r>
                      <w:rPr>
                        <w:rStyle w:val="139"/>
                        <w:sz w:val="21"/>
                        <w:szCs w:val="21"/>
                      </w:rPr>
                      <w:t>2</w:t>
                    </w:r>
                    <w:r>
                      <w:rPr>
                        <w:sz w:val="21"/>
                        <w:szCs w:val="21"/>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4" name="文本框 10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5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9</w:t>
                          </w:r>
                          <w:r>
                            <w:rPr>
                              <w:rFonts w:hint="eastAsia"/>
                              <w:lang w:eastAsia="zh-CN"/>
                            </w:rPr>
                            <w:fldChar w:fldCharType="end"/>
                          </w:r>
                        </w:p>
                      </w:txbxContent>
                    </wps:txbx>
                    <wps:bodyPr vert="horz" wrap="none" lIns="0" tIns="0" rIns="0" bIns="0" anchor="t" anchorCtr="0" upright="0">
                      <a:spAutoFit/>
                    </wps:bodyPr>
                  </wps:wsp>
                </a:graphicData>
              </a:graphic>
            </wp:anchor>
          </w:drawing>
        </mc:Choice>
        <mc:Fallback>
          <w:pict>
            <v:shape id="文本框 1032"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a0eIGuIBAADDAwAADgAA&#10;AAAAAAABACAAAAAeAQAAZHJzL2Uyb0RvYy54bWxQSwUGAAAAAAYABgBZAQAAcgUAAAAA&#10;">
              <v:fill on="f" focussize="0,0"/>
              <v:stroke on="f"/>
              <v:imagedata o:title=""/>
              <o:lock v:ext="edit" aspectratio="f"/>
              <v:textbox inset="0mm,0mm,0mm,0mm" style="mso-fit-shape-to-text:t;">
                <w:txbxContent>
                  <w:p>
                    <w:pPr>
                      <w:pStyle w:val="5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9</w:t>
                    </w:r>
                    <w:r>
                      <w:rPr>
                        <w:rFonts w:hint="eastAsia"/>
                        <w:lang w:eastAsia="zh-CN"/>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rPr>
        <w:sz w:val="2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5" name="文本框 10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5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108</w:t>
                          </w:r>
                          <w:r>
                            <w:rPr>
                              <w:rFonts w:hint="eastAsia"/>
                              <w:lang w:eastAsia="zh-CN"/>
                            </w:rPr>
                            <w:fldChar w:fldCharType="end"/>
                          </w:r>
                        </w:p>
                      </w:txbxContent>
                    </wps:txbx>
                    <wps:bodyPr vert="horz" wrap="none" lIns="0" tIns="0" rIns="0" bIns="0" anchor="t" anchorCtr="0" upright="0">
                      <a:spAutoFit/>
                    </wps:bodyPr>
                  </wps:wsp>
                </a:graphicData>
              </a:graphic>
            </wp:anchor>
          </w:drawing>
        </mc:Choice>
        <mc:Fallback>
          <w:pict>
            <v:shape id="文本框 1034"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1/pNYeIBAADDAwAADgAA&#10;AAAAAAABACAAAAAeAQAAZHJzL2Uyb0RvYy54bWxQSwUGAAAAAAYABgBZAQAAcgUAAAAA&#10;">
              <v:fill on="f" focussize="0,0"/>
              <v:stroke on="f"/>
              <v:imagedata o:title=""/>
              <o:lock v:ext="edit" aspectratio="f"/>
              <v:textbox inset="0mm,0mm,0mm,0mm" style="mso-fit-shape-to-text:t;">
                <w:txbxContent>
                  <w:p>
                    <w:pPr>
                      <w:pStyle w:val="5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108</w:t>
                    </w:r>
                    <w:r>
                      <w:rPr>
                        <w:rFonts w:hint="eastAsia"/>
                        <w:lang w:eastAsia="zh-CN"/>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ind w:firstLine="0"/>
    </w:pPr>
    <w:r>
      <w:rPr>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32" name="文本框 10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59"/>
                            <w:ind w:firstLine="0"/>
                            <w:rPr>
                              <w:rStyle w:val="139"/>
                              <w:rFonts w:ascii="黑体" w:hAnsi="黑体" w:eastAsia="黑体"/>
                              <w:sz w:val="18"/>
                              <w:szCs w:val="18"/>
                            </w:rPr>
                          </w:pPr>
                          <w:bookmarkStart w:id="516" w:name="OLE_LINK9"/>
                          <w:r>
                            <w:rPr>
                              <w:rFonts w:hint="eastAsia" w:ascii="宋体" w:hAnsi="宋体" w:eastAsia="宋体" w:cs="宋体"/>
                              <w:b w:val="0"/>
                              <w:bCs/>
                              <w:sz w:val="18"/>
                              <w:szCs w:val="18"/>
                            </w:rPr>
                            <w:fldChar w:fldCharType="begin"/>
                          </w:r>
                          <w:r>
                            <w:rPr>
                              <w:rStyle w:val="139"/>
                              <w:rFonts w:hint="eastAsia" w:ascii="宋体" w:hAnsi="宋体" w:eastAsia="宋体" w:cs="宋体"/>
                              <w:b w:val="0"/>
                              <w:bCs/>
                              <w:sz w:val="18"/>
                              <w:szCs w:val="18"/>
                            </w:rPr>
                            <w:instrText xml:space="preserve">PAGE  </w:instrText>
                          </w:r>
                          <w:r>
                            <w:rPr>
                              <w:rFonts w:hint="eastAsia" w:ascii="宋体" w:hAnsi="宋体" w:eastAsia="宋体" w:cs="宋体"/>
                              <w:b w:val="0"/>
                              <w:bCs/>
                              <w:sz w:val="18"/>
                              <w:szCs w:val="18"/>
                            </w:rPr>
                            <w:fldChar w:fldCharType="separate"/>
                          </w:r>
                          <w:r>
                            <w:rPr>
                              <w:rStyle w:val="139"/>
                              <w:rFonts w:hint="eastAsia" w:ascii="宋体" w:hAnsi="宋体" w:eastAsia="宋体" w:cs="宋体"/>
                              <w:b w:val="0"/>
                              <w:bCs/>
                              <w:sz w:val="18"/>
                              <w:szCs w:val="18"/>
                            </w:rPr>
                            <w:t>107</w:t>
                          </w:r>
                          <w:r>
                            <w:rPr>
                              <w:rFonts w:hint="eastAsia" w:ascii="宋体" w:hAnsi="宋体" w:eastAsia="宋体" w:cs="宋体"/>
                              <w:b w:val="0"/>
                              <w:bCs/>
                              <w:sz w:val="18"/>
                              <w:szCs w:val="18"/>
                            </w:rPr>
                            <w:fldChar w:fldCharType="end"/>
                          </w:r>
                          <w:bookmarkEnd w:id="516"/>
                        </w:p>
                      </w:txbxContent>
                    </wps:txbx>
                    <wps:bodyPr wrap="none" lIns="0" tIns="0" rIns="0" bIns="0" upright="0">
                      <a:spAutoFit/>
                    </wps:bodyPr>
                  </wps:wsp>
                </a:graphicData>
              </a:graphic>
            </wp:anchor>
          </w:drawing>
        </mc:Choice>
        <mc:Fallback>
          <w:pict>
            <v:shape id="文本框 1033"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C+D5kNzAEAAJ4DAAAOAAAAAAAAAAEAIAAAAB4BAABkcnMvZTJv&#10;RG9jLnhtbFBLBQYAAAAABgAGAFkBAABcBQAAAAA=&#10;">
              <v:fill on="f" focussize="0,0"/>
              <v:stroke on="f"/>
              <v:imagedata o:title=""/>
              <o:lock v:ext="edit" aspectratio="f"/>
              <v:textbox inset="0mm,0mm,0mm,0mm" style="mso-fit-shape-to-text:t;">
                <w:txbxContent>
                  <w:p>
                    <w:pPr>
                      <w:pStyle w:val="59"/>
                      <w:ind w:firstLine="0"/>
                      <w:rPr>
                        <w:rStyle w:val="139"/>
                        <w:rFonts w:ascii="黑体" w:hAnsi="黑体" w:eastAsia="黑体"/>
                        <w:sz w:val="18"/>
                        <w:szCs w:val="18"/>
                      </w:rPr>
                    </w:pPr>
                    <w:bookmarkStart w:id="516" w:name="OLE_LINK9"/>
                    <w:r>
                      <w:rPr>
                        <w:rFonts w:hint="eastAsia" w:ascii="宋体" w:hAnsi="宋体" w:eastAsia="宋体" w:cs="宋体"/>
                        <w:b w:val="0"/>
                        <w:bCs/>
                        <w:sz w:val="18"/>
                        <w:szCs w:val="18"/>
                      </w:rPr>
                      <w:fldChar w:fldCharType="begin"/>
                    </w:r>
                    <w:r>
                      <w:rPr>
                        <w:rStyle w:val="139"/>
                        <w:rFonts w:hint="eastAsia" w:ascii="宋体" w:hAnsi="宋体" w:eastAsia="宋体" w:cs="宋体"/>
                        <w:b w:val="0"/>
                        <w:bCs/>
                        <w:sz w:val="18"/>
                        <w:szCs w:val="18"/>
                      </w:rPr>
                      <w:instrText xml:space="preserve">PAGE  </w:instrText>
                    </w:r>
                    <w:r>
                      <w:rPr>
                        <w:rFonts w:hint="eastAsia" w:ascii="宋体" w:hAnsi="宋体" w:eastAsia="宋体" w:cs="宋体"/>
                        <w:b w:val="0"/>
                        <w:bCs/>
                        <w:sz w:val="18"/>
                        <w:szCs w:val="18"/>
                      </w:rPr>
                      <w:fldChar w:fldCharType="separate"/>
                    </w:r>
                    <w:r>
                      <w:rPr>
                        <w:rStyle w:val="139"/>
                        <w:rFonts w:hint="eastAsia" w:ascii="宋体" w:hAnsi="宋体" w:eastAsia="宋体" w:cs="宋体"/>
                        <w:b w:val="0"/>
                        <w:bCs/>
                        <w:sz w:val="18"/>
                        <w:szCs w:val="18"/>
                      </w:rPr>
                      <w:t>107</w:t>
                    </w:r>
                    <w:r>
                      <w:rPr>
                        <w:rFonts w:hint="eastAsia" w:ascii="宋体" w:hAnsi="宋体" w:eastAsia="宋体" w:cs="宋体"/>
                        <w:b w:val="0"/>
                        <w:bCs/>
                        <w:sz w:val="18"/>
                        <w:szCs w:val="18"/>
                      </w:rPr>
                      <w:fldChar w:fldCharType="end"/>
                    </w:r>
                    <w:bookmarkEnd w:id="516"/>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1"/>
      <w:rPr>
        <w:lang w:val="en-US" w:eastAsia="zh-CN"/>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1"/>
      <w:pBdr>
        <w:bottom w:val="single" w:color="auto" w:sz="4" w:space="1"/>
      </w:pBdr>
      <w:rPr>
        <w:rFonts w:eastAsia="宋体"/>
        <w:sz w:val="21"/>
        <w:szCs w:val="21"/>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1"/>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1"/>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1"/>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1"/>
      <w:pBdr>
        <w:bottom w:val="none" w:color="auto" w:sz="0" w:space="1"/>
      </w:pBdr>
    </w:pPr>
  </w:p>
  <w:p>
    <w:pPr>
      <w:pStyle w:val="61"/>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1"/>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1"/>
      <w:pBdr>
        <w:bottom w:val="single" w:color="auto" w:sz="4" w:space="1"/>
      </w:pBdr>
      <w:rPr>
        <w:sz w:val="21"/>
        <w:szCs w:val="21"/>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0" w:lineRule="auto"/>
      <w:ind w:firstLine="0"/>
      <w:rPr>
        <w:rFonts w:ascii="Calibri" w:hAnsi="Calibri" w:eastAsia="宋体" w:cs="Times New Roman"/>
        <w:sz w:val="21"/>
      </w:rPr>
    </w:pPr>
  </w:p>
  <w:p>
    <w:pPr>
      <w:spacing w:line="240" w:lineRule="auto"/>
      <w:ind w:firstLine="0"/>
      <w:rPr>
        <w:rFonts w:ascii="Calibri" w:hAnsi="Calibri" w:eastAsia="宋体" w:cs="Times New Roman"/>
        <w:sz w:val="21"/>
      </w:rPr>
    </w:pPr>
  </w:p>
  <w:p>
    <w:pPr>
      <w:spacing w:line="240" w:lineRule="auto"/>
      <w:ind w:firstLine="0"/>
      <w:rPr>
        <w:rFonts w:ascii="Calibri" w:hAnsi="Calibri" w:eastAsia="宋体" w:cs="Times New Roman"/>
        <w:sz w:val="21"/>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1"/>
      <w:pBdr>
        <w:bottom w:val="single" w:color="auto" w:sz="4" w:space="1"/>
      </w:pBdr>
      <w:rPr>
        <w:sz w:val="21"/>
        <w:szCs w:val="21"/>
      </w:rPr>
    </w:pPr>
    <w:r>
      <w:rPr>
        <w:rFonts w:hint="eastAsia"/>
        <w:sz w:val="21"/>
        <w:szCs w:val="21"/>
      </w:rPr>
      <w:t xml:space="preserve">    7 环境保护措施及其可行性论证</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1"/>
      <w:pBdr>
        <w:bottom w:val="single" w:color="auto" w:sz="4" w:space="1"/>
      </w:pBdr>
      <w:rPr>
        <w:sz w:val="21"/>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6C80BF3"/>
    <w:multiLevelType w:val="singleLevel"/>
    <w:tmpl w:val="A6C80BF3"/>
    <w:lvl w:ilvl="0" w:tentative="0">
      <w:start w:val="1"/>
      <w:numFmt w:val="decimal"/>
      <w:suff w:val="nothing"/>
      <w:lvlText w:val="（%1）"/>
      <w:lvlJc w:val="left"/>
    </w:lvl>
  </w:abstractNum>
  <w:abstractNum w:abstractNumId="1">
    <w:nsid w:val="C165331A"/>
    <w:multiLevelType w:val="singleLevel"/>
    <w:tmpl w:val="C165331A"/>
    <w:lvl w:ilvl="0" w:tentative="0">
      <w:start w:val="1"/>
      <w:numFmt w:val="lowerLetter"/>
      <w:suff w:val="nothing"/>
      <w:lvlText w:val="%1、"/>
      <w:lvlJc w:val="left"/>
    </w:lvl>
  </w:abstractNum>
  <w:abstractNum w:abstractNumId="2">
    <w:nsid w:val="FFFFFF7C"/>
    <w:multiLevelType w:val="singleLevel"/>
    <w:tmpl w:val="FFFFFF7C"/>
    <w:lvl w:ilvl="0" w:tentative="0">
      <w:start w:val="1"/>
      <w:numFmt w:val="decimal"/>
      <w:pStyle w:val="69"/>
      <w:lvlText w:val="%1."/>
      <w:lvlJc w:val="left"/>
      <w:pPr>
        <w:tabs>
          <w:tab w:val="left" w:pos="2040"/>
        </w:tabs>
        <w:ind w:left="2040" w:hanging="360"/>
      </w:pPr>
    </w:lvl>
  </w:abstractNum>
  <w:abstractNum w:abstractNumId="3">
    <w:nsid w:val="FFFFFF7D"/>
    <w:multiLevelType w:val="singleLevel"/>
    <w:tmpl w:val="FFFFFF7D"/>
    <w:lvl w:ilvl="0" w:tentative="0">
      <w:start w:val="1"/>
      <w:numFmt w:val="decimal"/>
      <w:pStyle w:val="51"/>
      <w:lvlText w:val="%1."/>
      <w:lvlJc w:val="left"/>
      <w:pPr>
        <w:tabs>
          <w:tab w:val="left" w:pos="1620"/>
        </w:tabs>
        <w:ind w:left="1620" w:hanging="360"/>
      </w:pPr>
    </w:lvl>
  </w:abstractNum>
  <w:abstractNum w:abstractNumId="4">
    <w:nsid w:val="FFFFFF7E"/>
    <w:multiLevelType w:val="singleLevel"/>
    <w:tmpl w:val="FFFFFF7E"/>
    <w:lvl w:ilvl="0" w:tentative="0">
      <w:start w:val="1"/>
      <w:numFmt w:val="decimal"/>
      <w:pStyle w:val="40"/>
      <w:lvlText w:val="%1."/>
      <w:lvlJc w:val="left"/>
      <w:pPr>
        <w:tabs>
          <w:tab w:val="left" w:pos="1200"/>
        </w:tabs>
        <w:ind w:left="1200" w:hanging="360"/>
      </w:pPr>
    </w:lvl>
  </w:abstractNum>
  <w:abstractNum w:abstractNumId="5">
    <w:nsid w:val="FFFFFF7F"/>
    <w:multiLevelType w:val="singleLevel"/>
    <w:tmpl w:val="FFFFFF7F"/>
    <w:lvl w:ilvl="0" w:tentative="0">
      <w:start w:val="1"/>
      <w:numFmt w:val="decimal"/>
      <w:pStyle w:val="16"/>
      <w:lvlText w:val="%1."/>
      <w:lvlJc w:val="left"/>
      <w:pPr>
        <w:tabs>
          <w:tab w:val="left" w:pos="780"/>
        </w:tabs>
        <w:ind w:left="780" w:hanging="360"/>
      </w:pPr>
    </w:lvl>
  </w:abstractNum>
  <w:abstractNum w:abstractNumId="6">
    <w:nsid w:val="FFFFFF80"/>
    <w:multiLevelType w:val="singleLevel"/>
    <w:tmpl w:val="FFFFFF80"/>
    <w:lvl w:ilvl="0" w:tentative="0">
      <w:start w:val="1"/>
      <w:numFmt w:val="bullet"/>
      <w:pStyle w:val="50"/>
      <w:lvlText w:val=""/>
      <w:lvlJc w:val="left"/>
      <w:pPr>
        <w:tabs>
          <w:tab w:val="left" w:pos="2040"/>
        </w:tabs>
        <w:ind w:left="2040" w:hanging="360"/>
      </w:pPr>
      <w:rPr>
        <w:rFonts w:hint="default" w:ascii="Wingdings" w:hAnsi="Wingdings"/>
      </w:rPr>
    </w:lvl>
  </w:abstractNum>
  <w:abstractNum w:abstractNumId="7">
    <w:nsid w:val="FFFFFF81"/>
    <w:multiLevelType w:val="singleLevel"/>
    <w:tmpl w:val="FFFFFF81"/>
    <w:lvl w:ilvl="0" w:tentative="0">
      <w:start w:val="1"/>
      <w:numFmt w:val="bullet"/>
      <w:pStyle w:val="19"/>
      <w:lvlText w:val=""/>
      <w:lvlJc w:val="left"/>
      <w:pPr>
        <w:tabs>
          <w:tab w:val="left" w:pos="1620"/>
        </w:tabs>
        <w:ind w:left="1620" w:hanging="360"/>
      </w:pPr>
      <w:rPr>
        <w:rFonts w:hint="default" w:ascii="Wingdings" w:hAnsi="Wingdings"/>
      </w:rPr>
    </w:lvl>
  </w:abstractNum>
  <w:abstractNum w:abstractNumId="8">
    <w:nsid w:val="FFFFFF82"/>
    <w:multiLevelType w:val="singleLevel"/>
    <w:tmpl w:val="FFFFFF82"/>
    <w:lvl w:ilvl="0" w:tentative="0">
      <w:start w:val="1"/>
      <w:numFmt w:val="bullet"/>
      <w:pStyle w:val="39"/>
      <w:lvlText w:val=""/>
      <w:lvlJc w:val="left"/>
      <w:pPr>
        <w:tabs>
          <w:tab w:val="left" w:pos="1200"/>
        </w:tabs>
        <w:ind w:left="1200" w:hanging="360"/>
      </w:pPr>
      <w:rPr>
        <w:rFonts w:hint="default" w:ascii="Wingdings" w:hAnsi="Wingdings"/>
      </w:rPr>
    </w:lvl>
  </w:abstractNum>
  <w:abstractNum w:abstractNumId="9">
    <w:nsid w:val="FFFFFF83"/>
    <w:multiLevelType w:val="singleLevel"/>
    <w:tmpl w:val="FFFFFF83"/>
    <w:lvl w:ilvl="0" w:tentative="0">
      <w:start w:val="1"/>
      <w:numFmt w:val="bullet"/>
      <w:pStyle w:val="44"/>
      <w:lvlText w:val=""/>
      <w:lvlJc w:val="left"/>
      <w:pPr>
        <w:tabs>
          <w:tab w:val="left" w:pos="780"/>
        </w:tabs>
        <w:ind w:left="780" w:hanging="360"/>
      </w:pPr>
      <w:rPr>
        <w:rFonts w:hint="default" w:ascii="Wingdings" w:hAnsi="Wingdings"/>
      </w:rPr>
    </w:lvl>
  </w:abstractNum>
  <w:abstractNum w:abstractNumId="10">
    <w:nsid w:val="FFFFFF88"/>
    <w:multiLevelType w:val="singleLevel"/>
    <w:tmpl w:val="FFFFFF88"/>
    <w:lvl w:ilvl="0" w:tentative="0">
      <w:start w:val="1"/>
      <w:numFmt w:val="decimal"/>
      <w:pStyle w:val="22"/>
      <w:lvlText w:val="%1."/>
      <w:lvlJc w:val="left"/>
      <w:pPr>
        <w:tabs>
          <w:tab w:val="left" w:pos="360"/>
        </w:tabs>
        <w:ind w:left="360" w:hanging="360"/>
      </w:pPr>
    </w:lvl>
  </w:abstractNum>
  <w:abstractNum w:abstractNumId="11">
    <w:nsid w:val="FFFFFF89"/>
    <w:multiLevelType w:val="singleLevel"/>
    <w:tmpl w:val="FFFFFF89"/>
    <w:lvl w:ilvl="0" w:tentative="0">
      <w:start w:val="1"/>
      <w:numFmt w:val="bullet"/>
      <w:pStyle w:val="30"/>
      <w:lvlText w:val=""/>
      <w:lvlJc w:val="left"/>
      <w:pPr>
        <w:tabs>
          <w:tab w:val="left" w:pos="360"/>
        </w:tabs>
        <w:ind w:left="360" w:hanging="360"/>
      </w:pPr>
      <w:rPr>
        <w:rFonts w:hint="default" w:ascii="Wingdings" w:hAnsi="Wingdings"/>
      </w:rPr>
    </w:lvl>
  </w:abstractNum>
  <w:abstractNum w:abstractNumId="12">
    <w:nsid w:val="00000003"/>
    <w:multiLevelType w:val="singleLevel"/>
    <w:tmpl w:val="00000003"/>
    <w:lvl w:ilvl="0" w:tentative="0">
      <w:start w:val="1"/>
      <w:numFmt w:val="decimal"/>
      <w:pStyle w:val="885"/>
      <w:suff w:val="nothing"/>
      <w:lvlText w:val="（%1）"/>
      <w:lvlJc w:val="left"/>
    </w:lvl>
  </w:abstractNum>
  <w:abstractNum w:abstractNumId="13">
    <w:nsid w:val="00000012"/>
    <w:multiLevelType w:val="multilevel"/>
    <w:tmpl w:val="00000012"/>
    <w:lvl w:ilvl="0" w:tentative="0">
      <w:start w:val="1"/>
      <w:numFmt w:val="chineseCountingThousand"/>
      <w:isLgl/>
      <w:suff w:val="space"/>
      <w:lvlText w:val="%1"/>
      <w:lvlJc w:val="left"/>
      <w:pPr>
        <w:ind w:left="0" w:firstLine="0"/>
      </w:pPr>
      <w:rPr>
        <w:rFonts w:hint="default" w:ascii="Arial" w:hAnsi="Arial" w:eastAsia="黑体"/>
        <w:b/>
        <w:i w:val="0"/>
        <w:caps w:val="0"/>
        <w:strike w:val="0"/>
        <w:dstrike w:val="0"/>
        <w:outline w:val="0"/>
        <w:shadow w:val="0"/>
        <w:emboss w:val="0"/>
        <w:imprint w:val="0"/>
        <w:vanish w:val="0"/>
        <w:sz w:val="30"/>
      </w:rPr>
    </w:lvl>
    <w:lvl w:ilvl="1" w:tentative="0">
      <w:start w:val="1"/>
      <w:numFmt w:val="decimal"/>
      <w:isLgl/>
      <w:suff w:val="space"/>
      <w:lvlText w:val="%1.%2"/>
      <w:lvlJc w:val="left"/>
      <w:pPr>
        <w:ind w:left="0" w:firstLine="0"/>
      </w:pPr>
      <w:rPr>
        <w:rFonts w:hint="default" w:ascii="Arial" w:hAnsi="Arial" w:eastAsia="黑体"/>
        <w:b/>
        <w:i w:val="0"/>
        <w:caps w:val="0"/>
        <w:strike w:val="0"/>
        <w:dstrike w:val="0"/>
        <w:shadow w:val="0"/>
        <w:emboss w:val="0"/>
        <w:imprint w:val="0"/>
        <w:vanish w:val="0"/>
        <w:sz w:val="28"/>
      </w:rPr>
    </w:lvl>
    <w:lvl w:ilvl="2" w:tentative="0">
      <w:start w:val="1"/>
      <w:numFmt w:val="decimal"/>
      <w:pStyle w:val="579"/>
      <w:isLgl/>
      <w:suff w:val="space"/>
      <w:lvlText w:val="%1.%2.%3"/>
      <w:lvlJc w:val="left"/>
      <w:pPr>
        <w:ind w:left="0" w:firstLine="0"/>
      </w:pPr>
      <w:rPr>
        <w:rFonts w:hint="default" w:ascii="Arial" w:hAnsi="Arial" w:eastAsia="宋体"/>
        <w:b w:val="0"/>
        <w:i w:val="0"/>
        <w:caps w:val="0"/>
        <w:strike w:val="0"/>
        <w:dstrike w:val="0"/>
        <w:outline w:val="0"/>
        <w:shadow w:val="0"/>
        <w:emboss w:val="0"/>
        <w:imprint w:val="0"/>
        <w:vanish w:val="0"/>
        <w:kern w:val="0"/>
        <w:sz w:val="28"/>
      </w:rPr>
    </w:lvl>
    <w:lvl w:ilvl="3" w:tentative="0">
      <w:start w:val="1"/>
      <w:numFmt w:val="decimal"/>
      <w:isLgl/>
      <w:suff w:val="space"/>
      <w:lvlText w:val="%1.%2.%3.%4"/>
      <w:lvlJc w:val="left"/>
      <w:pPr>
        <w:ind w:left="0" w:firstLine="0"/>
      </w:pPr>
      <w:rPr>
        <w:rFonts w:hint="default" w:ascii="Arial" w:hAnsi="Arial" w:eastAsia="宋体"/>
        <w:b w:val="0"/>
        <w:i w:val="0"/>
        <w:caps w:val="0"/>
        <w:strike w:val="0"/>
        <w:dstrike w:val="0"/>
        <w:outline w:val="0"/>
        <w:shadow w:val="0"/>
        <w:emboss w:val="0"/>
        <w:imprint w:val="0"/>
        <w:vanish w:val="0"/>
        <w:kern w:val="0"/>
        <w:sz w:val="28"/>
      </w:rPr>
    </w:lvl>
    <w:lvl w:ilvl="4" w:tentative="0">
      <w:start w:val="1"/>
      <w:numFmt w:val="decimalEnclosedParen"/>
      <w:isLgl/>
      <w:suff w:val="space"/>
      <w:lvlText w:val="%5"/>
      <w:lvlJc w:val="left"/>
      <w:pPr>
        <w:ind w:left="680" w:hanging="170"/>
      </w:pPr>
      <w:rPr>
        <w:rFonts w:ascii="Times New Roman" w:hAnsi="Times New Roman" w:eastAsia="Times New Roman" w:cs="Times New Roman"/>
        <w:b w:val="0"/>
        <w:i w:val="0"/>
        <w:kern w:val="0"/>
        <w:sz w:val="28"/>
      </w:rPr>
    </w:lvl>
    <w:lvl w:ilvl="5" w:tentative="0">
      <w:start w:val="1"/>
      <w:numFmt w:val="decimal"/>
      <w:pStyle w:val="10"/>
      <w:isLgl/>
      <w:suff w:val="space"/>
      <w:lvlText w:val="%6)"/>
      <w:lvlJc w:val="left"/>
      <w:pPr>
        <w:ind w:left="680" w:hanging="170"/>
      </w:pPr>
      <w:rPr>
        <w:rFonts w:hint="default" w:ascii="Arial" w:hAnsi="Arial" w:eastAsia="宋体"/>
        <w:b w:val="0"/>
        <w:i w:val="0"/>
        <w:caps w:val="0"/>
        <w:strike w:val="0"/>
        <w:dstrike w:val="0"/>
        <w:outline w:val="0"/>
        <w:vanish w:val="0"/>
        <w:sz w:val="28"/>
      </w:rPr>
    </w:lvl>
    <w:lvl w:ilvl="6" w:tentative="0">
      <w:start w:val="1"/>
      <w:numFmt w:val="lowerLetter"/>
      <w:suff w:val="space"/>
      <w:lvlText w:val="%7)"/>
      <w:lvlJc w:val="left"/>
      <w:pPr>
        <w:ind w:left="680" w:hanging="170"/>
      </w:pPr>
      <w:rPr>
        <w:rFonts w:hint="default" w:ascii="Arial" w:hAnsi="Arial" w:eastAsia="宋体"/>
        <w:b w:val="0"/>
        <w:i w:val="0"/>
        <w:caps w:val="0"/>
        <w:strike w:val="0"/>
        <w:dstrike w:val="0"/>
        <w:outline w:val="0"/>
        <w:shadow w:val="0"/>
        <w:emboss w:val="0"/>
        <w:imprint w:val="0"/>
        <w:vanish w:val="0"/>
        <w:kern w:val="0"/>
        <w:sz w:val="28"/>
      </w:rPr>
    </w:lvl>
    <w:lvl w:ilvl="7" w:tentative="0">
      <w:start w:val="1"/>
      <w:numFmt w:val="bullet"/>
      <w:suff w:val="space"/>
      <w:lvlText w:val=""/>
      <w:lvlJc w:val="left"/>
      <w:pPr>
        <w:ind w:left="680" w:hanging="170"/>
      </w:pPr>
      <w:rPr>
        <w:rFonts w:hint="default" w:ascii="Wingdings" w:hAnsi="Wingdings"/>
        <w:b w:val="0"/>
        <w:i w:val="0"/>
        <w:caps w:val="0"/>
        <w:strike w:val="0"/>
        <w:dstrike w:val="0"/>
        <w:shadow w:val="0"/>
        <w:emboss w:val="0"/>
        <w:imprint w:val="0"/>
        <w:vanish w:val="0"/>
        <w:sz w:val="21"/>
      </w:rPr>
    </w:lvl>
    <w:lvl w:ilvl="8" w:tentative="0">
      <w:start w:val="1"/>
      <w:numFmt w:val="decimal"/>
      <w:lvlRestart w:val="2"/>
      <w:isLgl/>
      <w:suff w:val="space"/>
      <w:lvlText w:val="表%1.%2-%9"/>
      <w:lvlJc w:val="left"/>
      <w:pPr>
        <w:ind w:left="590" w:hanging="170"/>
      </w:pPr>
    </w:lvl>
  </w:abstractNum>
  <w:abstractNum w:abstractNumId="14">
    <w:nsid w:val="0DDC86D1"/>
    <w:multiLevelType w:val="singleLevel"/>
    <w:tmpl w:val="0DDC86D1"/>
    <w:lvl w:ilvl="0" w:tentative="0">
      <w:start w:val="3"/>
      <w:numFmt w:val="decimal"/>
      <w:suff w:val="nothing"/>
      <w:lvlText w:val="（%1）"/>
      <w:lvlJc w:val="left"/>
    </w:lvl>
  </w:abstractNum>
  <w:abstractNum w:abstractNumId="15">
    <w:nsid w:val="1D737709"/>
    <w:multiLevelType w:val="multilevel"/>
    <w:tmpl w:val="1D737709"/>
    <w:lvl w:ilvl="0" w:tentative="0">
      <w:start w:val="1"/>
      <w:numFmt w:val="decimal"/>
      <w:pStyle w:val="526"/>
      <w:lvlText w:val="%1."/>
      <w:lvlJc w:val="left"/>
      <w:pPr>
        <w:ind w:left="420" w:hanging="420"/>
      </w:pPr>
      <w:rPr>
        <w:rFonts w:cs="Times New Roman"/>
        <w:b w:val="0"/>
        <w:bCs w:val="0"/>
        <w:i w:val="0"/>
        <w:iCs w:val="0"/>
        <w:caps w:val="0"/>
        <w:smallCaps w:val="0"/>
        <w:strike w:val="0"/>
        <w:dstrike w:val="0"/>
        <w:outline w:val="0"/>
        <w:shadow w:val="0"/>
        <w:emboss w:val="0"/>
        <w:imprint w:val="0"/>
        <w:vanish w:val="0"/>
        <w:spacing w:val="0"/>
        <w:position w:val="0"/>
        <w:u w:val="none"/>
      </w:rPr>
    </w:lvl>
    <w:lvl w:ilvl="1" w:tentative="0">
      <w:start w:val="1"/>
      <w:numFmt w:val="lowerLetter"/>
      <w:lvlText w:val="%2)"/>
      <w:lvlJc w:val="left"/>
      <w:pPr>
        <w:ind w:left="940" w:hanging="420"/>
      </w:pPr>
    </w:lvl>
    <w:lvl w:ilvl="2" w:tentative="0">
      <w:start w:val="1"/>
      <w:numFmt w:val="lowerRoman"/>
      <w:lvlText w:val="%3."/>
      <w:lvlJc w:val="right"/>
      <w:pPr>
        <w:ind w:left="1360" w:hanging="420"/>
      </w:pPr>
    </w:lvl>
    <w:lvl w:ilvl="3" w:tentative="0">
      <w:start w:val="1"/>
      <w:numFmt w:val="decimal"/>
      <w:lvlText w:val="%4."/>
      <w:lvlJc w:val="left"/>
      <w:pPr>
        <w:ind w:left="1780" w:hanging="420"/>
      </w:pPr>
    </w:lvl>
    <w:lvl w:ilvl="4" w:tentative="0">
      <w:start w:val="1"/>
      <w:numFmt w:val="lowerLetter"/>
      <w:lvlText w:val="%5)"/>
      <w:lvlJc w:val="left"/>
      <w:pPr>
        <w:ind w:left="2200" w:hanging="420"/>
      </w:pPr>
    </w:lvl>
    <w:lvl w:ilvl="5" w:tentative="0">
      <w:start w:val="1"/>
      <w:numFmt w:val="lowerRoman"/>
      <w:lvlText w:val="%6."/>
      <w:lvlJc w:val="right"/>
      <w:pPr>
        <w:ind w:left="2620" w:hanging="420"/>
      </w:pPr>
    </w:lvl>
    <w:lvl w:ilvl="6" w:tentative="0">
      <w:start w:val="1"/>
      <w:numFmt w:val="decimal"/>
      <w:lvlText w:val="%7."/>
      <w:lvlJc w:val="left"/>
      <w:pPr>
        <w:ind w:left="3040" w:hanging="420"/>
      </w:pPr>
    </w:lvl>
    <w:lvl w:ilvl="7" w:tentative="0">
      <w:start w:val="1"/>
      <w:numFmt w:val="lowerLetter"/>
      <w:lvlText w:val="%8)"/>
      <w:lvlJc w:val="left"/>
      <w:pPr>
        <w:ind w:left="3460" w:hanging="420"/>
      </w:pPr>
    </w:lvl>
    <w:lvl w:ilvl="8" w:tentative="0">
      <w:start w:val="1"/>
      <w:numFmt w:val="lowerRoman"/>
      <w:lvlText w:val="%9."/>
      <w:lvlJc w:val="right"/>
      <w:pPr>
        <w:ind w:left="3880" w:hanging="420"/>
      </w:pPr>
    </w:lvl>
  </w:abstractNum>
  <w:abstractNum w:abstractNumId="16">
    <w:nsid w:val="5C236D7A"/>
    <w:multiLevelType w:val="multilevel"/>
    <w:tmpl w:val="5C236D7A"/>
    <w:lvl w:ilvl="0" w:tentative="0">
      <w:start w:val="1"/>
      <w:numFmt w:val="decimal"/>
      <w:pStyle w:val="735"/>
      <w:lvlText w:val="1.1.1.%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5E5F5C68"/>
    <w:multiLevelType w:val="singleLevel"/>
    <w:tmpl w:val="5E5F5C68"/>
    <w:lvl w:ilvl="0" w:tentative="0">
      <w:start w:val="3"/>
      <w:numFmt w:val="decimal"/>
      <w:suff w:val="nothing"/>
      <w:lvlText w:val="（%1）"/>
      <w:lvlJc w:val="left"/>
    </w:lvl>
  </w:abstractNum>
  <w:num w:numId="1">
    <w:abstractNumId w:val="13"/>
  </w:num>
  <w:num w:numId="2">
    <w:abstractNumId w:val="5"/>
  </w:num>
  <w:num w:numId="3">
    <w:abstractNumId w:val="7"/>
  </w:num>
  <w:num w:numId="4">
    <w:abstractNumId w:val="10"/>
  </w:num>
  <w:num w:numId="5">
    <w:abstractNumId w:val="11"/>
  </w:num>
  <w:num w:numId="6">
    <w:abstractNumId w:val="8"/>
  </w:num>
  <w:num w:numId="7">
    <w:abstractNumId w:val="4"/>
  </w:num>
  <w:num w:numId="8">
    <w:abstractNumId w:val="9"/>
  </w:num>
  <w:num w:numId="9">
    <w:abstractNumId w:val="6"/>
  </w:num>
  <w:num w:numId="10">
    <w:abstractNumId w:val="3"/>
  </w:num>
  <w:num w:numId="11">
    <w:abstractNumId w:val="2"/>
  </w:num>
  <w:num w:numId="12">
    <w:abstractNumId w:val="15"/>
  </w:num>
  <w:num w:numId="13">
    <w:abstractNumId w:val="16"/>
  </w:num>
  <w:num w:numId="14">
    <w:abstractNumId w:val="12"/>
  </w:num>
  <w:num w:numId="15">
    <w:abstractNumId w:val="0"/>
  </w:num>
  <w:num w:numId="16">
    <w:abstractNumId w:val="14"/>
  </w:num>
  <w:num w:numId="17">
    <w:abstractNumId w:val="1"/>
  </w:num>
  <w:num w:numId="1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5"/>
  <w:hyphenationZone w:val="360"/>
  <w:drawingGridHorizontalSpacing w:val="140"/>
  <w:drawingGridVerticalSpacing w:val="190"/>
  <w:displayHorizontalDrawingGridEvery w:val="1"/>
  <w:displayVerticalDrawingGridEvery w:val="2"/>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3088"/>
    <w:rsid w:val="000036C1"/>
    <w:rsid w:val="000057AD"/>
    <w:rsid w:val="00005D9C"/>
    <w:rsid w:val="000076AC"/>
    <w:rsid w:val="000100F5"/>
    <w:rsid w:val="000105B2"/>
    <w:rsid w:val="0001062D"/>
    <w:rsid w:val="00010696"/>
    <w:rsid w:val="00010885"/>
    <w:rsid w:val="0001300C"/>
    <w:rsid w:val="0001358D"/>
    <w:rsid w:val="000135E0"/>
    <w:rsid w:val="000143FF"/>
    <w:rsid w:val="00014CAE"/>
    <w:rsid w:val="00015C6D"/>
    <w:rsid w:val="00015CF3"/>
    <w:rsid w:val="00015CFE"/>
    <w:rsid w:val="00021E23"/>
    <w:rsid w:val="000236BC"/>
    <w:rsid w:val="00024252"/>
    <w:rsid w:val="000254C5"/>
    <w:rsid w:val="000259FE"/>
    <w:rsid w:val="00025E77"/>
    <w:rsid w:val="0002680D"/>
    <w:rsid w:val="00026ECA"/>
    <w:rsid w:val="00030A8B"/>
    <w:rsid w:val="0003115A"/>
    <w:rsid w:val="0003130C"/>
    <w:rsid w:val="00031BE1"/>
    <w:rsid w:val="000336CB"/>
    <w:rsid w:val="00033816"/>
    <w:rsid w:val="00033E9A"/>
    <w:rsid w:val="00034460"/>
    <w:rsid w:val="00034647"/>
    <w:rsid w:val="0003689E"/>
    <w:rsid w:val="00036AF8"/>
    <w:rsid w:val="00037473"/>
    <w:rsid w:val="00037C3E"/>
    <w:rsid w:val="00040F40"/>
    <w:rsid w:val="00042175"/>
    <w:rsid w:val="00043CA1"/>
    <w:rsid w:val="000448B3"/>
    <w:rsid w:val="000449E4"/>
    <w:rsid w:val="000462AC"/>
    <w:rsid w:val="00046BDC"/>
    <w:rsid w:val="00046ECD"/>
    <w:rsid w:val="00050C31"/>
    <w:rsid w:val="00052564"/>
    <w:rsid w:val="0005370C"/>
    <w:rsid w:val="00055BF1"/>
    <w:rsid w:val="000566B6"/>
    <w:rsid w:val="00057BCD"/>
    <w:rsid w:val="000616DE"/>
    <w:rsid w:val="00064267"/>
    <w:rsid w:val="00065141"/>
    <w:rsid w:val="00073D13"/>
    <w:rsid w:val="00075E56"/>
    <w:rsid w:val="00076FDB"/>
    <w:rsid w:val="0008001C"/>
    <w:rsid w:val="00081161"/>
    <w:rsid w:val="000820BF"/>
    <w:rsid w:val="0008243E"/>
    <w:rsid w:val="00082878"/>
    <w:rsid w:val="00083D65"/>
    <w:rsid w:val="00085676"/>
    <w:rsid w:val="00090B89"/>
    <w:rsid w:val="00090CE0"/>
    <w:rsid w:val="000917E2"/>
    <w:rsid w:val="0009382C"/>
    <w:rsid w:val="00094365"/>
    <w:rsid w:val="0009602C"/>
    <w:rsid w:val="00096598"/>
    <w:rsid w:val="00096B05"/>
    <w:rsid w:val="00097684"/>
    <w:rsid w:val="000979C1"/>
    <w:rsid w:val="000A1969"/>
    <w:rsid w:val="000A4536"/>
    <w:rsid w:val="000A4658"/>
    <w:rsid w:val="000A68B6"/>
    <w:rsid w:val="000A6B6E"/>
    <w:rsid w:val="000B5F1D"/>
    <w:rsid w:val="000B7003"/>
    <w:rsid w:val="000C32C8"/>
    <w:rsid w:val="000C7658"/>
    <w:rsid w:val="000D06B5"/>
    <w:rsid w:val="000D1B53"/>
    <w:rsid w:val="000D388C"/>
    <w:rsid w:val="000D77E3"/>
    <w:rsid w:val="000E1F96"/>
    <w:rsid w:val="000E2902"/>
    <w:rsid w:val="000F1BA1"/>
    <w:rsid w:val="000F1E70"/>
    <w:rsid w:val="000F27D7"/>
    <w:rsid w:val="000F2B9B"/>
    <w:rsid w:val="000F2BF6"/>
    <w:rsid w:val="000F307C"/>
    <w:rsid w:val="000F3EC3"/>
    <w:rsid w:val="000F68B3"/>
    <w:rsid w:val="000F6A77"/>
    <w:rsid w:val="000F7953"/>
    <w:rsid w:val="00100BFA"/>
    <w:rsid w:val="00101E53"/>
    <w:rsid w:val="0010218C"/>
    <w:rsid w:val="001050C7"/>
    <w:rsid w:val="00105796"/>
    <w:rsid w:val="00105C37"/>
    <w:rsid w:val="00105D1F"/>
    <w:rsid w:val="00106383"/>
    <w:rsid w:val="001103CC"/>
    <w:rsid w:val="00111CB0"/>
    <w:rsid w:val="0011296D"/>
    <w:rsid w:val="00116543"/>
    <w:rsid w:val="001228C3"/>
    <w:rsid w:val="00122C81"/>
    <w:rsid w:val="001255E4"/>
    <w:rsid w:val="0012626C"/>
    <w:rsid w:val="0012654B"/>
    <w:rsid w:val="0012683C"/>
    <w:rsid w:val="00126A9F"/>
    <w:rsid w:val="001323A1"/>
    <w:rsid w:val="00132B6D"/>
    <w:rsid w:val="00132E87"/>
    <w:rsid w:val="0013569F"/>
    <w:rsid w:val="0013631B"/>
    <w:rsid w:val="00137725"/>
    <w:rsid w:val="001427A2"/>
    <w:rsid w:val="00145327"/>
    <w:rsid w:val="00145A1D"/>
    <w:rsid w:val="00145DAC"/>
    <w:rsid w:val="001465C3"/>
    <w:rsid w:val="00147203"/>
    <w:rsid w:val="00150DDA"/>
    <w:rsid w:val="0015226F"/>
    <w:rsid w:val="00154D40"/>
    <w:rsid w:val="0015530A"/>
    <w:rsid w:val="00155612"/>
    <w:rsid w:val="00155BC2"/>
    <w:rsid w:val="00155BF3"/>
    <w:rsid w:val="0015768D"/>
    <w:rsid w:val="00161094"/>
    <w:rsid w:val="00163037"/>
    <w:rsid w:val="00163F17"/>
    <w:rsid w:val="00163FA1"/>
    <w:rsid w:val="00164407"/>
    <w:rsid w:val="001649BC"/>
    <w:rsid w:val="001657BC"/>
    <w:rsid w:val="00165974"/>
    <w:rsid w:val="00165F1B"/>
    <w:rsid w:val="001660CD"/>
    <w:rsid w:val="0016669A"/>
    <w:rsid w:val="00166C08"/>
    <w:rsid w:val="00167316"/>
    <w:rsid w:val="00170DAD"/>
    <w:rsid w:val="001722BF"/>
    <w:rsid w:val="0017304D"/>
    <w:rsid w:val="00173A01"/>
    <w:rsid w:val="0017416A"/>
    <w:rsid w:val="00182675"/>
    <w:rsid w:val="00182756"/>
    <w:rsid w:val="00183386"/>
    <w:rsid w:val="00183E42"/>
    <w:rsid w:val="00184CA7"/>
    <w:rsid w:val="0018537F"/>
    <w:rsid w:val="00190698"/>
    <w:rsid w:val="001916E7"/>
    <w:rsid w:val="001921A7"/>
    <w:rsid w:val="00192866"/>
    <w:rsid w:val="00193592"/>
    <w:rsid w:val="0019379B"/>
    <w:rsid w:val="00197899"/>
    <w:rsid w:val="001979B7"/>
    <w:rsid w:val="001A15F2"/>
    <w:rsid w:val="001A1F45"/>
    <w:rsid w:val="001A4462"/>
    <w:rsid w:val="001A4C7C"/>
    <w:rsid w:val="001A549F"/>
    <w:rsid w:val="001A5EF3"/>
    <w:rsid w:val="001A64D4"/>
    <w:rsid w:val="001A7580"/>
    <w:rsid w:val="001B043D"/>
    <w:rsid w:val="001B242E"/>
    <w:rsid w:val="001B361A"/>
    <w:rsid w:val="001B5A6F"/>
    <w:rsid w:val="001B5F73"/>
    <w:rsid w:val="001C0495"/>
    <w:rsid w:val="001C15F5"/>
    <w:rsid w:val="001C17FB"/>
    <w:rsid w:val="001C2C3B"/>
    <w:rsid w:val="001C3FA5"/>
    <w:rsid w:val="001C6393"/>
    <w:rsid w:val="001C725E"/>
    <w:rsid w:val="001C7548"/>
    <w:rsid w:val="001C7619"/>
    <w:rsid w:val="001D10F4"/>
    <w:rsid w:val="001D2DD2"/>
    <w:rsid w:val="001D2F16"/>
    <w:rsid w:val="001D33B5"/>
    <w:rsid w:val="001D5F49"/>
    <w:rsid w:val="001D61CF"/>
    <w:rsid w:val="001D6262"/>
    <w:rsid w:val="001D67A9"/>
    <w:rsid w:val="001E112B"/>
    <w:rsid w:val="001E13F0"/>
    <w:rsid w:val="001E1502"/>
    <w:rsid w:val="001E3324"/>
    <w:rsid w:val="001E4341"/>
    <w:rsid w:val="001E4A49"/>
    <w:rsid w:val="001E5918"/>
    <w:rsid w:val="001E74AD"/>
    <w:rsid w:val="001F006D"/>
    <w:rsid w:val="001F03ED"/>
    <w:rsid w:val="001F0972"/>
    <w:rsid w:val="001F129D"/>
    <w:rsid w:val="001F1713"/>
    <w:rsid w:val="001F2373"/>
    <w:rsid w:val="001F31F0"/>
    <w:rsid w:val="001F588E"/>
    <w:rsid w:val="001F596C"/>
    <w:rsid w:val="001F59DC"/>
    <w:rsid w:val="001F6B09"/>
    <w:rsid w:val="001F6D3F"/>
    <w:rsid w:val="001F7E63"/>
    <w:rsid w:val="002037AF"/>
    <w:rsid w:val="00204654"/>
    <w:rsid w:val="00204C0E"/>
    <w:rsid w:val="00205D7C"/>
    <w:rsid w:val="00206E95"/>
    <w:rsid w:val="00210E13"/>
    <w:rsid w:val="002112FE"/>
    <w:rsid w:val="00211715"/>
    <w:rsid w:val="00211894"/>
    <w:rsid w:val="0021226E"/>
    <w:rsid w:val="0021415C"/>
    <w:rsid w:val="00214B2B"/>
    <w:rsid w:val="0021502A"/>
    <w:rsid w:val="002153F9"/>
    <w:rsid w:val="002169E6"/>
    <w:rsid w:val="002228B2"/>
    <w:rsid w:val="00224E4E"/>
    <w:rsid w:val="002257B4"/>
    <w:rsid w:val="00225EC5"/>
    <w:rsid w:val="00226491"/>
    <w:rsid w:val="002269C3"/>
    <w:rsid w:val="00226E3F"/>
    <w:rsid w:val="00227542"/>
    <w:rsid w:val="00230EAA"/>
    <w:rsid w:val="002311C2"/>
    <w:rsid w:val="002317E1"/>
    <w:rsid w:val="00231FC8"/>
    <w:rsid w:val="0023253B"/>
    <w:rsid w:val="002339F0"/>
    <w:rsid w:val="0023497F"/>
    <w:rsid w:val="00235404"/>
    <w:rsid w:val="0023607A"/>
    <w:rsid w:val="00236138"/>
    <w:rsid w:val="002405A5"/>
    <w:rsid w:val="00241001"/>
    <w:rsid w:val="00241037"/>
    <w:rsid w:val="00241812"/>
    <w:rsid w:val="00241B09"/>
    <w:rsid w:val="00241DAA"/>
    <w:rsid w:val="00244338"/>
    <w:rsid w:val="00244463"/>
    <w:rsid w:val="00245E08"/>
    <w:rsid w:val="002463AA"/>
    <w:rsid w:val="002464CD"/>
    <w:rsid w:val="00246D5A"/>
    <w:rsid w:val="002475F0"/>
    <w:rsid w:val="00247F19"/>
    <w:rsid w:val="0025111D"/>
    <w:rsid w:val="00251292"/>
    <w:rsid w:val="00251B59"/>
    <w:rsid w:val="0025250F"/>
    <w:rsid w:val="002525BE"/>
    <w:rsid w:val="00252924"/>
    <w:rsid w:val="00252F67"/>
    <w:rsid w:val="002534CE"/>
    <w:rsid w:val="002553C7"/>
    <w:rsid w:val="002555E3"/>
    <w:rsid w:val="00257E43"/>
    <w:rsid w:val="00257E4E"/>
    <w:rsid w:val="002621DF"/>
    <w:rsid w:val="002636E2"/>
    <w:rsid w:val="00264FB4"/>
    <w:rsid w:val="00265929"/>
    <w:rsid w:val="00265B0A"/>
    <w:rsid w:val="00266B7E"/>
    <w:rsid w:val="00270256"/>
    <w:rsid w:val="0027088D"/>
    <w:rsid w:val="002740A9"/>
    <w:rsid w:val="00274623"/>
    <w:rsid w:val="00276ED2"/>
    <w:rsid w:val="00280A04"/>
    <w:rsid w:val="00280A37"/>
    <w:rsid w:val="0028149C"/>
    <w:rsid w:val="00281EE0"/>
    <w:rsid w:val="002830BD"/>
    <w:rsid w:val="00283AAF"/>
    <w:rsid w:val="00286BDF"/>
    <w:rsid w:val="0029012D"/>
    <w:rsid w:val="0029026D"/>
    <w:rsid w:val="00291632"/>
    <w:rsid w:val="00291B63"/>
    <w:rsid w:val="00293173"/>
    <w:rsid w:val="002944AA"/>
    <w:rsid w:val="002969A3"/>
    <w:rsid w:val="00297041"/>
    <w:rsid w:val="002971D8"/>
    <w:rsid w:val="00297E40"/>
    <w:rsid w:val="002A070F"/>
    <w:rsid w:val="002A0981"/>
    <w:rsid w:val="002A233F"/>
    <w:rsid w:val="002A2986"/>
    <w:rsid w:val="002A2E9D"/>
    <w:rsid w:val="002A337E"/>
    <w:rsid w:val="002A40C2"/>
    <w:rsid w:val="002A622C"/>
    <w:rsid w:val="002A6481"/>
    <w:rsid w:val="002A6986"/>
    <w:rsid w:val="002B1072"/>
    <w:rsid w:val="002B34D8"/>
    <w:rsid w:val="002B41FC"/>
    <w:rsid w:val="002B6815"/>
    <w:rsid w:val="002C0984"/>
    <w:rsid w:val="002C1DC3"/>
    <w:rsid w:val="002C1FCD"/>
    <w:rsid w:val="002C50CB"/>
    <w:rsid w:val="002C5442"/>
    <w:rsid w:val="002C612A"/>
    <w:rsid w:val="002C70CA"/>
    <w:rsid w:val="002D0327"/>
    <w:rsid w:val="002D157E"/>
    <w:rsid w:val="002D1855"/>
    <w:rsid w:val="002D18D3"/>
    <w:rsid w:val="002D2115"/>
    <w:rsid w:val="002D2A86"/>
    <w:rsid w:val="002D3B57"/>
    <w:rsid w:val="002D3B64"/>
    <w:rsid w:val="002D41D3"/>
    <w:rsid w:val="002D6B3C"/>
    <w:rsid w:val="002E03E0"/>
    <w:rsid w:val="002E0981"/>
    <w:rsid w:val="002E47BD"/>
    <w:rsid w:val="002E4B66"/>
    <w:rsid w:val="002E69D3"/>
    <w:rsid w:val="002E7B3F"/>
    <w:rsid w:val="002F0344"/>
    <w:rsid w:val="002F1DF2"/>
    <w:rsid w:val="002F1FF6"/>
    <w:rsid w:val="002F414D"/>
    <w:rsid w:val="002F4431"/>
    <w:rsid w:val="002F4BE5"/>
    <w:rsid w:val="002F5938"/>
    <w:rsid w:val="002F677A"/>
    <w:rsid w:val="002F7815"/>
    <w:rsid w:val="002F7F4F"/>
    <w:rsid w:val="0030098E"/>
    <w:rsid w:val="00300CD1"/>
    <w:rsid w:val="00301242"/>
    <w:rsid w:val="0030223F"/>
    <w:rsid w:val="00303280"/>
    <w:rsid w:val="00303DAE"/>
    <w:rsid w:val="00307101"/>
    <w:rsid w:val="003110B8"/>
    <w:rsid w:val="003113BE"/>
    <w:rsid w:val="003118ED"/>
    <w:rsid w:val="003135E6"/>
    <w:rsid w:val="00313AD3"/>
    <w:rsid w:val="00315783"/>
    <w:rsid w:val="00316143"/>
    <w:rsid w:val="0031786C"/>
    <w:rsid w:val="00317C8F"/>
    <w:rsid w:val="00321198"/>
    <w:rsid w:val="00326909"/>
    <w:rsid w:val="00327AEA"/>
    <w:rsid w:val="0033299F"/>
    <w:rsid w:val="003335C5"/>
    <w:rsid w:val="003350DD"/>
    <w:rsid w:val="00337F68"/>
    <w:rsid w:val="0034023E"/>
    <w:rsid w:val="00340AD2"/>
    <w:rsid w:val="00340D06"/>
    <w:rsid w:val="00345DD8"/>
    <w:rsid w:val="00345FD9"/>
    <w:rsid w:val="003471FE"/>
    <w:rsid w:val="0034757F"/>
    <w:rsid w:val="00347D94"/>
    <w:rsid w:val="003506DF"/>
    <w:rsid w:val="00353246"/>
    <w:rsid w:val="0035488E"/>
    <w:rsid w:val="003549A1"/>
    <w:rsid w:val="0035527B"/>
    <w:rsid w:val="0035678D"/>
    <w:rsid w:val="003578C9"/>
    <w:rsid w:val="003605A2"/>
    <w:rsid w:val="003627F4"/>
    <w:rsid w:val="003632CE"/>
    <w:rsid w:val="003638E9"/>
    <w:rsid w:val="00364756"/>
    <w:rsid w:val="00364DAA"/>
    <w:rsid w:val="00366634"/>
    <w:rsid w:val="003702D8"/>
    <w:rsid w:val="003712AE"/>
    <w:rsid w:val="00371419"/>
    <w:rsid w:val="00373B9F"/>
    <w:rsid w:val="003750B7"/>
    <w:rsid w:val="0037517C"/>
    <w:rsid w:val="003755A4"/>
    <w:rsid w:val="003768FE"/>
    <w:rsid w:val="0037792D"/>
    <w:rsid w:val="0038071D"/>
    <w:rsid w:val="003815C5"/>
    <w:rsid w:val="00382300"/>
    <w:rsid w:val="003826FB"/>
    <w:rsid w:val="0038300E"/>
    <w:rsid w:val="00383F55"/>
    <w:rsid w:val="0038423F"/>
    <w:rsid w:val="00385F53"/>
    <w:rsid w:val="003862FD"/>
    <w:rsid w:val="00387E65"/>
    <w:rsid w:val="00390069"/>
    <w:rsid w:val="00390437"/>
    <w:rsid w:val="00393852"/>
    <w:rsid w:val="0039489F"/>
    <w:rsid w:val="00394DE3"/>
    <w:rsid w:val="003962D0"/>
    <w:rsid w:val="003A104B"/>
    <w:rsid w:val="003A21EF"/>
    <w:rsid w:val="003A3E57"/>
    <w:rsid w:val="003A4316"/>
    <w:rsid w:val="003A4F83"/>
    <w:rsid w:val="003A7213"/>
    <w:rsid w:val="003A7347"/>
    <w:rsid w:val="003A7ED3"/>
    <w:rsid w:val="003B08AE"/>
    <w:rsid w:val="003B29D1"/>
    <w:rsid w:val="003B2A11"/>
    <w:rsid w:val="003B34C6"/>
    <w:rsid w:val="003B36C0"/>
    <w:rsid w:val="003B5CB0"/>
    <w:rsid w:val="003B749A"/>
    <w:rsid w:val="003B7772"/>
    <w:rsid w:val="003C1931"/>
    <w:rsid w:val="003C1F1F"/>
    <w:rsid w:val="003C248B"/>
    <w:rsid w:val="003C3B9B"/>
    <w:rsid w:val="003C49F7"/>
    <w:rsid w:val="003C5405"/>
    <w:rsid w:val="003C65A4"/>
    <w:rsid w:val="003C6A8F"/>
    <w:rsid w:val="003C6F47"/>
    <w:rsid w:val="003C771E"/>
    <w:rsid w:val="003D13C4"/>
    <w:rsid w:val="003D20B4"/>
    <w:rsid w:val="003D2D97"/>
    <w:rsid w:val="003D2EB3"/>
    <w:rsid w:val="003D69C1"/>
    <w:rsid w:val="003D6AE9"/>
    <w:rsid w:val="003D7E41"/>
    <w:rsid w:val="003E0001"/>
    <w:rsid w:val="003E07DC"/>
    <w:rsid w:val="003E117F"/>
    <w:rsid w:val="003E143C"/>
    <w:rsid w:val="003E310D"/>
    <w:rsid w:val="003E3B47"/>
    <w:rsid w:val="003E5617"/>
    <w:rsid w:val="003E70A5"/>
    <w:rsid w:val="003F0135"/>
    <w:rsid w:val="003F0CCE"/>
    <w:rsid w:val="003F4810"/>
    <w:rsid w:val="003F553A"/>
    <w:rsid w:val="003F61C3"/>
    <w:rsid w:val="0040146A"/>
    <w:rsid w:val="004015DD"/>
    <w:rsid w:val="00401806"/>
    <w:rsid w:val="00403F61"/>
    <w:rsid w:val="0040409F"/>
    <w:rsid w:val="00404DAB"/>
    <w:rsid w:val="00406A72"/>
    <w:rsid w:val="0040764D"/>
    <w:rsid w:val="00410059"/>
    <w:rsid w:val="00410085"/>
    <w:rsid w:val="00410858"/>
    <w:rsid w:val="00410D5D"/>
    <w:rsid w:val="00410F2E"/>
    <w:rsid w:val="0041305C"/>
    <w:rsid w:val="004135CB"/>
    <w:rsid w:val="00414F88"/>
    <w:rsid w:val="004159A3"/>
    <w:rsid w:val="00417025"/>
    <w:rsid w:val="00421885"/>
    <w:rsid w:val="00424436"/>
    <w:rsid w:val="00424C84"/>
    <w:rsid w:val="004304FB"/>
    <w:rsid w:val="00432DEA"/>
    <w:rsid w:val="00433373"/>
    <w:rsid w:val="0044269E"/>
    <w:rsid w:val="00444941"/>
    <w:rsid w:val="00444DAB"/>
    <w:rsid w:val="00444EE9"/>
    <w:rsid w:val="00444F4A"/>
    <w:rsid w:val="00446742"/>
    <w:rsid w:val="00446E32"/>
    <w:rsid w:val="00447B26"/>
    <w:rsid w:val="0045734B"/>
    <w:rsid w:val="004608E8"/>
    <w:rsid w:val="00461214"/>
    <w:rsid w:val="00462712"/>
    <w:rsid w:val="00471462"/>
    <w:rsid w:val="00472911"/>
    <w:rsid w:val="00473E2D"/>
    <w:rsid w:val="00474F82"/>
    <w:rsid w:val="0048073A"/>
    <w:rsid w:val="004832B4"/>
    <w:rsid w:val="004840D5"/>
    <w:rsid w:val="004871E4"/>
    <w:rsid w:val="00490F90"/>
    <w:rsid w:val="004914FD"/>
    <w:rsid w:val="00492BB7"/>
    <w:rsid w:val="00492EB5"/>
    <w:rsid w:val="00493A4A"/>
    <w:rsid w:val="0049463E"/>
    <w:rsid w:val="0049486F"/>
    <w:rsid w:val="00494C13"/>
    <w:rsid w:val="004954B3"/>
    <w:rsid w:val="0049710C"/>
    <w:rsid w:val="0049792E"/>
    <w:rsid w:val="004A0987"/>
    <w:rsid w:val="004A1428"/>
    <w:rsid w:val="004A1EEF"/>
    <w:rsid w:val="004A1F90"/>
    <w:rsid w:val="004A263D"/>
    <w:rsid w:val="004A3531"/>
    <w:rsid w:val="004A37A2"/>
    <w:rsid w:val="004A3D08"/>
    <w:rsid w:val="004A58A7"/>
    <w:rsid w:val="004B0C06"/>
    <w:rsid w:val="004B0FBC"/>
    <w:rsid w:val="004B37E3"/>
    <w:rsid w:val="004B3C6F"/>
    <w:rsid w:val="004B3D66"/>
    <w:rsid w:val="004B64B1"/>
    <w:rsid w:val="004C0F38"/>
    <w:rsid w:val="004C158A"/>
    <w:rsid w:val="004C28B5"/>
    <w:rsid w:val="004C4B1D"/>
    <w:rsid w:val="004C520F"/>
    <w:rsid w:val="004C5FD7"/>
    <w:rsid w:val="004C6848"/>
    <w:rsid w:val="004C6CB0"/>
    <w:rsid w:val="004D080D"/>
    <w:rsid w:val="004D17B8"/>
    <w:rsid w:val="004D1A59"/>
    <w:rsid w:val="004D25BE"/>
    <w:rsid w:val="004D3BE5"/>
    <w:rsid w:val="004D5467"/>
    <w:rsid w:val="004E0EC3"/>
    <w:rsid w:val="004E1019"/>
    <w:rsid w:val="004E2A31"/>
    <w:rsid w:val="004E35A7"/>
    <w:rsid w:val="004E399F"/>
    <w:rsid w:val="004E452C"/>
    <w:rsid w:val="004E58E6"/>
    <w:rsid w:val="004E600A"/>
    <w:rsid w:val="004E7A9B"/>
    <w:rsid w:val="004E7EC7"/>
    <w:rsid w:val="004F08FC"/>
    <w:rsid w:val="004F0D84"/>
    <w:rsid w:val="004F1F47"/>
    <w:rsid w:val="004F29E1"/>
    <w:rsid w:val="004F2B9B"/>
    <w:rsid w:val="004F2D66"/>
    <w:rsid w:val="004F3D16"/>
    <w:rsid w:val="004F47B2"/>
    <w:rsid w:val="004F5786"/>
    <w:rsid w:val="004F5FC7"/>
    <w:rsid w:val="004F63F7"/>
    <w:rsid w:val="004F7534"/>
    <w:rsid w:val="0050117F"/>
    <w:rsid w:val="00504891"/>
    <w:rsid w:val="00504935"/>
    <w:rsid w:val="005059E0"/>
    <w:rsid w:val="00505DAD"/>
    <w:rsid w:val="00510969"/>
    <w:rsid w:val="005141FE"/>
    <w:rsid w:val="00514BA7"/>
    <w:rsid w:val="0051688C"/>
    <w:rsid w:val="0051688E"/>
    <w:rsid w:val="00517E84"/>
    <w:rsid w:val="0052169C"/>
    <w:rsid w:val="00522508"/>
    <w:rsid w:val="00524819"/>
    <w:rsid w:val="005309CE"/>
    <w:rsid w:val="005347F6"/>
    <w:rsid w:val="00534D75"/>
    <w:rsid w:val="00541243"/>
    <w:rsid w:val="005418B4"/>
    <w:rsid w:val="00543652"/>
    <w:rsid w:val="005436EA"/>
    <w:rsid w:val="005437BC"/>
    <w:rsid w:val="00543808"/>
    <w:rsid w:val="005474E0"/>
    <w:rsid w:val="00550DBD"/>
    <w:rsid w:val="00553525"/>
    <w:rsid w:val="00555EA6"/>
    <w:rsid w:val="00556D07"/>
    <w:rsid w:val="00566395"/>
    <w:rsid w:val="00566A08"/>
    <w:rsid w:val="00567F2D"/>
    <w:rsid w:val="00572324"/>
    <w:rsid w:val="005742CE"/>
    <w:rsid w:val="00574E5B"/>
    <w:rsid w:val="005813DC"/>
    <w:rsid w:val="00581AA9"/>
    <w:rsid w:val="0058411B"/>
    <w:rsid w:val="00585D31"/>
    <w:rsid w:val="00586B0C"/>
    <w:rsid w:val="00591920"/>
    <w:rsid w:val="00591C0E"/>
    <w:rsid w:val="005935CA"/>
    <w:rsid w:val="00593969"/>
    <w:rsid w:val="00593F52"/>
    <w:rsid w:val="00594682"/>
    <w:rsid w:val="005952CE"/>
    <w:rsid w:val="00595760"/>
    <w:rsid w:val="00595C71"/>
    <w:rsid w:val="00596DB1"/>
    <w:rsid w:val="005A2D29"/>
    <w:rsid w:val="005A5AB3"/>
    <w:rsid w:val="005A6493"/>
    <w:rsid w:val="005A6DF3"/>
    <w:rsid w:val="005A7C42"/>
    <w:rsid w:val="005B037D"/>
    <w:rsid w:val="005B113F"/>
    <w:rsid w:val="005B261B"/>
    <w:rsid w:val="005B3089"/>
    <w:rsid w:val="005B4716"/>
    <w:rsid w:val="005B5F48"/>
    <w:rsid w:val="005B744F"/>
    <w:rsid w:val="005C0FF3"/>
    <w:rsid w:val="005C13CE"/>
    <w:rsid w:val="005C2018"/>
    <w:rsid w:val="005C2A92"/>
    <w:rsid w:val="005C64FC"/>
    <w:rsid w:val="005D0F21"/>
    <w:rsid w:val="005D1AC9"/>
    <w:rsid w:val="005D2979"/>
    <w:rsid w:val="005D3BFB"/>
    <w:rsid w:val="005D575E"/>
    <w:rsid w:val="005D6927"/>
    <w:rsid w:val="005D72A9"/>
    <w:rsid w:val="005E013C"/>
    <w:rsid w:val="005E037D"/>
    <w:rsid w:val="005E04D9"/>
    <w:rsid w:val="005E05A2"/>
    <w:rsid w:val="005E490A"/>
    <w:rsid w:val="005F2C62"/>
    <w:rsid w:val="005F3CB4"/>
    <w:rsid w:val="005F61E5"/>
    <w:rsid w:val="005F7A7D"/>
    <w:rsid w:val="00600C23"/>
    <w:rsid w:val="00601BEE"/>
    <w:rsid w:val="006026AA"/>
    <w:rsid w:val="006039DC"/>
    <w:rsid w:val="006062C5"/>
    <w:rsid w:val="006062E6"/>
    <w:rsid w:val="00606993"/>
    <w:rsid w:val="0061051B"/>
    <w:rsid w:val="0061064C"/>
    <w:rsid w:val="006139FA"/>
    <w:rsid w:val="00615915"/>
    <w:rsid w:val="00615ACC"/>
    <w:rsid w:val="00616129"/>
    <w:rsid w:val="0061665B"/>
    <w:rsid w:val="00616B52"/>
    <w:rsid w:val="006201A0"/>
    <w:rsid w:val="00620633"/>
    <w:rsid w:val="00621544"/>
    <w:rsid w:val="00621A30"/>
    <w:rsid w:val="0062344C"/>
    <w:rsid w:val="00624377"/>
    <w:rsid w:val="006243E2"/>
    <w:rsid w:val="00624775"/>
    <w:rsid w:val="00625829"/>
    <w:rsid w:val="006259D9"/>
    <w:rsid w:val="00625FE2"/>
    <w:rsid w:val="00626BC7"/>
    <w:rsid w:val="00626D9C"/>
    <w:rsid w:val="00627F7B"/>
    <w:rsid w:val="00630881"/>
    <w:rsid w:val="00631856"/>
    <w:rsid w:val="00631A6C"/>
    <w:rsid w:val="00632708"/>
    <w:rsid w:val="00633C87"/>
    <w:rsid w:val="00634246"/>
    <w:rsid w:val="00636E42"/>
    <w:rsid w:val="0064081C"/>
    <w:rsid w:val="006409DC"/>
    <w:rsid w:val="00642223"/>
    <w:rsid w:val="00642528"/>
    <w:rsid w:val="00642F40"/>
    <w:rsid w:val="00644B1A"/>
    <w:rsid w:val="0064613A"/>
    <w:rsid w:val="00650D2D"/>
    <w:rsid w:val="006531B1"/>
    <w:rsid w:val="006543B9"/>
    <w:rsid w:val="006568BC"/>
    <w:rsid w:val="00656F13"/>
    <w:rsid w:val="00657795"/>
    <w:rsid w:val="00661F2B"/>
    <w:rsid w:val="006627FE"/>
    <w:rsid w:val="006645C8"/>
    <w:rsid w:val="0066591F"/>
    <w:rsid w:val="00665B33"/>
    <w:rsid w:val="00665CB7"/>
    <w:rsid w:val="00666933"/>
    <w:rsid w:val="00667483"/>
    <w:rsid w:val="00670C55"/>
    <w:rsid w:val="00671F08"/>
    <w:rsid w:val="00672747"/>
    <w:rsid w:val="00675199"/>
    <w:rsid w:val="006758A9"/>
    <w:rsid w:val="00675B69"/>
    <w:rsid w:val="00682915"/>
    <w:rsid w:val="006829BF"/>
    <w:rsid w:val="0068484A"/>
    <w:rsid w:val="00686179"/>
    <w:rsid w:val="0068783C"/>
    <w:rsid w:val="00687C86"/>
    <w:rsid w:val="00693832"/>
    <w:rsid w:val="0069591A"/>
    <w:rsid w:val="006A09D7"/>
    <w:rsid w:val="006A1E13"/>
    <w:rsid w:val="006A1FFD"/>
    <w:rsid w:val="006A4198"/>
    <w:rsid w:val="006A4279"/>
    <w:rsid w:val="006A768D"/>
    <w:rsid w:val="006A7A34"/>
    <w:rsid w:val="006B2146"/>
    <w:rsid w:val="006B277B"/>
    <w:rsid w:val="006B28F8"/>
    <w:rsid w:val="006B560F"/>
    <w:rsid w:val="006B56BA"/>
    <w:rsid w:val="006B62E2"/>
    <w:rsid w:val="006B66C1"/>
    <w:rsid w:val="006B6CF8"/>
    <w:rsid w:val="006C404E"/>
    <w:rsid w:val="006C444E"/>
    <w:rsid w:val="006C4ACB"/>
    <w:rsid w:val="006C5CFC"/>
    <w:rsid w:val="006C60BD"/>
    <w:rsid w:val="006C6B9E"/>
    <w:rsid w:val="006C7ED0"/>
    <w:rsid w:val="006D0261"/>
    <w:rsid w:val="006D1FED"/>
    <w:rsid w:val="006D367D"/>
    <w:rsid w:val="006D3773"/>
    <w:rsid w:val="006D41D0"/>
    <w:rsid w:val="006D46D7"/>
    <w:rsid w:val="006D4713"/>
    <w:rsid w:val="006D53AC"/>
    <w:rsid w:val="006D72C5"/>
    <w:rsid w:val="006D7F4C"/>
    <w:rsid w:val="006E1C10"/>
    <w:rsid w:val="006E1D43"/>
    <w:rsid w:val="006E41E3"/>
    <w:rsid w:val="006E5017"/>
    <w:rsid w:val="006E5AC9"/>
    <w:rsid w:val="006E5D46"/>
    <w:rsid w:val="006E67F6"/>
    <w:rsid w:val="006E7807"/>
    <w:rsid w:val="006E7895"/>
    <w:rsid w:val="006F0BF9"/>
    <w:rsid w:val="006F3AA5"/>
    <w:rsid w:val="006F58A5"/>
    <w:rsid w:val="006F61E3"/>
    <w:rsid w:val="006F74BC"/>
    <w:rsid w:val="006F7C48"/>
    <w:rsid w:val="007000DD"/>
    <w:rsid w:val="00700823"/>
    <w:rsid w:val="00703856"/>
    <w:rsid w:val="00704916"/>
    <w:rsid w:val="007055FA"/>
    <w:rsid w:val="00705EC4"/>
    <w:rsid w:val="007064E7"/>
    <w:rsid w:val="00707445"/>
    <w:rsid w:val="00707B55"/>
    <w:rsid w:val="00710F61"/>
    <w:rsid w:val="0071112B"/>
    <w:rsid w:val="00711894"/>
    <w:rsid w:val="00712B4F"/>
    <w:rsid w:val="00712F3E"/>
    <w:rsid w:val="007133A6"/>
    <w:rsid w:val="00716343"/>
    <w:rsid w:val="0072015E"/>
    <w:rsid w:val="007201AA"/>
    <w:rsid w:val="00720CF6"/>
    <w:rsid w:val="00720D51"/>
    <w:rsid w:val="00721AA8"/>
    <w:rsid w:val="00724091"/>
    <w:rsid w:val="00726602"/>
    <w:rsid w:val="007304DD"/>
    <w:rsid w:val="00731570"/>
    <w:rsid w:val="00732727"/>
    <w:rsid w:val="007336BD"/>
    <w:rsid w:val="00733A7D"/>
    <w:rsid w:val="0073446F"/>
    <w:rsid w:val="00737523"/>
    <w:rsid w:val="0074017C"/>
    <w:rsid w:val="00742299"/>
    <w:rsid w:val="00742FA1"/>
    <w:rsid w:val="00750A2F"/>
    <w:rsid w:val="007518DB"/>
    <w:rsid w:val="007548B1"/>
    <w:rsid w:val="007555F4"/>
    <w:rsid w:val="00755B2B"/>
    <w:rsid w:val="00756373"/>
    <w:rsid w:val="007600C9"/>
    <w:rsid w:val="007605C7"/>
    <w:rsid w:val="007608E6"/>
    <w:rsid w:val="007611FC"/>
    <w:rsid w:val="00761A3B"/>
    <w:rsid w:val="00761E4B"/>
    <w:rsid w:val="00763A8C"/>
    <w:rsid w:val="00764228"/>
    <w:rsid w:val="00767D3E"/>
    <w:rsid w:val="00770732"/>
    <w:rsid w:val="007711DB"/>
    <w:rsid w:val="00774F3D"/>
    <w:rsid w:val="00775BA9"/>
    <w:rsid w:val="00776C4A"/>
    <w:rsid w:val="007810B9"/>
    <w:rsid w:val="0078258C"/>
    <w:rsid w:val="00784413"/>
    <w:rsid w:val="00785CD7"/>
    <w:rsid w:val="0078729D"/>
    <w:rsid w:val="00790404"/>
    <w:rsid w:val="007922AD"/>
    <w:rsid w:val="0079337A"/>
    <w:rsid w:val="00793F86"/>
    <w:rsid w:val="00794CB4"/>
    <w:rsid w:val="0079588D"/>
    <w:rsid w:val="00795E08"/>
    <w:rsid w:val="00796836"/>
    <w:rsid w:val="007A0813"/>
    <w:rsid w:val="007A1951"/>
    <w:rsid w:val="007A2558"/>
    <w:rsid w:val="007A27C3"/>
    <w:rsid w:val="007A2F26"/>
    <w:rsid w:val="007A344B"/>
    <w:rsid w:val="007A4B89"/>
    <w:rsid w:val="007A7938"/>
    <w:rsid w:val="007B1971"/>
    <w:rsid w:val="007B1F77"/>
    <w:rsid w:val="007B207F"/>
    <w:rsid w:val="007B3948"/>
    <w:rsid w:val="007B6C0F"/>
    <w:rsid w:val="007C019A"/>
    <w:rsid w:val="007C025C"/>
    <w:rsid w:val="007C029C"/>
    <w:rsid w:val="007C106E"/>
    <w:rsid w:val="007C106F"/>
    <w:rsid w:val="007C2352"/>
    <w:rsid w:val="007C45B8"/>
    <w:rsid w:val="007C47C4"/>
    <w:rsid w:val="007C5186"/>
    <w:rsid w:val="007C56FE"/>
    <w:rsid w:val="007C6288"/>
    <w:rsid w:val="007C6672"/>
    <w:rsid w:val="007C674B"/>
    <w:rsid w:val="007D04D5"/>
    <w:rsid w:val="007D2EA5"/>
    <w:rsid w:val="007D414A"/>
    <w:rsid w:val="007D432D"/>
    <w:rsid w:val="007D5803"/>
    <w:rsid w:val="007D73C8"/>
    <w:rsid w:val="007E02DD"/>
    <w:rsid w:val="007E3081"/>
    <w:rsid w:val="007E3BAB"/>
    <w:rsid w:val="007E3E8B"/>
    <w:rsid w:val="007E5067"/>
    <w:rsid w:val="007E5BAF"/>
    <w:rsid w:val="007E5E5B"/>
    <w:rsid w:val="007E5FE7"/>
    <w:rsid w:val="007E6725"/>
    <w:rsid w:val="007E70D8"/>
    <w:rsid w:val="007E7385"/>
    <w:rsid w:val="007F027E"/>
    <w:rsid w:val="007F315C"/>
    <w:rsid w:val="007F3CB6"/>
    <w:rsid w:val="007F4377"/>
    <w:rsid w:val="007F4766"/>
    <w:rsid w:val="0080068F"/>
    <w:rsid w:val="00800B4B"/>
    <w:rsid w:val="00801640"/>
    <w:rsid w:val="00802E6B"/>
    <w:rsid w:val="00802FC0"/>
    <w:rsid w:val="008030BD"/>
    <w:rsid w:val="00803A6C"/>
    <w:rsid w:val="00803B06"/>
    <w:rsid w:val="0080547C"/>
    <w:rsid w:val="00805A70"/>
    <w:rsid w:val="00807A60"/>
    <w:rsid w:val="008104C9"/>
    <w:rsid w:val="00812572"/>
    <w:rsid w:val="00814238"/>
    <w:rsid w:val="00815795"/>
    <w:rsid w:val="008202D0"/>
    <w:rsid w:val="00820596"/>
    <w:rsid w:val="0082117C"/>
    <w:rsid w:val="008235E9"/>
    <w:rsid w:val="00827886"/>
    <w:rsid w:val="008313E8"/>
    <w:rsid w:val="00832354"/>
    <w:rsid w:val="00832622"/>
    <w:rsid w:val="00832E9B"/>
    <w:rsid w:val="008337CD"/>
    <w:rsid w:val="00837971"/>
    <w:rsid w:val="00841686"/>
    <w:rsid w:val="008418EE"/>
    <w:rsid w:val="00841AB2"/>
    <w:rsid w:val="008429B4"/>
    <w:rsid w:val="0084405D"/>
    <w:rsid w:val="00844D93"/>
    <w:rsid w:val="00845D77"/>
    <w:rsid w:val="0084727B"/>
    <w:rsid w:val="0084763D"/>
    <w:rsid w:val="00847EB3"/>
    <w:rsid w:val="00850003"/>
    <w:rsid w:val="00851BA8"/>
    <w:rsid w:val="0085269E"/>
    <w:rsid w:val="00853174"/>
    <w:rsid w:val="00855AD9"/>
    <w:rsid w:val="008608EF"/>
    <w:rsid w:val="00863BBD"/>
    <w:rsid w:val="008646E1"/>
    <w:rsid w:val="008671E9"/>
    <w:rsid w:val="00867431"/>
    <w:rsid w:val="00867639"/>
    <w:rsid w:val="00872417"/>
    <w:rsid w:val="0087257D"/>
    <w:rsid w:val="0087580A"/>
    <w:rsid w:val="0087584D"/>
    <w:rsid w:val="00876E67"/>
    <w:rsid w:val="00880AC5"/>
    <w:rsid w:val="00881C93"/>
    <w:rsid w:val="00882BEE"/>
    <w:rsid w:val="00883FC5"/>
    <w:rsid w:val="00884C43"/>
    <w:rsid w:val="0089077C"/>
    <w:rsid w:val="0089082C"/>
    <w:rsid w:val="00894230"/>
    <w:rsid w:val="00895FEC"/>
    <w:rsid w:val="008961D8"/>
    <w:rsid w:val="008963EF"/>
    <w:rsid w:val="00896ED1"/>
    <w:rsid w:val="00897641"/>
    <w:rsid w:val="008A0DA9"/>
    <w:rsid w:val="008A2FAC"/>
    <w:rsid w:val="008A4D44"/>
    <w:rsid w:val="008A51F3"/>
    <w:rsid w:val="008A5A7E"/>
    <w:rsid w:val="008A5B58"/>
    <w:rsid w:val="008A5F63"/>
    <w:rsid w:val="008A7701"/>
    <w:rsid w:val="008B3D89"/>
    <w:rsid w:val="008B602F"/>
    <w:rsid w:val="008B76D0"/>
    <w:rsid w:val="008B7C22"/>
    <w:rsid w:val="008C014C"/>
    <w:rsid w:val="008C0799"/>
    <w:rsid w:val="008C55CE"/>
    <w:rsid w:val="008C680E"/>
    <w:rsid w:val="008C7033"/>
    <w:rsid w:val="008C74B1"/>
    <w:rsid w:val="008D040B"/>
    <w:rsid w:val="008D0EB2"/>
    <w:rsid w:val="008D137C"/>
    <w:rsid w:val="008D30CC"/>
    <w:rsid w:val="008D313B"/>
    <w:rsid w:val="008D4179"/>
    <w:rsid w:val="008E09EE"/>
    <w:rsid w:val="008E10EF"/>
    <w:rsid w:val="008E16A9"/>
    <w:rsid w:val="008E2824"/>
    <w:rsid w:val="008E2949"/>
    <w:rsid w:val="008E3F12"/>
    <w:rsid w:val="008E4EB8"/>
    <w:rsid w:val="008F03B1"/>
    <w:rsid w:val="008F0858"/>
    <w:rsid w:val="008F111F"/>
    <w:rsid w:val="008F2809"/>
    <w:rsid w:val="008F2B12"/>
    <w:rsid w:val="008F3E1B"/>
    <w:rsid w:val="008F487D"/>
    <w:rsid w:val="008F5236"/>
    <w:rsid w:val="008F5514"/>
    <w:rsid w:val="008F5BB2"/>
    <w:rsid w:val="008F61AB"/>
    <w:rsid w:val="008F7D0A"/>
    <w:rsid w:val="009032FF"/>
    <w:rsid w:val="00903F1C"/>
    <w:rsid w:val="00904135"/>
    <w:rsid w:val="0090588D"/>
    <w:rsid w:val="0090654B"/>
    <w:rsid w:val="00910CF2"/>
    <w:rsid w:val="00911598"/>
    <w:rsid w:val="009120CE"/>
    <w:rsid w:val="009139B3"/>
    <w:rsid w:val="009139CA"/>
    <w:rsid w:val="00915B4C"/>
    <w:rsid w:val="00920FF8"/>
    <w:rsid w:val="009227DD"/>
    <w:rsid w:val="009228D9"/>
    <w:rsid w:val="00923325"/>
    <w:rsid w:val="009259FB"/>
    <w:rsid w:val="0093002E"/>
    <w:rsid w:val="00930DF1"/>
    <w:rsid w:val="0093360F"/>
    <w:rsid w:val="0093435A"/>
    <w:rsid w:val="009358EB"/>
    <w:rsid w:val="0093712D"/>
    <w:rsid w:val="00937363"/>
    <w:rsid w:val="0093761F"/>
    <w:rsid w:val="00937CB8"/>
    <w:rsid w:val="00940BF2"/>
    <w:rsid w:val="00942864"/>
    <w:rsid w:val="00942E9E"/>
    <w:rsid w:val="00944C0C"/>
    <w:rsid w:val="00946542"/>
    <w:rsid w:val="00947071"/>
    <w:rsid w:val="0095047B"/>
    <w:rsid w:val="00950CBC"/>
    <w:rsid w:val="00950E1A"/>
    <w:rsid w:val="0095231C"/>
    <w:rsid w:val="00954484"/>
    <w:rsid w:val="009549F0"/>
    <w:rsid w:val="00954F13"/>
    <w:rsid w:val="00955E7A"/>
    <w:rsid w:val="009560D9"/>
    <w:rsid w:val="00957406"/>
    <w:rsid w:val="0096060E"/>
    <w:rsid w:val="00962603"/>
    <w:rsid w:val="0096483B"/>
    <w:rsid w:val="00964A47"/>
    <w:rsid w:val="0096627E"/>
    <w:rsid w:val="009664B6"/>
    <w:rsid w:val="0096665C"/>
    <w:rsid w:val="00966A5C"/>
    <w:rsid w:val="00971CBA"/>
    <w:rsid w:val="00972CF9"/>
    <w:rsid w:val="00973C34"/>
    <w:rsid w:val="00974331"/>
    <w:rsid w:val="00974916"/>
    <w:rsid w:val="00974EC9"/>
    <w:rsid w:val="009750D7"/>
    <w:rsid w:val="00976CB2"/>
    <w:rsid w:val="0097732E"/>
    <w:rsid w:val="00980688"/>
    <w:rsid w:val="00980E03"/>
    <w:rsid w:val="00980FB6"/>
    <w:rsid w:val="009840F5"/>
    <w:rsid w:val="00987EBF"/>
    <w:rsid w:val="009908AC"/>
    <w:rsid w:val="00991A31"/>
    <w:rsid w:val="00992450"/>
    <w:rsid w:val="00993294"/>
    <w:rsid w:val="009946D6"/>
    <w:rsid w:val="00995955"/>
    <w:rsid w:val="009A0331"/>
    <w:rsid w:val="009A0CD2"/>
    <w:rsid w:val="009A6F00"/>
    <w:rsid w:val="009B1020"/>
    <w:rsid w:val="009B1719"/>
    <w:rsid w:val="009B2129"/>
    <w:rsid w:val="009B2599"/>
    <w:rsid w:val="009B5B5E"/>
    <w:rsid w:val="009C0545"/>
    <w:rsid w:val="009C3E7E"/>
    <w:rsid w:val="009C4E5E"/>
    <w:rsid w:val="009C6BBD"/>
    <w:rsid w:val="009C776A"/>
    <w:rsid w:val="009C7DA3"/>
    <w:rsid w:val="009D0EE2"/>
    <w:rsid w:val="009D1B5C"/>
    <w:rsid w:val="009D3052"/>
    <w:rsid w:val="009D5007"/>
    <w:rsid w:val="009D6D2F"/>
    <w:rsid w:val="009E0A5F"/>
    <w:rsid w:val="009E4698"/>
    <w:rsid w:val="009E5DAF"/>
    <w:rsid w:val="009E5E12"/>
    <w:rsid w:val="009F02B1"/>
    <w:rsid w:val="009F10E4"/>
    <w:rsid w:val="009F12A0"/>
    <w:rsid w:val="009F2719"/>
    <w:rsid w:val="009F295D"/>
    <w:rsid w:val="009F34BE"/>
    <w:rsid w:val="009F6A8C"/>
    <w:rsid w:val="009F7D88"/>
    <w:rsid w:val="00A00B46"/>
    <w:rsid w:val="00A02510"/>
    <w:rsid w:val="00A02BDA"/>
    <w:rsid w:val="00A0315C"/>
    <w:rsid w:val="00A03FBF"/>
    <w:rsid w:val="00A043D5"/>
    <w:rsid w:val="00A049FA"/>
    <w:rsid w:val="00A059EB"/>
    <w:rsid w:val="00A07926"/>
    <w:rsid w:val="00A122E7"/>
    <w:rsid w:val="00A12658"/>
    <w:rsid w:val="00A13AFB"/>
    <w:rsid w:val="00A145DC"/>
    <w:rsid w:val="00A14608"/>
    <w:rsid w:val="00A1480C"/>
    <w:rsid w:val="00A14F72"/>
    <w:rsid w:val="00A20CF0"/>
    <w:rsid w:val="00A2174B"/>
    <w:rsid w:val="00A21BFE"/>
    <w:rsid w:val="00A222B9"/>
    <w:rsid w:val="00A227E1"/>
    <w:rsid w:val="00A24A4F"/>
    <w:rsid w:val="00A25AA1"/>
    <w:rsid w:val="00A26F55"/>
    <w:rsid w:val="00A27C33"/>
    <w:rsid w:val="00A27CA6"/>
    <w:rsid w:val="00A31597"/>
    <w:rsid w:val="00A33D5F"/>
    <w:rsid w:val="00A3676C"/>
    <w:rsid w:val="00A36C8F"/>
    <w:rsid w:val="00A371F9"/>
    <w:rsid w:val="00A37A0C"/>
    <w:rsid w:val="00A407EA"/>
    <w:rsid w:val="00A41377"/>
    <w:rsid w:val="00A43C9E"/>
    <w:rsid w:val="00A43F68"/>
    <w:rsid w:val="00A465C1"/>
    <w:rsid w:val="00A46B26"/>
    <w:rsid w:val="00A507D4"/>
    <w:rsid w:val="00A50DAA"/>
    <w:rsid w:val="00A518DC"/>
    <w:rsid w:val="00A522FF"/>
    <w:rsid w:val="00A539B3"/>
    <w:rsid w:val="00A54765"/>
    <w:rsid w:val="00A54B4A"/>
    <w:rsid w:val="00A55155"/>
    <w:rsid w:val="00A556A5"/>
    <w:rsid w:val="00A57A63"/>
    <w:rsid w:val="00A60A56"/>
    <w:rsid w:val="00A624A8"/>
    <w:rsid w:val="00A62FBF"/>
    <w:rsid w:val="00A662E3"/>
    <w:rsid w:val="00A66D58"/>
    <w:rsid w:val="00A67116"/>
    <w:rsid w:val="00A7076A"/>
    <w:rsid w:val="00A727F2"/>
    <w:rsid w:val="00A72DC8"/>
    <w:rsid w:val="00A74746"/>
    <w:rsid w:val="00A7476C"/>
    <w:rsid w:val="00A779BF"/>
    <w:rsid w:val="00A8208E"/>
    <w:rsid w:val="00A83C1D"/>
    <w:rsid w:val="00A86035"/>
    <w:rsid w:val="00A917F2"/>
    <w:rsid w:val="00A93675"/>
    <w:rsid w:val="00A93BF9"/>
    <w:rsid w:val="00A94653"/>
    <w:rsid w:val="00A9647C"/>
    <w:rsid w:val="00A97440"/>
    <w:rsid w:val="00AA1EA1"/>
    <w:rsid w:val="00AA208A"/>
    <w:rsid w:val="00AA2251"/>
    <w:rsid w:val="00AA4207"/>
    <w:rsid w:val="00AB20C7"/>
    <w:rsid w:val="00AB4229"/>
    <w:rsid w:val="00AB4529"/>
    <w:rsid w:val="00AB588D"/>
    <w:rsid w:val="00AB7CCA"/>
    <w:rsid w:val="00AC5E74"/>
    <w:rsid w:val="00AC6958"/>
    <w:rsid w:val="00AC7680"/>
    <w:rsid w:val="00AD06E4"/>
    <w:rsid w:val="00AD1126"/>
    <w:rsid w:val="00AD763B"/>
    <w:rsid w:val="00AE3607"/>
    <w:rsid w:val="00AE3650"/>
    <w:rsid w:val="00AE7426"/>
    <w:rsid w:val="00AF006C"/>
    <w:rsid w:val="00AF121F"/>
    <w:rsid w:val="00AF1DE6"/>
    <w:rsid w:val="00AF2D3E"/>
    <w:rsid w:val="00AF43DC"/>
    <w:rsid w:val="00AF4A2A"/>
    <w:rsid w:val="00B008D5"/>
    <w:rsid w:val="00B018C8"/>
    <w:rsid w:val="00B01ADA"/>
    <w:rsid w:val="00B053FF"/>
    <w:rsid w:val="00B05EFC"/>
    <w:rsid w:val="00B0603D"/>
    <w:rsid w:val="00B0721C"/>
    <w:rsid w:val="00B07736"/>
    <w:rsid w:val="00B1000D"/>
    <w:rsid w:val="00B10573"/>
    <w:rsid w:val="00B10C4C"/>
    <w:rsid w:val="00B11393"/>
    <w:rsid w:val="00B13F42"/>
    <w:rsid w:val="00B17403"/>
    <w:rsid w:val="00B17D75"/>
    <w:rsid w:val="00B23E44"/>
    <w:rsid w:val="00B23F1B"/>
    <w:rsid w:val="00B244A6"/>
    <w:rsid w:val="00B24BC5"/>
    <w:rsid w:val="00B25C4D"/>
    <w:rsid w:val="00B26D21"/>
    <w:rsid w:val="00B32135"/>
    <w:rsid w:val="00B32594"/>
    <w:rsid w:val="00B3274A"/>
    <w:rsid w:val="00B37052"/>
    <w:rsid w:val="00B40645"/>
    <w:rsid w:val="00B40830"/>
    <w:rsid w:val="00B409DF"/>
    <w:rsid w:val="00B413EC"/>
    <w:rsid w:val="00B41A88"/>
    <w:rsid w:val="00B41C32"/>
    <w:rsid w:val="00B429A7"/>
    <w:rsid w:val="00B42BB5"/>
    <w:rsid w:val="00B4471A"/>
    <w:rsid w:val="00B4575B"/>
    <w:rsid w:val="00B509FC"/>
    <w:rsid w:val="00B53DC2"/>
    <w:rsid w:val="00B54796"/>
    <w:rsid w:val="00B55897"/>
    <w:rsid w:val="00B56C3D"/>
    <w:rsid w:val="00B6162C"/>
    <w:rsid w:val="00B61670"/>
    <w:rsid w:val="00B61CB7"/>
    <w:rsid w:val="00B63005"/>
    <w:rsid w:val="00B64D07"/>
    <w:rsid w:val="00B655E3"/>
    <w:rsid w:val="00B671C1"/>
    <w:rsid w:val="00B7036F"/>
    <w:rsid w:val="00B7076A"/>
    <w:rsid w:val="00B70CE1"/>
    <w:rsid w:val="00B7349E"/>
    <w:rsid w:val="00B76208"/>
    <w:rsid w:val="00B810E1"/>
    <w:rsid w:val="00B81747"/>
    <w:rsid w:val="00B82002"/>
    <w:rsid w:val="00B8409F"/>
    <w:rsid w:val="00B84160"/>
    <w:rsid w:val="00B8599F"/>
    <w:rsid w:val="00B86E4C"/>
    <w:rsid w:val="00B86E73"/>
    <w:rsid w:val="00B86E85"/>
    <w:rsid w:val="00B87BC5"/>
    <w:rsid w:val="00B90AD7"/>
    <w:rsid w:val="00B90B2A"/>
    <w:rsid w:val="00B911E8"/>
    <w:rsid w:val="00B92B6B"/>
    <w:rsid w:val="00B931E2"/>
    <w:rsid w:val="00B9472E"/>
    <w:rsid w:val="00B96619"/>
    <w:rsid w:val="00B97A71"/>
    <w:rsid w:val="00BA04D2"/>
    <w:rsid w:val="00BA08F8"/>
    <w:rsid w:val="00BA200D"/>
    <w:rsid w:val="00BA33CC"/>
    <w:rsid w:val="00BA4666"/>
    <w:rsid w:val="00BA5781"/>
    <w:rsid w:val="00BA64A1"/>
    <w:rsid w:val="00BA6EF2"/>
    <w:rsid w:val="00BA7FA2"/>
    <w:rsid w:val="00BB0807"/>
    <w:rsid w:val="00BB10E2"/>
    <w:rsid w:val="00BB2153"/>
    <w:rsid w:val="00BB224A"/>
    <w:rsid w:val="00BB2990"/>
    <w:rsid w:val="00BB39BE"/>
    <w:rsid w:val="00BB4F8E"/>
    <w:rsid w:val="00BB7E48"/>
    <w:rsid w:val="00BC01AB"/>
    <w:rsid w:val="00BC0AFF"/>
    <w:rsid w:val="00BC1F46"/>
    <w:rsid w:val="00BC2B82"/>
    <w:rsid w:val="00BC584A"/>
    <w:rsid w:val="00BC6A46"/>
    <w:rsid w:val="00BC78CE"/>
    <w:rsid w:val="00BD0127"/>
    <w:rsid w:val="00BD189E"/>
    <w:rsid w:val="00BD2396"/>
    <w:rsid w:val="00BD3507"/>
    <w:rsid w:val="00BD6157"/>
    <w:rsid w:val="00BD77D0"/>
    <w:rsid w:val="00BD7DF5"/>
    <w:rsid w:val="00BE03F0"/>
    <w:rsid w:val="00BE4352"/>
    <w:rsid w:val="00BE7D07"/>
    <w:rsid w:val="00BF1846"/>
    <w:rsid w:val="00BF24E5"/>
    <w:rsid w:val="00BF3AC8"/>
    <w:rsid w:val="00BF440A"/>
    <w:rsid w:val="00BF496A"/>
    <w:rsid w:val="00C00C85"/>
    <w:rsid w:val="00C02D60"/>
    <w:rsid w:val="00C04C01"/>
    <w:rsid w:val="00C04C87"/>
    <w:rsid w:val="00C10B6F"/>
    <w:rsid w:val="00C1121C"/>
    <w:rsid w:val="00C125BB"/>
    <w:rsid w:val="00C13865"/>
    <w:rsid w:val="00C13C2B"/>
    <w:rsid w:val="00C14325"/>
    <w:rsid w:val="00C14533"/>
    <w:rsid w:val="00C14953"/>
    <w:rsid w:val="00C203D4"/>
    <w:rsid w:val="00C232AC"/>
    <w:rsid w:val="00C23860"/>
    <w:rsid w:val="00C257D2"/>
    <w:rsid w:val="00C26786"/>
    <w:rsid w:val="00C30647"/>
    <w:rsid w:val="00C31731"/>
    <w:rsid w:val="00C31BE2"/>
    <w:rsid w:val="00C34364"/>
    <w:rsid w:val="00C409CB"/>
    <w:rsid w:val="00C41102"/>
    <w:rsid w:val="00C42AF1"/>
    <w:rsid w:val="00C4329A"/>
    <w:rsid w:val="00C45226"/>
    <w:rsid w:val="00C467BC"/>
    <w:rsid w:val="00C47830"/>
    <w:rsid w:val="00C502D3"/>
    <w:rsid w:val="00C54827"/>
    <w:rsid w:val="00C5582A"/>
    <w:rsid w:val="00C55B66"/>
    <w:rsid w:val="00C56EF8"/>
    <w:rsid w:val="00C6009A"/>
    <w:rsid w:val="00C61FEE"/>
    <w:rsid w:val="00C640C5"/>
    <w:rsid w:val="00C642F6"/>
    <w:rsid w:val="00C66C5A"/>
    <w:rsid w:val="00C67553"/>
    <w:rsid w:val="00C7019F"/>
    <w:rsid w:val="00C721B4"/>
    <w:rsid w:val="00C72664"/>
    <w:rsid w:val="00C737BB"/>
    <w:rsid w:val="00C74E71"/>
    <w:rsid w:val="00C75510"/>
    <w:rsid w:val="00C76224"/>
    <w:rsid w:val="00C76544"/>
    <w:rsid w:val="00C76CC1"/>
    <w:rsid w:val="00C80D05"/>
    <w:rsid w:val="00C81298"/>
    <w:rsid w:val="00C8562A"/>
    <w:rsid w:val="00C85976"/>
    <w:rsid w:val="00C87D92"/>
    <w:rsid w:val="00C904D9"/>
    <w:rsid w:val="00C90555"/>
    <w:rsid w:val="00C91CA9"/>
    <w:rsid w:val="00C932AB"/>
    <w:rsid w:val="00C94081"/>
    <w:rsid w:val="00C95324"/>
    <w:rsid w:val="00C96775"/>
    <w:rsid w:val="00CA028C"/>
    <w:rsid w:val="00CA36CB"/>
    <w:rsid w:val="00CA37D6"/>
    <w:rsid w:val="00CA3BDF"/>
    <w:rsid w:val="00CA3C4B"/>
    <w:rsid w:val="00CA7329"/>
    <w:rsid w:val="00CB02A7"/>
    <w:rsid w:val="00CB07A6"/>
    <w:rsid w:val="00CB31C5"/>
    <w:rsid w:val="00CB3F5E"/>
    <w:rsid w:val="00CB4DA2"/>
    <w:rsid w:val="00CC01A8"/>
    <w:rsid w:val="00CC099A"/>
    <w:rsid w:val="00CC1BAC"/>
    <w:rsid w:val="00CC3739"/>
    <w:rsid w:val="00CC4D02"/>
    <w:rsid w:val="00CC67BC"/>
    <w:rsid w:val="00CC7414"/>
    <w:rsid w:val="00CC7479"/>
    <w:rsid w:val="00CD052E"/>
    <w:rsid w:val="00CD3960"/>
    <w:rsid w:val="00CD3AEC"/>
    <w:rsid w:val="00CD7491"/>
    <w:rsid w:val="00CE085A"/>
    <w:rsid w:val="00CE1319"/>
    <w:rsid w:val="00CE1CD7"/>
    <w:rsid w:val="00CE34BF"/>
    <w:rsid w:val="00CE5971"/>
    <w:rsid w:val="00CE616C"/>
    <w:rsid w:val="00CE7105"/>
    <w:rsid w:val="00CE7F63"/>
    <w:rsid w:val="00CF393D"/>
    <w:rsid w:val="00CF6541"/>
    <w:rsid w:val="00CF764B"/>
    <w:rsid w:val="00D03733"/>
    <w:rsid w:val="00D04177"/>
    <w:rsid w:val="00D04ABF"/>
    <w:rsid w:val="00D0701E"/>
    <w:rsid w:val="00D07558"/>
    <w:rsid w:val="00D077F7"/>
    <w:rsid w:val="00D079F0"/>
    <w:rsid w:val="00D104B4"/>
    <w:rsid w:val="00D11819"/>
    <w:rsid w:val="00D12B4B"/>
    <w:rsid w:val="00D13497"/>
    <w:rsid w:val="00D13956"/>
    <w:rsid w:val="00D17020"/>
    <w:rsid w:val="00D174B2"/>
    <w:rsid w:val="00D17530"/>
    <w:rsid w:val="00D2010F"/>
    <w:rsid w:val="00D203EB"/>
    <w:rsid w:val="00D20E6D"/>
    <w:rsid w:val="00D22163"/>
    <w:rsid w:val="00D2526E"/>
    <w:rsid w:val="00D274AD"/>
    <w:rsid w:val="00D27A8C"/>
    <w:rsid w:val="00D27E39"/>
    <w:rsid w:val="00D31AA4"/>
    <w:rsid w:val="00D32AEB"/>
    <w:rsid w:val="00D32B2E"/>
    <w:rsid w:val="00D33710"/>
    <w:rsid w:val="00D33CE9"/>
    <w:rsid w:val="00D34885"/>
    <w:rsid w:val="00D34DA1"/>
    <w:rsid w:val="00D35563"/>
    <w:rsid w:val="00D3626F"/>
    <w:rsid w:val="00D36764"/>
    <w:rsid w:val="00D36D2B"/>
    <w:rsid w:val="00D4161E"/>
    <w:rsid w:val="00D42666"/>
    <w:rsid w:val="00D4569B"/>
    <w:rsid w:val="00D463D5"/>
    <w:rsid w:val="00D46923"/>
    <w:rsid w:val="00D47DA2"/>
    <w:rsid w:val="00D509E7"/>
    <w:rsid w:val="00D53E3E"/>
    <w:rsid w:val="00D543A3"/>
    <w:rsid w:val="00D54DC1"/>
    <w:rsid w:val="00D55306"/>
    <w:rsid w:val="00D558CD"/>
    <w:rsid w:val="00D55927"/>
    <w:rsid w:val="00D5652B"/>
    <w:rsid w:val="00D605E3"/>
    <w:rsid w:val="00D60601"/>
    <w:rsid w:val="00D6326F"/>
    <w:rsid w:val="00D64239"/>
    <w:rsid w:val="00D642EB"/>
    <w:rsid w:val="00D66778"/>
    <w:rsid w:val="00D67EB3"/>
    <w:rsid w:val="00D715D3"/>
    <w:rsid w:val="00D73712"/>
    <w:rsid w:val="00D746F3"/>
    <w:rsid w:val="00D75179"/>
    <w:rsid w:val="00D779DD"/>
    <w:rsid w:val="00D8020C"/>
    <w:rsid w:val="00D835CC"/>
    <w:rsid w:val="00D84793"/>
    <w:rsid w:val="00D85532"/>
    <w:rsid w:val="00D858AA"/>
    <w:rsid w:val="00D86D0D"/>
    <w:rsid w:val="00D87AA0"/>
    <w:rsid w:val="00D91017"/>
    <w:rsid w:val="00D93BD6"/>
    <w:rsid w:val="00D947B9"/>
    <w:rsid w:val="00D96197"/>
    <w:rsid w:val="00D97D17"/>
    <w:rsid w:val="00DA03D7"/>
    <w:rsid w:val="00DA08FE"/>
    <w:rsid w:val="00DA0EBB"/>
    <w:rsid w:val="00DA11D6"/>
    <w:rsid w:val="00DA2933"/>
    <w:rsid w:val="00DA4A8F"/>
    <w:rsid w:val="00DA55BC"/>
    <w:rsid w:val="00DA6A43"/>
    <w:rsid w:val="00DA6F16"/>
    <w:rsid w:val="00DB32FB"/>
    <w:rsid w:val="00DB69F9"/>
    <w:rsid w:val="00DB7E1B"/>
    <w:rsid w:val="00DC3318"/>
    <w:rsid w:val="00DC385D"/>
    <w:rsid w:val="00DC4917"/>
    <w:rsid w:val="00DC4CDD"/>
    <w:rsid w:val="00DC64C0"/>
    <w:rsid w:val="00DC6B73"/>
    <w:rsid w:val="00DC7E55"/>
    <w:rsid w:val="00DD07D9"/>
    <w:rsid w:val="00DD1EE2"/>
    <w:rsid w:val="00DD24BC"/>
    <w:rsid w:val="00DD5815"/>
    <w:rsid w:val="00DD689C"/>
    <w:rsid w:val="00DE1348"/>
    <w:rsid w:val="00DE23BF"/>
    <w:rsid w:val="00DE2FC6"/>
    <w:rsid w:val="00DE5B5C"/>
    <w:rsid w:val="00DE6D03"/>
    <w:rsid w:val="00DE7280"/>
    <w:rsid w:val="00DE7BE3"/>
    <w:rsid w:val="00DF03A5"/>
    <w:rsid w:val="00DF0FF8"/>
    <w:rsid w:val="00DF115A"/>
    <w:rsid w:val="00DF1725"/>
    <w:rsid w:val="00DF175B"/>
    <w:rsid w:val="00DF17C8"/>
    <w:rsid w:val="00DF1B84"/>
    <w:rsid w:val="00DF1CB1"/>
    <w:rsid w:val="00DF1DC2"/>
    <w:rsid w:val="00DF2802"/>
    <w:rsid w:val="00DF3366"/>
    <w:rsid w:val="00DF3C20"/>
    <w:rsid w:val="00DF3F6F"/>
    <w:rsid w:val="00DF4953"/>
    <w:rsid w:val="00DF6F7E"/>
    <w:rsid w:val="00DF73A8"/>
    <w:rsid w:val="00DF7591"/>
    <w:rsid w:val="00DF7EBB"/>
    <w:rsid w:val="00E00896"/>
    <w:rsid w:val="00E01238"/>
    <w:rsid w:val="00E01B50"/>
    <w:rsid w:val="00E01D53"/>
    <w:rsid w:val="00E02A60"/>
    <w:rsid w:val="00E03006"/>
    <w:rsid w:val="00E0462B"/>
    <w:rsid w:val="00E04DCD"/>
    <w:rsid w:val="00E056A3"/>
    <w:rsid w:val="00E07766"/>
    <w:rsid w:val="00E07838"/>
    <w:rsid w:val="00E101B4"/>
    <w:rsid w:val="00E1169F"/>
    <w:rsid w:val="00E143C7"/>
    <w:rsid w:val="00E156E7"/>
    <w:rsid w:val="00E16756"/>
    <w:rsid w:val="00E16C61"/>
    <w:rsid w:val="00E17414"/>
    <w:rsid w:val="00E21513"/>
    <w:rsid w:val="00E21B55"/>
    <w:rsid w:val="00E23B1F"/>
    <w:rsid w:val="00E25F4B"/>
    <w:rsid w:val="00E26483"/>
    <w:rsid w:val="00E306E8"/>
    <w:rsid w:val="00E323E8"/>
    <w:rsid w:val="00E3561E"/>
    <w:rsid w:val="00E3573C"/>
    <w:rsid w:val="00E362AA"/>
    <w:rsid w:val="00E41FCF"/>
    <w:rsid w:val="00E42092"/>
    <w:rsid w:val="00E43779"/>
    <w:rsid w:val="00E43BD9"/>
    <w:rsid w:val="00E43D36"/>
    <w:rsid w:val="00E4507E"/>
    <w:rsid w:val="00E45CEE"/>
    <w:rsid w:val="00E469C4"/>
    <w:rsid w:val="00E50553"/>
    <w:rsid w:val="00E519BC"/>
    <w:rsid w:val="00E53882"/>
    <w:rsid w:val="00E543E3"/>
    <w:rsid w:val="00E5483E"/>
    <w:rsid w:val="00E60390"/>
    <w:rsid w:val="00E60AC9"/>
    <w:rsid w:val="00E614C3"/>
    <w:rsid w:val="00E6178A"/>
    <w:rsid w:val="00E6396A"/>
    <w:rsid w:val="00E714D1"/>
    <w:rsid w:val="00E72F84"/>
    <w:rsid w:val="00E73CB5"/>
    <w:rsid w:val="00E76128"/>
    <w:rsid w:val="00E766B6"/>
    <w:rsid w:val="00E80F86"/>
    <w:rsid w:val="00E81466"/>
    <w:rsid w:val="00E8159C"/>
    <w:rsid w:val="00E8303F"/>
    <w:rsid w:val="00E83C63"/>
    <w:rsid w:val="00E84B9B"/>
    <w:rsid w:val="00E85477"/>
    <w:rsid w:val="00E8739D"/>
    <w:rsid w:val="00E90014"/>
    <w:rsid w:val="00E908D6"/>
    <w:rsid w:val="00E91EE9"/>
    <w:rsid w:val="00E92918"/>
    <w:rsid w:val="00E92C29"/>
    <w:rsid w:val="00E92EED"/>
    <w:rsid w:val="00E937FC"/>
    <w:rsid w:val="00E96766"/>
    <w:rsid w:val="00E967E5"/>
    <w:rsid w:val="00EA32DD"/>
    <w:rsid w:val="00EA377A"/>
    <w:rsid w:val="00EA5BC6"/>
    <w:rsid w:val="00EA656C"/>
    <w:rsid w:val="00EA6D7E"/>
    <w:rsid w:val="00EA6E1B"/>
    <w:rsid w:val="00EA7FDD"/>
    <w:rsid w:val="00EB0037"/>
    <w:rsid w:val="00EB2263"/>
    <w:rsid w:val="00EB2B1F"/>
    <w:rsid w:val="00EB3683"/>
    <w:rsid w:val="00EB4F1A"/>
    <w:rsid w:val="00EB5A24"/>
    <w:rsid w:val="00EB77DC"/>
    <w:rsid w:val="00EB7C05"/>
    <w:rsid w:val="00EC14C6"/>
    <w:rsid w:val="00EC1B8A"/>
    <w:rsid w:val="00EC21C7"/>
    <w:rsid w:val="00EC4569"/>
    <w:rsid w:val="00EC49C1"/>
    <w:rsid w:val="00EC7265"/>
    <w:rsid w:val="00ED0DE0"/>
    <w:rsid w:val="00ED2FF7"/>
    <w:rsid w:val="00ED4126"/>
    <w:rsid w:val="00ED4DAB"/>
    <w:rsid w:val="00ED5A46"/>
    <w:rsid w:val="00ED65D7"/>
    <w:rsid w:val="00ED79D9"/>
    <w:rsid w:val="00ED7F07"/>
    <w:rsid w:val="00EE02CE"/>
    <w:rsid w:val="00EE1E2A"/>
    <w:rsid w:val="00EE2461"/>
    <w:rsid w:val="00EE279F"/>
    <w:rsid w:val="00EE34BF"/>
    <w:rsid w:val="00EE4FC0"/>
    <w:rsid w:val="00EE5428"/>
    <w:rsid w:val="00EF022F"/>
    <w:rsid w:val="00EF0736"/>
    <w:rsid w:val="00EF0A3B"/>
    <w:rsid w:val="00EF138D"/>
    <w:rsid w:val="00EF1476"/>
    <w:rsid w:val="00EF2E62"/>
    <w:rsid w:val="00EF3FE5"/>
    <w:rsid w:val="00EF7856"/>
    <w:rsid w:val="00F00E56"/>
    <w:rsid w:val="00F01D0E"/>
    <w:rsid w:val="00F01FDB"/>
    <w:rsid w:val="00F02377"/>
    <w:rsid w:val="00F02572"/>
    <w:rsid w:val="00F02F94"/>
    <w:rsid w:val="00F03419"/>
    <w:rsid w:val="00F051FE"/>
    <w:rsid w:val="00F0698D"/>
    <w:rsid w:val="00F1063E"/>
    <w:rsid w:val="00F13389"/>
    <w:rsid w:val="00F14D0B"/>
    <w:rsid w:val="00F15D1B"/>
    <w:rsid w:val="00F16725"/>
    <w:rsid w:val="00F21A2D"/>
    <w:rsid w:val="00F23595"/>
    <w:rsid w:val="00F23B62"/>
    <w:rsid w:val="00F2647F"/>
    <w:rsid w:val="00F33D88"/>
    <w:rsid w:val="00F349D8"/>
    <w:rsid w:val="00F365F9"/>
    <w:rsid w:val="00F36D23"/>
    <w:rsid w:val="00F3792D"/>
    <w:rsid w:val="00F37E30"/>
    <w:rsid w:val="00F416C0"/>
    <w:rsid w:val="00F423E8"/>
    <w:rsid w:val="00F42E6E"/>
    <w:rsid w:val="00F44307"/>
    <w:rsid w:val="00F44BFA"/>
    <w:rsid w:val="00F45347"/>
    <w:rsid w:val="00F46488"/>
    <w:rsid w:val="00F47CB5"/>
    <w:rsid w:val="00F50B2C"/>
    <w:rsid w:val="00F512A2"/>
    <w:rsid w:val="00F52DC8"/>
    <w:rsid w:val="00F5390B"/>
    <w:rsid w:val="00F53C19"/>
    <w:rsid w:val="00F5431F"/>
    <w:rsid w:val="00F54853"/>
    <w:rsid w:val="00F554FF"/>
    <w:rsid w:val="00F566DA"/>
    <w:rsid w:val="00F619E0"/>
    <w:rsid w:val="00F61A61"/>
    <w:rsid w:val="00F6699B"/>
    <w:rsid w:val="00F7078F"/>
    <w:rsid w:val="00F711BE"/>
    <w:rsid w:val="00F728AB"/>
    <w:rsid w:val="00F75C21"/>
    <w:rsid w:val="00F7689E"/>
    <w:rsid w:val="00F76E06"/>
    <w:rsid w:val="00F77A47"/>
    <w:rsid w:val="00F82375"/>
    <w:rsid w:val="00F8267D"/>
    <w:rsid w:val="00F8490B"/>
    <w:rsid w:val="00F8796A"/>
    <w:rsid w:val="00F87FE2"/>
    <w:rsid w:val="00F92F63"/>
    <w:rsid w:val="00F93236"/>
    <w:rsid w:val="00F93319"/>
    <w:rsid w:val="00F93AB7"/>
    <w:rsid w:val="00F9661D"/>
    <w:rsid w:val="00FA1536"/>
    <w:rsid w:val="00FA1FCA"/>
    <w:rsid w:val="00FA2D93"/>
    <w:rsid w:val="00FA3FBA"/>
    <w:rsid w:val="00FA40A7"/>
    <w:rsid w:val="00FA4244"/>
    <w:rsid w:val="00FA484B"/>
    <w:rsid w:val="00FA73F2"/>
    <w:rsid w:val="00FA78D6"/>
    <w:rsid w:val="00FB3493"/>
    <w:rsid w:val="00FB3504"/>
    <w:rsid w:val="00FB42B0"/>
    <w:rsid w:val="00FB4359"/>
    <w:rsid w:val="00FB5CD1"/>
    <w:rsid w:val="00FB6335"/>
    <w:rsid w:val="00FB674C"/>
    <w:rsid w:val="00FB7839"/>
    <w:rsid w:val="00FC0650"/>
    <w:rsid w:val="00FC2F39"/>
    <w:rsid w:val="00FC36E7"/>
    <w:rsid w:val="00FC4B3F"/>
    <w:rsid w:val="00FC5972"/>
    <w:rsid w:val="00FC6226"/>
    <w:rsid w:val="00FC6E47"/>
    <w:rsid w:val="00FD05E1"/>
    <w:rsid w:val="00FD28FF"/>
    <w:rsid w:val="00FD31C8"/>
    <w:rsid w:val="00FD353F"/>
    <w:rsid w:val="00FD3B62"/>
    <w:rsid w:val="00FD76CA"/>
    <w:rsid w:val="00FE0055"/>
    <w:rsid w:val="00FE0981"/>
    <w:rsid w:val="00FE2F12"/>
    <w:rsid w:val="00FE3DDF"/>
    <w:rsid w:val="00FE4390"/>
    <w:rsid w:val="00FE4792"/>
    <w:rsid w:val="00FE54B5"/>
    <w:rsid w:val="00FE6683"/>
    <w:rsid w:val="00FF05B1"/>
    <w:rsid w:val="00FF357C"/>
    <w:rsid w:val="00FF3B05"/>
    <w:rsid w:val="00FF5CEF"/>
    <w:rsid w:val="0171573C"/>
    <w:rsid w:val="01871EFB"/>
    <w:rsid w:val="02685529"/>
    <w:rsid w:val="02706E9B"/>
    <w:rsid w:val="029A0B43"/>
    <w:rsid w:val="02E849D9"/>
    <w:rsid w:val="031C73F5"/>
    <w:rsid w:val="032D1A98"/>
    <w:rsid w:val="03456EA8"/>
    <w:rsid w:val="03547D13"/>
    <w:rsid w:val="035C299E"/>
    <w:rsid w:val="037C2313"/>
    <w:rsid w:val="038B6E94"/>
    <w:rsid w:val="03BC4A17"/>
    <w:rsid w:val="043813B0"/>
    <w:rsid w:val="049E2C39"/>
    <w:rsid w:val="04F41892"/>
    <w:rsid w:val="05EF21A1"/>
    <w:rsid w:val="06042331"/>
    <w:rsid w:val="060C4061"/>
    <w:rsid w:val="061A5B0F"/>
    <w:rsid w:val="06221E43"/>
    <w:rsid w:val="06420DDB"/>
    <w:rsid w:val="06686A08"/>
    <w:rsid w:val="067C0722"/>
    <w:rsid w:val="06B84E92"/>
    <w:rsid w:val="06E070A4"/>
    <w:rsid w:val="06F55388"/>
    <w:rsid w:val="073A6909"/>
    <w:rsid w:val="07453533"/>
    <w:rsid w:val="07733C2E"/>
    <w:rsid w:val="07B45BA4"/>
    <w:rsid w:val="08687142"/>
    <w:rsid w:val="088A785B"/>
    <w:rsid w:val="089207C9"/>
    <w:rsid w:val="089D726F"/>
    <w:rsid w:val="08F9112B"/>
    <w:rsid w:val="092A7858"/>
    <w:rsid w:val="094F7D60"/>
    <w:rsid w:val="095B0D26"/>
    <w:rsid w:val="0A736491"/>
    <w:rsid w:val="0A8D7C4B"/>
    <w:rsid w:val="0A923624"/>
    <w:rsid w:val="0AB86B54"/>
    <w:rsid w:val="0AE452CB"/>
    <w:rsid w:val="0B2C73B4"/>
    <w:rsid w:val="0BA43164"/>
    <w:rsid w:val="0BC17455"/>
    <w:rsid w:val="0C1621CD"/>
    <w:rsid w:val="0C1856DB"/>
    <w:rsid w:val="0C1E51AA"/>
    <w:rsid w:val="0C6C7C55"/>
    <w:rsid w:val="0CFD0D6E"/>
    <w:rsid w:val="0D9945D4"/>
    <w:rsid w:val="0DFC755C"/>
    <w:rsid w:val="0E261694"/>
    <w:rsid w:val="0E2C32D4"/>
    <w:rsid w:val="0E5605E1"/>
    <w:rsid w:val="0EA61DC2"/>
    <w:rsid w:val="0F322446"/>
    <w:rsid w:val="0F3B38B1"/>
    <w:rsid w:val="0F4A3F12"/>
    <w:rsid w:val="0F703245"/>
    <w:rsid w:val="101C3FAA"/>
    <w:rsid w:val="10750C43"/>
    <w:rsid w:val="10885D19"/>
    <w:rsid w:val="10A82305"/>
    <w:rsid w:val="113E62E3"/>
    <w:rsid w:val="11711B07"/>
    <w:rsid w:val="1173064C"/>
    <w:rsid w:val="1186373B"/>
    <w:rsid w:val="11D80F3F"/>
    <w:rsid w:val="11F76FF9"/>
    <w:rsid w:val="120058FD"/>
    <w:rsid w:val="139F6A58"/>
    <w:rsid w:val="13C94BEE"/>
    <w:rsid w:val="13D87A60"/>
    <w:rsid w:val="145862D8"/>
    <w:rsid w:val="14723197"/>
    <w:rsid w:val="1480119D"/>
    <w:rsid w:val="14D412BD"/>
    <w:rsid w:val="15062FB5"/>
    <w:rsid w:val="151D4841"/>
    <w:rsid w:val="15577F5D"/>
    <w:rsid w:val="15C46DD7"/>
    <w:rsid w:val="160057A7"/>
    <w:rsid w:val="161B566D"/>
    <w:rsid w:val="163A0EA4"/>
    <w:rsid w:val="16810A84"/>
    <w:rsid w:val="16BA2BDA"/>
    <w:rsid w:val="16FE3A25"/>
    <w:rsid w:val="1700234E"/>
    <w:rsid w:val="1714449A"/>
    <w:rsid w:val="17220955"/>
    <w:rsid w:val="1760238D"/>
    <w:rsid w:val="17AA74C3"/>
    <w:rsid w:val="18997A61"/>
    <w:rsid w:val="19260EBA"/>
    <w:rsid w:val="193948C7"/>
    <w:rsid w:val="194E5B4C"/>
    <w:rsid w:val="195F5412"/>
    <w:rsid w:val="195F6D7A"/>
    <w:rsid w:val="19605FAA"/>
    <w:rsid w:val="19D11A63"/>
    <w:rsid w:val="19F52682"/>
    <w:rsid w:val="19FD545A"/>
    <w:rsid w:val="1A0B776F"/>
    <w:rsid w:val="1A0D6D4B"/>
    <w:rsid w:val="1A1263C1"/>
    <w:rsid w:val="1AC53033"/>
    <w:rsid w:val="1B0166A2"/>
    <w:rsid w:val="1B051B96"/>
    <w:rsid w:val="1B2C202E"/>
    <w:rsid w:val="1B35374F"/>
    <w:rsid w:val="1BCE0BC4"/>
    <w:rsid w:val="1BD720DD"/>
    <w:rsid w:val="1BD87024"/>
    <w:rsid w:val="1C135AE6"/>
    <w:rsid w:val="1C23792A"/>
    <w:rsid w:val="1C3F4577"/>
    <w:rsid w:val="1C6F46DA"/>
    <w:rsid w:val="1C7530EF"/>
    <w:rsid w:val="1CC61741"/>
    <w:rsid w:val="1CFB7D84"/>
    <w:rsid w:val="1D0D1919"/>
    <w:rsid w:val="1D2F2FB9"/>
    <w:rsid w:val="1D311D32"/>
    <w:rsid w:val="1D9845BE"/>
    <w:rsid w:val="1E2B07C0"/>
    <w:rsid w:val="1E443DA6"/>
    <w:rsid w:val="1E4A6588"/>
    <w:rsid w:val="1E5B6F1A"/>
    <w:rsid w:val="1EDE32D0"/>
    <w:rsid w:val="1EE32D02"/>
    <w:rsid w:val="1F494B6F"/>
    <w:rsid w:val="1F4F4D79"/>
    <w:rsid w:val="1F80764A"/>
    <w:rsid w:val="1FD7169C"/>
    <w:rsid w:val="205F1058"/>
    <w:rsid w:val="206033F3"/>
    <w:rsid w:val="206F2EE5"/>
    <w:rsid w:val="208F7F9B"/>
    <w:rsid w:val="20AC54F4"/>
    <w:rsid w:val="20B52589"/>
    <w:rsid w:val="20CE7C2E"/>
    <w:rsid w:val="21337A09"/>
    <w:rsid w:val="21AC6622"/>
    <w:rsid w:val="21C77C25"/>
    <w:rsid w:val="22016222"/>
    <w:rsid w:val="222E6BDC"/>
    <w:rsid w:val="223F5996"/>
    <w:rsid w:val="22516F93"/>
    <w:rsid w:val="22A63B86"/>
    <w:rsid w:val="22BA4DAA"/>
    <w:rsid w:val="22FF4DE3"/>
    <w:rsid w:val="23005F24"/>
    <w:rsid w:val="231C3FFB"/>
    <w:rsid w:val="23BD7C8E"/>
    <w:rsid w:val="23DB05EC"/>
    <w:rsid w:val="2458067D"/>
    <w:rsid w:val="24D16936"/>
    <w:rsid w:val="253C0417"/>
    <w:rsid w:val="25446B12"/>
    <w:rsid w:val="25727247"/>
    <w:rsid w:val="25731C9E"/>
    <w:rsid w:val="257B6770"/>
    <w:rsid w:val="257F6C17"/>
    <w:rsid w:val="25FC694C"/>
    <w:rsid w:val="260C4D6D"/>
    <w:rsid w:val="264477EB"/>
    <w:rsid w:val="267B552E"/>
    <w:rsid w:val="26A737FD"/>
    <w:rsid w:val="27005BD4"/>
    <w:rsid w:val="271E78F5"/>
    <w:rsid w:val="277C0DEC"/>
    <w:rsid w:val="277D715D"/>
    <w:rsid w:val="278F119D"/>
    <w:rsid w:val="27A80E20"/>
    <w:rsid w:val="27AA248C"/>
    <w:rsid w:val="27AE789D"/>
    <w:rsid w:val="27B371B6"/>
    <w:rsid w:val="27D40669"/>
    <w:rsid w:val="27F03A15"/>
    <w:rsid w:val="27FC2A5A"/>
    <w:rsid w:val="280703FA"/>
    <w:rsid w:val="28180620"/>
    <w:rsid w:val="28193E1E"/>
    <w:rsid w:val="2840118A"/>
    <w:rsid w:val="28675B3F"/>
    <w:rsid w:val="289D5E25"/>
    <w:rsid w:val="28E41824"/>
    <w:rsid w:val="296C451E"/>
    <w:rsid w:val="299D67E9"/>
    <w:rsid w:val="29E44E59"/>
    <w:rsid w:val="2A0A3A7F"/>
    <w:rsid w:val="2AAA61DC"/>
    <w:rsid w:val="2AFA78E7"/>
    <w:rsid w:val="2B1F79A7"/>
    <w:rsid w:val="2B7D74AF"/>
    <w:rsid w:val="2B847447"/>
    <w:rsid w:val="2BDF2558"/>
    <w:rsid w:val="2BF256BF"/>
    <w:rsid w:val="2BF97E9E"/>
    <w:rsid w:val="2C2D51AF"/>
    <w:rsid w:val="2C466F29"/>
    <w:rsid w:val="2C5D48C9"/>
    <w:rsid w:val="2C896684"/>
    <w:rsid w:val="2CEB0F6D"/>
    <w:rsid w:val="2CFA2BA8"/>
    <w:rsid w:val="2CFE060B"/>
    <w:rsid w:val="2D3817E5"/>
    <w:rsid w:val="2D696E9C"/>
    <w:rsid w:val="2DDE5F4B"/>
    <w:rsid w:val="2E1C5A01"/>
    <w:rsid w:val="2E4100F9"/>
    <w:rsid w:val="2EBE00DC"/>
    <w:rsid w:val="2F010CCF"/>
    <w:rsid w:val="2F17564F"/>
    <w:rsid w:val="2F465EF2"/>
    <w:rsid w:val="2F4D66B1"/>
    <w:rsid w:val="2F621F94"/>
    <w:rsid w:val="2F6277C1"/>
    <w:rsid w:val="2F96702B"/>
    <w:rsid w:val="2FC51AA2"/>
    <w:rsid w:val="301A598B"/>
    <w:rsid w:val="302759E4"/>
    <w:rsid w:val="304079F8"/>
    <w:rsid w:val="3049232A"/>
    <w:rsid w:val="30932FCC"/>
    <w:rsid w:val="30ED18D1"/>
    <w:rsid w:val="311B0EFE"/>
    <w:rsid w:val="313A7B15"/>
    <w:rsid w:val="31945CBD"/>
    <w:rsid w:val="31AE3264"/>
    <w:rsid w:val="31C3267D"/>
    <w:rsid w:val="32307D10"/>
    <w:rsid w:val="323143DB"/>
    <w:rsid w:val="32712D3D"/>
    <w:rsid w:val="329375B3"/>
    <w:rsid w:val="329F4A93"/>
    <w:rsid w:val="32D242EC"/>
    <w:rsid w:val="32E77B86"/>
    <w:rsid w:val="32EB7218"/>
    <w:rsid w:val="331E20F0"/>
    <w:rsid w:val="331E389D"/>
    <w:rsid w:val="33267701"/>
    <w:rsid w:val="332F4AFD"/>
    <w:rsid w:val="33305B1F"/>
    <w:rsid w:val="33586AEE"/>
    <w:rsid w:val="336319FB"/>
    <w:rsid w:val="339E433A"/>
    <w:rsid w:val="33D569E0"/>
    <w:rsid w:val="33E80917"/>
    <w:rsid w:val="33F56724"/>
    <w:rsid w:val="341A2A9B"/>
    <w:rsid w:val="347E57CB"/>
    <w:rsid w:val="34E326FC"/>
    <w:rsid w:val="34F42640"/>
    <w:rsid w:val="35F571DF"/>
    <w:rsid w:val="35FA25FB"/>
    <w:rsid w:val="362004DA"/>
    <w:rsid w:val="362719B3"/>
    <w:rsid w:val="365D570B"/>
    <w:rsid w:val="369D7A64"/>
    <w:rsid w:val="36DF6CE9"/>
    <w:rsid w:val="36F04897"/>
    <w:rsid w:val="37624185"/>
    <w:rsid w:val="37A13830"/>
    <w:rsid w:val="37D22C05"/>
    <w:rsid w:val="38083033"/>
    <w:rsid w:val="381150C2"/>
    <w:rsid w:val="384B5212"/>
    <w:rsid w:val="389A2E96"/>
    <w:rsid w:val="38BD0963"/>
    <w:rsid w:val="38D55B9F"/>
    <w:rsid w:val="39667DEA"/>
    <w:rsid w:val="39D06F12"/>
    <w:rsid w:val="39F571A6"/>
    <w:rsid w:val="3A7329DB"/>
    <w:rsid w:val="3AB618D8"/>
    <w:rsid w:val="3AC52C8C"/>
    <w:rsid w:val="3AC8075E"/>
    <w:rsid w:val="3B2A3966"/>
    <w:rsid w:val="3B2B7C24"/>
    <w:rsid w:val="3B314A58"/>
    <w:rsid w:val="3B354C7D"/>
    <w:rsid w:val="3B85070F"/>
    <w:rsid w:val="3B9F7C21"/>
    <w:rsid w:val="3C2A4542"/>
    <w:rsid w:val="3C552A80"/>
    <w:rsid w:val="3CA86F5B"/>
    <w:rsid w:val="3D2C5CC4"/>
    <w:rsid w:val="3D555FB4"/>
    <w:rsid w:val="3DE9446F"/>
    <w:rsid w:val="3E2E1584"/>
    <w:rsid w:val="3E4015DE"/>
    <w:rsid w:val="3EB844C5"/>
    <w:rsid w:val="3ECA0B56"/>
    <w:rsid w:val="3EE8705E"/>
    <w:rsid w:val="3F12142B"/>
    <w:rsid w:val="3F3E78CD"/>
    <w:rsid w:val="3F435331"/>
    <w:rsid w:val="3F4F2BF6"/>
    <w:rsid w:val="3F5C7824"/>
    <w:rsid w:val="3FC55E79"/>
    <w:rsid w:val="3FD747F6"/>
    <w:rsid w:val="3FDB37D2"/>
    <w:rsid w:val="3FF9291D"/>
    <w:rsid w:val="3FFD53C6"/>
    <w:rsid w:val="4025559A"/>
    <w:rsid w:val="407D6726"/>
    <w:rsid w:val="4087795A"/>
    <w:rsid w:val="40DE7EAD"/>
    <w:rsid w:val="41226B6E"/>
    <w:rsid w:val="41356997"/>
    <w:rsid w:val="414D155D"/>
    <w:rsid w:val="41542C7C"/>
    <w:rsid w:val="415C6A3D"/>
    <w:rsid w:val="4174424B"/>
    <w:rsid w:val="41C52529"/>
    <w:rsid w:val="41C9057B"/>
    <w:rsid w:val="41EA2FF5"/>
    <w:rsid w:val="41F7041A"/>
    <w:rsid w:val="424B0015"/>
    <w:rsid w:val="42502DB3"/>
    <w:rsid w:val="4272293C"/>
    <w:rsid w:val="427F526A"/>
    <w:rsid w:val="42993908"/>
    <w:rsid w:val="431C7385"/>
    <w:rsid w:val="43203F88"/>
    <w:rsid w:val="43252F6A"/>
    <w:rsid w:val="439851E8"/>
    <w:rsid w:val="43A7776F"/>
    <w:rsid w:val="444731A6"/>
    <w:rsid w:val="445148E0"/>
    <w:rsid w:val="44744F1F"/>
    <w:rsid w:val="44847801"/>
    <w:rsid w:val="44A446AB"/>
    <w:rsid w:val="44B37D1A"/>
    <w:rsid w:val="44B51A57"/>
    <w:rsid w:val="44BA6E3E"/>
    <w:rsid w:val="451625BD"/>
    <w:rsid w:val="451F6240"/>
    <w:rsid w:val="45AC1DF7"/>
    <w:rsid w:val="45B47177"/>
    <w:rsid w:val="45E85CE9"/>
    <w:rsid w:val="46170F77"/>
    <w:rsid w:val="463A7857"/>
    <w:rsid w:val="46532188"/>
    <w:rsid w:val="466B362B"/>
    <w:rsid w:val="46A00A56"/>
    <w:rsid w:val="46B06504"/>
    <w:rsid w:val="46CC5EF2"/>
    <w:rsid w:val="47AD6744"/>
    <w:rsid w:val="47BE5D87"/>
    <w:rsid w:val="4860282D"/>
    <w:rsid w:val="488365C4"/>
    <w:rsid w:val="48C05E0C"/>
    <w:rsid w:val="490D1787"/>
    <w:rsid w:val="49384DE1"/>
    <w:rsid w:val="4957141F"/>
    <w:rsid w:val="497C3437"/>
    <w:rsid w:val="4990504D"/>
    <w:rsid w:val="4992551F"/>
    <w:rsid w:val="49BF6502"/>
    <w:rsid w:val="4A24102D"/>
    <w:rsid w:val="4A3B3AEF"/>
    <w:rsid w:val="4A9B2BB1"/>
    <w:rsid w:val="4AD8241E"/>
    <w:rsid w:val="4AE25528"/>
    <w:rsid w:val="4AEA441E"/>
    <w:rsid w:val="4AF2098E"/>
    <w:rsid w:val="4B4143A0"/>
    <w:rsid w:val="4B5B1421"/>
    <w:rsid w:val="4B5E4694"/>
    <w:rsid w:val="4B8C4359"/>
    <w:rsid w:val="4C080797"/>
    <w:rsid w:val="4C152A5F"/>
    <w:rsid w:val="4C1A286F"/>
    <w:rsid w:val="4C614EAE"/>
    <w:rsid w:val="4C643643"/>
    <w:rsid w:val="4C7D61DF"/>
    <w:rsid w:val="4CFE45CD"/>
    <w:rsid w:val="4D274DFE"/>
    <w:rsid w:val="4D344220"/>
    <w:rsid w:val="4D85366D"/>
    <w:rsid w:val="4DB77057"/>
    <w:rsid w:val="4E0B7EE8"/>
    <w:rsid w:val="4E8447FD"/>
    <w:rsid w:val="4EA7259C"/>
    <w:rsid w:val="4EE1019E"/>
    <w:rsid w:val="4F2F3B2E"/>
    <w:rsid w:val="4F415E45"/>
    <w:rsid w:val="4F4254CD"/>
    <w:rsid w:val="4F5F0D28"/>
    <w:rsid w:val="4F7601C8"/>
    <w:rsid w:val="4FD276D2"/>
    <w:rsid w:val="4FE85D48"/>
    <w:rsid w:val="4FF164CF"/>
    <w:rsid w:val="4FF229F7"/>
    <w:rsid w:val="50464E1C"/>
    <w:rsid w:val="50DA22BF"/>
    <w:rsid w:val="50ED5239"/>
    <w:rsid w:val="515401A5"/>
    <w:rsid w:val="51B015AF"/>
    <w:rsid w:val="51B63221"/>
    <w:rsid w:val="51FF265C"/>
    <w:rsid w:val="520717CF"/>
    <w:rsid w:val="52464FC3"/>
    <w:rsid w:val="529752A4"/>
    <w:rsid w:val="52BF5137"/>
    <w:rsid w:val="52D751CE"/>
    <w:rsid w:val="52D82651"/>
    <w:rsid w:val="530E5146"/>
    <w:rsid w:val="533018CB"/>
    <w:rsid w:val="534151A5"/>
    <w:rsid w:val="53882316"/>
    <w:rsid w:val="53B64AB8"/>
    <w:rsid w:val="53D7452D"/>
    <w:rsid w:val="53F657A0"/>
    <w:rsid w:val="53FE1D55"/>
    <w:rsid w:val="5431209E"/>
    <w:rsid w:val="543C501B"/>
    <w:rsid w:val="54415203"/>
    <w:rsid w:val="54525489"/>
    <w:rsid w:val="546E5F18"/>
    <w:rsid w:val="54BD0A65"/>
    <w:rsid w:val="54E87CA4"/>
    <w:rsid w:val="551840E3"/>
    <w:rsid w:val="552F036A"/>
    <w:rsid w:val="55921BB3"/>
    <w:rsid w:val="55A30910"/>
    <w:rsid w:val="560D1290"/>
    <w:rsid w:val="56573397"/>
    <w:rsid w:val="5673564A"/>
    <w:rsid w:val="56A951DB"/>
    <w:rsid w:val="56C30CC4"/>
    <w:rsid w:val="576A1C2C"/>
    <w:rsid w:val="578F6AAA"/>
    <w:rsid w:val="5794384C"/>
    <w:rsid w:val="580C11CF"/>
    <w:rsid w:val="581172F0"/>
    <w:rsid w:val="586542F7"/>
    <w:rsid w:val="58AE58AC"/>
    <w:rsid w:val="58BD7578"/>
    <w:rsid w:val="58F17478"/>
    <w:rsid w:val="595F3552"/>
    <w:rsid w:val="59700182"/>
    <w:rsid w:val="598B0484"/>
    <w:rsid w:val="59A22A06"/>
    <w:rsid w:val="59D03ABF"/>
    <w:rsid w:val="5A0030EC"/>
    <w:rsid w:val="5A1D47D8"/>
    <w:rsid w:val="5A8B3566"/>
    <w:rsid w:val="5B14226D"/>
    <w:rsid w:val="5B31761B"/>
    <w:rsid w:val="5B492809"/>
    <w:rsid w:val="5B4A1432"/>
    <w:rsid w:val="5B5652B8"/>
    <w:rsid w:val="5B700866"/>
    <w:rsid w:val="5B7277AF"/>
    <w:rsid w:val="5B9B09D0"/>
    <w:rsid w:val="5C0D7C8A"/>
    <w:rsid w:val="5C60319F"/>
    <w:rsid w:val="5C6B2F96"/>
    <w:rsid w:val="5CAA39E3"/>
    <w:rsid w:val="5CAB5E00"/>
    <w:rsid w:val="5CBD386B"/>
    <w:rsid w:val="5CCD0955"/>
    <w:rsid w:val="5D496E72"/>
    <w:rsid w:val="5E6D0D7C"/>
    <w:rsid w:val="5E8D1F5B"/>
    <w:rsid w:val="5EA75D97"/>
    <w:rsid w:val="5EB31650"/>
    <w:rsid w:val="5EB46784"/>
    <w:rsid w:val="5F003CC2"/>
    <w:rsid w:val="5F411A6A"/>
    <w:rsid w:val="5F8421A1"/>
    <w:rsid w:val="5FE715BF"/>
    <w:rsid w:val="605C6AE4"/>
    <w:rsid w:val="60623598"/>
    <w:rsid w:val="60AF034D"/>
    <w:rsid w:val="60C90D2E"/>
    <w:rsid w:val="60E475B7"/>
    <w:rsid w:val="60F914F9"/>
    <w:rsid w:val="61733500"/>
    <w:rsid w:val="61A60710"/>
    <w:rsid w:val="61A859C5"/>
    <w:rsid w:val="622A2533"/>
    <w:rsid w:val="622D2AB5"/>
    <w:rsid w:val="626F3F21"/>
    <w:rsid w:val="62966B7D"/>
    <w:rsid w:val="63071C8B"/>
    <w:rsid w:val="63127B3D"/>
    <w:rsid w:val="6319108A"/>
    <w:rsid w:val="631C4B14"/>
    <w:rsid w:val="63442F45"/>
    <w:rsid w:val="63530317"/>
    <w:rsid w:val="63554FA6"/>
    <w:rsid w:val="63973DF2"/>
    <w:rsid w:val="63F27764"/>
    <w:rsid w:val="64EA33D0"/>
    <w:rsid w:val="65250A5B"/>
    <w:rsid w:val="652C56CC"/>
    <w:rsid w:val="652D75EC"/>
    <w:rsid w:val="65363790"/>
    <w:rsid w:val="653A73F5"/>
    <w:rsid w:val="654B73FA"/>
    <w:rsid w:val="65837231"/>
    <w:rsid w:val="65C624A9"/>
    <w:rsid w:val="664A412A"/>
    <w:rsid w:val="665C4A5F"/>
    <w:rsid w:val="666E480E"/>
    <w:rsid w:val="671B6A53"/>
    <w:rsid w:val="671C0D0F"/>
    <w:rsid w:val="67A02EC6"/>
    <w:rsid w:val="67FA3DD0"/>
    <w:rsid w:val="680D4717"/>
    <w:rsid w:val="68331085"/>
    <w:rsid w:val="689F30FA"/>
    <w:rsid w:val="68B34197"/>
    <w:rsid w:val="69103517"/>
    <w:rsid w:val="69D24063"/>
    <w:rsid w:val="69FA247D"/>
    <w:rsid w:val="6A0C47AC"/>
    <w:rsid w:val="6A262031"/>
    <w:rsid w:val="6A5A39B7"/>
    <w:rsid w:val="6A9A649C"/>
    <w:rsid w:val="6AD32D3A"/>
    <w:rsid w:val="6AF57570"/>
    <w:rsid w:val="6AFC1FFF"/>
    <w:rsid w:val="6B8762A9"/>
    <w:rsid w:val="6B9A78CC"/>
    <w:rsid w:val="6C15789B"/>
    <w:rsid w:val="6C2651BB"/>
    <w:rsid w:val="6C332FF8"/>
    <w:rsid w:val="6C423D5F"/>
    <w:rsid w:val="6C483473"/>
    <w:rsid w:val="6C6013F1"/>
    <w:rsid w:val="6CB82E03"/>
    <w:rsid w:val="6D0E62BE"/>
    <w:rsid w:val="6D4F5AD1"/>
    <w:rsid w:val="6D791325"/>
    <w:rsid w:val="6D81356A"/>
    <w:rsid w:val="6DB35BE8"/>
    <w:rsid w:val="6E337791"/>
    <w:rsid w:val="6E871922"/>
    <w:rsid w:val="6EBB3AAF"/>
    <w:rsid w:val="6EFA0F97"/>
    <w:rsid w:val="6F3D63C5"/>
    <w:rsid w:val="6F9E39E1"/>
    <w:rsid w:val="6FA3480A"/>
    <w:rsid w:val="6FBE27FB"/>
    <w:rsid w:val="6FC723FB"/>
    <w:rsid w:val="6FCC3D46"/>
    <w:rsid w:val="6FDD0791"/>
    <w:rsid w:val="700857BB"/>
    <w:rsid w:val="700E0325"/>
    <w:rsid w:val="704C15C2"/>
    <w:rsid w:val="70695C43"/>
    <w:rsid w:val="70C16F3B"/>
    <w:rsid w:val="70F730A2"/>
    <w:rsid w:val="70F830DE"/>
    <w:rsid w:val="71067B6A"/>
    <w:rsid w:val="712701FF"/>
    <w:rsid w:val="712E5904"/>
    <w:rsid w:val="713E2C89"/>
    <w:rsid w:val="715469EB"/>
    <w:rsid w:val="71A24010"/>
    <w:rsid w:val="71FE5DD0"/>
    <w:rsid w:val="720B3A57"/>
    <w:rsid w:val="72B43405"/>
    <w:rsid w:val="73131C3F"/>
    <w:rsid w:val="73366993"/>
    <w:rsid w:val="738F3E22"/>
    <w:rsid w:val="73DF51DB"/>
    <w:rsid w:val="7457754C"/>
    <w:rsid w:val="748B01DE"/>
    <w:rsid w:val="74B64380"/>
    <w:rsid w:val="74C521C6"/>
    <w:rsid w:val="74E969F3"/>
    <w:rsid w:val="74F47296"/>
    <w:rsid w:val="75615B24"/>
    <w:rsid w:val="756C091A"/>
    <w:rsid w:val="7596556E"/>
    <w:rsid w:val="75E263AB"/>
    <w:rsid w:val="76442111"/>
    <w:rsid w:val="76474594"/>
    <w:rsid w:val="764C2995"/>
    <w:rsid w:val="76614EA4"/>
    <w:rsid w:val="76820B76"/>
    <w:rsid w:val="76D1262B"/>
    <w:rsid w:val="770533F9"/>
    <w:rsid w:val="773316B5"/>
    <w:rsid w:val="77534AC2"/>
    <w:rsid w:val="779935D2"/>
    <w:rsid w:val="77A567A0"/>
    <w:rsid w:val="77AC7C34"/>
    <w:rsid w:val="77D731C3"/>
    <w:rsid w:val="781E4D74"/>
    <w:rsid w:val="781F5E61"/>
    <w:rsid w:val="78344F22"/>
    <w:rsid w:val="783868AC"/>
    <w:rsid w:val="78A61565"/>
    <w:rsid w:val="78A721E3"/>
    <w:rsid w:val="78A8799C"/>
    <w:rsid w:val="78B949AF"/>
    <w:rsid w:val="78ED263F"/>
    <w:rsid w:val="78F92DDB"/>
    <w:rsid w:val="793B3C46"/>
    <w:rsid w:val="79511667"/>
    <w:rsid w:val="79981E74"/>
    <w:rsid w:val="79B16B64"/>
    <w:rsid w:val="7A2451E4"/>
    <w:rsid w:val="7AE36786"/>
    <w:rsid w:val="7B1747E6"/>
    <w:rsid w:val="7B253C6E"/>
    <w:rsid w:val="7BD106D3"/>
    <w:rsid w:val="7BD80816"/>
    <w:rsid w:val="7BE6363E"/>
    <w:rsid w:val="7BFD39C9"/>
    <w:rsid w:val="7C115D98"/>
    <w:rsid w:val="7C815E70"/>
    <w:rsid w:val="7C93313A"/>
    <w:rsid w:val="7CCC41E1"/>
    <w:rsid w:val="7D2B430C"/>
    <w:rsid w:val="7D6D412A"/>
    <w:rsid w:val="7DEB2532"/>
    <w:rsid w:val="7DFB27E9"/>
    <w:rsid w:val="7E1359E4"/>
    <w:rsid w:val="7E573D4E"/>
    <w:rsid w:val="7E8132DE"/>
    <w:rsid w:val="7E986AC5"/>
    <w:rsid w:val="7ED14304"/>
    <w:rsid w:val="7EF60DF4"/>
    <w:rsid w:val="7F017CC3"/>
    <w:rsid w:val="7F07565D"/>
    <w:rsid w:val="7F282A58"/>
    <w:rsid w:val="7F911B64"/>
    <w:rsid w:val="7FAD529F"/>
    <w:rsid w:val="7FC71359"/>
    <w:rsid w:val="7FDE4129"/>
    <w:rsid w:val="7FF77121"/>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4"/>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iPriority="0" w:semiHidden="0" w:name="index 1"/>
    <w:lsdException w:qFormat="1" w:unhideWhenUsed="0" w:uiPriority="0" w:semiHidden="0" w:name="index 2"/>
    <w:lsdException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unhideWhenUsed="0" w:uiPriority="0" w:semiHidden="0" w:name="index 7"/>
    <w:lsdException w:qFormat="1" w:unhideWhenUsed="0" w:uiPriority="0" w:semiHidden="0" w:name="index 8"/>
    <w:lsdException w:qFormat="1"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0"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0" w:name="annotation reference"/>
    <w:lsdException w:qFormat="1"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qFormat="1" w:unhideWhenUsed="0" w:uiPriority="0" w:semiHidden="0" w:name="List 4"/>
    <w:lsdException w:qFormat="1" w:unhideWhenUsed="0" w:uiPriority="0" w:semiHidden="0" w:name="List 5"/>
    <w:lsdException w:unhideWhenUsed="0" w:uiPriority="0" w:semiHidden="0" w:name="List Bullet 2"/>
    <w:lsdException w:qFormat="1" w:unhideWhenUsed="0" w:uiPriority="0" w:semiHidden="0" w:name="List Bullet 3"/>
    <w:lsdException w:qFormat="1" w:unhideWhenUsed="0" w:uiPriority="0" w:semiHidden="0" w:name="List Bullet 4"/>
    <w:lsdException w:unhideWhenUsed="0" w:uiPriority="0" w:semiHidden="0" w:name="List Bullet 5"/>
    <w:lsdException w:qFormat="1" w:unhideWhenUsed="0" w:uiPriority="0" w:semiHidden="0" w:name="List Number 2"/>
    <w:lsdException w:qFormat="1"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qFormat="1"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unhideWhenUsed="0" w:uiPriority="0" w:semiHidden="0" w:name="List Continue 5"/>
    <w:lsdException w:qFormat="1" w:unhideWhenUsed="0" w:uiPriority="0" w:semiHidden="0" w:name="Message Header"/>
    <w:lsdException w:unhideWhenUsed="0" w:uiPriority="0" w:semiHidden="0" w:name="Subtitle"/>
    <w:lsdException w:qFormat="1" w:unhideWhenUsed="0" w:uiPriority="0" w:semiHidden="0" w:name="Salutation"/>
    <w:lsdException w:unhideWhenUsed="0" w:uiPriority="0" w:semiHidden="0" w:name="Date"/>
    <w:lsdException w:qFormat="1" w:unhideWhenUsed="0" w:uiPriority="0" w:semiHidden="0" w:name="Body Text First Indent"/>
    <w:lsdException w:qFormat="1"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unhideWhenUsed="0" w:uiPriority="0" w:semiHidden="0" w:name="HTML Sample"/>
    <w:lsdException w:qFormat="1" w:unhideWhenUsed="0" w:uiPriority="0" w:semiHidden="0" w:name="HTML Typewriter"/>
    <w:lsdException w:unhideWhenUsed="0" w:uiPriority="0" w:name="HTML Variable"/>
    <w:lsdException w:qFormat="1" w:unhideWhenUsed="0" w:uiPriority="0" w:name="Normal Table"/>
    <w:lsdException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uiPriority w:val="0"/>
    <w:rPr>
      <w:rFonts w:ascii="Times New Roman" w:hAnsi="Times New Roman" w:eastAsia="宋体" w:cs="Times New Roman"/>
    </w:rPr>
  </w:style>
  <w:style w:type="paragraph" w:styleId="5">
    <w:name w:val="heading 1"/>
    <w:basedOn w:val="1"/>
    <w:next w:val="1"/>
    <w:link w:val="158"/>
    <w:qFormat/>
    <w:uiPriority w:val="0"/>
    <w:pPr>
      <w:spacing w:before="480"/>
    </w:pPr>
    <w:rPr>
      <w:b/>
      <w:color w:val="345A8A"/>
      <w:sz w:val="32"/>
    </w:rPr>
  </w:style>
  <w:style w:type="paragraph" w:styleId="6">
    <w:name w:val="heading 2"/>
    <w:basedOn w:val="1"/>
    <w:next w:val="1"/>
    <w:link w:val="348"/>
    <w:qFormat/>
    <w:uiPriority w:val="0"/>
    <w:pPr>
      <w:spacing w:before="200"/>
    </w:pPr>
    <w:rPr>
      <w:b/>
      <w:color w:val="4F81BD"/>
      <w:sz w:val="26"/>
    </w:rPr>
  </w:style>
  <w:style w:type="paragraph" w:styleId="7">
    <w:name w:val="heading 3"/>
    <w:basedOn w:val="1"/>
    <w:next w:val="1"/>
    <w:link w:val="332"/>
    <w:qFormat/>
    <w:uiPriority w:val="0"/>
    <w:pPr>
      <w:spacing w:before="200"/>
    </w:pPr>
    <w:rPr>
      <w:b/>
      <w:color w:val="4F81BD"/>
      <w:sz w:val="24"/>
    </w:rPr>
  </w:style>
  <w:style w:type="paragraph" w:styleId="8">
    <w:name w:val="heading 4"/>
    <w:basedOn w:val="1"/>
    <w:next w:val="1"/>
    <w:link w:val="195"/>
    <w:qFormat/>
    <w:uiPriority w:val="0"/>
    <w:pPr>
      <w:keepNext/>
      <w:keepLines/>
      <w:spacing w:before="280" w:after="290" w:line="376" w:lineRule="auto"/>
      <w:ind w:firstLine="0"/>
      <w:outlineLvl w:val="3"/>
    </w:pPr>
    <w:rPr>
      <w:rFonts w:ascii="Arial" w:hAnsi="Arial" w:eastAsia="黑体"/>
      <w:b/>
      <w:bCs/>
      <w:szCs w:val="28"/>
    </w:rPr>
  </w:style>
  <w:style w:type="paragraph" w:styleId="9">
    <w:name w:val="heading 5"/>
    <w:basedOn w:val="1"/>
    <w:next w:val="1"/>
    <w:link w:val="206"/>
    <w:qFormat/>
    <w:uiPriority w:val="0"/>
    <w:pPr>
      <w:keepNext/>
      <w:keepLines/>
      <w:spacing w:before="280" w:after="290" w:line="376" w:lineRule="auto"/>
      <w:ind w:firstLine="0"/>
      <w:outlineLvl w:val="4"/>
    </w:pPr>
    <w:rPr>
      <w:rFonts w:eastAsia="宋体"/>
      <w:b/>
      <w:bCs/>
      <w:szCs w:val="28"/>
    </w:rPr>
  </w:style>
  <w:style w:type="paragraph" w:styleId="10">
    <w:name w:val="heading 6"/>
    <w:basedOn w:val="1"/>
    <w:next w:val="1"/>
    <w:link w:val="340"/>
    <w:qFormat/>
    <w:uiPriority w:val="0"/>
    <w:pPr>
      <w:numPr>
        <w:ilvl w:val="5"/>
        <w:numId w:val="1"/>
      </w:numPr>
      <w:adjustRightInd w:val="0"/>
      <w:snapToGrid w:val="0"/>
      <w:spacing w:before="156" w:beforeLines="50" w:after="156" w:afterLines="50" w:line="336" w:lineRule="auto"/>
      <w:outlineLvl w:val="5"/>
    </w:pPr>
    <w:rPr>
      <w:rFonts w:eastAsia="宋体"/>
      <w:bCs/>
      <w:snapToGrid w:val="0"/>
      <w:sz w:val="24"/>
      <w:szCs w:val="24"/>
    </w:rPr>
  </w:style>
  <w:style w:type="paragraph" w:styleId="11">
    <w:name w:val="heading 7"/>
    <w:basedOn w:val="1"/>
    <w:next w:val="1"/>
    <w:link w:val="373"/>
    <w:qFormat/>
    <w:uiPriority w:val="0"/>
    <w:pPr>
      <w:keepNext/>
      <w:keepLines/>
      <w:spacing w:before="240" w:after="64" w:line="320" w:lineRule="auto"/>
      <w:ind w:firstLine="0"/>
      <w:outlineLvl w:val="6"/>
    </w:pPr>
    <w:rPr>
      <w:rFonts w:eastAsia="宋体"/>
      <w:b/>
      <w:bCs/>
      <w:sz w:val="24"/>
      <w:szCs w:val="24"/>
    </w:rPr>
  </w:style>
  <w:style w:type="paragraph" w:styleId="12">
    <w:name w:val="heading 8"/>
    <w:basedOn w:val="1"/>
    <w:next w:val="1"/>
    <w:link w:val="330"/>
    <w:qFormat/>
    <w:uiPriority w:val="0"/>
    <w:pPr>
      <w:keepNext/>
      <w:keepLines/>
      <w:spacing w:before="240" w:after="64" w:line="320" w:lineRule="auto"/>
      <w:ind w:firstLine="0"/>
      <w:outlineLvl w:val="7"/>
    </w:pPr>
    <w:rPr>
      <w:rFonts w:ascii="Arial" w:hAnsi="Arial" w:eastAsia="黑体"/>
      <w:sz w:val="24"/>
      <w:szCs w:val="24"/>
    </w:rPr>
  </w:style>
  <w:style w:type="paragraph" w:styleId="13">
    <w:name w:val="heading 9"/>
    <w:basedOn w:val="1"/>
    <w:next w:val="1"/>
    <w:link w:val="248"/>
    <w:qFormat/>
    <w:uiPriority w:val="0"/>
    <w:pPr>
      <w:keepNext/>
      <w:keepLines/>
      <w:spacing w:before="240" w:after="64" w:line="320" w:lineRule="auto"/>
      <w:ind w:firstLine="0"/>
      <w:outlineLvl w:val="8"/>
    </w:pPr>
    <w:rPr>
      <w:rFonts w:ascii="Arial" w:hAnsi="Arial" w:eastAsia="黑体"/>
      <w:sz w:val="21"/>
      <w:szCs w:val="21"/>
    </w:rPr>
  </w:style>
  <w:style w:type="character" w:default="1" w:styleId="135">
    <w:name w:val="Default Paragraph Font"/>
    <w:link w:val="136"/>
    <w:semiHidden/>
    <w:qFormat/>
    <w:uiPriority w:val="0"/>
    <w:rPr>
      <w:rFonts w:eastAsia="楷体_GB2312"/>
      <w:b/>
      <w:sz w:val="44"/>
      <w:szCs w:val="44"/>
    </w:rPr>
  </w:style>
  <w:style w:type="table" w:default="1" w:styleId="90">
    <w:name w:val="Normal Table"/>
    <w:semiHidden/>
    <w:qFormat/>
    <w:uiPriority w:val="0"/>
    <w:tblPr>
      <w:tblCellMar>
        <w:top w:w="0" w:type="dxa"/>
        <w:left w:w="108" w:type="dxa"/>
        <w:bottom w:w="0" w:type="dxa"/>
        <w:right w:w="108" w:type="dxa"/>
      </w:tblCellMar>
    </w:tblPr>
  </w:style>
  <w:style w:type="paragraph" w:customStyle="1" w:styleId="2">
    <w:name w:val="样式 5文章(治) +"/>
    <w:basedOn w:val="3"/>
    <w:qFormat/>
    <w:uiPriority w:val="0"/>
    <w:pPr>
      <w:snapToGrid/>
    </w:pPr>
    <w:rPr>
      <w:kern w:val="0"/>
      <w:szCs w:val="21"/>
    </w:rPr>
  </w:style>
  <w:style w:type="paragraph" w:customStyle="1" w:styleId="3">
    <w:name w:val="5文章(治)"/>
    <w:basedOn w:val="1"/>
    <w:link w:val="209"/>
    <w:qFormat/>
    <w:uiPriority w:val="0"/>
    <w:pPr>
      <w:snapToGrid w:val="0"/>
      <w:spacing w:line="360" w:lineRule="auto"/>
      <w:ind w:firstLine="200"/>
    </w:pPr>
    <w:rPr>
      <w:rFonts w:eastAsia="宋体"/>
      <w:sz w:val="24"/>
      <w:szCs w:val="28"/>
    </w:rPr>
  </w:style>
  <w:style w:type="paragraph" w:styleId="4">
    <w:name w:val="macro"/>
    <w:link w:val="258"/>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Courier New"/>
      <w:kern w:val="2"/>
      <w:sz w:val="24"/>
      <w:szCs w:val="24"/>
      <w:lang w:val="en-US" w:eastAsia="zh-CN" w:bidi="ar-SA"/>
    </w:rPr>
  </w:style>
  <w:style w:type="paragraph" w:styleId="14">
    <w:name w:val="List 3"/>
    <w:basedOn w:val="1"/>
    <w:uiPriority w:val="0"/>
    <w:pPr>
      <w:spacing w:line="240" w:lineRule="auto"/>
      <w:ind w:left="100" w:hanging="200"/>
    </w:pPr>
    <w:rPr>
      <w:rFonts w:eastAsia="宋体"/>
      <w:sz w:val="21"/>
      <w:szCs w:val="24"/>
    </w:rPr>
  </w:style>
  <w:style w:type="paragraph" w:styleId="15">
    <w:name w:val="toc 7"/>
    <w:basedOn w:val="1"/>
    <w:next w:val="1"/>
    <w:uiPriority w:val="0"/>
    <w:pPr>
      <w:spacing w:line="240" w:lineRule="auto"/>
      <w:ind w:left="2520" w:firstLine="0"/>
    </w:pPr>
    <w:rPr>
      <w:rFonts w:eastAsia="宋体"/>
      <w:sz w:val="21"/>
      <w:szCs w:val="24"/>
    </w:rPr>
  </w:style>
  <w:style w:type="paragraph" w:styleId="16">
    <w:name w:val="List Number 2"/>
    <w:basedOn w:val="1"/>
    <w:qFormat/>
    <w:uiPriority w:val="0"/>
    <w:pPr>
      <w:numPr>
        <w:ilvl w:val="0"/>
        <w:numId w:val="2"/>
      </w:numPr>
      <w:spacing w:line="240" w:lineRule="auto"/>
    </w:pPr>
    <w:rPr>
      <w:rFonts w:eastAsia="宋体"/>
      <w:sz w:val="21"/>
      <w:szCs w:val="24"/>
    </w:rPr>
  </w:style>
  <w:style w:type="paragraph" w:styleId="17">
    <w:name w:val="table of authorities"/>
    <w:basedOn w:val="1"/>
    <w:next w:val="1"/>
    <w:qFormat/>
    <w:uiPriority w:val="0"/>
    <w:pPr>
      <w:spacing w:line="240" w:lineRule="auto"/>
      <w:ind w:left="420" w:firstLine="0"/>
    </w:pPr>
    <w:rPr>
      <w:rFonts w:eastAsia="宋体"/>
      <w:sz w:val="21"/>
      <w:szCs w:val="24"/>
    </w:rPr>
  </w:style>
  <w:style w:type="paragraph" w:styleId="18">
    <w:name w:val="Note Heading"/>
    <w:basedOn w:val="1"/>
    <w:next w:val="1"/>
    <w:link w:val="341"/>
    <w:qFormat/>
    <w:uiPriority w:val="0"/>
    <w:pPr>
      <w:spacing w:line="240" w:lineRule="auto"/>
      <w:ind w:firstLine="0"/>
      <w:jc w:val="center"/>
    </w:pPr>
    <w:rPr>
      <w:rFonts w:eastAsia="宋体"/>
      <w:sz w:val="21"/>
      <w:szCs w:val="24"/>
    </w:rPr>
  </w:style>
  <w:style w:type="paragraph" w:styleId="19">
    <w:name w:val="List Bullet 4"/>
    <w:basedOn w:val="1"/>
    <w:qFormat/>
    <w:uiPriority w:val="0"/>
    <w:pPr>
      <w:numPr>
        <w:ilvl w:val="0"/>
        <w:numId w:val="3"/>
      </w:numPr>
      <w:spacing w:line="240" w:lineRule="auto"/>
    </w:pPr>
    <w:rPr>
      <w:rFonts w:eastAsia="宋体"/>
      <w:sz w:val="21"/>
      <w:szCs w:val="24"/>
    </w:rPr>
  </w:style>
  <w:style w:type="paragraph" w:styleId="20">
    <w:name w:val="index 8"/>
    <w:basedOn w:val="1"/>
    <w:next w:val="1"/>
    <w:qFormat/>
    <w:uiPriority w:val="0"/>
    <w:pPr>
      <w:spacing w:line="240" w:lineRule="auto"/>
      <w:ind w:left="1400" w:firstLine="0"/>
    </w:pPr>
    <w:rPr>
      <w:rFonts w:eastAsia="宋体"/>
      <w:sz w:val="21"/>
      <w:szCs w:val="24"/>
    </w:rPr>
  </w:style>
  <w:style w:type="paragraph" w:styleId="21">
    <w:name w:val="E-mail Signature"/>
    <w:basedOn w:val="1"/>
    <w:link w:val="370"/>
    <w:uiPriority w:val="0"/>
    <w:pPr>
      <w:spacing w:line="240" w:lineRule="auto"/>
      <w:ind w:firstLine="0"/>
    </w:pPr>
    <w:rPr>
      <w:rFonts w:eastAsia="宋体"/>
      <w:sz w:val="21"/>
      <w:szCs w:val="24"/>
    </w:rPr>
  </w:style>
  <w:style w:type="paragraph" w:styleId="22">
    <w:name w:val="List Number"/>
    <w:basedOn w:val="1"/>
    <w:uiPriority w:val="0"/>
    <w:pPr>
      <w:numPr>
        <w:ilvl w:val="0"/>
        <w:numId w:val="4"/>
      </w:numPr>
      <w:spacing w:line="240" w:lineRule="auto"/>
    </w:pPr>
    <w:rPr>
      <w:rFonts w:eastAsia="宋体"/>
      <w:sz w:val="21"/>
      <w:szCs w:val="24"/>
    </w:rPr>
  </w:style>
  <w:style w:type="paragraph" w:styleId="23">
    <w:name w:val="Normal Indent"/>
    <w:basedOn w:val="1"/>
    <w:next w:val="24"/>
    <w:link w:val="361"/>
    <w:qFormat/>
    <w:uiPriority w:val="0"/>
    <w:pPr>
      <w:spacing w:line="240" w:lineRule="auto"/>
      <w:ind w:firstLine="420"/>
    </w:pPr>
    <w:rPr>
      <w:rFonts w:eastAsia="宋体"/>
      <w:szCs w:val="24"/>
    </w:rPr>
  </w:style>
  <w:style w:type="paragraph" w:styleId="24">
    <w:name w:val="Body Text First Indent 2"/>
    <w:basedOn w:val="25"/>
    <w:next w:val="26"/>
    <w:link w:val="275"/>
    <w:unhideWhenUsed/>
    <w:qFormat/>
    <w:uiPriority w:val="0"/>
    <w:pPr>
      <w:snapToGrid/>
      <w:spacing w:after="120" w:line="240" w:lineRule="auto"/>
      <w:ind w:left="420" w:firstLine="420"/>
    </w:pPr>
    <w:rPr>
      <w:sz w:val="21"/>
      <w:szCs w:val="24"/>
    </w:rPr>
  </w:style>
  <w:style w:type="paragraph" w:styleId="25">
    <w:name w:val="Body Text Indent"/>
    <w:basedOn w:val="1"/>
    <w:next w:val="24"/>
    <w:link w:val="313"/>
    <w:qFormat/>
    <w:uiPriority w:val="0"/>
    <w:pPr>
      <w:snapToGrid w:val="0"/>
      <w:spacing w:line="336" w:lineRule="auto"/>
      <w:ind w:firstLine="480"/>
    </w:pPr>
    <w:rPr>
      <w:rFonts w:eastAsia="宋体"/>
      <w:sz w:val="24"/>
    </w:rPr>
  </w:style>
  <w:style w:type="paragraph" w:styleId="26">
    <w:name w:val="Body Text First Indent"/>
    <w:basedOn w:val="27"/>
    <w:next w:val="1"/>
    <w:link w:val="234"/>
    <w:qFormat/>
    <w:uiPriority w:val="0"/>
    <w:pPr>
      <w:ind w:firstLine="420"/>
    </w:pPr>
  </w:style>
  <w:style w:type="paragraph" w:styleId="27">
    <w:name w:val="Body Text"/>
    <w:basedOn w:val="1"/>
    <w:next w:val="18"/>
    <w:link w:val="235"/>
    <w:qFormat/>
    <w:uiPriority w:val="0"/>
    <w:pPr>
      <w:spacing w:after="120" w:line="240" w:lineRule="auto"/>
      <w:ind w:firstLine="0"/>
    </w:pPr>
    <w:rPr>
      <w:rFonts w:eastAsia="宋体"/>
      <w:sz w:val="21"/>
      <w:szCs w:val="24"/>
    </w:rPr>
  </w:style>
  <w:style w:type="paragraph" w:styleId="28">
    <w:name w:val="caption"/>
    <w:basedOn w:val="1"/>
    <w:next w:val="1"/>
    <w:link w:val="231"/>
    <w:qFormat/>
    <w:uiPriority w:val="0"/>
    <w:pPr>
      <w:spacing w:before="156" w:beforeLines="50" w:after="120" w:line="240" w:lineRule="atLeast"/>
      <w:ind w:left="907" w:firstLine="0"/>
    </w:pPr>
    <w:rPr>
      <w:rFonts w:ascii="Arial" w:hAnsi="Arial" w:eastAsia="黑体" w:cs="Arial"/>
      <w:sz w:val="20"/>
    </w:rPr>
  </w:style>
  <w:style w:type="paragraph" w:styleId="29">
    <w:name w:val="index 5"/>
    <w:basedOn w:val="1"/>
    <w:next w:val="1"/>
    <w:qFormat/>
    <w:uiPriority w:val="0"/>
    <w:pPr>
      <w:spacing w:line="240" w:lineRule="auto"/>
      <w:ind w:left="800" w:firstLine="0"/>
    </w:pPr>
    <w:rPr>
      <w:rFonts w:eastAsia="宋体"/>
      <w:sz w:val="21"/>
      <w:szCs w:val="24"/>
    </w:rPr>
  </w:style>
  <w:style w:type="paragraph" w:styleId="30">
    <w:name w:val="List Bullet"/>
    <w:basedOn w:val="1"/>
    <w:qFormat/>
    <w:uiPriority w:val="0"/>
    <w:pPr>
      <w:numPr>
        <w:ilvl w:val="0"/>
        <w:numId w:val="5"/>
      </w:numPr>
      <w:spacing w:line="240" w:lineRule="auto"/>
    </w:pPr>
    <w:rPr>
      <w:rFonts w:eastAsia="宋体"/>
      <w:sz w:val="21"/>
      <w:szCs w:val="24"/>
    </w:rPr>
  </w:style>
  <w:style w:type="paragraph" w:styleId="31">
    <w:name w:val="envelope address"/>
    <w:basedOn w:val="1"/>
    <w:qFormat/>
    <w:uiPriority w:val="0"/>
    <w:pPr>
      <w:framePr w:w="7920" w:h="1980" w:hRule="exact" w:hSpace="180" w:wrap="around" w:vAnchor="margin" w:hAnchor="page" w:xAlign="center" w:yAlign="bottom"/>
      <w:snapToGrid w:val="0"/>
      <w:spacing w:line="240" w:lineRule="auto"/>
      <w:ind w:left="100" w:firstLine="0"/>
    </w:pPr>
    <w:rPr>
      <w:rFonts w:ascii="Arial" w:hAnsi="Arial" w:eastAsia="宋体" w:cs="Arial"/>
      <w:sz w:val="24"/>
      <w:szCs w:val="24"/>
    </w:rPr>
  </w:style>
  <w:style w:type="paragraph" w:styleId="32">
    <w:name w:val="Document Map"/>
    <w:basedOn w:val="1"/>
    <w:link w:val="174"/>
    <w:semiHidden/>
    <w:qFormat/>
    <w:uiPriority w:val="0"/>
    <w:pPr>
      <w:shd w:val="clear" w:color="auto" w:fill="000080"/>
    </w:pPr>
  </w:style>
  <w:style w:type="paragraph" w:styleId="33">
    <w:name w:val="toa heading"/>
    <w:basedOn w:val="1"/>
    <w:next w:val="1"/>
    <w:qFormat/>
    <w:uiPriority w:val="0"/>
    <w:pPr>
      <w:spacing w:before="120" w:line="240" w:lineRule="auto"/>
      <w:ind w:firstLine="0"/>
    </w:pPr>
    <w:rPr>
      <w:rFonts w:ascii="Arial" w:hAnsi="Arial" w:eastAsia="宋体" w:cs="Arial"/>
      <w:sz w:val="24"/>
      <w:szCs w:val="24"/>
    </w:rPr>
  </w:style>
  <w:style w:type="paragraph" w:styleId="34">
    <w:name w:val="annotation text"/>
    <w:basedOn w:val="1"/>
    <w:link w:val="333"/>
    <w:qFormat/>
    <w:uiPriority w:val="0"/>
    <w:pPr>
      <w:jc w:val="left"/>
    </w:pPr>
  </w:style>
  <w:style w:type="paragraph" w:styleId="35">
    <w:name w:val="index 6"/>
    <w:basedOn w:val="1"/>
    <w:next w:val="1"/>
    <w:qFormat/>
    <w:uiPriority w:val="0"/>
    <w:pPr>
      <w:spacing w:line="240" w:lineRule="auto"/>
      <w:ind w:left="1000" w:firstLine="0"/>
    </w:pPr>
    <w:rPr>
      <w:rFonts w:eastAsia="宋体"/>
      <w:sz w:val="21"/>
      <w:szCs w:val="24"/>
    </w:rPr>
  </w:style>
  <w:style w:type="paragraph" w:styleId="36">
    <w:name w:val="Salutation"/>
    <w:basedOn w:val="1"/>
    <w:next w:val="1"/>
    <w:link w:val="364"/>
    <w:qFormat/>
    <w:uiPriority w:val="0"/>
    <w:pPr>
      <w:spacing w:line="240" w:lineRule="auto"/>
      <w:ind w:firstLine="0"/>
    </w:pPr>
    <w:rPr>
      <w:rFonts w:eastAsia="宋体"/>
      <w:sz w:val="21"/>
      <w:szCs w:val="24"/>
    </w:rPr>
  </w:style>
  <w:style w:type="paragraph" w:styleId="37">
    <w:name w:val="Body Text 3"/>
    <w:basedOn w:val="1"/>
    <w:link w:val="167"/>
    <w:qFormat/>
    <w:uiPriority w:val="0"/>
    <w:pPr>
      <w:spacing w:after="120" w:line="240" w:lineRule="auto"/>
      <w:ind w:firstLine="0"/>
    </w:pPr>
    <w:rPr>
      <w:rFonts w:eastAsia="宋体"/>
      <w:sz w:val="16"/>
      <w:szCs w:val="16"/>
    </w:rPr>
  </w:style>
  <w:style w:type="paragraph" w:styleId="38">
    <w:name w:val="Closing"/>
    <w:basedOn w:val="1"/>
    <w:link w:val="366"/>
    <w:qFormat/>
    <w:uiPriority w:val="0"/>
    <w:pPr>
      <w:spacing w:line="240" w:lineRule="auto"/>
      <w:ind w:left="100" w:firstLine="0"/>
    </w:pPr>
    <w:rPr>
      <w:rFonts w:eastAsia="宋体"/>
      <w:sz w:val="21"/>
      <w:szCs w:val="24"/>
    </w:rPr>
  </w:style>
  <w:style w:type="paragraph" w:styleId="39">
    <w:name w:val="List Bullet 3"/>
    <w:basedOn w:val="1"/>
    <w:qFormat/>
    <w:uiPriority w:val="0"/>
    <w:pPr>
      <w:numPr>
        <w:ilvl w:val="0"/>
        <w:numId w:val="6"/>
      </w:numPr>
      <w:spacing w:line="240" w:lineRule="auto"/>
    </w:pPr>
    <w:rPr>
      <w:rFonts w:eastAsia="宋体"/>
      <w:sz w:val="21"/>
      <w:szCs w:val="24"/>
    </w:rPr>
  </w:style>
  <w:style w:type="paragraph" w:styleId="40">
    <w:name w:val="List Number 3"/>
    <w:basedOn w:val="1"/>
    <w:qFormat/>
    <w:uiPriority w:val="0"/>
    <w:pPr>
      <w:numPr>
        <w:ilvl w:val="0"/>
        <w:numId w:val="7"/>
      </w:numPr>
      <w:spacing w:line="240" w:lineRule="auto"/>
    </w:pPr>
    <w:rPr>
      <w:rFonts w:eastAsia="宋体"/>
      <w:sz w:val="21"/>
      <w:szCs w:val="24"/>
    </w:rPr>
  </w:style>
  <w:style w:type="paragraph" w:styleId="41">
    <w:name w:val="List 2"/>
    <w:basedOn w:val="1"/>
    <w:uiPriority w:val="0"/>
    <w:pPr>
      <w:spacing w:line="240" w:lineRule="auto"/>
      <w:ind w:left="100" w:hanging="200"/>
    </w:pPr>
    <w:rPr>
      <w:rFonts w:eastAsia="宋体"/>
      <w:sz w:val="21"/>
      <w:szCs w:val="24"/>
    </w:rPr>
  </w:style>
  <w:style w:type="paragraph" w:styleId="42">
    <w:name w:val="List Continue"/>
    <w:basedOn w:val="1"/>
    <w:uiPriority w:val="0"/>
    <w:pPr>
      <w:spacing w:after="120" w:line="240" w:lineRule="auto"/>
      <w:ind w:left="420" w:firstLine="0"/>
    </w:pPr>
    <w:rPr>
      <w:rFonts w:eastAsia="宋体"/>
      <w:sz w:val="21"/>
      <w:szCs w:val="24"/>
    </w:rPr>
  </w:style>
  <w:style w:type="paragraph" w:styleId="43">
    <w:name w:val="Block Text"/>
    <w:basedOn w:val="1"/>
    <w:qFormat/>
    <w:uiPriority w:val="0"/>
    <w:pPr>
      <w:spacing w:after="120" w:line="240" w:lineRule="auto"/>
      <w:ind w:left="1440" w:right="1440" w:firstLine="0"/>
    </w:pPr>
    <w:rPr>
      <w:rFonts w:eastAsia="宋体"/>
      <w:sz w:val="21"/>
      <w:szCs w:val="24"/>
    </w:rPr>
  </w:style>
  <w:style w:type="paragraph" w:styleId="44">
    <w:name w:val="List Bullet 2"/>
    <w:basedOn w:val="1"/>
    <w:uiPriority w:val="0"/>
    <w:pPr>
      <w:numPr>
        <w:ilvl w:val="0"/>
        <w:numId w:val="8"/>
      </w:numPr>
      <w:spacing w:line="240" w:lineRule="auto"/>
    </w:pPr>
    <w:rPr>
      <w:rFonts w:eastAsia="宋体"/>
      <w:sz w:val="21"/>
      <w:szCs w:val="24"/>
    </w:rPr>
  </w:style>
  <w:style w:type="paragraph" w:styleId="45">
    <w:name w:val="HTML Address"/>
    <w:basedOn w:val="1"/>
    <w:link w:val="282"/>
    <w:uiPriority w:val="0"/>
    <w:pPr>
      <w:spacing w:line="240" w:lineRule="auto"/>
      <w:ind w:firstLine="0"/>
    </w:pPr>
    <w:rPr>
      <w:rFonts w:eastAsia="宋体"/>
      <w:i/>
      <w:iCs/>
      <w:sz w:val="21"/>
      <w:szCs w:val="24"/>
    </w:rPr>
  </w:style>
  <w:style w:type="paragraph" w:styleId="46">
    <w:name w:val="index 4"/>
    <w:basedOn w:val="1"/>
    <w:next w:val="1"/>
    <w:qFormat/>
    <w:uiPriority w:val="0"/>
    <w:pPr>
      <w:spacing w:line="240" w:lineRule="auto"/>
      <w:ind w:left="600" w:firstLine="0"/>
    </w:pPr>
    <w:rPr>
      <w:rFonts w:eastAsia="宋体"/>
      <w:sz w:val="21"/>
      <w:szCs w:val="24"/>
    </w:rPr>
  </w:style>
  <w:style w:type="paragraph" w:styleId="47">
    <w:name w:val="toc 5"/>
    <w:basedOn w:val="1"/>
    <w:next w:val="1"/>
    <w:uiPriority w:val="0"/>
    <w:pPr>
      <w:spacing w:line="240" w:lineRule="auto"/>
      <w:ind w:left="1680" w:firstLine="0"/>
    </w:pPr>
    <w:rPr>
      <w:rFonts w:eastAsia="宋体"/>
      <w:sz w:val="21"/>
      <w:szCs w:val="24"/>
    </w:rPr>
  </w:style>
  <w:style w:type="paragraph" w:styleId="48">
    <w:name w:val="toc 3"/>
    <w:basedOn w:val="1"/>
    <w:next w:val="1"/>
    <w:uiPriority w:val="0"/>
    <w:pPr>
      <w:ind w:left="840"/>
    </w:pPr>
  </w:style>
  <w:style w:type="paragraph" w:styleId="49">
    <w:name w:val="Plain Text"/>
    <w:basedOn w:val="1"/>
    <w:link w:val="161"/>
    <w:semiHidden/>
    <w:qFormat/>
    <w:uiPriority w:val="0"/>
    <w:pPr>
      <w:adjustRightInd w:val="0"/>
      <w:spacing w:line="240" w:lineRule="auto"/>
      <w:ind w:firstLine="0"/>
    </w:pPr>
    <w:rPr>
      <w:rFonts w:ascii="宋体" w:hAnsi="Courier New" w:eastAsia="宋体"/>
      <w:kern w:val="0"/>
      <w:sz w:val="34"/>
    </w:rPr>
  </w:style>
  <w:style w:type="paragraph" w:styleId="50">
    <w:name w:val="List Bullet 5"/>
    <w:basedOn w:val="1"/>
    <w:uiPriority w:val="0"/>
    <w:pPr>
      <w:numPr>
        <w:ilvl w:val="0"/>
        <w:numId w:val="9"/>
      </w:numPr>
      <w:spacing w:line="240" w:lineRule="auto"/>
    </w:pPr>
    <w:rPr>
      <w:rFonts w:eastAsia="宋体"/>
      <w:sz w:val="21"/>
      <w:szCs w:val="24"/>
    </w:rPr>
  </w:style>
  <w:style w:type="paragraph" w:styleId="51">
    <w:name w:val="List Number 4"/>
    <w:basedOn w:val="1"/>
    <w:uiPriority w:val="0"/>
    <w:pPr>
      <w:numPr>
        <w:ilvl w:val="0"/>
        <w:numId w:val="10"/>
      </w:numPr>
      <w:spacing w:line="240" w:lineRule="auto"/>
    </w:pPr>
    <w:rPr>
      <w:rFonts w:eastAsia="宋体"/>
      <w:sz w:val="21"/>
      <w:szCs w:val="24"/>
    </w:rPr>
  </w:style>
  <w:style w:type="paragraph" w:styleId="52">
    <w:name w:val="toc 8"/>
    <w:basedOn w:val="1"/>
    <w:next w:val="1"/>
    <w:qFormat/>
    <w:uiPriority w:val="0"/>
    <w:pPr>
      <w:ind w:left="2940"/>
    </w:pPr>
  </w:style>
  <w:style w:type="paragraph" w:styleId="53">
    <w:name w:val="index 3"/>
    <w:basedOn w:val="1"/>
    <w:next w:val="1"/>
    <w:uiPriority w:val="0"/>
    <w:pPr>
      <w:spacing w:line="240" w:lineRule="auto"/>
      <w:ind w:left="400" w:firstLine="0"/>
    </w:pPr>
    <w:rPr>
      <w:rFonts w:eastAsia="宋体"/>
      <w:sz w:val="21"/>
      <w:szCs w:val="24"/>
    </w:rPr>
  </w:style>
  <w:style w:type="paragraph" w:styleId="54">
    <w:name w:val="Date"/>
    <w:basedOn w:val="1"/>
    <w:next w:val="1"/>
    <w:link w:val="230"/>
    <w:uiPriority w:val="0"/>
    <w:pPr>
      <w:ind w:left="100"/>
    </w:pPr>
  </w:style>
  <w:style w:type="paragraph" w:styleId="55">
    <w:name w:val="Body Text Indent 2"/>
    <w:basedOn w:val="1"/>
    <w:link w:val="170"/>
    <w:qFormat/>
    <w:uiPriority w:val="0"/>
    <w:pPr>
      <w:spacing w:after="120" w:line="480" w:lineRule="auto"/>
      <w:ind w:left="420" w:firstLine="0"/>
    </w:pPr>
    <w:rPr>
      <w:rFonts w:eastAsia="宋体"/>
      <w:sz w:val="21"/>
      <w:szCs w:val="24"/>
    </w:rPr>
  </w:style>
  <w:style w:type="paragraph" w:styleId="56">
    <w:name w:val="endnote text"/>
    <w:basedOn w:val="1"/>
    <w:link w:val="266"/>
    <w:uiPriority w:val="0"/>
    <w:pPr>
      <w:snapToGrid w:val="0"/>
      <w:spacing w:line="240" w:lineRule="auto"/>
      <w:ind w:firstLine="0"/>
      <w:jc w:val="left"/>
    </w:pPr>
    <w:rPr>
      <w:rFonts w:eastAsia="宋体"/>
      <w:sz w:val="21"/>
      <w:szCs w:val="24"/>
    </w:rPr>
  </w:style>
  <w:style w:type="paragraph" w:styleId="57">
    <w:name w:val="List Continue 5"/>
    <w:basedOn w:val="1"/>
    <w:link w:val="388"/>
    <w:uiPriority w:val="0"/>
    <w:pPr>
      <w:spacing w:after="120" w:line="240" w:lineRule="auto"/>
      <w:ind w:left="2100" w:firstLine="0"/>
    </w:pPr>
    <w:rPr>
      <w:rFonts w:eastAsia="宋体"/>
      <w:sz w:val="21"/>
      <w:szCs w:val="24"/>
    </w:rPr>
  </w:style>
  <w:style w:type="paragraph" w:styleId="58">
    <w:name w:val="Balloon Text"/>
    <w:basedOn w:val="1"/>
    <w:link w:val="262"/>
    <w:qFormat/>
    <w:uiPriority w:val="0"/>
    <w:rPr>
      <w:sz w:val="18"/>
      <w:szCs w:val="18"/>
    </w:rPr>
  </w:style>
  <w:style w:type="paragraph" w:styleId="59">
    <w:name w:val="footer"/>
    <w:basedOn w:val="1"/>
    <w:link w:val="292"/>
    <w:qFormat/>
    <w:uiPriority w:val="0"/>
    <w:pPr>
      <w:tabs>
        <w:tab w:val="center" w:pos="4153"/>
        <w:tab w:val="right" w:pos="8306"/>
      </w:tabs>
      <w:snapToGrid w:val="0"/>
      <w:spacing w:line="240" w:lineRule="auto"/>
      <w:jc w:val="left"/>
    </w:pPr>
    <w:rPr>
      <w:sz w:val="18"/>
      <w:szCs w:val="18"/>
    </w:rPr>
  </w:style>
  <w:style w:type="paragraph" w:styleId="60">
    <w:name w:val="envelope return"/>
    <w:basedOn w:val="1"/>
    <w:qFormat/>
    <w:uiPriority w:val="0"/>
    <w:pPr>
      <w:snapToGrid w:val="0"/>
      <w:spacing w:line="240" w:lineRule="auto"/>
      <w:ind w:firstLine="0"/>
    </w:pPr>
    <w:rPr>
      <w:rFonts w:ascii="Arial" w:hAnsi="Arial" w:eastAsia="宋体" w:cs="Arial"/>
      <w:sz w:val="21"/>
      <w:szCs w:val="24"/>
    </w:rPr>
  </w:style>
  <w:style w:type="paragraph" w:styleId="61">
    <w:name w:val="header"/>
    <w:basedOn w:val="1"/>
    <w:next w:val="1"/>
    <w:link w:val="228"/>
    <w:qFormat/>
    <w:uiPriority w:val="99"/>
    <w:pPr>
      <w:pBdr>
        <w:bottom w:val="single" w:color="auto" w:sz="6" w:space="1"/>
      </w:pBdr>
      <w:tabs>
        <w:tab w:val="center" w:pos="4153"/>
        <w:tab w:val="right" w:pos="8306"/>
      </w:tabs>
      <w:snapToGrid w:val="0"/>
      <w:spacing w:line="240" w:lineRule="auto"/>
      <w:jc w:val="center"/>
    </w:pPr>
    <w:rPr>
      <w:sz w:val="18"/>
      <w:szCs w:val="18"/>
    </w:rPr>
  </w:style>
  <w:style w:type="paragraph" w:styleId="62">
    <w:name w:val="Signature"/>
    <w:basedOn w:val="1"/>
    <w:link w:val="329"/>
    <w:uiPriority w:val="0"/>
    <w:pPr>
      <w:spacing w:line="240" w:lineRule="auto"/>
      <w:ind w:left="100" w:firstLine="0"/>
    </w:pPr>
    <w:rPr>
      <w:rFonts w:eastAsia="宋体"/>
      <w:sz w:val="21"/>
      <w:szCs w:val="24"/>
    </w:rPr>
  </w:style>
  <w:style w:type="paragraph" w:styleId="63">
    <w:name w:val="toc 1"/>
    <w:basedOn w:val="1"/>
    <w:next w:val="1"/>
    <w:uiPriority w:val="0"/>
    <w:pPr>
      <w:spacing w:before="120" w:after="120" w:line="240" w:lineRule="auto"/>
      <w:ind w:firstLine="0"/>
      <w:jc w:val="left"/>
    </w:pPr>
    <w:rPr>
      <w:rFonts w:eastAsia="宋体"/>
      <w:b/>
      <w:caps/>
      <w:sz w:val="21"/>
    </w:rPr>
  </w:style>
  <w:style w:type="paragraph" w:styleId="64">
    <w:name w:val="List Continue 4"/>
    <w:basedOn w:val="1"/>
    <w:qFormat/>
    <w:uiPriority w:val="0"/>
    <w:pPr>
      <w:spacing w:after="120" w:line="240" w:lineRule="auto"/>
      <w:ind w:left="1680" w:firstLine="0"/>
    </w:pPr>
    <w:rPr>
      <w:rFonts w:eastAsia="宋体"/>
      <w:sz w:val="21"/>
      <w:szCs w:val="24"/>
    </w:rPr>
  </w:style>
  <w:style w:type="paragraph" w:styleId="65">
    <w:name w:val="toc 4"/>
    <w:basedOn w:val="1"/>
    <w:next w:val="1"/>
    <w:link w:val="367"/>
    <w:uiPriority w:val="0"/>
    <w:pPr>
      <w:spacing w:line="240" w:lineRule="auto"/>
      <w:ind w:left="1260" w:firstLine="0"/>
    </w:pPr>
    <w:rPr>
      <w:rFonts w:eastAsia="宋体"/>
      <w:sz w:val="21"/>
      <w:szCs w:val="24"/>
    </w:rPr>
  </w:style>
  <w:style w:type="paragraph" w:styleId="66">
    <w:name w:val="index heading"/>
    <w:basedOn w:val="1"/>
    <w:next w:val="67"/>
    <w:link w:val="216"/>
    <w:uiPriority w:val="0"/>
    <w:pPr>
      <w:spacing w:line="240" w:lineRule="auto"/>
      <w:ind w:firstLine="0"/>
    </w:pPr>
    <w:rPr>
      <w:rFonts w:ascii="Arial" w:hAnsi="Arial" w:eastAsia="宋体" w:cs="Arial"/>
      <w:b/>
      <w:bCs/>
      <w:sz w:val="21"/>
      <w:szCs w:val="24"/>
    </w:rPr>
  </w:style>
  <w:style w:type="paragraph" w:styleId="67">
    <w:name w:val="index 1"/>
    <w:basedOn w:val="1"/>
    <w:next w:val="1"/>
    <w:unhideWhenUsed/>
    <w:qFormat/>
    <w:uiPriority w:val="0"/>
    <w:pPr>
      <w:spacing w:line="240" w:lineRule="auto"/>
      <w:ind w:firstLine="0"/>
    </w:pPr>
    <w:rPr>
      <w:rFonts w:eastAsia="宋体"/>
      <w:sz w:val="21"/>
      <w:szCs w:val="24"/>
    </w:rPr>
  </w:style>
  <w:style w:type="paragraph" w:styleId="68">
    <w:name w:val="Subtitle"/>
    <w:basedOn w:val="1"/>
    <w:next w:val="1"/>
    <w:link w:val="193"/>
    <w:uiPriority w:val="0"/>
    <w:rPr>
      <w:i/>
      <w:color w:val="4F81BD"/>
      <w:sz w:val="24"/>
    </w:rPr>
  </w:style>
  <w:style w:type="paragraph" w:styleId="69">
    <w:name w:val="List Number 5"/>
    <w:basedOn w:val="1"/>
    <w:uiPriority w:val="0"/>
    <w:pPr>
      <w:numPr>
        <w:ilvl w:val="0"/>
        <w:numId w:val="11"/>
      </w:numPr>
      <w:spacing w:line="240" w:lineRule="auto"/>
    </w:pPr>
    <w:rPr>
      <w:rFonts w:eastAsia="宋体"/>
      <w:sz w:val="21"/>
      <w:szCs w:val="24"/>
    </w:rPr>
  </w:style>
  <w:style w:type="paragraph" w:styleId="70">
    <w:name w:val="List"/>
    <w:basedOn w:val="1"/>
    <w:qFormat/>
    <w:uiPriority w:val="0"/>
    <w:pPr>
      <w:spacing w:line="240" w:lineRule="auto"/>
      <w:ind w:left="200" w:hanging="200"/>
    </w:pPr>
    <w:rPr>
      <w:rFonts w:eastAsia="宋体"/>
      <w:sz w:val="21"/>
      <w:szCs w:val="24"/>
    </w:rPr>
  </w:style>
  <w:style w:type="paragraph" w:styleId="71">
    <w:name w:val="footnote text"/>
    <w:basedOn w:val="1"/>
    <w:link w:val="184"/>
    <w:uiPriority w:val="0"/>
    <w:pPr>
      <w:snapToGrid w:val="0"/>
      <w:spacing w:line="240" w:lineRule="auto"/>
      <w:ind w:firstLine="0"/>
      <w:jc w:val="left"/>
    </w:pPr>
    <w:rPr>
      <w:rFonts w:eastAsia="宋体"/>
      <w:sz w:val="18"/>
      <w:szCs w:val="18"/>
    </w:rPr>
  </w:style>
  <w:style w:type="paragraph" w:styleId="72">
    <w:name w:val="toc 6"/>
    <w:basedOn w:val="1"/>
    <w:next w:val="1"/>
    <w:uiPriority w:val="0"/>
    <w:pPr>
      <w:spacing w:line="240" w:lineRule="auto"/>
      <w:ind w:left="2100" w:firstLine="0"/>
    </w:pPr>
    <w:rPr>
      <w:rFonts w:eastAsia="宋体"/>
      <w:sz w:val="21"/>
      <w:szCs w:val="24"/>
    </w:rPr>
  </w:style>
  <w:style w:type="paragraph" w:styleId="73">
    <w:name w:val="List 5"/>
    <w:basedOn w:val="1"/>
    <w:qFormat/>
    <w:uiPriority w:val="0"/>
    <w:pPr>
      <w:spacing w:line="240" w:lineRule="auto"/>
      <w:ind w:left="100" w:hanging="200"/>
    </w:pPr>
    <w:rPr>
      <w:rFonts w:eastAsia="宋体"/>
      <w:sz w:val="21"/>
      <w:szCs w:val="24"/>
    </w:rPr>
  </w:style>
  <w:style w:type="paragraph" w:styleId="74">
    <w:name w:val="Body Text Indent 3"/>
    <w:basedOn w:val="1"/>
    <w:link w:val="277"/>
    <w:uiPriority w:val="0"/>
    <w:pPr>
      <w:spacing w:after="120" w:line="240" w:lineRule="auto"/>
      <w:ind w:left="420" w:firstLine="0"/>
    </w:pPr>
    <w:rPr>
      <w:rFonts w:eastAsia="宋体"/>
      <w:sz w:val="16"/>
      <w:szCs w:val="16"/>
    </w:rPr>
  </w:style>
  <w:style w:type="paragraph" w:styleId="75">
    <w:name w:val="index 7"/>
    <w:basedOn w:val="1"/>
    <w:next w:val="1"/>
    <w:uiPriority w:val="0"/>
    <w:pPr>
      <w:spacing w:line="240" w:lineRule="auto"/>
      <w:ind w:left="1200" w:firstLine="0"/>
    </w:pPr>
    <w:rPr>
      <w:rFonts w:eastAsia="宋体"/>
      <w:sz w:val="21"/>
      <w:szCs w:val="24"/>
    </w:rPr>
  </w:style>
  <w:style w:type="paragraph" w:styleId="76">
    <w:name w:val="index 9"/>
    <w:basedOn w:val="1"/>
    <w:next w:val="1"/>
    <w:qFormat/>
    <w:uiPriority w:val="0"/>
    <w:pPr>
      <w:spacing w:line="240" w:lineRule="auto"/>
      <w:ind w:left="1600" w:firstLine="0"/>
    </w:pPr>
    <w:rPr>
      <w:rFonts w:eastAsia="宋体"/>
      <w:sz w:val="21"/>
      <w:szCs w:val="24"/>
    </w:rPr>
  </w:style>
  <w:style w:type="paragraph" w:styleId="77">
    <w:name w:val="table of figures"/>
    <w:basedOn w:val="1"/>
    <w:next w:val="1"/>
    <w:qFormat/>
    <w:uiPriority w:val="0"/>
    <w:pPr>
      <w:spacing w:line="240" w:lineRule="auto"/>
      <w:ind w:hanging="200"/>
    </w:pPr>
    <w:rPr>
      <w:rFonts w:eastAsia="宋体"/>
      <w:sz w:val="21"/>
      <w:szCs w:val="24"/>
    </w:rPr>
  </w:style>
  <w:style w:type="paragraph" w:styleId="78">
    <w:name w:val="toc 2"/>
    <w:basedOn w:val="1"/>
    <w:next w:val="1"/>
    <w:qFormat/>
    <w:uiPriority w:val="0"/>
    <w:pPr>
      <w:ind w:left="420"/>
    </w:pPr>
  </w:style>
  <w:style w:type="paragraph" w:styleId="79">
    <w:name w:val="toc 9"/>
    <w:basedOn w:val="1"/>
    <w:next w:val="1"/>
    <w:qFormat/>
    <w:uiPriority w:val="0"/>
    <w:pPr>
      <w:spacing w:line="240" w:lineRule="auto"/>
      <w:ind w:left="3360" w:firstLine="0"/>
    </w:pPr>
    <w:rPr>
      <w:rFonts w:eastAsia="宋体"/>
      <w:sz w:val="21"/>
      <w:szCs w:val="24"/>
    </w:rPr>
  </w:style>
  <w:style w:type="paragraph" w:styleId="80">
    <w:name w:val="Body Text 2"/>
    <w:basedOn w:val="1"/>
    <w:link w:val="274"/>
    <w:qFormat/>
    <w:uiPriority w:val="0"/>
    <w:pPr>
      <w:spacing w:after="120" w:line="480" w:lineRule="auto"/>
      <w:ind w:firstLine="0"/>
    </w:pPr>
    <w:rPr>
      <w:rFonts w:eastAsia="宋体"/>
      <w:sz w:val="21"/>
      <w:szCs w:val="24"/>
    </w:rPr>
  </w:style>
  <w:style w:type="paragraph" w:styleId="81">
    <w:name w:val="List 4"/>
    <w:basedOn w:val="1"/>
    <w:qFormat/>
    <w:uiPriority w:val="0"/>
    <w:pPr>
      <w:spacing w:line="240" w:lineRule="auto"/>
      <w:ind w:left="100" w:hanging="200"/>
    </w:pPr>
    <w:rPr>
      <w:rFonts w:eastAsia="宋体"/>
      <w:sz w:val="21"/>
      <w:szCs w:val="24"/>
    </w:rPr>
  </w:style>
  <w:style w:type="paragraph" w:styleId="82">
    <w:name w:val="List Continue 2"/>
    <w:basedOn w:val="1"/>
    <w:qFormat/>
    <w:uiPriority w:val="0"/>
    <w:pPr>
      <w:spacing w:after="120" w:line="240" w:lineRule="auto"/>
      <w:ind w:left="840" w:firstLine="0"/>
    </w:pPr>
    <w:rPr>
      <w:rFonts w:eastAsia="宋体"/>
      <w:sz w:val="21"/>
      <w:szCs w:val="24"/>
    </w:rPr>
  </w:style>
  <w:style w:type="paragraph" w:styleId="83">
    <w:name w:val="Message Header"/>
    <w:basedOn w:val="1"/>
    <w:link w:val="188"/>
    <w:qFormat/>
    <w:uiPriority w:val="0"/>
    <w:pPr>
      <w:pBdr>
        <w:top w:val="single" w:color="auto" w:sz="6" w:space="1"/>
        <w:left w:val="single" w:color="auto" w:sz="6" w:space="1"/>
        <w:bottom w:val="single" w:color="auto" w:sz="6" w:space="1"/>
        <w:right w:val="single" w:color="auto" w:sz="6" w:space="1"/>
      </w:pBdr>
      <w:shd w:val="pct20" w:color="auto" w:fill="auto"/>
      <w:spacing w:line="240" w:lineRule="auto"/>
      <w:ind w:left="1080" w:hanging="1080"/>
    </w:pPr>
    <w:rPr>
      <w:rFonts w:ascii="Arial" w:hAnsi="Arial" w:eastAsia="宋体" w:cs="Arial"/>
      <w:sz w:val="24"/>
      <w:szCs w:val="24"/>
    </w:rPr>
  </w:style>
  <w:style w:type="paragraph" w:styleId="84">
    <w:name w:val="HTML Preformatted"/>
    <w:basedOn w:val="1"/>
    <w:link w:val="196"/>
    <w:qFormat/>
    <w:uiPriority w:val="0"/>
    <w:pPr>
      <w:spacing w:line="240" w:lineRule="auto"/>
      <w:ind w:firstLine="0"/>
    </w:pPr>
    <w:rPr>
      <w:rFonts w:ascii="Courier New" w:hAnsi="Courier New" w:eastAsia="宋体" w:cs="Courier New"/>
      <w:sz w:val="20"/>
    </w:rPr>
  </w:style>
  <w:style w:type="paragraph" w:styleId="85">
    <w:name w:val="Normal (Web)"/>
    <w:basedOn w:val="1"/>
    <w:qFormat/>
    <w:uiPriority w:val="0"/>
    <w:pPr>
      <w:spacing w:line="240" w:lineRule="auto"/>
      <w:ind w:firstLine="0"/>
    </w:pPr>
    <w:rPr>
      <w:rFonts w:eastAsia="宋体"/>
      <w:sz w:val="24"/>
      <w:szCs w:val="24"/>
    </w:rPr>
  </w:style>
  <w:style w:type="paragraph" w:styleId="86">
    <w:name w:val="List Continue 3"/>
    <w:basedOn w:val="1"/>
    <w:qFormat/>
    <w:uiPriority w:val="0"/>
    <w:pPr>
      <w:spacing w:after="120" w:line="240" w:lineRule="auto"/>
      <w:ind w:left="1260" w:firstLine="0"/>
    </w:pPr>
    <w:rPr>
      <w:rFonts w:eastAsia="宋体"/>
      <w:sz w:val="21"/>
      <w:szCs w:val="24"/>
    </w:rPr>
  </w:style>
  <w:style w:type="paragraph" w:styleId="87">
    <w:name w:val="index 2"/>
    <w:basedOn w:val="1"/>
    <w:next w:val="1"/>
    <w:qFormat/>
    <w:uiPriority w:val="0"/>
    <w:pPr>
      <w:spacing w:line="240" w:lineRule="auto"/>
      <w:ind w:left="200" w:firstLine="0"/>
    </w:pPr>
    <w:rPr>
      <w:rFonts w:eastAsia="宋体"/>
      <w:sz w:val="21"/>
      <w:szCs w:val="24"/>
    </w:rPr>
  </w:style>
  <w:style w:type="paragraph" w:styleId="88">
    <w:name w:val="Title"/>
    <w:basedOn w:val="1"/>
    <w:next w:val="1"/>
    <w:link w:val="325"/>
    <w:qFormat/>
    <w:uiPriority w:val="0"/>
    <w:pPr>
      <w:spacing w:after="300"/>
    </w:pPr>
    <w:rPr>
      <w:color w:val="17365D"/>
      <w:sz w:val="52"/>
    </w:rPr>
  </w:style>
  <w:style w:type="paragraph" w:styleId="89">
    <w:name w:val="annotation subject"/>
    <w:basedOn w:val="34"/>
    <w:next w:val="34"/>
    <w:link w:val="303"/>
    <w:semiHidden/>
    <w:uiPriority w:val="0"/>
    <w:rPr>
      <w:b/>
      <w:bCs/>
    </w:rPr>
  </w:style>
  <w:style w:type="table" w:styleId="91">
    <w:name w:val="Table Grid"/>
    <w:basedOn w:val="90"/>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2">
    <w:name w:val="Table Theme"/>
    <w:basedOn w:val="90"/>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3">
    <w:name w:val="Table Colorful 1"/>
    <w:basedOn w:val="90"/>
    <w:uiPriority w:val="0"/>
    <w:pPr>
      <w:widowControl w:val="0"/>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94">
    <w:name w:val="Table Colorful 2"/>
    <w:basedOn w:val="90"/>
    <w:uiPriority w:val="0"/>
    <w:pPr>
      <w:widowControl w:val="0"/>
      <w:jc w:val="both"/>
    </w:pPr>
    <w:tblPr>
      <w:tblBorders>
        <w:bottom w:val="single" w:color="000000" w:sz="12" w:space="0"/>
      </w:tblBorders>
    </w:tblPr>
    <w:tcPr>
      <w:shd w:val="pct20" w:color="FFFF00" w:fill="FFFFFF"/>
    </w:tcPr>
    <w:tblStylePr w:type="firstRow">
      <w:rPr>
        <w:b/>
        <w:bCs/>
        <w:i/>
        <w:iCs/>
        <w:color w:val="FFFFFF"/>
      </w:rPr>
      <w:tblPr/>
      <w:tcPr>
        <w:tcBorders>
          <w:top w:val="nil"/>
          <w:left w:val="single" w:color="000000" w:sz="12" w:space="0"/>
          <w:bottom w:val="nil"/>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95">
    <w:name w:val="Table Colorful 3"/>
    <w:basedOn w:val="90"/>
    <w:uiPriority w:val="0"/>
    <w:pPr>
      <w:widowControl w:val="0"/>
      <w:jc w:val="both"/>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top w:val="nil"/>
          <w:left w:val="single" w:color="000000" w:sz="6" w:space="0"/>
          <w:bottom w:val="nil"/>
          <w:right w:val="nil"/>
          <w:insideH w:val="nil"/>
          <w:insideV w:val="nil"/>
          <w:tl2br w:val="nil"/>
          <w:tr2bl w:val="nil"/>
        </w:tcBorders>
        <w:shd w:val="solid" w:color="008080" w:fill="FFFFFF"/>
      </w:tcPr>
    </w:tblStylePr>
    <w:tblStylePr w:type="firstCol">
      <w:tblPr/>
      <w:tcPr>
        <w:tcBorders>
          <w:top w:val="nil"/>
          <w:left w:val="nil"/>
          <w:bottom w:val="single" w:color="000000" w:sz="36" w:space="0"/>
          <w:right w:val="single" w:color="000000" w:sz="6" w:space="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96">
    <w:name w:val="Table Elegant"/>
    <w:basedOn w:val="90"/>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97">
    <w:name w:val="Table Classic 1"/>
    <w:basedOn w:val="90"/>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blPr/>
      <w:tcPr>
        <w:tcBorders>
          <w:top w:val="nil"/>
          <w:left w:val="single" w:color="000000" w:sz="6" w:space="0"/>
          <w:bottom w:val="nil"/>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98">
    <w:name w:val="Table Classic 2"/>
    <w:basedOn w:val="90"/>
    <w:uiPriority w:val="0"/>
    <w:pPr>
      <w:widowControl w:val="0"/>
      <w:jc w:val="both"/>
    </w:pPr>
    <w:tblPr>
      <w:tblBorders>
        <w:top w:val="single" w:color="000000" w:sz="12" w:space="0"/>
        <w:bottom w:val="single" w:color="000000" w:sz="12" w:space="0"/>
      </w:tblBorders>
    </w:tblPr>
    <w:tcPr>
      <w:shd w:val="clear" w:color="auto" w:fill="auto"/>
    </w:tcPr>
    <w:tblStylePr w:type="firstRow">
      <w:rPr>
        <w:color w:val="FFFFFF"/>
      </w:rPr>
      <w:tblPr/>
      <w:tcPr>
        <w:tcBorders>
          <w:top w:val="nil"/>
          <w:left w:val="single" w:color="000000" w:sz="6" w:space="0"/>
          <w:bottom w:val="nil"/>
          <w:right w:val="nil"/>
          <w:insideH w:val="nil"/>
          <w:insideV w:val="nil"/>
          <w:tl2br w:val="nil"/>
          <w:tr2bl w:val="nil"/>
        </w:tcBorders>
        <w:shd w:val="solid" w:color="800080" w:fill="FFFFFF"/>
      </w:tcPr>
    </w:tblStylePr>
    <w:tblStylePr w:type="lastRow">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99">
    <w:name w:val="Table Classic 3"/>
    <w:basedOn w:val="90"/>
    <w:uiPriority w:val="0"/>
    <w:pPr>
      <w:widowControl w:val="0"/>
      <w:jc w:val="both"/>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top w:val="nil"/>
          <w:left w:val="single" w:color="000000" w:sz="6" w:space="0"/>
          <w:bottom w:val="nil"/>
          <w:right w:val="nil"/>
          <w:insideH w:val="nil"/>
          <w:insideV w:val="nil"/>
          <w:tl2br w:val="nil"/>
          <w:tr2bl w:val="nil"/>
        </w:tcBorders>
        <w:shd w:val="solid" w:color="000080" w:fill="FFFFFF"/>
      </w:tcPr>
    </w:tblStylePr>
    <w:tblStylePr w:type="lastRow">
      <w:rPr>
        <w:color w:val="000080"/>
      </w:rPr>
      <w:tblPr/>
      <w:tcPr>
        <w:tcBorders>
          <w:top w:val="single" w:color="000000" w:sz="12" w:space="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100">
    <w:name w:val="Table Classic 4"/>
    <w:basedOn w:val="90"/>
    <w:uiPriority w:val="0"/>
    <w:pPr>
      <w:widowControl w:val="0"/>
      <w:jc w:val="both"/>
    </w:p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top w:val="nil"/>
          <w:left w:val="single" w:color="000000" w:sz="6" w:space="0"/>
          <w:bottom w:val="nil"/>
          <w:right w:val="nil"/>
          <w:insideH w:val="nil"/>
          <w:insideV w:val="nil"/>
          <w:tl2br w:val="nil"/>
          <w:tr2bl w:val="nil"/>
        </w:tcBorders>
        <w:shd w:val="pct50" w:color="000080" w:fill="FFFFFF"/>
      </w:tcPr>
    </w:tblStylePr>
    <w:tblStylePr w:type="lastRow">
      <w:rPr>
        <w:color w:val="000080"/>
      </w:rPr>
      <w:tblPr/>
      <w:tcPr>
        <w:tcBorders>
          <w:top w:val="nil"/>
          <w:left w:val="single" w:color="000000" w:sz="6" w:space="0"/>
          <w:bottom w:val="nil"/>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01">
    <w:name w:val="Table Simple 1"/>
    <w:basedOn w:val="90"/>
    <w:uiPriority w:val="0"/>
    <w:pPr>
      <w:widowControl w:val="0"/>
      <w:jc w:val="both"/>
    </w:pPr>
    <w:tblPr>
      <w:tblBorders>
        <w:top w:val="single" w:color="008000" w:sz="12" w:space="0"/>
        <w:bottom w:val="single" w:color="008000" w:sz="12" w:space="0"/>
      </w:tblBorders>
    </w:tblPr>
    <w:tcPr>
      <w:shd w:val="clear" w:color="auto" w:fill="auto"/>
    </w:tcPr>
    <w:tblStylePr w:type="firstRow">
      <w:tblPr/>
      <w:tcPr>
        <w:tcBorders>
          <w:top w:val="nil"/>
          <w:left w:val="single" w:color="008000" w:sz="6" w:space="0"/>
          <w:bottom w:val="nil"/>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table" w:styleId="102">
    <w:name w:val="Table Simple 2"/>
    <w:basedOn w:val="90"/>
    <w:uiPriority w:val="0"/>
    <w:pPr>
      <w:widowControl w:val="0"/>
      <w:jc w:val="both"/>
    </w:pPr>
    <w:tblPr/>
    <w:tblStylePr w:type="firstRow">
      <w:rPr>
        <w:b/>
        <w:bCs/>
      </w:rPr>
      <w:tblPr/>
      <w:tcPr>
        <w:tcBorders>
          <w:top w:val="nil"/>
          <w:left w:val="single" w:color="000000" w:sz="12" w:space="0"/>
          <w:bottom w:val="nil"/>
          <w:right w:val="nil"/>
          <w:insideH w:val="nil"/>
          <w:insideV w:val="nil"/>
          <w:tl2br w:val="nil"/>
          <w:tr2bl w:val="nil"/>
        </w:tcBorders>
      </w:tcPr>
    </w:tblStylePr>
    <w:tblStylePr w:type="lastRow">
      <w:rPr>
        <w:b/>
        <w:bCs/>
        <w:color w:val="auto"/>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single" w:color="000000" w:sz="12" w:space="0"/>
          <w:insideH w:val="nil"/>
          <w:insideV w:val="nil"/>
          <w:tl2br w:val="nil"/>
          <w:tr2bl w:val="nil"/>
        </w:tcBorders>
      </w:tcPr>
    </w:tblStylePr>
    <w:tblStylePr w:type="lastCol">
      <w:rPr>
        <w:b/>
        <w:bCs/>
      </w:rPr>
      <w:tblPr/>
      <w:tcPr>
        <w:tcBorders>
          <w:top w:val="nil"/>
          <w:left w:val="nil"/>
          <w:bottom w:val="single" w:color="000000" w:sz="6" w:space="0"/>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3">
    <w:name w:val="Table Simple 3"/>
    <w:basedOn w:val="90"/>
    <w:uiPriority w:val="0"/>
    <w:pPr>
      <w:widowControl w:val="0"/>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104">
    <w:name w:val="Table Subtle 1"/>
    <w:basedOn w:val="90"/>
    <w:uiPriority w:val="0"/>
    <w:pPr>
      <w:widowControl w:val="0"/>
      <w:jc w:val="both"/>
    </w:pPr>
    <w:tblPr>
      <w:tblStyleRowBandSize w:val="1"/>
    </w:tblPr>
    <w:tblStylePr w:type="firstRow">
      <w:tblPr/>
      <w:tcPr>
        <w:tcBorders>
          <w:top w:val="single" w:color="000000" w:sz="6" w:space="0"/>
          <w:left w:val="single" w:color="000000" w:sz="12" w:space="0"/>
          <w:bottom w:val="nil"/>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color="000000" w:sz="12" w:space="0"/>
          <w:insideH w:val="nil"/>
          <w:insideV w:val="nil"/>
          <w:tl2br w:val="nil"/>
          <w:tr2bl w:val="nil"/>
        </w:tcBorders>
      </w:tcPr>
    </w:tblStylePr>
    <w:tblStylePr w:type="lastCol">
      <w:tblPr/>
      <w:tcPr>
        <w:tcBorders>
          <w:top w:val="nil"/>
          <w:left w:val="nil"/>
          <w:bottom w:val="single" w:color="000000" w:sz="12" w:space="0"/>
          <w:right w:val="nil"/>
          <w:insideH w:val="nil"/>
          <w:insideV w:val="nil"/>
          <w:tl2br w:val="nil"/>
          <w:tr2bl w:val="nil"/>
        </w:tcBorders>
      </w:tcPr>
    </w:tblStylePr>
    <w:tblStylePr w:type="band1Horz">
      <w:tblPr/>
      <w:tcPr>
        <w:tcBorders>
          <w:top w:val="nil"/>
          <w:left w:val="single" w:color="000000" w:sz="6" w:space="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5">
    <w:name w:val="Table Subtle 2"/>
    <w:basedOn w:val="90"/>
    <w:uiPriority w:val="0"/>
    <w:pPr>
      <w:widowControl w:val="0"/>
      <w:jc w:val="both"/>
    </w:pPr>
    <w:tblPr>
      <w:tblBorders>
        <w:left w:val="single" w:color="000000" w:sz="6" w:space="0"/>
        <w:right w:val="single" w:color="000000" w:sz="6" w:space="0"/>
      </w:tblBorders>
    </w:tblPr>
    <w:tblStylePr w:type="firstRow">
      <w:tblPr/>
      <w:tcPr>
        <w:tcBorders>
          <w:top w:val="nil"/>
          <w:left w:val="single" w:color="000000" w:sz="12" w:space="0"/>
          <w:bottom w:val="nil"/>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firstCol">
      <w:tblPr/>
      <w:tcPr>
        <w:tcBorders>
          <w:top w:val="nil"/>
          <w:left w:val="nil"/>
          <w:bottom w:val="nil"/>
          <w:right w:val="single" w:color="000000" w:sz="12" w:space="0"/>
          <w:insideH w:val="nil"/>
          <w:insideV w:val="nil"/>
          <w:tl2br w:val="nil"/>
          <w:tr2bl w:val="nil"/>
        </w:tcBorders>
        <w:shd w:val="pct25" w:color="008000" w:fill="FFFFFF"/>
      </w:tcPr>
    </w:tblStylePr>
    <w:tblStylePr w:type="lastCol">
      <w:tblPr/>
      <w:tcPr>
        <w:tcBorders>
          <w:top w:val="nil"/>
          <w:left w:val="nil"/>
          <w:bottom w:val="single" w:color="000000" w:sz="12" w:space="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6">
    <w:name w:val="Table 3D effects 1"/>
    <w:basedOn w:val="90"/>
    <w:uiPriority w:val="0"/>
    <w:pPr>
      <w:widowControl w:val="0"/>
      <w:jc w:val="both"/>
    </w:pPr>
    <w:tblPr/>
    <w:tcPr>
      <w:shd w:val="solid" w:color="C0C0C0" w:fill="FFFFFF"/>
    </w:tcPr>
    <w:tblStylePr w:type="firstRow">
      <w:rPr>
        <w:b/>
        <w:bCs/>
        <w:color w:val="800080"/>
      </w:rPr>
      <w:tblPr/>
      <w:tcPr>
        <w:tcBorders>
          <w:top w:val="nil"/>
          <w:left w:val="single" w:color="808080" w:sz="6" w:space="0"/>
          <w:bottom w:val="nil"/>
          <w:right w:val="nil"/>
          <w:insideH w:val="nil"/>
          <w:insideV w:val="nil"/>
          <w:tl2br w:val="nil"/>
          <w:tr2bl w:val="nil"/>
        </w:tcBorders>
      </w:tcPr>
    </w:tblStylePr>
    <w:tblStylePr w:type="lastRow">
      <w:tblPr/>
      <w:tcPr>
        <w:tcBorders>
          <w:top w:val="single" w:color="FFFFFF" w:sz="6" w:space="0"/>
          <w:left w:val="nil"/>
          <w:bottom w:val="nil"/>
          <w:right w:val="nil"/>
          <w:insideH w:val="nil"/>
          <w:insideV w:val="nil"/>
          <w:tl2br w:val="nil"/>
          <w:tr2bl w:val="nil"/>
        </w:tcBorders>
      </w:tcPr>
    </w:tblStylePr>
    <w:tblStylePr w:type="firstCol">
      <w:rPr>
        <w:b/>
        <w:bCs/>
      </w:rPr>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single" w:color="FFFFFF" w:sz="6" w:space="0"/>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07">
    <w:name w:val="Table 3D effects 2"/>
    <w:basedOn w:val="90"/>
    <w:uiPriority w:val="0"/>
    <w:pPr>
      <w:widowControl w:val="0"/>
      <w:jc w:val="both"/>
    </w:p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Horz">
      <w:tblPr/>
      <w:tcPr>
        <w:tcBorders>
          <w:top w:val="single" w:color="808080" w:sz="6" w:space="0"/>
          <w:left w:val="single" w:color="FFFFFF" w:sz="6" w:space="0"/>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8">
    <w:name w:val="Table 3D effects 3"/>
    <w:basedOn w:val="90"/>
    <w:uiPriority w:val="0"/>
    <w:pPr>
      <w:widowControl w:val="0"/>
      <w:jc w:val="both"/>
    </w:p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left w:val="single" w:color="FFFFFF" w:sz="6" w:space="0"/>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9">
    <w:name w:val="Table List 1"/>
    <w:basedOn w:val="90"/>
    <w:uiPriority w:val="0"/>
    <w:pPr>
      <w:widowControl w:val="0"/>
      <w:jc w:val="both"/>
    </w:p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top w:val="nil"/>
          <w:left w:val="single" w:color="000000" w:sz="6" w:space="0"/>
          <w:bottom w:val="nil"/>
          <w:right w:val="nil"/>
          <w:insideH w:val="nil"/>
          <w:insideV w:val="nil"/>
          <w:tl2br w:val="nil"/>
          <w:tr2bl w:val="nil"/>
        </w:tcBorders>
        <w:shd w:val="solid" w:color="C0C0C0" w:fill="FFFFFF"/>
      </w:tcPr>
    </w:tblStylePr>
    <w:tblStylePr w:type="lastRow">
      <w:tblPr/>
      <w:tcPr>
        <w:tcBorders>
          <w:top w:val="single" w:color="000000" w:sz="6" w:space="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10">
    <w:name w:val="Table List 2"/>
    <w:basedOn w:val="90"/>
    <w:uiPriority w:val="0"/>
    <w:pPr>
      <w:widowControl w:val="0"/>
      <w:jc w:val="both"/>
    </w:pPr>
    <w:tblPr>
      <w:tblBorders>
        <w:bottom w:val="single" w:color="808080" w:sz="12" w:space="0"/>
      </w:tblBorders>
    </w:tblPr>
    <w:tblStylePr w:type="firstRow">
      <w:rPr>
        <w:b/>
        <w:bCs/>
        <w:color w:val="FFFFFF"/>
      </w:rPr>
      <w:tblPr/>
      <w:tcPr>
        <w:tcBorders>
          <w:top w:val="nil"/>
          <w:left w:val="single" w:color="000000" w:sz="6" w:space="0"/>
          <w:bottom w:val="nil"/>
          <w:right w:val="nil"/>
          <w:insideH w:val="nil"/>
          <w:insideV w:val="nil"/>
          <w:tl2br w:val="nil"/>
          <w:tr2bl w:val="nil"/>
        </w:tcBorders>
        <w:shd w:val="pct75" w:color="008080" w:fill="008000"/>
      </w:tcPr>
    </w:tblStylePr>
    <w:tblStylePr w:type="lastRow">
      <w:tblPr/>
      <w:tcPr>
        <w:tcBorders>
          <w:top w:val="single" w:color="000000" w:sz="6" w:space="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11">
    <w:name w:val="Table List 3"/>
    <w:basedOn w:val="90"/>
    <w:uiPriority w:val="0"/>
    <w:pPr>
      <w:widowControl w:val="0"/>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top w:val="nil"/>
          <w:left w:val="single" w:color="000000" w:sz="12" w:space="0"/>
          <w:bottom w:val="nil"/>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112">
    <w:name w:val="Table List 4"/>
    <w:basedOn w:val="90"/>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top w:val="nil"/>
          <w:left w:val="single" w:color="000000" w:sz="12" w:space="0"/>
          <w:bottom w:val="nil"/>
          <w:right w:val="nil"/>
          <w:insideH w:val="nil"/>
          <w:insideV w:val="nil"/>
          <w:tl2br w:val="nil"/>
          <w:tr2bl w:val="nil"/>
        </w:tcBorders>
        <w:shd w:val="solid" w:color="808080" w:fill="FFFFFF"/>
      </w:tcPr>
    </w:tblStylePr>
  </w:style>
  <w:style w:type="table" w:styleId="113">
    <w:name w:val="Table List 5"/>
    <w:basedOn w:val="90"/>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top w:val="nil"/>
          <w:left w:val="single" w:color="000000" w:sz="12" w:space="0"/>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styleId="114">
    <w:name w:val="Table List 6"/>
    <w:basedOn w:val="90"/>
    <w:uiPriority w:val="0"/>
    <w:pPr>
      <w:widowControl w:val="0"/>
      <w:jc w:val="both"/>
    </w:p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top w:val="nil"/>
          <w:left w:val="single" w:color="000000" w:sz="12" w:space="0"/>
          <w:bottom w:val="nil"/>
          <w:right w:val="nil"/>
          <w:insideH w:val="nil"/>
          <w:insideV w:val="nil"/>
          <w:tl2br w:val="nil"/>
          <w:tr2bl w:val="nil"/>
        </w:tcBorders>
      </w:tcPr>
    </w:tblStylePr>
    <w:tblStylePr w:type="firstCol">
      <w:rPr>
        <w:b/>
        <w:bCs/>
      </w:rPr>
      <w:tblPr/>
      <w:tcPr>
        <w:tcBorders>
          <w:top w:val="nil"/>
          <w:left w:val="nil"/>
          <w:bottom w:val="nil"/>
          <w:right w:val="single" w:color="000000" w:sz="12" w:space="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15">
    <w:name w:val="Table List 7"/>
    <w:basedOn w:val="90"/>
    <w:uiPriority w:val="0"/>
    <w:pPr>
      <w:widowControl w:val="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blPr/>
      <w:tcPr>
        <w:tcBorders>
          <w:top w:val="single" w:color="008000" w:sz="12"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116">
    <w:name w:val="Table List 8"/>
    <w:basedOn w:val="90"/>
    <w:uiPriority w:val="0"/>
    <w:pPr>
      <w:widowControl w:val="0"/>
      <w:jc w:val="both"/>
    </w:p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top w:val="nil"/>
          <w:left w:val="single" w:color="000000" w:sz="6" w:space="0"/>
          <w:bottom w:val="nil"/>
          <w:right w:val="nil"/>
          <w:insideH w:val="nil"/>
          <w:insideV w:val="nil"/>
          <w:tl2br w:val="nil"/>
          <w:tr2bl w:val="nil"/>
        </w:tcBorders>
        <w:shd w:val="solid" w:color="FFFF00" w:fill="FFFFFF"/>
      </w:tcPr>
    </w:tblStylePr>
    <w:tblStylePr w:type="lastRow">
      <w:rPr>
        <w:b/>
        <w:bCs/>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color="auto" w:sz="6" w:space="0"/>
          <w:tr2bl w:val="nil"/>
        </w:tcBorders>
      </w:tcPr>
    </w:tblStylePr>
  </w:style>
  <w:style w:type="table" w:styleId="117">
    <w:name w:val="Table Contemporary"/>
    <w:basedOn w:val="90"/>
    <w:uiPriority w:val="0"/>
    <w:pPr>
      <w:widowControl w:val="0"/>
      <w:jc w:val="both"/>
    </w:pPr>
    <w:tblPr>
      <w:tblBorders>
        <w:insideH w:val="single" w:color="FFFFFF" w:sz="18" w:space="0"/>
        <w:insideV w:val="single" w:color="FFFFFF" w:sz="18" w:space="0"/>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118">
    <w:name w:val="Table Columns 1"/>
    <w:basedOn w:val="90"/>
    <w:uiPriority w:val="0"/>
    <w:pPr>
      <w:widowControl w:val="0"/>
      <w:jc w:val="both"/>
    </w:pPr>
    <w:rPr>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top w:val="nil"/>
          <w:left w:val="double" w:color="000000" w:sz="6" w:space="0"/>
          <w:bottom w:val="nil"/>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19">
    <w:name w:val="Table Columns 2"/>
    <w:basedOn w:val="90"/>
    <w:uiPriority w:val="0"/>
    <w:pPr>
      <w:widowControl w:val="0"/>
      <w:jc w:val="both"/>
    </w:pPr>
    <w:rPr>
      <w:b/>
      <w:bCs/>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20">
    <w:name w:val="Table Columns 3"/>
    <w:basedOn w:val="90"/>
    <w:uiPriority w:val="0"/>
    <w:pPr>
      <w:widowControl w:val="0"/>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color="00008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styleId="121">
    <w:name w:val="Table Columns 4"/>
    <w:basedOn w:val="90"/>
    <w:uiPriority w:val="0"/>
    <w:pPr>
      <w:widowControl w:val="0"/>
      <w:jc w:val="both"/>
    </w:p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22">
    <w:name w:val="Table Columns 5"/>
    <w:basedOn w:val="90"/>
    <w:uiPriority w:val="0"/>
    <w:pPr>
      <w:widowControl w:val="0"/>
      <w:jc w:val="both"/>
    </w:p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top w:val="nil"/>
          <w:left w:val="single" w:color="808080" w:sz="6" w:space="0"/>
          <w:bottom w:val="nil"/>
          <w:right w:val="nil"/>
          <w:insideH w:val="nil"/>
          <w:insideV w:val="nil"/>
          <w:tl2br w:val="nil"/>
          <w:tr2bl w:val="nil"/>
        </w:tcBorders>
      </w:tcPr>
    </w:tblStylePr>
    <w:tblStylePr w:type="lastRow">
      <w:rPr>
        <w:b/>
        <w:bCs/>
      </w:rPr>
      <w:tblPr/>
      <w:tcPr>
        <w:tcBorders>
          <w:top w:val="single" w:color="80808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23">
    <w:name w:val="Table Grid 1"/>
    <w:basedOn w:val="90"/>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4">
    <w:name w:val="Table Grid 2"/>
    <w:basedOn w:val="90"/>
    <w:uiPriority w:val="0"/>
    <w:pPr>
      <w:widowControl w:val="0"/>
      <w:jc w:val="both"/>
    </w:pPr>
    <w:tblPr>
      <w:tblBorders>
        <w:insideH w:val="single" w:color="000000" w:sz="6" w:space="0"/>
        <w:insideV w:val="single" w:color="000000" w:sz="6" w:space="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125">
    <w:name w:val="Table Grid 3"/>
    <w:basedOn w:val="90"/>
    <w:uiPriority w:val="0"/>
    <w:pPr>
      <w:widowControl w:val="0"/>
      <w:jc w:val="both"/>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top w:val="nil"/>
          <w:left w:val="single" w:color="000000" w:sz="6" w:space="0"/>
          <w:bottom w:val="nil"/>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6">
    <w:name w:val="Table Grid 4"/>
    <w:basedOn w:val="90"/>
    <w:uiPriority w:val="0"/>
    <w:pPr>
      <w:widowControl w:val="0"/>
      <w:jc w:val="both"/>
    </w:p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top w:val="nil"/>
          <w:left w:val="single" w:color="000000" w:sz="6" w:space="0"/>
          <w:bottom w:val="nil"/>
          <w:right w:val="nil"/>
          <w:insideH w:val="nil"/>
          <w:insideV w:val="nil"/>
          <w:tl2br w:val="nil"/>
          <w:tr2bl w:val="nil"/>
        </w:tcBorders>
        <w:shd w:val="pct30" w:color="FFFF00" w:fill="FFFFFF"/>
      </w:tcPr>
    </w:tblStylePr>
    <w:tblStylePr w:type="lastRow">
      <w:rPr>
        <w:b/>
        <w:bCs/>
        <w:color w:val="auto"/>
      </w:rPr>
      <w:tblPr/>
      <w:tcPr>
        <w:tcBorders>
          <w:top w:val="single" w:color="000000" w:sz="6" w:space="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27">
    <w:name w:val="Table Grid 5"/>
    <w:basedOn w:val="90"/>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single" w:color="000000"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8">
    <w:name w:val="Table Grid 6"/>
    <w:basedOn w:val="90"/>
    <w:uiPriority w:val="0"/>
    <w:pPr>
      <w:widowControl w:val="0"/>
      <w:jc w:val="both"/>
    </w:p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top w:val="nil"/>
          <w:left w:val="single" w:color="000000" w:sz="6" w:space="0"/>
          <w:bottom w:val="nil"/>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9">
    <w:name w:val="Table Grid 7"/>
    <w:basedOn w:val="90"/>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top w:val="nil"/>
          <w:left w:val="single" w:color="000000" w:sz="12" w:space="0"/>
          <w:bottom w:val="nil"/>
          <w:right w:val="nil"/>
          <w:insideH w:val="nil"/>
          <w:insideV w:val="nil"/>
          <w:tl2br w:val="nil"/>
          <w:tr2bl w:val="nil"/>
        </w:tcBorders>
      </w:tcPr>
    </w:tblStylePr>
    <w:tblStylePr w:type="lastRow">
      <w:rPr>
        <w:b w:val="0"/>
        <w:bCs w:val="0"/>
      </w:rPr>
      <w:tblPr/>
      <w:tcPr>
        <w:tcBorders>
          <w:top w:val="single" w:color="00000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30">
    <w:name w:val="Table Grid 8"/>
    <w:basedOn w:val="90"/>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31">
    <w:name w:val="Table Web 1"/>
    <w:basedOn w:val="90"/>
    <w:uiPriority w:val="0"/>
    <w:pPr>
      <w:widowControl w:val="0"/>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32">
    <w:name w:val="Table Web 2"/>
    <w:basedOn w:val="90"/>
    <w:uiPriority w:val="0"/>
    <w:pPr>
      <w:widowControl w:val="0"/>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33">
    <w:name w:val="Table Web 3"/>
    <w:basedOn w:val="90"/>
    <w:uiPriority w:val="0"/>
    <w:pPr>
      <w:widowControl w:val="0"/>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34">
    <w:name w:val="Table Professional"/>
    <w:basedOn w:val="90"/>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paragraph" w:customStyle="1" w:styleId="136">
    <w:name w:val=" Char Char15 Char Char Char Char"/>
    <w:basedOn w:val="1"/>
    <w:link w:val="135"/>
    <w:uiPriority w:val="0"/>
    <w:pPr>
      <w:spacing w:before="100" w:beforeLines="100" w:after="50" w:afterLines="50" w:line="480" w:lineRule="auto"/>
      <w:ind w:firstLine="0"/>
      <w:jc w:val="center"/>
    </w:pPr>
    <w:rPr>
      <w:rFonts w:eastAsia="楷体_GB2312"/>
      <w:b/>
      <w:sz w:val="44"/>
      <w:szCs w:val="44"/>
    </w:rPr>
  </w:style>
  <w:style w:type="character" w:styleId="137">
    <w:name w:val="Strong"/>
    <w:qFormat/>
    <w:uiPriority w:val="0"/>
    <w:rPr>
      <w:b/>
      <w:bCs/>
    </w:rPr>
  </w:style>
  <w:style w:type="character" w:styleId="138">
    <w:name w:val="endnote reference"/>
    <w:uiPriority w:val="0"/>
    <w:rPr>
      <w:vertAlign w:val="superscript"/>
    </w:rPr>
  </w:style>
  <w:style w:type="character" w:styleId="139">
    <w:name w:val="page number"/>
    <w:basedOn w:val="135"/>
    <w:uiPriority w:val="0"/>
  </w:style>
  <w:style w:type="character" w:styleId="140">
    <w:name w:val="FollowedHyperlink"/>
    <w:basedOn w:val="135"/>
    <w:qFormat/>
    <w:uiPriority w:val="0"/>
    <w:rPr>
      <w:color w:val="3E3E3E"/>
      <w:u w:val="none"/>
    </w:rPr>
  </w:style>
  <w:style w:type="character" w:styleId="141">
    <w:name w:val="Emphasis"/>
    <w:qFormat/>
    <w:uiPriority w:val="0"/>
    <w:rPr>
      <w:i/>
      <w:iCs/>
    </w:rPr>
  </w:style>
  <w:style w:type="character" w:styleId="142">
    <w:name w:val="line number"/>
    <w:qFormat/>
    <w:uiPriority w:val="0"/>
  </w:style>
  <w:style w:type="character" w:styleId="143">
    <w:name w:val="HTML Definition"/>
    <w:qFormat/>
    <w:uiPriority w:val="0"/>
    <w:rPr>
      <w:i/>
      <w:iCs/>
    </w:rPr>
  </w:style>
  <w:style w:type="character" w:styleId="144">
    <w:name w:val="HTML Typewriter"/>
    <w:qFormat/>
    <w:uiPriority w:val="0"/>
    <w:rPr>
      <w:rFonts w:ascii="Courier New" w:hAnsi="Courier New" w:cs="Courier New"/>
      <w:sz w:val="20"/>
      <w:szCs w:val="20"/>
    </w:rPr>
  </w:style>
  <w:style w:type="character" w:styleId="145">
    <w:name w:val="HTML Acronym"/>
    <w:uiPriority w:val="0"/>
  </w:style>
  <w:style w:type="character" w:styleId="146">
    <w:name w:val="HTML Variable"/>
    <w:semiHidden/>
    <w:uiPriority w:val="0"/>
    <w:rPr>
      <w:i/>
      <w:iCs/>
    </w:rPr>
  </w:style>
  <w:style w:type="character" w:styleId="147">
    <w:name w:val="Hyperlink"/>
    <w:unhideWhenUsed/>
    <w:uiPriority w:val="0"/>
    <w:rPr>
      <w:color w:val="0563C1"/>
      <w:u w:val="single"/>
    </w:rPr>
  </w:style>
  <w:style w:type="character" w:styleId="148">
    <w:name w:val="HTML Code"/>
    <w:qFormat/>
    <w:uiPriority w:val="0"/>
    <w:rPr>
      <w:rFonts w:ascii="Courier New" w:hAnsi="Courier New" w:cs="Courier New"/>
      <w:sz w:val="20"/>
      <w:szCs w:val="20"/>
    </w:rPr>
  </w:style>
  <w:style w:type="character" w:styleId="149">
    <w:name w:val="annotation reference"/>
    <w:semiHidden/>
    <w:qFormat/>
    <w:uiPriority w:val="0"/>
    <w:rPr>
      <w:sz w:val="21"/>
      <w:szCs w:val="21"/>
    </w:rPr>
  </w:style>
  <w:style w:type="character" w:styleId="150">
    <w:name w:val="HTML Cite"/>
    <w:qFormat/>
    <w:uiPriority w:val="0"/>
    <w:rPr>
      <w:i/>
      <w:iCs/>
    </w:rPr>
  </w:style>
  <w:style w:type="character" w:styleId="151">
    <w:name w:val="footnote reference"/>
    <w:qFormat/>
    <w:uiPriority w:val="0"/>
    <w:rPr>
      <w:vertAlign w:val="superscript"/>
    </w:rPr>
  </w:style>
  <w:style w:type="character" w:styleId="152">
    <w:name w:val="HTML Keyboard"/>
    <w:qFormat/>
    <w:uiPriority w:val="0"/>
    <w:rPr>
      <w:rFonts w:ascii="Courier New" w:hAnsi="Courier New" w:cs="Courier New"/>
      <w:sz w:val="20"/>
      <w:szCs w:val="20"/>
    </w:rPr>
  </w:style>
  <w:style w:type="character" w:styleId="153">
    <w:name w:val="HTML Sample"/>
    <w:uiPriority w:val="0"/>
    <w:rPr>
      <w:rFonts w:ascii="Courier New" w:hAnsi="Courier New" w:cs="Courier New"/>
    </w:rPr>
  </w:style>
  <w:style w:type="character" w:customStyle="1" w:styleId="154">
    <w:name w:val="style71"/>
    <w:semiHidden/>
    <w:uiPriority w:val="0"/>
    <w:rPr>
      <w:color w:val="008080"/>
    </w:rPr>
  </w:style>
  <w:style w:type="character" w:customStyle="1" w:styleId="155">
    <w:name w:val="书籍标题1"/>
    <w:qFormat/>
    <w:uiPriority w:val="0"/>
    <w:rPr>
      <w:b/>
      <w:bCs/>
      <w:iCs/>
      <w:spacing w:val="5"/>
    </w:rPr>
  </w:style>
  <w:style w:type="character" w:customStyle="1" w:styleId="156">
    <w:name w:val="消息标题号"/>
    <w:semiHidden/>
    <w:qFormat/>
    <w:uiPriority w:val="0"/>
    <w:rPr>
      <w:rFonts w:hint="default" w:ascii="Arial Black" w:hAnsi="Arial Black" w:eastAsia="黑体"/>
      <w:b/>
      <w:lang w:eastAsia="zh-CN"/>
    </w:rPr>
  </w:style>
  <w:style w:type="character" w:customStyle="1" w:styleId="157">
    <w:name w:val="样式 样式 左侧:  1.5 厘米 首行缩进:  0 厘米 + 左侧:  0 厘米 Char"/>
    <w:semiHidden/>
    <w:qFormat/>
    <w:uiPriority w:val="0"/>
    <w:rPr>
      <w:rFonts w:ascii="Arial" w:hAnsi="Arial" w:eastAsia="宋体" w:cs="宋体"/>
      <w:sz w:val="24"/>
      <w:lang w:val="en-US" w:eastAsia="zh-CN" w:bidi="ar-SA"/>
    </w:rPr>
  </w:style>
  <w:style w:type="character" w:customStyle="1" w:styleId="158">
    <w:name w:val="标题 1 Char"/>
    <w:link w:val="5"/>
    <w:qFormat/>
    <w:uiPriority w:val="0"/>
    <w:rPr>
      <w:rFonts w:eastAsia="仿宋_GB2312"/>
      <w:b/>
      <w:bCs/>
      <w:kern w:val="44"/>
      <w:sz w:val="44"/>
      <w:szCs w:val="44"/>
    </w:rPr>
  </w:style>
  <w:style w:type="character" w:customStyle="1" w:styleId="159">
    <w:name w:val="样式 短简表 + 黑色 Char"/>
    <w:semiHidden/>
    <w:qFormat/>
    <w:uiPriority w:val="0"/>
    <w:rPr>
      <w:rFonts w:eastAsia="宋体"/>
      <w:color w:val="000000"/>
      <w:kern w:val="2"/>
      <w:sz w:val="21"/>
      <w:szCs w:val="24"/>
      <w:lang w:val="en-US" w:eastAsia="zh-CN" w:bidi="ar-SA"/>
    </w:rPr>
  </w:style>
  <w:style w:type="character" w:customStyle="1" w:styleId="160">
    <w:name w:val="num13"/>
    <w:basedOn w:val="135"/>
    <w:qFormat/>
    <w:uiPriority w:val="0"/>
  </w:style>
  <w:style w:type="character" w:customStyle="1" w:styleId="161">
    <w:name w:val="纯文本 Char"/>
    <w:link w:val="49"/>
    <w:uiPriority w:val="0"/>
    <w:rPr>
      <w:rFonts w:ascii="宋体" w:hAnsi="Courier New"/>
      <w:kern w:val="2"/>
      <w:sz w:val="28"/>
    </w:rPr>
  </w:style>
  <w:style w:type="character" w:customStyle="1" w:styleId="162">
    <w:name w:val="last-child"/>
    <w:basedOn w:val="135"/>
    <w:uiPriority w:val="0"/>
    <w:rPr>
      <w:color w:val="999999"/>
    </w:rPr>
  </w:style>
  <w:style w:type="character" w:customStyle="1" w:styleId="163">
    <w:name w:val="标准书眉一 Char"/>
    <w:semiHidden/>
    <w:uiPriority w:val="0"/>
    <w:rPr>
      <w:rFonts w:eastAsia="宋体"/>
      <w:lang w:val="en-US" w:eastAsia="zh-CN" w:bidi="ar-SA"/>
    </w:rPr>
  </w:style>
  <w:style w:type="character" w:customStyle="1" w:styleId="164">
    <w:name w:val="font41"/>
    <w:uiPriority w:val="0"/>
    <w:rPr>
      <w:rFonts w:hint="eastAsia" w:ascii="宋体" w:hAnsi="宋体" w:eastAsia="宋体" w:cs="宋体"/>
      <w:color w:val="000000"/>
      <w:sz w:val="22"/>
      <w:szCs w:val="22"/>
      <w:u w:val="none"/>
    </w:rPr>
  </w:style>
  <w:style w:type="character" w:customStyle="1" w:styleId="165">
    <w:name w:val="font11"/>
    <w:uiPriority w:val="0"/>
    <w:rPr>
      <w:rFonts w:hint="default" w:ascii="Arial" w:hAnsi="Arial" w:cs="Arial"/>
      <w:color w:val="000000"/>
      <w:sz w:val="24"/>
      <w:szCs w:val="24"/>
      <w:u w:val="none"/>
    </w:rPr>
  </w:style>
  <w:style w:type="character" w:customStyle="1" w:styleId="166">
    <w:name w:val="button"/>
    <w:basedOn w:val="135"/>
    <w:uiPriority w:val="0"/>
  </w:style>
  <w:style w:type="character" w:customStyle="1" w:styleId="167">
    <w:name w:val="正文文本 3 Char"/>
    <w:link w:val="37"/>
    <w:uiPriority w:val="0"/>
    <w:rPr>
      <w:kern w:val="2"/>
      <w:sz w:val="16"/>
      <w:szCs w:val="16"/>
    </w:rPr>
  </w:style>
  <w:style w:type="character" w:customStyle="1" w:styleId="168">
    <w:name w:val="font31"/>
    <w:qFormat/>
    <w:uiPriority w:val="0"/>
    <w:rPr>
      <w:rFonts w:hint="eastAsia" w:ascii="宋体" w:hAnsi="宋体" w:eastAsia="宋体" w:cs="宋体"/>
      <w:color w:val="FF0000"/>
      <w:sz w:val="22"/>
      <w:szCs w:val="22"/>
      <w:u w:val="none"/>
    </w:rPr>
  </w:style>
  <w:style w:type="character" w:customStyle="1" w:styleId="169">
    <w:name w:val="num3"/>
    <w:basedOn w:val="135"/>
    <w:uiPriority w:val="0"/>
  </w:style>
  <w:style w:type="character" w:customStyle="1" w:styleId="170">
    <w:name w:val="正文文本缩进 2 Char"/>
    <w:link w:val="55"/>
    <w:uiPriority w:val="0"/>
    <w:rPr>
      <w:kern w:val="2"/>
      <w:sz w:val="21"/>
      <w:szCs w:val="24"/>
    </w:rPr>
  </w:style>
  <w:style w:type="character" w:customStyle="1" w:styleId="171">
    <w:name w:val="可研报告正文 Char"/>
    <w:semiHidden/>
    <w:uiPriority w:val="0"/>
    <w:rPr>
      <w:rFonts w:eastAsia="宋体"/>
      <w:kern w:val="2"/>
      <w:sz w:val="24"/>
      <w:szCs w:val="24"/>
      <w:lang w:val="en-US" w:eastAsia="zh-CN" w:bidi="ar-SA"/>
    </w:rPr>
  </w:style>
  <w:style w:type="character" w:customStyle="1" w:styleId="172">
    <w:name w:val="active1"/>
    <w:basedOn w:val="135"/>
    <w:uiPriority w:val="0"/>
    <w:rPr>
      <w:color w:val="33BBD9"/>
      <w:bdr w:val="single" w:color="CCCCCC" w:sz="4" w:space="0"/>
      <w:shd w:val="clear" w:color="auto" w:fill="FFFFFF"/>
    </w:rPr>
  </w:style>
  <w:style w:type="character" w:customStyle="1" w:styleId="173">
    <w:name w:val="表格内容 Char"/>
    <w:semiHidden/>
    <w:uiPriority w:val="0"/>
    <w:rPr>
      <w:rFonts w:ascii="Arial" w:hAnsi="Arial" w:eastAsia="仿宋_GB2312"/>
      <w:sz w:val="24"/>
      <w:lang w:val="en-US" w:eastAsia="zh-CN" w:bidi="ar-SA"/>
    </w:rPr>
  </w:style>
  <w:style w:type="character" w:customStyle="1" w:styleId="174">
    <w:name w:val="文档结构图 Char"/>
    <w:link w:val="32"/>
    <w:semiHidden/>
    <w:uiPriority w:val="0"/>
    <w:rPr>
      <w:rFonts w:eastAsia="仿宋_GB2312"/>
      <w:kern w:val="2"/>
      <w:sz w:val="28"/>
      <w:shd w:val="clear" w:color="auto" w:fill="000080"/>
    </w:rPr>
  </w:style>
  <w:style w:type="character" w:customStyle="1" w:styleId="175">
    <w:name w:val="font01"/>
    <w:uiPriority w:val="0"/>
    <w:rPr>
      <w:rFonts w:ascii="Microsoft JhengHei" w:hAnsi="Microsoft JhengHei" w:eastAsia="Microsoft JhengHei" w:cs="Microsoft JhengHei"/>
      <w:color w:val="000000"/>
      <w:sz w:val="24"/>
      <w:szCs w:val="24"/>
      <w:u w:val="none"/>
    </w:rPr>
  </w:style>
  <w:style w:type="character" w:customStyle="1" w:styleId="176">
    <w:name w:val="t150ab1"/>
    <w:semiHidden/>
    <w:uiPriority w:val="0"/>
    <w:rPr>
      <w:spacing w:val="31680"/>
      <w:sz w:val="18"/>
      <w:szCs w:val="18"/>
    </w:rPr>
  </w:style>
  <w:style w:type="character" w:customStyle="1" w:styleId="177">
    <w:name w:val="font101"/>
    <w:uiPriority w:val="0"/>
    <w:rPr>
      <w:rFonts w:hint="default" w:ascii="Times New Roman" w:hAnsi="Times New Roman" w:eastAsia="楷体_GB2312" w:cs="Times New Roman"/>
      <w:b/>
      <w:color w:val="000000"/>
      <w:sz w:val="20"/>
      <w:szCs w:val="20"/>
      <w:u w:val="none"/>
    </w:rPr>
  </w:style>
  <w:style w:type="character" w:customStyle="1" w:styleId="178">
    <w:name w:val="css91"/>
    <w:semiHidden/>
    <w:uiPriority w:val="0"/>
    <w:rPr>
      <w:color w:val="000000"/>
      <w:sz w:val="20"/>
      <w:szCs w:val="20"/>
    </w:rPr>
  </w:style>
  <w:style w:type="character" w:customStyle="1" w:styleId="179">
    <w:name w:val="f41"/>
    <w:semiHidden/>
    <w:uiPriority w:val="0"/>
    <w:rPr>
      <w:rFonts w:ascii="宋体" w:hAnsi="宋体" w:eastAsia="宋体"/>
      <w:color w:val="000000"/>
      <w:sz w:val="18"/>
      <w:szCs w:val="18"/>
    </w:rPr>
  </w:style>
  <w:style w:type="character" w:customStyle="1" w:styleId="180">
    <w:name w:val="t_tag"/>
    <w:semiHidden/>
    <w:uiPriority w:val="0"/>
  </w:style>
  <w:style w:type="character" w:customStyle="1" w:styleId="181">
    <w:name w:val="b141"/>
    <w:semiHidden/>
    <w:uiPriority w:val="0"/>
    <w:rPr>
      <w:sz w:val="21"/>
      <w:szCs w:val="21"/>
    </w:rPr>
  </w:style>
  <w:style w:type="character" w:customStyle="1" w:styleId="182">
    <w:name w:val="3rq"/>
    <w:semiHidden/>
    <w:uiPriority w:val="0"/>
    <w:rPr>
      <w:rFonts w:eastAsia="楷体_GB2312"/>
      <w:b/>
      <w:sz w:val="44"/>
      <w:szCs w:val="44"/>
    </w:rPr>
  </w:style>
  <w:style w:type="character" w:customStyle="1" w:styleId="183">
    <w:name w:val="num12"/>
    <w:basedOn w:val="135"/>
    <w:uiPriority w:val="0"/>
  </w:style>
  <w:style w:type="character" w:customStyle="1" w:styleId="184">
    <w:name w:val="脚注文本 Char"/>
    <w:link w:val="71"/>
    <w:uiPriority w:val="0"/>
    <w:rPr>
      <w:kern w:val="2"/>
      <w:sz w:val="18"/>
      <w:szCs w:val="18"/>
    </w:rPr>
  </w:style>
  <w:style w:type="character" w:customStyle="1" w:styleId="185">
    <w:name w:val="表－居中列 Char"/>
    <w:semiHidden/>
    <w:uiPriority w:val="0"/>
    <w:rPr>
      <w:rFonts w:eastAsia="宋体" w:cs="Arial"/>
      <w:sz w:val="21"/>
      <w:szCs w:val="21"/>
      <w:lang w:val="en-US" w:eastAsia="ja-JP" w:bidi="ar-SA"/>
    </w:rPr>
  </w:style>
  <w:style w:type="character" w:customStyle="1" w:styleId="186">
    <w:name w:val="3zw1"/>
    <w:semiHidden/>
    <w:uiPriority w:val="0"/>
    <w:rPr>
      <w:color w:val="000000"/>
      <w:sz w:val="21"/>
      <w:szCs w:val="21"/>
      <w:u w:val="none"/>
    </w:rPr>
  </w:style>
  <w:style w:type="character" w:customStyle="1" w:styleId="187">
    <w:name w:val="正文文本缩进 Char Char"/>
    <w:semiHidden/>
    <w:uiPriority w:val="0"/>
    <w:rPr>
      <w:rFonts w:ascii="宋体" w:hAnsi="宋体" w:eastAsia="宋体"/>
      <w:color w:val="000000"/>
      <w:kern w:val="2"/>
      <w:sz w:val="21"/>
      <w:szCs w:val="21"/>
      <w:lang w:val="zh-CN" w:eastAsia="zh-CN" w:bidi="ar-SA"/>
    </w:rPr>
  </w:style>
  <w:style w:type="character" w:customStyle="1" w:styleId="188">
    <w:name w:val="信息标题 Char"/>
    <w:link w:val="83"/>
    <w:uiPriority w:val="0"/>
    <w:rPr>
      <w:rFonts w:ascii="Arial" w:hAnsi="Arial" w:cs="Arial"/>
      <w:kern w:val="2"/>
      <w:sz w:val="24"/>
      <w:szCs w:val="24"/>
      <w:shd w:val="pct20" w:color="auto" w:fill="auto"/>
    </w:rPr>
  </w:style>
  <w:style w:type="character" w:customStyle="1" w:styleId="189">
    <w:name w:val="短简表 Char"/>
    <w:semiHidden/>
    <w:uiPriority w:val="0"/>
    <w:rPr>
      <w:rFonts w:eastAsia="宋体"/>
      <w:kern w:val="2"/>
      <w:sz w:val="21"/>
      <w:szCs w:val="24"/>
      <w:lang w:val="en-US" w:eastAsia="zh-CN" w:bidi="ar-SA"/>
    </w:rPr>
  </w:style>
  <w:style w:type="character" w:customStyle="1" w:styleId="190">
    <w:name w:val="Lead-in Emphasis"/>
    <w:semiHidden/>
    <w:uiPriority w:val="0"/>
    <w:rPr>
      <w:rFonts w:hint="default" w:ascii="Arial" w:hAnsi="Arial" w:cs="Arial"/>
      <w:b/>
      <w:spacing w:val="-8"/>
      <w:sz w:val="18"/>
    </w:rPr>
  </w:style>
  <w:style w:type="character" w:customStyle="1" w:styleId="191">
    <w:name w:val="style161"/>
    <w:semiHidden/>
    <w:qFormat/>
    <w:uiPriority w:val="0"/>
    <w:rPr>
      <w:color w:val="000000"/>
      <w:sz w:val="21"/>
      <w:szCs w:val="21"/>
    </w:rPr>
  </w:style>
  <w:style w:type="character" w:customStyle="1" w:styleId="192">
    <w:name w:val="图文标"/>
    <w:semiHidden/>
    <w:qFormat/>
    <w:uiPriority w:val="0"/>
    <w:rPr>
      <w:rFonts w:hint="eastAsia" w:ascii="黑体" w:eastAsia="黑体"/>
      <w:b/>
      <w:sz w:val="24"/>
    </w:rPr>
  </w:style>
  <w:style w:type="character" w:customStyle="1" w:styleId="193">
    <w:name w:val="副标题 Char"/>
    <w:link w:val="68"/>
    <w:qFormat/>
    <w:uiPriority w:val="0"/>
    <w:rPr>
      <w:rFonts w:ascii="Arial" w:hAnsi="Arial" w:cs="Arial"/>
      <w:b/>
      <w:bCs/>
      <w:kern w:val="28"/>
      <w:sz w:val="32"/>
      <w:szCs w:val="32"/>
    </w:rPr>
  </w:style>
  <w:style w:type="character" w:customStyle="1" w:styleId="194">
    <w:name w:val="apple-converted-space"/>
    <w:semiHidden/>
    <w:qFormat/>
    <w:uiPriority w:val="0"/>
    <w:rPr>
      <w:rFonts w:eastAsia="楷体_GB2312"/>
      <w:b/>
      <w:sz w:val="44"/>
      <w:szCs w:val="44"/>
    </w:rPr>
  </w:style>
  <w:style w:type="character" w:customStyle="1" w:styleId="195">
    <w:name w:val="标题 4 Char"/>
    <w:link w:val="8"/>
    <w:qFormat/>
    <w:uiPriority w:val="0"/>
    <w:rPr>
      <w:rFonts w:ascii="Arial" w:hAnsi="Arial" w:eastAsia="黑体"/>
      <w:b/>
      <w:bCs/>
      <w:kern w:val="2"/>
      <w:sz w:val="28"/>
      <w:szCs w:val="28"/>
    </w:rPr>
  </w:style>
  <w:style w:type="character" w:customStyle="1" w:styleId="196">
    <w:name w:val="HTML 预设格式 Char"/>
    <w:link w:val="84"/>
    <w:uiPriority w:val="0"/>
    <w:rPr>
      <w:rFonts w:ascii="Courier New" w:hAnsi="Courier New" w:cs="Courier New"/>
      <w:kern w:val="2"/>
    </w:rPr>
  </w:style>
  <w:style w:type="character" w:customStyle="1" w:styleId="197">
    <w:name w:val="正文文本 Char1"/>
    <w:semiHidden/>
    <w:uiPriority w:val="0"/>
    <w:rPr>
      <w:rFonts w:ascii="宋体" w:hAnsi="宋体" w:cs="宋体"/>
      <w:sz w:val="22"/>
      <w:szCs w:val="22"/>
    </w:rPr>
  </w:style>
  <w:style w:type="character" w:customStyle="1" w:styleId="198">
    <w:name w:val="spelle"/>
    <w:semiHidden/>
    <w:uiPriority w:val="0"/>
    <w:rPr>
      <w:rFonts w:eastAsia="楷体_GB2312"/>
      <w:b/>
      <w:sz w:val="44"/>
      <w:szCs w:val="44"/>
    </w:rPr>
  </w:style>
  <w:style w:type="character" w:customStyle="1" w:styleId="199">
    <w:name w:val="num10"/>
    <w:basedOn w:val="135"/>
    <w:qFormat/>
    <w:uiPriority w:val="0"/>
  </w:style>
  <w:style w:type="character" w:customStyle="1" w:styleId="200">
    <w:name w:val="正文缩进 Char1"/>
    <w:qFormat/>
    <w:uiPriority w:val="0"/>
    <w:rPr>
      <w:kern w:val="2"/>
      <w:sz w:val="18"/>
      <w:szCs w:val="18"/>
    </w:rPr>
  </w:style>
  <w:style w:type="character" w:customStyle="1" w:styleId="201">
    <w:name w:val="105font1"/>
    <w:semiHidden/>
    <w:qFormat/>
    <w:uiPriority w:val="0"/>
    <w:rPr>
      <w:sz w:val="21"/>
      <w:szCs w:val="21"/>
    </w:rPr>
  </w:style>
  <w:style w:type="character" w:customStyle="1" w:styleId="202">
    <w:name w:val="num6"/>
    <w:basedOn w:val="135"/>
    <w:qFormat/>
    <w:uiPriority w:val="0"/>
  </w:style>
  <w:style w:type="character" w:customStyle="1" w:styleId="203">
    <w:name w:val="font21"/>
    <w:qFormat/>
    <w:uiPriority w:val="0"/>
    <w:rPr>
      <w:rFonts w:hint="default" w:ascii="Times New Roman" w:hAnsi="Times New Roman" w:cs="Times New Roman"/>
      <w:color w:val="000000"/>
      <w:sz w:val="21"/>
      <w:szCs w:val="21"/>
      <w:u w:val="none"/>
    </w:rPr>
  </w:style>
  <w:style w:type="character" w:customStyle="1" w:styleId="204">
    <w:name w:val="正文文本 (2)_"/>
    <w:link w:val="205"/>
    <w:qFormat/>
    <w:uiPriority w:val="0"/>
    <w:rPr>
      <w:rFonts w:ascii="Batang" w:hAnsi="Batang" w:eastAsia="Batang"/>
      <w:spacing w:val="-4"/>
      <w:sz w:val="18"/>
      <w:szCs w:val="18"/>
      <w:shd w:val="clear" w:color="auto" w:fill="FFFFFF"/>
    </w:rPr>
  </w:style>
  <w:style w:type="paragraph" w:customStyle="1" w:styleId="205">
    <w:name w:val="正文文本 (2)"/>
    <w:basedOn w:val="1"/>
    <w:link w:val="204"/>
    <w:qFormat/>
    <w:uiPriority w:val="99"/>
    <w:pPr>
      <w:shd w:val="clear" w:color="auto" w:fill="FFFFFF"/>
      <w:spacing w:after="180" w:line="398" w:lineRule="exact"/>
      <w:ind w:firstLine="0"/>
    </w:pPr>
    <w:rPr>
      <w:rFonts w:ascii="Batang" w:hAnsi="Batang" w:eastAsia="Batang"/>
      <w:spacing w:val="-4"/>
      <w:kern w:val="0"/>
      <w:sz w:val="18"/>
      <w:szCs w:val="18"/>
      <w:shd w:val="clear" w:color="auto" w:fill="FFFFFF"/>
    </w:rPr>
  </w:style>
  <w:style w:type="character" w:customStyle="1" w:styleId="206">
    <w:name w:val="标题 5 Char"/>
    <w:link w:val="9"/>
    <w:qFormat/>
    <w:uiPriority w:val="0"/>
    <w:rPr>
      <w:b/>
      <w:bCs/>
      <w:kern w:val="2"/>
      <w:sz w:val="28"/>
      <w:szCs w:val="28"/>
    </w:rPr>
  </w:style>
  <w:style w:type="character" w:customStyle="1" w:styleId="207">
    <w:name w:val="表格 Char"/>
    <w:qFormat/>
    <w:uiPriority w:val="0"/>
    <w:rPr>
      <w:rFonts w:eastAsia="宋体"/>
      <w:kern w:val="2"/>
      <w:sz w:val="21"/>
      <w:lang w:val="en-US" w:eastAsia="zh-CN" w:bidi="ar-SA"/>
    </w:rPr>
  </w:style>
  <w:style w:type="character" w:customStyle="1" w:styleId="208">
    <w:name w:val="表格文字1 Char"/>
    <w:semiHidden/>
    <w:qFormat/>
    <w:uiPriority w:val="0"/>
    <w:rPr>
      <w:rFonts w:ascii="宋体" w:hAnsi="Courier New" w:eastAsia="宋体"/>
      <w:kern w:val="2"/>
      <w:sz w:val="21"/>
      <w:szCs w:val="21"/>
      <w:lang w:val="en-US" w:eastAsia="zh-CN" w:bidi="ar-SA"/>
    </w:rPr>
  </w:style>
  <w:style w:type="character" w:customStyle="1" w:styleId="209">
    <w:name w:val="5文章(治) Char"/>
    <w:link w:val="3"/>
    <w:qFormat/>
    <w:uiPriority w:val="0"/>
    <w:rPr>
      <w:rFonts w:eastAsia="宋体"/>
      <w:kern w:val="2"/>
      <w:sz w:val="24"/>
      <w:szCs w:val="28"/>
      <w:lang w:val="en-US" w:eastAsia="zh-CN" w:bidi="ar-SA"/>
    </w:rPr>
  </w:style>
  <w:style w:type="character" w:customStyle="1" w:styleId="210">
    <w:name w:val="5文章(治) Char1"/>
    <w:qFormat/>
    <w:uiPriority w:val="0"/>
    <w:rPr>
      <w:rFonts w:eastAsia="宋体"/>
      <w:kern w:val="2"/>
      <w:sz w:val="24"/>
      <w:szCs w:val="24"/>
      <w:lang w:val="en-US" w:eastAsia="zh-CN" w:bidi="ar-SA"/>
    </w:rPr>
  </w:style>
  <w:style w:type="character" w:customStyle="1" w:styleId="211">
    <w:name w:val="标题2 Char11"/>
    <w:semiHidden/>
    <w:uiPriority w:val="0"/>
    <w:rPr>
      <w:rFonts w:eastAsia="黑体"/>
      <w:b/>
      <w:bCs/>
      <w:snapToGrid w:val="0"/>
      <w:color w:val="000000"/>
      <w:sz w:val="24"/>
      <w:szCs w:val="32"/>
      <w:lang w:val="en-US" w:eastAsia="zh-CN" w:bidi="ar-SA"/>
    </w:rPr>
  </w:style>
  <w:style w:type="character" w:customStyle="1" w:styleId="212">
    <w:name w:val="4标题(治) Char"/>
    <w:link w:val="213"/>
    <w:uiPriority w:val="0"/>
    <w:rPr>
      <w:rFonts w:eastAsia="黑体"/>
      <w:sz w:val="28"/>
    </w:rPr>
  </w:style>
  <w:style w:type="paragraph" w:customStyle="1" w:styleId="213">
    <w:name w:val="4标题(治)"/>
    <w:basedOn w:val="1"/>
    <w:next w:val="1"/>
    <w:link w:val="212"/>
    <w:uiPriority w:val="0"/>
    <w:pPr>
      <w:adjustRightInd w:val="0"/>
      <w:snapToGrid w:val="0"/>
      <w:spacing w:line="360" w:lineRule="auto"/>
      <w:ind w:firstLine="0"/>
      <w:textAlignment w:val="baseline"/>
      <w:outlineLvl w:val="3"/>
    </w:pPr>
    <w:rPr>
      <w:rFonts w:eastAsia="黑体"/>
      <w:kern w:val="0"/>
    </w:rPr>
  </w:style>
  <w:style w:type="character" w:customStyle="1" w:styleId="214">
    <w:name w:val="表头 Char Char"/>
    <w:link w:val="215"/>
    <w:semiHidden/>
    <w:uiPriority w:val="0"/>
    <w:rPr>
      <w:rFonts w:eastAsia="黑体"/>
      <w:kern w:val="2"/>
      <w:sz w:val="28"/>
    </w:rPr>
  </w:style>
  <w:style w:type="paragraph" w:customStyle="1" w:styleId="215">
    <w:name w:val="表头 Char"/>
    <w:basedOn w:val="26"/>
    <w:link w:val="214"/>
    <w:semiHidden/>
    <w:uiPriority w:val="0"/>
    <w:pPr>
      <w:overflowPunct w:val="0"/>
      <w:autoSpaceDE w:val="0"/>
      <w:adjustRightInd w:val="0"/>
      <w:spacing w:before="60" w:after="60" w:line="360" w:lineRule="auto"/>
      <w:ind w:firstLine="567"/>
      <w:jc w:val="center"/>
      <w:textAlignment w:val="baseline"/>
    </w:pPr>
    <w:rPr>
      <w:rFonts w:eastAsia="黑体"/>
      <w:sz w:val="28"/>
      <w:szCs w:val="20"/>
    </w:rPr>
  </w:style>
  <w:style w:type="character" w:customStyle="1" w:styleId="216">
    <w:name w:val="索引标题 Char"/>
    <w:link w:val="66"/>
    <w:uiPriority w:val="0"/>
    <w:rPr>
      <w:rFonts w:ascii="Arial" w:hAnsi="Arial" w:cs="Arial"/>
      <w:b/>
      <w:bCs/>
      <w:kern w:val="2"/>
      <w:sz w:val="21"/>
      <w:szCs w:val="24"/>
    </w:rPr>
  </w:style>
  <w:style w:type="character" w:customStyle="1" w:styleId="217">
    <w:name w:val="5文章(金皇) 字符"/>
    <w:link w:val="218"/>
    <w:qFormat/>
    <w:uiPriority w:val="0"/>
    <w:rPr>
      <w:rFonts w:eastAsia="宋体"/>
      <w:kern w:val="0"/>
      <w:sz w:val="24"/>
      <w:szCs w:val="24"/>
    </w:rPr>
  </w:style>
  <w:style w:type="paragraph" w:customStyle="1" w:styleId="218">
    <w:name w:val="5文章(金皇)"/>
    <w:basedOn w:val="1"/>
    <w:link w:val="217"/>
    <w:qFormat/>
    <w:uiPriority w:val="0"/>
    <w:pPr>
      <w:spacing w:line="360" w:lineRule="auto"/>
      <w:ind w:firstLine="480"/>
    </w:pPr>
    <w:rPr>
      <w:rFonts w:eastAsia="宋体"/>
      <w:kern w:val="0"/>
      <w:sz w:val="24"/>
      <w:szCs w:val="24"/>
    </w:rPr>
  </w:style>
  <w:style w:type="character" w:customStyle="1" w:styleId="219">
    <w:name w:val="dc"/>
    <w:basedOn w:val="135"/>
    <w:uiPriority w:val="0"/>
    <w:rPr>
      <w:color w:val="663300"/>
      <w:sz w:val="21"/>
      <w:szCs w:val="21"/>
    </w:rPr>
  </w:style>
  <w:style w:type="character" w:customStyle="1" w:styleId="220">
    <w:name w:val="标题1 Char Char Char"/>
    <w:link w:val="221"/>
    <w:semiHidden/>
    <w:locked/>
    <w:uiPriority w:val="0"/>
    <w:rPr>
      <w:rFonts w:ascii="黑体" w:eastAsia="黑体" w:cs="宋体"/>
      <w:color w:val="FF0000"/>
      <w:spacing w:val="10"/>
      <w:sz w:val="28"/>
      <w:szCs w:val="21"/>
      <w:u w:val="single"/>
    </w:rPr>
  </w:style>
  <w:style w:type="paragraph" w:customStyle="1" w:styleId="221">
    <w:name w:val="标题1 Char Char"/>
    <w:basedOn w:val="5"/>
    <w:link w:val="220"/>
    <w:semiHidden/>
    <w:uiPriority w:val="0"/>
    <w:pPr>
      <w:keepNext w:val="0"/>
      <w:keepLines w:val="0"/>
      <w:pageBreakBefore/>
      <w:adjustRightInd w:val="0"/>
      <w:spacing w:before="0" w:beforeLines="50" w:after="0" w:afterLines="50" w:line="500" w:lineRule="exact"/>
      <w:ind w:firstLine="480"/>
      <w:contextualSpacing/>
      <w:jc w:val="center"/>
    </w:pPr>
    <w:rPr>
      <w:rFonts w:ascii="黑体" w:eastAsia="黑体" w:cs="宋体"/>
      <w:b w:val="0"/>
      <w:color w:val="FF0000"/>
      <w:spacing w:val="10"/>
      <w:kern w:val="0"/>
      <w:sz w:val="28"/>
      <w:szCs w:val="21"/>
      <w:u w:val="single"/>
    </w:rPr>
  </w:style>
  <w:style w:type="character" w:customStyle="1" w:styleId="222">
    <w:name w:val="3.表格备注CM 字符"/>
    <w:link w:val="223"/>
    <w:qFormat/>
    <w:uiPriority w:val="0"/>
    <w:rPr>
      <w:rFonts w:eastAsia="等线"/>
      <w:b/>
      <w:sz w:val="21"/>
    </w:rPr>
  </w:style>
  <w:style w:type="paragraph" w:customStyle="1" w:styleId="223">
    <w:name w:val="3.表格备注CM"/>
    <w:basedOn w:val="1"/>
    <w:link w:val="222"/>
    <w:qFormat/>
    <w:uiPriority w:val="0"/>
    <w:pPr>
      <w:widowControl/>
      <w:tabs>
        <w:tab w:val="left" w:pos="1980"/>
        <w:tab w:val="left" w:pos="3825"/>
        <w:tab w:val="left" w:pos="4680"/>
      </w:tabs>
      <w:adjustRightInd w:val="0"/>
      <w:snapToGrid w:val="0"/>
      <w:spacing w:after="30" w:afterLines="30" w:line="240" w:lineRule="auto"/>
      <w:ind w:firstLine="0"/>
      <w:jc w:val="left"/>
    </w:pPr>
    <w:rPr>
      <w:rFonts w:eastAsia="等线"/>
      <w:b/>
      <w:kern w:val="0"/>
      <w:sz w:val="21"/>
    </w:rPr>
  </w:style>
  <w:style w:type="character" w:customStyle="1" w:styleId="224">
    <w:name w:val="7表格(治) Char Char"/>
    <w:link w:val="225"/>
    <w:qFormat/>
    <w:uiPriority w:val="0"/>
    <w:rPr>
      <w:rFonts w:eastAsia="宋体"/>
      <w:sz w:val="21"/>
      <w:lang w:val="en-US" w:eastAsia="zh-CN" w:bidi="ar-SA"/>
    </w:rPr>
  </w:style>
  <w:style w:type="paragraph" w:customStyle="1" w:styleId="225">
    <w:name w:val="7表格(治)"/>
    <w:link w:val="224"/>
    <w:qFormat/>
    <w:uiPriority w:val="0"/>
    <w:pPr>
      <w:snapToGrid w:val="0"/>
      <w:jc w:val="center"/>
    </w:pPr>
    <w:rPr>
      <w:rFonts w:ascii="Times New Roman" w:hAnsi="Times New Roman" w:eastAsia="宋体" w:cs="Times New Roman"/>
      <w:sz w:val="21"/>
      <w:lang w:val="en-US" w:eastAsia="zh-CN" w:bidi="ar-SA"/>
    </w:rPr>
  </w:style>
  <w:style w:type="character" w:customStyle="1" w:styleId="226">
    <w:name w:val="表格 字符"/>
    <w:link w:val="227"/>
    <w:qFormat/>
    <w:uiPriority w:val="0"/>
    <w:rPr>
      <w:rFonts w:ascii="Times New Roman" w:hAnsi="Times New Roman" w:eastAsia="楷体_GB2312"/>
      <w:kern w:val="2"/>
      <w:sz w:val="21"/>
    </w:rPr>
  </w:style>
  <w:style w:type="paragraph" w:customStyle="1" w:styleId="227">
    <w:name w:val="表格"/>
    <w:basedOn w:val="1"/>
    <w:link w:val="226"/>
    <w:qFormat/>
    <w:uiPriority w:val="0"/>
    <w:pPr>
      <w:adjustRightInd w:val="0"/>
      <w:snapToGrid w:val="0"/>
      <w:spacing w:before="20" w:after="20" w:line="240" w:lineRule="auto"/>
      <w:ind w:firstLine="480"/>
      <w:jc w:val="center"/>
    </w:pPr>
    <w:rPr>
      <w:rFonts w:eastAsia="宋体"/>
      <w:sz w:val="21"/>
    </w:rPr>
  </w:style>
  <w:style w:type="character" w:customStyle="1" w:styleId="228">
    <w:name w:val="页眉 Char"/>
    <w:link w:val="61"/>
    <w:uiPriority w:val="99"/>
    <w:rPr>
      <w:rFonts w:eastAsia="仿宋_GB2312"/>
      <w:kern w:val="2"/>
      <w:sz w:val="18"/>
      <w:szCs w:val="18"/>
    </w:rPr>
  </w:style>
  <w:style w:type="character" w:customStyle="1" w:styleId="229">
    <w:name w:val="num15"/>
    <w:basedOn w:val="135"/>
    <w:uiPriority w:val="0"/>
  </w:style>
  <w:style w:type="character" w:customStyle="1" w:styleId="230">
    <w:name w:val="日期 Char"/>
    <w:link w:val="54"/>
    <w:uiPriority w:val="0"/>
    <w:rPr>
      <w:rFonts w:eastAsia="仿宋_GB2312"/>
      <w:kern w:val="2"/>
      <w:sz w:val="28"/>
    </w:rPr>
  </w:style>
  <w:style w:type="character" w:customStyle="1" w:styleId="231">
    <w:name w:val="题注 Char"/>
    <w:link w:val="28"/>
    <w:uiPriority w:val="0"/>
    <w:rPr>
      <w:rFonts w:ascii="Arial" w:hAnsi="Arial" w:eastAsia="黑体" w:cs="Arial"/>
      <w:kern w:val="2"/>
    </w:rPr>
  </w:style>
  <w:style w:type="character" w:customStyle="1" w:styleId="232">
    <w:name w:val="页眉 Char1"/>
    <w:semiHidden/>
    <w:uiPriority w:val="0"/>
    <w:rPr>
      <w:rFonts w:ascii="宋体" w:eastAsia="楷体_GB2312"/>
      <w:sz w:val="18"/>
      <w:szCs w:val="18"/>
    </w:rPr>
  </w:style>
  <w:style w:type="character" w:customStyle="1" w:styleId="233">
    <w:name w:val="num1"/>
    <w:basedOn w:val="135"/>
    <w:uiPriority w:val="0"/>
  </w:style>
  <w:style w:type="character" w:customStyle="1" w:styleId="234">
    <w:name w:val="正文首行缩进 Char"/>
    <w:basedOn w:val="235"/>
    <w:link w:val="26"/>
    <w:uiPriority w:val="0"/>
  </w:style>
  <w:style w:type="character" w:customStyle="1" w:styleId="235">
    <w:name w:val="正文文本 Char"/>
    <w:link w:val="27"/>
    <w:uiPriority w:val="0"/>
    <w:rPr>
      <w:kern w:val="2"/>
      <w:sz w:val="21"/>
      <w:szCs w:val="24"/>
    </w:rPr>
  </w:style>
  <w:style w:type="character" w:customStyle="1" w:styleId="236">
    <w:name w:val="3标题(治) Char"/>
    <w:link w:val="237"/>
    <w:uiPriority w:val="0"/>
    <w:rPr>
      <w:rFonts w:eastAsia="黑体"/>
      <w:b/>
      <w:sz w:val="28"/>
      <w:szCs w:val="28"/>
    </w:rPr>
  </w:style>
  <w:style w:type="paragraph" w:customStyle="1" w:styleId="237">
    <w:name w:val="3标题(治)"/>
    <w:basedOn w:val="7"/>
    <w:link w:val="236"/>
    <w:uiPriority w:val="0"/>
    <w:pPr>
      <w:adjustRightInd w:val="0"/>
      <w:snapToGrid w:val="0"/>
      <w:spacing w:before="0" w:after="0" w:line="360" w:lineRule="auto"/>
      <w:ind w:firstLine="0"/>
      <w:textAlignment w:val="baseline"/>
    </w:pPr>
    <w:rPr>
      <w:rFonts w:eastAsia="黑体"/>
      <w:kern w:val="0"/>
      <w:sz w:val="28"/>
      <w:szCs w:val="28"/>
    </w:rPr>
  </w:style>
  <w:style w:type="character" w:customStyle="1" w:styleId="238">
    <w:name w:val="正文文本 Char2"/>
    <w:semiHidden/>
    <w:uiPriority w:val="0"/>
    <w:rPr>
      <w:rFonts w:ascii="宋体" w:eastAsia="楷体_GB2312"/>
      <w:sz w:val="34"/>
      <w:szCs w:val="44"/>
    </w:rPr>
  </w:style>
  <w:style w:type="character" w:customStyle="1" w:styleId="239">
    <w:name w:val="引入重点"/>
    <w:semiHidden/>
    <w:uiPriority w:val="0"/>
    <w:rPr>
      <w:rFonts w:hint="default" w:ascii="Arial Black" w:hAnsi="Arial Black"/>
      <w:spacing w:val="-10"/>
      <w:sz w:val="18"/>
    </w:rPr>
  </w:style>
  <w:style w:type="character" w:customStyle="1" w:styleId="240">
    <w:name w:val="正文文本 (2) + MingLiU"/>
    <w:unhideWhenUsed/>
    <w:qFormat/>
    <w:uiPriority w:val="99"/>
    <w:rPr>
      <w:rFonts w:hint="default" w:ascii="MingLiU" w:hAnsi="MingLiU" w:eastAsia="MingLiU"/>
      <w:sz w:val="13"/>
      <w:lang w:val="en-US" w:eastAsia="en-US"/>
    </w:rPr>
  </w:style>
  <w:style w:type="character" w:customStyle="1" w:styleId="241">
    <w:name w:val="text31"/>
    <w:semiHidden/>
    <w:uiPriority w:val="0"/>
    <w:rPr>
      <w:rFonts w:hint="default" w:ascii="Ђˎ̥" w:hAnsi="Ђˎ̥"/>
      <w:color w:val="FF0000"/>
      <w:sz w:val="18"/>
      <w:szCs w:val="18"/>
      <w:u w:val="none"/>
    </w:rPr>
  </w:style>
  <w:style w:type="character" w:customStyle="1" w:styleId="242">
    <w:name w:val="content1"/>
    <w:semiHidden/>
    <w:uiPriority w:val="0"/>
    <w:rPr>
      <w:sz w:val="21"/>
      <w:szCs w:val="21"/>
    </w:rPr>
  </w:style>
  <w:style w:type="character" w:customStyle="1" w:styleId="243">
    <w:name w:val="style81"/>
    <w:semiHidden/>
    <w:uiPriority w:val="0"/>
    <w:rPr>
      <w:sz w:val="24"/>
      <w:szCs w:val="24"/>
    </w:rPr>
  </w:style>
  <w:style w:type="character" w:customStyle="1" w:styleId="244">
    <w:name w:val="_Style 3"/>
    <w:qFormat/>
    <w:uiPriority w:val="0"/>
    <w:rPr>
      <w:i/>
      <w:color w:val="5A5A5A"/>
    </w:rPr>
  </w:style>
  <w:style w:type="character" w:customStyle="1" w:styleId="245">
    <w:name w:val="tpc_content"/>
    <w:semiHidden/>
    <w:uiPriority w:val="0"/>
    <w:rPr>
      <w:rFonts w:eastAsia="楷体_GB2312"/>
      <w:b/>
      <w:sz w:val="44"/>
      <w:szCs w:val="44"/>
    </w:rPr>
  </w:style>
  <w:style w:type="character" w:customStyle="1" w:styleId="246">
    <w:name w:val="px14"/>
    <w:semiHidden/>
    <w:uiPriority w:val="0"/>
    <w:rPr>
      <w:rFonts w:eastAsia="楷体_GB2312"/>
      <w:b/>
      <w:sz w:val="44"/>
      <w:szCs w:val="44"/>
    </w:rPr>
  </w:style>
  <w:style w:type="character" w:customStyle="1" w:styleId="247">
    <w:name w:val="标题 4 Char4"/>
    <w:semiHidden/>
    <w:uiPriority w:val="0"/>
    <w:rPr>
      <w:rFonts w:ascii="宋体" w:hAnsi="宋体" w:eastAsia="宋体"/>
      <w:b/>
      <w:snapToGrid w:val="0"/>
      <w:kern w:val="2"/>
      <w:sz w:val="24"/>
      <w:szCs w:val="24"/>
      <w:lang w:val="en-GB" w:eastAsia="zh-CN" w:bidi="ar-SA"/>
    </w:rPr>
  </w:style>
  <w:style w:type="character" w:customStyle="1" w:styleId="248">
    <w:name w:val="标题 9 Char"/>
    <w:link w:val="13"/>
    <w:uiPriority w:val="0"/>
    <w:rPr>
      <w:rFonts w:ascii="Arial" w:hAnsi="Arial" w:eastAsia="黑体"/>
      <w:kern w:val="2"/>
      <w:sz w:val="21"/>
      <w:szCs w:val="21"/>
    </w:rPr>
  </w:style>
  <w:style w:type="character" w:customStyle="1" w:styleId="249">
    <w:name w:val="样式 左侧:  1.5 厘米 首行缩进:  0 厘米 Char"/>
    <w:semiHidden/>
    <w:uiPriority w:val="0"/>
    <w:rPr>
      <w:rFonts w:ascii="Arial" w:hAnsi="Arial" w:eastAsia="宋体"/>
      <w:sz w:val="24"/>
      <w:lang w:val="en-US" w:eastAsia="zh-CN" w:bidi="ar-SA"/>
    </w:rPr>
  </w:style>
  <w:style w:type="character" w:customStyle="1" w:styleId="250">
    <w:name w:val="图题 Char"/>
    <w:link w:val="251"/>
    <w:semiHidden/>
    <w:uiPriority w:val="0"/>
    <w:rPr>
      <w:rFonts w:ascii="宋体" w:hAnsi="宋体"/>
      <w:sz w:val="24"/>
    </w:rPr>
  </w:style>
  <w:style w:type="paragraph" w:customStyle="1" w:styleId="251">
    <w:name w:val="图题"/>
    <w:link w:val="250"/>
    <w:semiHidden/>
    <w:uiPriority w:val="0"/>
    <w:pPr>
      <w:spacing w:before="120" w:beforeLines="50"/>
      <w:ind w:firstLine="480"/>
      <w:jc w:val="both"/>
    </w:pPr>
    <w:rPr>
      <w:rFonts w:ascii="宋体" w:hAnsi="宋体" w:eastAsia="宋体" w:cs="Times New Roman"/>
      <w:sz w:val="24"/>
      <w:lang w:val="en-US" w:eastAsia="zh-CN" w:bidi="ar-SA"/>
    </w:rPr>
  </w:style>
  <w:style w:type="character" w:customStyle="1" w:styleId="252">
    <w:name w:val="样式1 Char"/>
    <w:link w:val="253"/>
    <w:semiHidden/>
    <w:uiPriority w:val="0"/>
    <w:rPr>
      <w:b/>
      <w:kern w:val="2"/>
      <w:sz w:val="24"/>
      <w:szCs w:val="24"/>
    </w:rPr>
  </w:style>
  <w:style w:type="paragraph" w:customStyle="1" w:styleId="253">
    <w:name w:val="样式1"/>
    <w:basedOn w:val="254"/>
    <w:link w:val="252"/>
    <w:qFormat/>
    <w:uiPriority w:val="0"/>
    <w:pPr>
      <w:numPr>
        <w:ilvl w:val="3"/>
        <w:numId w:val="0"/>
      </w:numPr>
      <w:tabs>
        <w:tab w:val="left" w:pos="851"/>
      </w:tabs>
      <w:ind w:left="851" w:hanging="851"/>
    </w:pPr>
    <w:rPr>
      <w:b/>
    </w:rPr>
  </w:style>
  <w:style w:type="paragraph" w:customStyle="1" w:styleId="254">
    <w:name w:val="样式4"/>
    <w:basedOn w:val="1"/>
    <w:semiHidden/>
    <w:uiPriority w:val="0"/>
    <w:pPr>
      <w:tabs>
        <w:tab w:val="left" w:pos="851"/>
      </w:tabs>
      <w:spacing w:line="360" w:lineRule="auto"/>
      <w:ind w:left="851" w:hanging="851"/>
    </w:pPr>
    <w:rPr>
      <w:rFonts w:eastAsia="宋体"/>
      <w:sz w:val="24"/>
      <w:szCs w:val="24"/>
    </w:rPr>
  </w:style>
  <w:style w:type="character" w:customStyle="1" w:styleId="255">
    <w:name w:val="正文样式 Char"/>
    <w:semiHidden/>
    <w:uiPriority w:val="0"/>
    <w:rPr>
      <w:rFonts w:eastAsia="宋体" w:cs="宋体"/>
      <w:kern w:val="2"/>
      <w:sz w:val="21"/>
      <w:szCs w:val="24"/>
      <w:lang w:val="en-US" w:eastAsia="zh-CN" w:bidi="ar-SA"/>
    </w:rPr>
  </w:style>
  <w:style w:type="character" w:customStyle="1" w:styleId="256">
    <w:name w:val="num21"/>
    <w:basedOn w:val="135"/>
    <w:uiPriority w:val="0"/>
    <w:rPr>
      <w:shd w:val="clear" w:color="auto" w:fill="FDC003"/>
    </w:rPr>
  </w:style>
  <w:style w:type="character" w:customStyle="1" w:styleId="257">
    <w:name w:val="标题2 Char Char"/>
    <w:semiHidden/>
    <w:locked/>
    <w:uiPriority w:val="0"/>
    <w:rPr>
      <w:rFonts w:ascii="宋体" w:eastAsia="宋体"/>
      <w:sz w:val="21"/>
      <w:lang w:val="en-US" w:eastAsia="zh-CN" w:bidi="ar-SA"/>
    </w:rPr>
  </w:style>
  <w:style w:type="character" w:customStyle="1" w:styleId="258">
    <w:name w:val="宏文本 Char"/>
    <w:link w:val="4"/>
    <w:uiPriority w:val="0"/>
    <w:rPr>
      <w:rFonts w:ascii="Courier New" w:hAnsi="Courier New" w:cs="Courier New"/>
      <w:kern w:val="2"/>
      <w:sz w:val="24"/>
      <w:szCs w:val="24"/>
    </w:rPr>
  </w:style>
  <w:style w:type="character" w:customStyle="1" w:styleId="259">
    <w:name w:val="尾注文本 Char1"/>
    <w:semiHidden/>
    <w:uiPriority w:val="0"/>
    <w:rPr>
      <w:rFonts w:ascii="宋体" w:eastAsia="楷体_GB2312"/>
      <w:sz w:val="34"/>
      <w:szCs w:val="44"/>
    </w:rPr>
  </w:style>
  <w:style w:type="character" w:customStyle="1" w:styleId="260">
    <w:name w:val="contenttext1"/>
    <w:semiHidden/>
    <w:uiPriority w:val="0"/>
    <w:rPr>
      <w:color w:val="333333"/>
      <w:sz w:val="21"/>
      <w:szCs w:val="21"/>
      <w:u w:val="none"/>
    </w:rPr>
  </w:style>
  <w:style w:type="character" w:customStyle="1" w:styleId="261">
    <w:name w:val=" Char Char9"/>
    <w:semiHidden/>
    <w:uiPriority w:val="0"/>
    <w:rPr>
      <w:rFonts w:ascii="Times New Roman" w:hAnsi="Times New Roman" w:eastAsia="楷体_GB2312"/>
      <w:kern w:val="2"/>
      <w:sz w:val="28"/>
    </w:rPr>
  </w:style>
  <w:style w:type="character" w:customStyle="1" w:styleId="262">
    <w:name w:val="批注框文本 Char"/>
    <w:link w:val="58"/>
    <w:uiPriority w:val="0"/>
    <w:rPr>
      <w:rFonts w:eastAsia="仿宋_GB2312"/>
      <w:kern w:val="2"/>
      <w:sz w:val="18"/>
      <w:szCs w:val="18"/>
    </w:rPr>
  </w:style>
  <w:style w:type="character" w:customStyle="1" w:styleId="263">
    <w:name w:val="num9"/>
    <w:basedOn w:val="135"/>
    <w:uiPriority w:val="0"/>
  </w:style>
  <w:style w:type="character" w:customStyle="1" w:styleId="264">
    <w:name w:val="Se Char"/>
    <w:semiHidden/>
    <w:uiPriority w:val="0"/>
    <w:rPr>
      <w:rFonts w:eastAsia="黑体"/>
      <w:b/>
      <w:bCs/>
      <w:snapToGrid w:val="0"/>
      <w:color w:val="000000"/>
      <w:sz w:val="24"/>
      <w:szCs w:val="32"/>
      <w:lang w:val="en-US" w:eastAsia="zh-CN" w:bidi="ar-SA"/>
    </w:rPr>
  </w:style>
  <w:style w:type="character" w:customStyle="1" w:styleId="265">
    <w:name w:val="hover21"/>
    <w:basedOn w:val="135"/>
    <w:uiPriority w:val="0"/>
    <w:rPr>
      <w:shd w:val="clear" w:color="auto" w:fill="F2F2F2"/>
    </w:rPr>
  </w:style>
  <w:style w:type="character" w:customStyle="1" w:styleId="266">
    <w:name w:val="尾注文本 Char"/>
    <w:link w:val="56"/>
    <w:uiPriority w:val="0"/>
    <w:rPr>
      <w:kern w:val="2"/>
      <w:sz w:val="21"/>
      <w:szCs w:val="24"/>
    </w:rPr>
  </w:style>
  <w:style w:type="character" w:customStyle="1" w:styleId="267">
    <w:name w:val="ca-nav-next"/>
    <w:basedOn w:val="135"/>
    <w:uiPriority w:val="0"/>
  </w:style>
  <w:style w:type="character" w:customStyle="1" w:styleId="268">
    <w:name w:val="num2"/>
    <w:basedOn w:val="135"/>
    <w:uiPriority w:val="0"/>
  </w:style>
  <w:style w:type="character" w:customStyle="1" w:styleId="269">
    <w:name w:val="2标题(治) Char"/>
    <w:link w:val="270"/>
    <w:uiPriority w:val="0"/>
    <w:rPr>
      <w:rFonts w:eastAsia="黑体"/>
      <w:b/>
      <w:bCs/>
      <w:kern w:val="2"/>
      <w:sz w:val="32"/>
      <w:szCs w:val="30"/>
      <w:lang w:val="en-US" w:eastAsia="zh-CN" w:bidi="ar-SA"/>
    </w:rPr>
  </w:style>
  <w:style w:type="paragraph" w:customStyle="1" w:styleId="270">
    <w:name w:val="2标题(治)"/>
    <w:basedOn w:val="6"/>
    <w:link w:val="269"/>
    <w:qFormat/>
    <w:uiPriority w:val="0"/>
    <w:pPr>
      <w:spacing w:before="0" w:after="0" w:line="360" w:lineRule="auto"/>
      <w:ind w:firstLine="0"/>
    </w:pPr>
    <w:rPr>
      <w:rFonts w:ascii="Times New Roman" w:hAnsi="Times New Roman"/>
      <w:szCs w:val="30"/>
      <w:lang w:val="en-US" w:eastAsia="zh-CN"/>
    </w:rPr>
  </w:style>
  <w:style w:type="character" w:customStyle="1" w:styleId="271">
    <w:name w:val="样式 正文文本缩进 + 小四 Char"/>
    <w:link w:val="272"/>
    <w:semiHidden/>
    <w:locked/>
    <w:uiPriority w:val="0"/>
    <w:rPr>
      <w:rFonts w:ascii="宋体" w:hAnsi="宋体"/>
      <w:kern w:val="2"/>
      <w:sz w:val="24"/>
      <w:szCs w:val="24"/>
    </w:rPr>
  </w:style>
  <w:style w:type="paragraph" w:customStyle="1" w:styleId="272">
    <w:name w:val="样式 正文文本缩进 + 小四"/>
    <w:basedOn w:val="25"/>
    <w:link w:val="271"/>
    <w:semiHidden/>
    <w:uiPriority w:val="0"/>
    <w:pPr>
      <w:snapToGrid/>
      <w:spacing w:after="120" w:line="240" w:lineRule="auto"/>
      <w:ind w:left="420" w:firstLine="0"/>
    </w:pPr>
    <w:rPr>
      <w:rFonts w:ascii="宋体" w:hAnsi="宋体"/>
      <w:szCs w:val="24"/>
    </w:rPr>
  </w:style>
  <w:style w:type="character" w:customStyle="1" w:styleId="273">
    <w:name w:val="maoming1"/>
    <w:semiHidden/>
    <w:uiPriority w:val="0"/>
    <w:rPr>
      <w:color w:val="333333"/>
      <w:spacing w:val="0"/>
      <w:sz w:val="18"/>
      <w:szCs w:val="18"/>
    </w:rPr>
  </w:style>
  <w:style w:type="character" w:customStyle="1" w:styleId="274">
    <w:name w:val="正文文本 2 Char"/>
    <w:link w:val="80"/>
    <w:uiPriority w:val="0"/>
    <w:rPr>
      <w:kern w:val="2"/>
      <w:sz w:val="21"/>
      <w:szCs w:val="24"/>
    </w:rPr>
  </w:style>
  <w:style w:type="character" w:customStyle="1" w:styleId="275">
    <w:name w:val="正文首行缩进 2 Char"/>
    <w:link w:val="24"/>
    <w:uiPriority w:val="0"/>
    <w:rPr>
      <w:rFonts w:eastAsia="宋体"/>
      <w:kern w:val="2"/>
      <w:sz w:val="21"/>
      <w:szCs w:val="24"/>
      <w:lang w:val="en-US" w:eastAsia="zh-CN" w:bidi="ar-SA"/>
    </w:rPr>
  </w:style>
  <w:style w:type="character" w:customStyle="1" w:styleId="276">
    <w:name w:val="上标"/>
    <w:semiHidden/>
    <w:uiPriority w:val="0"/>
    <w:rPr>
      <w:vertAlign w:val="superscript"/>
    </w:rPr>
  </w:style>
  <w:style w:type="character" w:customStyle="1" w:styleId="277">
    <w:name w:val="正文文本缩进 3 Char"/>
    <w:link w:val="74"/>
    <w:uiPriority w:val="0"/>
    <w:rPr>
      <w:kern w:val="2"/>
      <w:sz w:val="16"/>
      <w:szCs w:val="16"/>
    </w:rPr>
  </w:style>
  <w:style w:type="character" w:customStyle="1" w:styleId="278">
    <w:name w:val="普通文字 Char2"/>
    <w:semiHidden/>
    <w:uiPriority w:val="0"/>
    <w:rPr>
      <w:rFonts w:ascii="宋体" w:hAnsi="Courier New" w:eastAsia="宋体"/>
      <w:snapToGrid w:val="0"/>
      <w:kern w:val="2"/>
      <w:sz w:val="21"/>
      <w:lang w:val="en-US" w:eastAsia="zh-CN" w:bidi="ar-SA"/>
    </w:rPr>
  </w:style>
  <w:style w:type="character" w:customStyle="1" w:styleId="279">
    <w:name w:val="checked"/>
    <w:basedOn w:val="135"/>
    <w:uiPriority w:val="0"/>
  </w:style>
  <w:style w:type="character" w:customStyle="1" w:styleId="280">
    <w:name w:val="checked1"/>
    <w:basedOn w:val="135"/>
    <w:uiPriority w:val="0"/>
    <w:rPr>
      <w:vanish/>
    </w:rPr>
  </w:style>
  <w:style w:type="character" w:customStyle="1" w:styleId="281">
    <w:name w:val="font51"/>
    <w:uiPriority w:val="0"/>
    <w:rPr>
      <w:rFonts w:hint="eastAsia" w:ascii="宋体" w:hAnsi="宋体" w:eastAsia="宋体" w:cs="宋体"/>
      <w:color w:val="000000"/>
      <w:sz w:val="21"/>
      <w:szCs w:val="21"/>
      <w:u w:val="none"/>
    </w:rPr>
  </w:style>
  <w:style w:type="character" w:customStyle="1" w:styleId="282">
    <w:name w:val="HTML 地址 Char"/>
    <w:link w:val="45"/>
    <w:uiPriority w:val="0"/>
    <w:rPr>
      <w:i/>
      <w:iCs/>
      <w:kern w:val="2"/>
      <w:sz w:val="21"/>
      <w:szCs w:val="24"/>
    </w:rPr>
  </w:style>
  <w:style w:type="character" w:customStyle="1" w:styleId="283">
    <w:name w:val="正文首行缩进 Char1"/>
    <w:semiHidden/>
    <w:uiPriority w:val="0"/>
  </w:style>
  <w:style w:type="character" w:customStyle="1" w:styleId="284">
    <w:name w:val="纯文本 Char1"/>
    <w:semiHidden/>
    <w:uiPriority w:val="0"/>
    <w:rPr>
      <w:rFonts w:ascii="宋体" w:hAnsi="Courier New" w:cs="Courier New"/>
      <w:kern w:val="2"/>
      <w:sz w:val="21"/>
      <w:szCs w:val="21"/>
    </w:rPr>
  </w:style>
  <w:style w:type="character" w:customStyle="1" w:styleId="285">
    <w:name w:val="num14"/>
    <w:basedOn w:val="135"/>
    <w:uiPriority w:val="0"/>
  </w:style>
  <w:style w:type="character" w:customStyle="1" w:styleId="286">
    <w:name w:val="font14_1601"/>
    <w:semiHidden/>
    <w:uiPriority w:val="0"/>
    <w:rPr>
      <w:spacing w:val="31680"/>
      <w:sz w:val="22"/>
      <w:szCs w:val="22"/>
    </w:rPr>
  </w:style>
  <w:style w:type="character" w:customStyle="1" w:styleId="287">
    <w:name w:val="环表头 Char2"/>
    <w:link w:val="288"/>
    <w:qFormat/>
    <w:uiPriority w:val="0"/>
    <w:rPr>
      <w:rFonts w:ascii="宋体" w:hAnsi="宋体"/>
      <w:color w:val="000000"/>
      <w:sz w:val="28"/>
      <w:szCs w:val="28"/>
    </w:rPr>
  </w:style>
  <w:style w:type="paragraph" w:customStyle="1" w:styleId="288">
    <w:name w:val="环表头"/>
    <w:basedOn w:val="1"/>
    <w:next w:val="1"/>
    <w:link w:val="287"/>
    <w:qFormat/>
    <w:uiPriority w:val="0"/>
    <w:pPr>
      <w:widowControl/>
      <w:suppressAutoHyphens/>
      <w:adjustRightInd w:val="0"/>
      <w:snapToGrid w:val="0"/>
      <w:spacing w:line="480" w:lineRule="exact"/>
      <w:ind w:firstLine="0"/>
      <w:jc w:val="center"/>
      <w:textAlignment w:val="baseline"/>
    </w:pPr>
    <w:rPr>
      <w:rFonts w:ascii="宋体" w:hAnsi="宋体" w:eastAsia="宋体"/>
      <w:color w:val="000000"/>
      <w:kern w:val="0"/>
      <w:szCs w:val="28"/>
    </w:rPr>
  </w:style>
  <w:style w:type="character" w:customStyle="1" w:styleId="289">
    <w:name w:val="font61"/>
    <w:uiPriority w:val="0"/>
    <w:rPr>
      <w:rFonts w:hint="eastAsia" w:ascii="宋体" w:hAnsi="宋体" w:eastAsia="宋体" w:cs="宋体"/>
      <w:b/>
      <w:color w:val="000000"/>
      <w:sz w:val="18"/>
      <w:szCs w:val="18"/>
      <w:u w:val="none"/>
    </w:rPr>
  </w:style>
  <w:style w:type="character" w:customStyle="1" w:styleId="290">
    <w:name w:val="6表(图)头(治)[858D7CFB-ED40-4347-BF05-701D383B685F]"/>
    <w:semiHidden/>
    <w:uiPriority w:val="0"/>
    <w:rPr>
      <w:rFonts w:eastAsia="黑体"/>
      <w:b/>
      <w:bCs/>
      <w:sz w:val="24"/>
      <w:szCs w:val="30"/>
      <w:lang w:val="en-US" w:eastAsia="zh-CN" w:bidi="ar-SA"/>
    </w:rPr>
  </w:style>
  <w:style w:type="character" w:customStyle="1" w:styleId="291">
    <w:name w:val="grame"/>
    <w:semiHidden/>
    <w:uiPriority w:val="0"/>
    <w:rPr>
      <w:rFonts w:eastAsia="楷体_GB2312"/>
      <w:b/>
      <w:sz w:val="44"/>
      <w:szCs w:val="44"/>
    </w:rPr>
  </w:style>
  <w:style w:type="character" w:customStyle="1" w:styleId="292">
    <w:name w:val="页脚 Char"/>
    <w:link w:val="59"/>
    <w:uiPriority w:val="0"/>
    <w:rPr>
      <w:rFonts w:eastAsia="仿宋_GB2312"/>
      <w:kern w:val="2"/>
      <w:sz w:val="18"/>
      <w:szCs w:val="18"/>
    </w:rPr>
  </w:style>
  <w:style w:type="character" w:customStyle="1" w:styleId="293">
    <w:name w:val="表－左对齐 Char"/>
    <w:semiHidden/>
    <w:uiPriority w:val="0"/>
    <w:rPr>
      <w:rFonts w:eastAsia="宋体" w:cs="Arial"/>
      <w:sz w:val="21"/>
      <w:szCs w:val="21"/>
      <w:lang w:val="en-US" w:eastAsia="ja-JP" w:bidi="ar-SA"/>
    </w:rPr>
  </w:style>
  <w:style w:type="character" w:customStyle="1" w:styleId="294">
    <w:name w:val="样式 四号"/>
    <w:semiHidden/>
    <w:uiPriority w:val="0"/>
    <w:rPr>
      <w:sz w:val="24"/>
    </w:rPr>
  </w:style>
  <w:style w:type="character" w:customStyle="1" w:styleId="295">
    <w:name w:val="表格文字2 Char"/>
    <w:link w:val="296"/>
    <w:uiPriority w:val="0"/>
  </w:style>
  <w:style w:type="paragraph" w:customStyle="1" w:styleId="296">
    <w:name w:val="表格文字2"/>
    <w:basedOn w:val="1"/>
    <w:link w:val="295"/>
    <w:uiPriority w:val="0"/>
    <w:pPr>
      <w:tabs>
        <w:tab w:val="left" w:pos="277"/>
        <w:tab w:val="left" w:pos="600"/>
        <w:tab w:val="left" w:pos="780"/>
        <w:tab w:val="left" w:pos="2517"/>
      </w:tabs>
      <w:adjustRightInd w:val="0"/>
      <w:spacing w:before="60" w:line="240" w:lineRule="auto"/>
      <w:ind w:firstLine="0"/>
      <w:jc w:val="center"/>
      <w:textAlignment w:val="baseline"/>
    </w:pPr>
    <w:rPr>
      <w:rFonts w:eastAsia="宋体"/>
      <w:kern w:val="0"/>
      <w:sz w:val="20"/>
    </w:rPr>
  </w:style>
  <w:style w:type="character" w:customStyle="1" w:styleId="297">
    <w:name w:val="hover20"/>
    <w:basedOn w:val="135"/>
    <w:uiPriority w:val="0"/>
  </w:style>
  <w:style w:type="character" w:customStyle="1" w:styleId="298">
    <w:name w:val="style6"/>
    <w:semiHidden/>
    <w:uiPriority w:val="0"/>
    <w:rPr>
      <w:rFonts w:eastAsia="楷体_GB2312"/>
      <w:b/>
      <w:sz w:val="44"/>
      <w:szCs w:val="44"/>
    </w:rPr>
  </w:style>
  <w:style w:type="character" w:customStyle="1" w:styleId="299">
    <w:name w:val="apple-style-span"/>
    <w:semiHidden/>
    <w:uiPriority w:val="0"/>
    <w:rPr>
      <w:rFonts w:eastAsia="楷体_GB2312"/>
      <w:b/>
      <w:sz w:val="44"/>
      <w:szCs w:val="44"/>
    </w:rPr>
  </w:style>
  <w:style w:type="character" w:customStyle="1" w:styleId="300">
    <w:name w:val="3zw"/>
    <w:semiHidden/>
    <w:uiPriority w:val="0"/>
    <w:rPr>
      <w:rFonts w:eastAsia="楷体_GB2312"/>
      <w:b/>
      <w:sz w:val="44"/>
      <w:szCs w:val="44"/>
    </w:rPr>
  </w:style>
  <w:style w:type="character" w:customStyle="1" w:styleId="301">
    <w:name w:val="font71"/>
    <w:uiPriority w:val="0"/>
    <w:rPr>
      <w:rFonts w:hint="default" w:ascii="Times New Roman" w:hAnsi="Times New Roman" w:cs="Times New Roman"/>
      <w:color w:val="000000"/>
      <w:sz w:val="21"/>
      <w:szCs w:val="21"/>
      <w:u w:val="none"/>
    </w:rPr>
  </w:style>
  <w:style w:type="character" w:customStyle="1" w:styleId="302">
    <w:name w:val="标题 1 Char1"/>
    <w:semiHidden/>
    <w:uiPriority w:val="0"/>
    <w:rPr>
      <w:rFonts w:ascii="宋体" w:hAnsi="宋体" w:eastAsia="宋体"/>
      <w:b/>
      <w:bCs/>
      <w:kern w:val="2"/>
      <w:sz w:val="32"/>
      <w:szCs w:val="32"/>
      <w:lang w:val="en-US" w:eastAsia="zh-CN" w:bidi="ar-SA"/>
    </w:rPr>
  </w:style>
  <w:style w:type="character" w:customStyle="1" w:styleId="303">
    <w:name w:val="批注主题 Char"/>
    <w:link w:val="89"/>
    <w:semiHidden/>
    <w:uiPriority w:val="0"/>
    <w:rPr>
      <w:rFonts w:eastAsia="仿宋_GB2312"/>
      <w:b/>
      <w:bCs/>
      <w:kern w:val="2"/>
      <w:sz w:val="28"/>
    </w:rPr>
  </w:style>
  <w:style w:type="character" w:customStyle="1" w:styleId="304">
    <w:name w:val="num111"/>
    <w:basedOn w:val="135"/>
    <w:uiPriority w:val="0"/>
  </w:style>
  <w:style w:type="character" w:customStyle="1" w:styleId="305">
    <w:name w:val="lh15 c"/>
    <w:semiHidden/>
    <w:uiPriority w:val="0"/>
    <w:rPr>
      <w:rFonts w:eastAsia="楷体_GB2312"/>
      <w:b/>
      <w:sz w:val="44"/>
      <w:szCs w:val="44"/>
    </w:rPr>
  </w:style>
  <w:style w:type="character" w:customStyle="1" w:styleId="306">
    <w:name w:val="num4"/>
    <w:basedOn w:val="135"/>
    <w:uiPriority w:val="0"/>
  </w:style>
  <w:style w:type="character" w:customStyle="1" w:styleId="307">
    <w:name w:val="aa051"/>
    <w:semiHidden/>
    <w:uiPriority w:val="0"/>
    <w:rPr>
      <w:sz w:val="20"/>
      <w:szCs w:val="20"/>
    </w:rPr>
  </w:style>
  <w:style w:type="character" w:customStyle="1" w:styleId="308">
    <w:name w:val="正文四号 Char"/>
    <w:semiHidden/>
    <w:uiPriority w:val="0"/>
    <w:rPr>
      <w:rFonts w:eastAsia="宋体"/>
      <w:kern w:val="2"/>
      <w:sz w:val="28"/>
      <w:szCs w:val="24"/>
      <w:lang w:val="en-US" w:eastAsia="zh-CN" w:bidi="ar-SA"/>
    </w:rPr>
  </w:style>
  <w:style w:type="character" w:customStyle="1" w:styleId="309">
    <w:name w:val="tmpztreemove_arrow"/>
    <w:basedOn w:val="135"/>
    <w:uiPriority w:val="0"/>
  </w:style>
  <w:style w:type="character" w:customStyle="1" w:styleId="310">
    <w:name w:val="num31"/>
    <w:basedOn w:val="135"/>
    <w:uiPriority w:val="0"/>
    <w:rPr>
      <w:shd w:val="clear" w:color="auto" w:fill="C5FE01"/>
    </w:rPr>
  </w:style>
  <w:style w:type="character" w:customStyle="1" w:styleId="311">
    <w:name w:val="style11"/>
    <w:semiHidden/>
    <w:uiPriority w:val="0"/>
    <w:rPr>
      <w:color w:val="999999"/>
      <w:sz w:val="18"/>
      <w:szCs w:val="18"/>
    </w:rPr>
  </w:style>
  <w:style w:type="character" w:customStyle="1" w:styleId="312">
    <w:name w:val="5文章(治) Char Char"/>
    <w:semiHidden/>
    <w:uiPriority w:val="0"/>
    <w:rPr>
      <w:rFonts w:eastAsia="宋体"/>
      <w:kern w:val="2"/>
      <w:sz w:val="24"/>
      <w:szCs w:val="28"/>
      <w:lang w:val="en-US" w:eastAsia="zh-CN" w:bidi="ar-SA"/>
    </w:rPr>
  </w:style>
  <w:style w:type="character" w:customStyle="1" w:styleId="313">
    <w:name w:val="正文文本缩进 Char"/>
    <w:link w:val="25"/>
    <w:uiPriority w:val="0"/>
    <w:rPr>
      <w:rFonts w:eastAsia="宋体"/>
      <w:kern w:val="2"/>
      <w:sz w:val="24"/>
      <w:lang w:val="en-US" w:eastAsia="zh-CN" w:bidi="ar-SA"/>
    </w:rPr>
  </w:style>
  <w:style w:type="character" w:customStyle="1" w:styleId="314">
    <w:name w:val="f141"/>
    <w:semiHidden/>
    <w:uiPriority w:val="0"/>
    <w:rPr>
      <w:color w:val="000000"/>
      <w:sz w:val="21"/>
      <w:szCs w:val="21"/>
    </w:rPr>
  </w:style>
  <w:style w:type="character" w:customStyle="1" w:styleId="315">
    <w:name w:val="speed"/>
    <w:basedOn w:val="135"/>
    <w:uiPriority w:val="0"/>
  </w:style>
  <w:style w:type="character" w:customStyle="1" w:styleId="316">
    <w:name w:val="样式 正文首行缩进 2 + Times New Roman + 字距调整四号 Char"/>
    <w:semiHidden/>
    <w:uiPriority w:val="0"/>
    <w:rPr>
      <w:rFonts w:ascii="宋体" w:hAnsi="宋体" w:eastAsia="宋体"/>
      <w:b/>
      <w:kern w:val="28"/>
      <w:sz w:val="24"/>
      <w:szCs w:val="24"/>
      <w:lang w:val="en-US" w:eastAsia="zh-CN" w:bidi="ar-SA"/>
    </w:rPr>
  </w:style>
  <w:style w:type="character" w:customStyle="1" w:styleId="317">
    <w:name w:val="标语"/>
    <w:semiHidden/>
    <w:uiPriority w:val="0"/>
    <w:rPr>
      <w:rFonts w:hint="default" w:ascii="Arial Black" w:hAnsi="Arial Black"/>
      <w:spacing w:val="-10"/>
      <w:position w:val="2"/>
      <w:sz w:val="19"/>
    </w:rPr>
  </w:style>
  <w:style w:type="character" w:customStyle="1" w:styleId="318">
    <w:name w:val="num5"/>
    <w:basedOn w:val="135"/>
    <w:uiPriority w:val="0"/>
  </w:style>
  <w:style w:type="character" w:customStyle="1" w:styleId="319">
    <w:name w:val="num11"/>
    <w:basedOn w:val="135"/>
    <w:uiPriority w:val="0"/>
    <w:rPr>
      <w:shd w:val="clear" w:color="auto" w:fill="FD0400"/>
    </w:rPr>
  </w:style>
  <w:style w:type="character" w:customStyle="1" w:styleId="320">
    <w:name w:val="5文章正文 字符"/>
    <w:link w:val="321"/>
    <w:qFormat/>
    <w:uiPriority w:val="0"/>
    <w:rPr>
      <w:sz w:val="24"/>
    </w:rPr>
  </w:style>
  <w:style w:type="paragraph" w:customStyle="1" w:styleId="321">
    <w:name w:val="5文章正文"/>
    <w:basedOn w:val="1"/>
    <w:link w:val="320"/>
    <w:qFormat/>
    <w:uiPriority w:val="0"/>
    <w:pPr>
      <w:spacing w:line="360" w:lineRule="auto"/>
      <w:ind w:firstLine="200"/>
    </w:pPr>
    <w:rPr>
      <w:rFonts w:eastAsia="宋体"/>
      <w:kern w:val="0"/>
      <w:sz w:val="24"/>
    </w:rPr>
  </w:style>
  <w:style w:type="character" w:customStyle="1" w:styleId="322">
    <w:name w:val="t1501"/>
    <w:semiHidden/>
    <w:uiPriority w:val="0"/>
    <w:rPr>
      <w:spacing w:val="31680"/>
    </w:rPr>
  </w:style>
  <w:style w:type="character" w:customStyle="1" w:styleId="323">
    <w:name w:val="num7"/>
    <w:basedOn w:val="135"/>
    <w:uiPriority w:val="0"/>
  </w:style>
  <w:style w:type="character" w:customStyle="1" w:styleId="324">
    <w:name w:val="页脚 Char1"/>
    <w:semiHidden/>
    <w:uiPriority w:val="0"/>
    <w:rPr>
      <w:rFonts w:ascii="宋体" w:eastAsia="楷体_GB2312"/>
      <w:sz w:val="18"/>
      <w:szCs w:val="18"/>
    </w:rPr>
  </w:style>
  <w:style w:type="character" w:customStyle="1" w:styleId="325">
    <w:name w:val="标题 Char"/>
    <w:link w:val="88"/>
    <w:uiPriority w:val="0"/>
    <w:rPr>
      <w:rFonts w:ascii="Arial" w:hAnsi="Arial" w:cs="Arial"/>
      <w:b/>
      <w:bCs/>
      <w:kern w:val="2"/>
      <w:sz w:val="32"/>
      <w:szCs w:val="32"/>
    </w:rPr>
  </w:style>
  <w:style w:type="character" w:customStyle="1" w:styleId="326">
    <w:name w:val="正文(首行缩进) Char"/>
    <w:semiHidden/>
    <w:uiPriority w:val="0"/>
    <w:rPr>
      <w:rFonts w:eastAsia="宋体"/>
      <w:snapToGrid w:val="0"/>
      <w:sz w:val="24"/>
      <w:szCs w:val="24"/>
      <w:lang w:val="en-US" w:eastAsia="zh-CN" w:bidi="ar-SA"/>
    </w:rPr>
  </w:style>
  <w:style w:type="character" w:customStyle="1" w:styleId="327">
    <w:name w:val="Char Char"/>
    <w:semiHidden/>
    <w:uiPriority w:val="0"/>
    <w:rPr>
      <w:rFonts w:ascii="Arial" w:hAnsi="Arial" w:eastAsia="黑体" w:cs="Arial"/>
      <w:kern w:val="2"/>
      <w:lang w:val="en-US" w:eastAsia="zh-CN" w:bidi="ar-SA"/>
    </w:rPr>
  </w:style>
  <w:style w:type="character" w:customStyle="1" w:styleId="328">
    <w:name w:val="标题 2 Char2"/>
    <w:uiPriority w:val="0"/>
    <w:rPr>
      <w:rFonts w:ascii="宋体" w:hAnsi="宋体"/>
      <w:b/>
      <w:sz w:val="30"/>
      <w:szCs w:val="30"/>
      <w:lang w:val="en-GB"/>
    </w:rPr>
  </w:style>
  <w:style w:type="character" w:customStyle="1" w:styleId="329">
    <w:name w:val="签名 Char"/>
    <w:link w:val="62"/>
    <w:uiPriority w:val="0"/>
    <w:rPr>
      <w:kern w:val="2"/>
      <w:sz w:val="21"/>
      <w:szCs w:val="24"/>
    </w:rPr>
  </w:style>
  <w:style w:type="character" w:customStyle="1" w:styleId="330">
    <w:name w:val="标题 8 Char"/>
    <w:link w:val="12"/>
    <w:uiPriority w:val="0"/>
    <w:rPr>
      <w:rFonts w:ascii="Arial" w:hAnsi="Arial" w:eastAsia="黑体"/>
      <w:kern w:val="2"/>
      <w:sz w:val="24"/>
      <w:szCs w:val="24"/>
    </w:rPr>
  </w:style>
  <w:style w:type="character" w:customStyle="1" w:styleId="331">
    <w:name w:val="biaoti"/>
    <w:semiHidden/>
    <w:uiPriority w:val="0"/>
    <w:rPr>
      <w:rFonts w:eastAsia="楷体_GB2312"/>
      <w:b/>
      <w:sz w:val="44"/>
      <w:szCs w:val="44"/>
    </w:rPr>
  </w:style>
  <w:style w:type="character" w:customStyle="1" w:styleId="332">
    <w:name w:val="标题 3 Char"/>
    <w:link w:val="7"/>
    <w:uiPriority w:val="0"/>
    <w:rPr>
      <w:rFonts w:eastAsia="仿宋_GB2312"/>
      <w:b/>
      <w:bCs/>
      <w:kern w:val="2"/>
      <w:sz w:val="32"/>
      <w:szCs w:val="32"/>
    </w:rPr>
  </w:style>
  <w:style w:type="character" w:customStyle="1" w:styleId="333">
    <w:name w:val="批注文字 Char"/>
    <w:link w:val="34"/>
    <w:uiPriority w:val="0"/>
    <w:rPr>
      <w:rFonts w:eastAsia="仿宋_GB2312"/>
      <w:kern w:val="2"/>
      <w:sz w:val="28"/>
    </w:rPr>
  </w:style>
  <w:style w:type="character" w:customStyle="1" w:styleId="334">
    <w:name w:val="unnamed31"/>
    <w:semiHidden/>
    <w:uiPriority w:val="0"/>
    <w:rPr>
      <w:sz w:val="18"/>
      <w:szCs w:val="18"/>
      <w:u w:val="none"/>
    </w:rPr>
  </w:style>
  <w:style w:type="character" w:customStyle="1" w:styleId="335">
    <w:name w:val="报告正文 Char"/>
    <w:semiHidden/>
    <w:qFormat/>
    <w:uiPriority w:val="0"/>
    <w:rPr>
      <w:rFonts w:eastAsia="宋体" w:cs="宋体"/>
      <w:snapToGrid w:val="0"/>
      <w:kern w:val="24"/>
      <w:sz w:val="24"/>
      <w:szCs w:val="21"/>
      <w:lang w:val="en-US" w:eastAsia="zh-CN" w:bidi="ar-SA"/>
    </w:rPr>
  </w:style>
  <w:style w:type="character" w:customStyle="1" w:styleId="336">
    <w:name w:val="表格文字 Char"/>
    <w:link w:val="337"/>
    <w:semiHidden/>
    <w:qFormat/>
    <w:uiPriority w:val="0"/>
    <w:rPr>
      <w:rFonts w:ascii="仿宋_GB2312" w:hAnsi="Arial Black" w:eastAsia="仿宋_GB2312"/>
      <w:kern w:val="44"/>
      <w:sz w:val="24"/>
    </w:rPr>
  </w:style>
  <w:style w:type="paragraph" w:customStyle="1" w:styleId="337">
    <w:name w:val="表格文字"/>
    <w:basedOn w:val="1"/>
    <w:link w:val="336"/>
    <w:semiHidden/>
    <w:qFormat/>
    <w:uiPriority w:val="0"/>
    <w:pPr>
      <w:spacing w:line="240" w:lineRule="auto"/>
      <w:ind w:firstLine="0"/>
      <w:jc w:val="center"/>
    </w:pPr>
    <w:rPr>
      <w:rFonts w:ascii="仿宋_GB2312" w:hAnsi="Arial Black"/>
      <w:kern w:val="44"/>
      <w:sz w:val="24"/>
    </w:rPr>
  </w:style>
  <w:style w:type="character" w:customStyle="1" w:styleId="338">
    <w:name w:val="h311"/>
    <w:semiHidden/>
    <w:qFormat/>
    <w:uiPriority w:val="0"/>
    <w:rPr>
      <w:rFonts w:eastAsia="楷体_GB2312"/>
      <w:b/>
      <w:sz w:val="44"/>
      <w:szCs w:val="44"/>
    </w:rPr>
  </w:style>
  <w:style w:type="character" w:customStyle="1" w:styleId="339">
    <w:name w:val="px141"/>
    <w:semiHidden/>
    <w:qFormat/>
    <w:uiPriority w:val="0"/>
    <w:rPr>
      <w:sz w:val="28"/>
      <w:szCs w:val="28"/>
    </w:rPr>
  </w:style>
  <w:style w:type="character" w:customStyle="1" w:styleId="340">
    <w:name w:val="标题 6 Char"/>
    <w:link w:val="10"/>
    <w:uiPriority w:val="0"/>
    <w:rPr>
      <w:bCs/>
      <w:snapToGrid/>
      <w:kern w:val="2"/>
      <w:sz w:val="24"/>
      <w:szCs w:val="24"/>
    </w:rPr>
  </w:style>
  <w:style w:type="character" w:customStyle="1" w:styleId="341">
    <w:name w:val="注释标题 Char"/>
    <w:link w:val="18"/>
    <w:uiPriority w:val="0"/>
    <w:rPr>
      <w:kern w:val="2"/>
      <w:sz w:val="21"/>
      <w:szCs w:val="24"/>
    </w:rPr>
  </w:style>
  <w:style w:type="character" w:customStyle="1" w:styleId="342">
    <w:name w:val="8说明(治) Char"/>
    <w:link w:val="343"/>
    <w:uiPriority w:val="0"/>
    <w:rPr>
      <w:rFonts w:eastAsia="楷体_GB2312"/>
      <w:kern w:val="2"/>
      <w:sz w:val="24"/>
      <w:lang w:val="en-US" w:eastAsia="zh-CN" w:bidi="ar-SA"/>
    </w:rPr>
  </w:style>
  <w:style w:type="paragraph" w:customStyle="1" w:styleId="343">
    <w:name w:val="8说明(治)"/>
    <w:basedOn w:val="1"/>
    <w:next w:val="3"/>
    <w:link w:val="342"/>
    <w:qFormat/>
    <w:uiPriority w:val="0"/>
    <w:pPr>
      <w:snapToGrid w:val="0"/>
      <w:spacing w:line="240" w:lineRule="auto"/>
      <w:ind w:firstLine="200"/>
    </w:pPr>
    <w:rPr>
      <w:rFonts w:eastAsia="楷体_GB2312"/>
      <w:sz w:val="24"/>
    </w:rPr>
  </w:style>
  <w:style w:type="character" w:customStyle="1" w:styleId="344">
    <w:name w:val="7表格(治) Char"/>
    <w:qFormat/>
    <w:uiPriority w:val="0"/>
    <w:rPr>
      <w:sz w:val="21"/>
      <w:lang w:val="en-US" w:eastAsia="zh-CN" w:bidi="ar-SA"/>
    </w:rPr>
  </w:style>
  <w:style w:type="character" w:customStyle="1" w:styleId="345">
    <w:name w:val="标题 3 Char1"/>
    <w:semiHidden/>
    <w:qFormat/>
    <w:uiPriority w:val="0"/>
    <w:rPr>
      <w:rFonts w:eastAsia="黑体"/>
      <w:kern w:val="2"/>
      <w:sz w:val="21"/>
      <w:szCs w:val="24"/>
      <w:lang w:val="en-US" w:eastAsia="zh-CN" w:bidi="ar-SA"/>
    </w:rPr>
  </w:style>
  <w:style w:type="character" w:customStyle="1" w:styleId="346">
    <w:name w:val="zhenwen141"/>
    <w:semiHidden/>
    <w:qFormat/>
    <w:uiPriority w:val="0"/>
    <w:rPr>
      <w:rFonts w:hint="default" w:ascii="ˎ̥" w:hAnsi="ˎ̥"/>
      <w:sz w:val="28"/>
      <w:szCs w:val="28"/>
    </w:rPr>
  </w:style>
  <w:style w:type="character" w:customStyle="1" w:styleId="347">
    <w:name w:val="font91"/>
    <w:qFormat/>
    <w:uiPriority w:val="0"/>
    <w:rPr>
      <w:rFonts w:hint="eastAsia" w:ascii="宋体" w:hAnsi="宋体" w:eastAsia="宋体" w:cs="宋体"/>
      <w:color w:val="000000"/>
      <w:sz w:val="21"/>
      <w:szCs w:val="21"/>
      <w:u w:val="none"/>
    </w:rPr>
  </w:style>
  <w:style w:type="character" w:customStyle="1" w:styleId="348">
    <w:name w:val="标题 2 Char"/>
    <w:link w:val="6"/>
    <w:uiPriority w:val="0"/>
    <w:rPr>
      <w:rFonts w:ascii="Arial" w:hAnsi="Arial" w:eastAsia="黑体"/>
      <w:b/>
      <w:bCs/>
      <w:kern w:val="2"/>
      <w:sz w:val="32"/>
      <w:szCs w:val="32"/>
    </w:rPr>
  </w:style>
  <w:style w:type="character" w:customStyle="1" w:styleId="349">
    <w:name w:val="style61"/>
    <w:semiHidden/>
    <w:uiPriority w:val="0"/>
    <w:rPr>
      <w:b/>
      <w:bCs/>
      <w:color w:val="3399FF"/>
      <w:sz w:val="24"/>
      <w:szCs w:val="24"/>
    </w:rPr>
  </w:style>
  <w:style w:type="character" w:customStyle="1" w:styleId="350">
    <w:name w:val="样式 5文章(治) + 黑色 Char"/>
    <w:link w:val="351"/>
    <w:uiPriority w:val="0"/>
    <w:rPr>
      <w:rFonts w:eastAsia="宋体"/>
      <w:color w:val="000000"/>
      <w:kern w:val="0"/>
      <w:sz w:val="24"/>
      <w:szCs w:val="28"/>
      <w:lang w:val="en-US" w:eastAsia="zh-CN" w:bidi="ar-SA"/>
    </w:rPr>
  </w:style>
  <w:style w:type="paragraph" w:customStyle="1" w:styleId="351">
    <w:name w:val="样式 5文章(治) + 黑色"/>
    <w:basedOn w:val="3"/>
    <w:link w:val="350"/>
    <w:qFormat/>
    <w:uiPriority w:val="99"/>
    <w:pPr>
      <w:adjustRightInd/>
      <w:jc w:val="both"/>
    </w:pPr>
    <w:rPr>
      <w:color w:val="000000"/>
      <w:kern w:val="0"/>
      <w:szCs w:val="28"/>
    </w:rPr>
  </w:style>
  <w:style w:type="character" w:customStyle="1" w:styleId="352">
    <w:name w:val="red"/>
    <w:basedOn w:val="135"/>
    <w:qFormat/>
    <w:uiPriority w:val="0"/>
    <w:rPr>
      <w:color w:val="E3060B"/>
    </w:rPr>
  </w:style>
  <w:style w:type="character" w:customStyle="1" w:styleId="353">
    <w:name w:val="bt21"/>
    <w:qFormat/>
    <w:uiPriority w:val="0"/>
    <w:rPr>
      <w:rFonts w:hint="eastAsia" w:ascii="黑体" w:hAnsi="宋体" w:eastAsia="黑体" w:cs="黑体"/>
      <w:sz w:val="24"/>
      <w:szCs w:val="24"/>
    </w:rPr>
  </w:style>
  <w:style w:type="character" w:customStyle="1" w:styleId="354">
    <w:name w:val="style1"/>
    <w:semiHidden/>
    <w:qFormat/>
    <w:uiPriority w:val="0"/>
    <w:rPr>
      <w:rFonts w:hint="default" w:ascii="Tahoma" w:hAnsi="Tahoma" w:cs="Tahoma"/>
    </w:rPr>
  </w:style>
  <w:style w:type="character" w:customStyle="1" w:styleId="355">
    <w:name w:val="sj2"/>
    <w:basedOn w:val="135"/>
    <w:qFormat/>
    <w:uiPriority w:val="0"/>
  </w:style>
  <w:style w:type="character" w:customStyle="1" w:styleId="356">
    <w:name w:val="表格内容 Char Char"/>
    <w:link w:val="357"/>
    <w:uiPriority w:val="0"/>
    <w:rPr>
      <w:rFonts w:eastAsia="Times New Roman"/>
      <w:kern w:val="2"/>
      <w:sz w:val="21"/>
      <w:lang w:val="en-US" w:eastAsia="zh-CN" w:bidi="ar-SA"/>
    </w:rPr>
  </w:style>
  <w:style w:type="paragraph" w:customStyle="1" w:styleId="357">
    <w:name w:val="表格内容"/>
    <w:next w:val="1"/>
    <w:link w:val="356"/>
    <w:qFormat/>
    <w:uiPriority w:val="0"/>
    <w:pPr>
      <w:adjustRightInd w:val="0"/>
      <w:snapToGrid w:val="0"/>
      <w:jc w:val="center"/>
    </w:pPr>
    <w:rPr>
      <w:rFonts w:ascii="Times New Roman" w:hAnsi="Times New Roman" w:eastAsia="Times New Roman" w:cs="Times New Roman"/>
      <w:kern w:val="2"/>
      <w:sz w:val="21"/>
      <w:lang w:val="en-US" w:eastAsia="zh-CN" w:bidi="ar-SA"/>
    </w:rPr>
  </w:style>
  <w:style w:type="character" w:customStyle="1" w:styleId="358">
    <w:name w:val="正文文本 (2) + Palatino Linotype"/>
    <w:unhideWhenUsed/>
    <w:qFormat/>
    <w:uiPriority w:val="99"/>
    <w:rPr>
      <w:rFonts w:hint="default" w:ascii="Palatino Linotype" w:hAnsi="Palatino Linotype" w:eastAsia="Palatino Linotype"/>
      <w:b/>
      <w:sz w:val="13"/>
      <w:lang w:val="en-US" w:eastAsia="en-US"/>
    </w:rPr>
  </w:style>
  <w:style w:type="character" w:customStyle="1" w:styleId="359">
    <w:name w:val="hottext"/>
    <w:semiHidden/>
    <w:uiPriority w:val="0"/>
    <w:rPr>
      <w:rFonts w:eastAsia="楷体_GB2312"/>
      <w:b/>
      <w:sz w:val="44"/>
      <w:szCs w:val="44"/>
    </w:rPr>
  </w:style>
  <w:style w:type="character" w:customStyle="1" w:styleId="360">
    <w:name w:val="num8"/>
    <w:basedOn w:val="135"/>
    <w:uiPriority w:val="0"/>
  </w:style>
  <w:style w:type="character" w:customStyle="1" w:styleId="361">
    <w:name w:val="正文缩进 Char"/>
    <w:link w:val="23"/>
    <w:semiHidden/>
    <w:uiPriority w:val="0"/>
    <w:rPr>
      <w:kern w:val="2"/>
      <w:sz w:val="28"/>
      <w:szCs w:val="24"/>
    </w:rPr>
  </w:style>
  <w:style w:type="character" w:customStyle="1" w:styleId="362">
    <w:name w:val="Char Char1"/>
    <w:semiHidden/>
    <w:locked/>
    <w:uiPriority w:val="0"/>
    <w:rPr>
      <w:rFonts w:ascii="宋体" w:hAnsi="宋体" w:eastAsia="宋体"/>
      <w:kern w:val="2"/>
      <w:sz w:val="18"/>
      <w:szCs w:val="18"/>
      <w:lang w:val="en-US" w:eastAsia="zh-CN" w:bidi="ar-SA"/>
    </w:rPr>
  </w:style>
  <w:style w:type="character" w:customStyle="1" w:styleId="363">
    <w:name w:val="15"/>
    <w:qFormat/>
    <w:uiPriority w:val="0"/>
    <w:rPr>
      <w:rFonts w:hint="default" w:ascii="Times New Roman" w:hAnsi="Times New Roman" w:cs="Times New Roman"/>
      <w:b/>
      <w:bCs/>
      <w:kern w:val="2"/>
      <w:sz w:val="24"/>
      <w:szCs w:val="24"/>
    </w:rPr>
  </w:style>
  <w:style w:type="character" w:customStyle="1" w:styleId="364">
    <w:name w:val="称呼 Char"/>
    <w:link w:val="36"/>
    <w:uiPriority w:val="0"/>
    <w:rPr>
      <w:kern w:val="2"/>
      <w:sz w:val="21"/>
      <w:szCs w:val="24"/>
    </w:rPr>
  </w:style>
  <w:style w:type="character" w:customStyle="1" w:styleId="365">
    <w:name w:val="td7"/>
    <w:semiHidden/>
    <w:uiPriority w:val="0"/>
    <w:rPr>
      <w:rFonts w:eastAsia="楷体_GB2312"/>
      <w:b/>
      <w:sz w:val="44"/>
      <w:szCs w:val="44"/>
    </w:rPr>
  </w:style>
  <w:style w:type="character" w:customStyle="1" w:styleId="366">
    <w:name w:val="结束语 Char"/>
    <w:link w:val="38"/>
    <w:uiPriority w:val="0"/>
    <w:rPr>
      <w:kern w:val="2"/>
      <w:sz w:val="21"/>
      <w:szCs w:val="24"/>
    </w:rPr>
  </w:style>
  <w:style w:type="character" w:customStyle="1" w:styleId="367">
    <w:name w:val="目录 4 Char"/>
    <w:link w:val="65"/>
    <w:uiPriority w:val="0"/>
    <w:rPr>
      <w:kern w:val="2"/>
      <w:sz w:val="21"/>
      <w:szCs w:val="24"/>
    </w:rPr>
  </w:style>
  <w:style w:type="character" w:customStyle="1" w:styleId="368">
    <w:name w:val="gray"/>
    <w:basedOn w:val="135"/>
    <w:uiPriority w:val="0"/>
    <w:rPr>
      <w:color w:val="B5B5B5"/>
    </w:rPr>
  </w:style>
  <w:style w:type="character" w:customStyle="1" w:styleId="369">
    <w:name w:val="初设正文 Char"/>
    <w:semiHidden/>
    <w:uiPriority w:val="0"/>
  </w:style>
  <w:style w:type="character" w:customStyle="1" w:styleId="370">
    <w:name w:val="电子邮件签名 Char"/>
    <w:link w:val="21"/>
    <w:uiPriority w:val="0"/>
    <w:rPr>
      <w:kern w:val="2"/>
      <w:sz w:val="21"/>
      <w:szCs w:val="24"/>
    </w:rPr>
  </w:style>
  <w:style w:type="character" w:customStyle="1" w:styleId="371">
    <w:name w:val="页眉1 Char"/>
    <w:semiHidden/>
    <w:uiPriority w:val="0"/>
    <w:rPr>
      <w:rFonts w:eastAsia="宋体"/>
      <w:kern w:val="2"/>
      <w:sz w:val="18"/>
      <w:szCs w:val="18"/>
      <w:lang w:val="en-US" w:eastAsia="zh-CN" w:bidi="ar-SA"/>
    </w:rPr>
  </w:style>
  <w:style w:type="character" w:customStyle="1" w:styleId="372">
    <w:name w:val="表格标题 Char"/>
    <w:semiHidden/>
    <w:uiPriority w:val="0"/>
    <w:rPr>
      <w:rFonts w:eastAsia="宋体"/>
      <w:kern w:val="2"/>
      <w:sz w:val="24"/>
      <w:lang w:val="en-US" w:eastAsia="zh-CN" w:bidi="ar-SA"/>
    </w:rPr>
  </w:style>
  <w:style w:type="character" w:customStyle="1" w:styleId="373">
    <w:name w:val="标题 7 Char"/>
    <w:link w:val="11"/>
    <w:uiPriority w:val="0"/>
    <w:rPr>
      <w:b/>
      <w:bCs/>
      <w:kern w:val="2"/>
      <w:sz w:val="24"/>
      <w:szCs w:val="24"/>
    </w:rPr>
  </w:style>
  <w:style w:type="character" w:customStyle="1" w:styleId="374">
    <w:name w:val="6表(图)头(治) Char"/>
    <w:link w:val="375"/>
    <w:uiPriority w:val="0"/>
    <w:rPr>
      <w:rFonts w:eastAsia="黑体"/>
      <w:b/>
      <w:bCs/>
      <w:sz w:val="24"/>
      <w:szCs w:val="30"/>
      <w:lang w:val="en-US" w:eastAsia="zh-CN" w:bidi="ar-SA"/>
    </w:rPr>
  </w:style>
  <w:style w:type="paragraph" w:customStyle="1" w:styleId="375">
    <w:name w:val="6表(图)头(治)"/>
    <w:next w:val="1"/>
    <w:link w:val="374"/>
    <w:qFormat/>
    <w:uiPriority w:val="0"/>
    <w:pPr>
      <w:widowControl w:val="0"/>
      <w:snapToGrid w:val="0"/>
      <w:jc w:val="center"/>
    </w:pPr>
    <w:rPr>
      <w:rFonts w:ascii="Times New Roman" w:hAnsi="Times New Roman" w:eastAsia="黑体" w:cs="Times New Roman"/>
      <w:b/>
      <w:bCs/>
      <w:sz w:val="24"/>
      <w:szCs w:val="30"/>
      <w:lang w:val="en-US" w:eastAsia="zh-CN" w:bidi="ar-SA"/>
    </w:rPr>
  </w:style>
  <w:style w:type="character" w:customStyle="1" w:styleId="376">
    <w:name w:val="批注文字 Char1"/>
    <w:semiHidden/>
    <w:uiPriority w:val="99"/>
    <w:rPr>
      <w:kern w:val="2"/>
      <w:sz w:val="21"/>
      <w:szCs w:val="24"/>
    </w:rPr>
  </w:style>
  <w:style w:type="character" w:customStyle="1" w:styleId="377">
    <w:name w:val="Job"/>
    <w:semiHidden/>
    <w:uiPriority w:val="0"/>
    <w:rPr>
      <w:rFonts w:eastAsia="楷体_GB2312"/>
      <w:b/>
      <w:sz w:val="44"/>
      <w:szCs w:val="44"/>
    </w:rPr>
  </w:style>
  <w:style w:type="character" w:customStyle="1" w:styleId="378">
    <w:name w:val="newscontent1"/>
    <w:semiHidden/>
    <w:uiPriority w:val="0"/>
    <w:rPr>
      <w:color w:val="000000"/>
      <w:sz w:val="21"/>
      <w:szCs w:val="21"/>
    </w:rPr>
  </w:style>
  <w:style w:type="character" w:customStyle="1" w:styleId="379">
    <w:name w:val="sj TS Char"/>
    <w:semiHidden/>
    <w:uiPriority w:val="0"/>
    <w:rPr>
      <w:rFonts w:ascii="宋体" w:hAnsi="宋体" w:eastAsia="宋体"/>
      <w:b/>
      <w:kern w:val="2"/>
      <w:sz w:val="30"/>
      <w:szCs w:val="30"/>
      <w:lang w:val="en-GB" w:eastAsia="zh-CN" w:bidi="ar-SA"/>
    </w:rPr>
  </w:style>
  <w:style w:type="character" w:customStyle="1" w:styleId="380">
    <w:name w:val="style51"/>
    <w:semiHidden/>
    <w:uiPriority w:val="0"/>
    <w:rPr>
      <w:rFonts w:ascii="Verdana" w:hAnsi="Verdana"/>
      <w:spacing w:val="31680"/>
      <w:sz w:val="15"/>
      <w:szCs w:val="15"/>
    </w:rPr>
  </w:style>
  <w:style w:type="character" w:customStyle="1" w:styleId="381">
    <w:name w:val="dx"/>
    <w:basedOn w:val="135"/>
    <w:uiPriority w:val="0"/>
  </w:style>
  <w:style w:type="character" w:customStyle="1" w:styleId="382">
    <w:name w:val="正文01 Char1"/>
    <w:link w:val="383"/>
    <w:semiHidden/>
    <w:uiPriority w:val="0"/>
    <w:rPr>
      <w:kern w:val="2"/>
      <w:sz w:val="24"/>
      <w:szCs w:val="24"/>
    </w:rPr>
  </w:style>
  <w:style w:type="paragraph" w:customStyle="1" w:styleId="383">
    <w:name w:val="正文01"/>
    <w:basedOn w:val="1"/>
    <w:link w:val="382"/>
    <w:semiHidden/>
    <w:uiPriority w:val="0"/>
    <w:pPr>
      <w:spacing w:before="60" w:line="460" w:lineRule="exact"/>
      <w:ind w:firstLine="200"/>
    </w:pPr>
    <w:rPr>
      <w:rFonts w:eastAsia="宋体"/>
      <w:sz w:val="24"/>
      <w:szCs w:val="24"/>
    </w:rPr>
  </w:style>
  <w:style w:type="character" w:customStyle="1" w:styleId="384">
    <w:name w:val="yqlink"/>
    <w:semiHidden/>
    <w:uiPriority w:val="0"/>
    <w:rPr>
      <w:rFonts w:eastAsia="楷体_GB2312"/>
      <w:b/>
      <w:sz w:val="44"/>
      <w:szCs w:val="44"/>
    </w:rPr>
  </w:style>
  <w:style w:type="character" w:customStyle="1" w:styleId="385">
    <w:name w:val="style211"/>
    <w:semiHidden/>
    <w:uiPriority w:val="0"/>
    <w:rPr>
      <w:color w:val="000000"/>
    </w:rPr>
  </w:style>
  <w:style w:type="character" w:customStyle="1" w:styleId="386">
    <w:name w:val="表格内正文1 Char"/>
    <w:link w:val="387"/>
    <w:qFormat/>
    <w:uiPriority w:val="0"/>
    <w:rPr>
      <w:rFonts w:eastAsia="等线"/>
      <w:kern w:val="2"/>
      <w:sz w:val="21"/>
      <w:szCs w:val="22"/>
      <w:lang w:val="en-US" w:eastAsia="zh-CN" w:bidi="ar-SA"/>
    </w:rPr>
  </w:style>
  <w:style w:type="paragraph" w:customStyle="1" w:styleId="387">
    <w:name w:val="表格内正文1"/>
    <w:next w:val="1"/>
    <w:link w:val="386"/>
    <w:qFormat/>
    <w:uiPriority w:val="0"/>
    <w:pPr>
      <w:widowControl/>
      <w:adjustRightInd w:val="0"/>
      <w:snapToGrid w:val="0"/>
      <w:spacing w:line="240" w:lineRule="auto"/>
      <w:ind w:firstLine="0"/>
      <w:jc w:val="center"/>
    </w:pPr>
    <w:rPr>
      <w:rFonts w:ascii="Times New Roman" w:hAnsi="Times New Roman" w:eastAsia="等线" w:cs="Times New Roman"/>
      <w:kern w:val="2"/>
      <w:sz w:val="21"/>
      <w:szCs w:val="22"/>
      <w:lang w:val="en-US" w:eastAsia="zh-CN" w:bidi="ar-SA"/>
    </w:rPr>
  </w:style>
  <w:style w:type="character" w:customStyle="1" w:styleId="388">
    <w:name w:val="列表接续 5 Char"/>
    <w:link w:val="57"/>
    <w:uiPriority w:val="0"/>
    <w:rPr>
      <w:kern w:val="2"/>
      <w:sz w:val="21"/>
      <w:szCs w:val="24"/>
    </w:rPr>
  </w:style>
  <w:style w:type="character" w:customStyle="1" w:styleId="389">
    <w:name w:val="font81"/>
    <w:uiPriority w:val="0"/>
    <w:rPr>
      <w:rFonts w:hint="eastAsia" w:ascii="宋体" w:hAnsi="宋体" w:eastAsia="宋体" w:cs="宋体"/>
      <w:color w:val="000000"/>
      <w:sz w:val="21"/>
      <w:szCs w:val="21"/>
      <w:u w:val="none"/>
    </w:rPr>
  </w:style>
  <w:style w:type="paragraph" w:customStyle="1" w:styleId="390">
    <w:name w:val="报告正文"/>
    <w:basedOn w:val="1"/>
    <w:semiHidden/>
    <w:uiPriority w:val="0"/>
    <w:pPr>
      <w:adjustRightInd w:val="0"/>
      <w:spacing w:before="25" w:beforeLines="25" w:line="360" w:lineRule="auto"/>
      <w:ind w:firstLine="482"/>
      <w:textAlignment w:val="baseline"/>
    </w:pPr>
    <w:rPr>
      <w:rFonts w:eastAsia="宋体" w:cs="宋体"/>
      <w:snapToGrid w:val="0"/>
      <w:kern w:val="24"/>
      <w:sz w:val="24"/>
      <w:szCs w:val="21"/>
    </w:rPr>
  </w:style>
  <w:style w:type="paragraph" w:customStyle="1" w:styleId="391">
    <w:name w:val="表格正文"/>
    <w:basedOn w:val="1"/>
    <w:semiHidden/>
    <w:uiPriority w:val="0"/>
    <w:pPr>
      <w:adjustRightInd w:val="0"/>
      <w:snapToGrid w:val="0"/>
      <w:spacing w:line="240" w:lineRule="auto"/>
      <w:ind w:firstLine="480"/>
      <w:jc w:val="center"/>
    </w:pPr>
    <w:rPr>
      <w:rFonts w:ascii="宋体" w:eastAsia="宋体"/>
      <w:kern w:val="0"/>
      <w:sz w:val="24"/>
    </w:rPr>
  </w:style>
  <w:style w:type="paragraph" w:customStyle="1" w:styleId="392">
    <w:name w:val="段标"/>
    <w:basedOn w:val="1"/>
    <w:semiHidden/>
    <w:uiPriority w:val="0"/>
    <w:pPr>
      <w:adjustRightInd w:val="0"/>
      <w:spacing w:line="480" w:lineRule="exact"/>
      <w:textAlignment w:val="baseline"/>
    </w:pPr>
    <w:rPr>
      <w:rFonts w:ascii="宋体" w:eastAsia="宋体"/>
      <w:kern w:val="0"/>
      <w:szCs w:val="28"/>
    </w:rPr>
  </w:style>
  <w:style w:type="paragraph" w:customStyle="1" w:styleId="393">
    <w:name w:val=" Char Char5 Char Char Char Char"/>
    <w:basedOn w:val="1"/>
    <w:semiHidden/>
    <w:uiPriority w:val="0"/>
    <w:pPr>
      <w:spacing w:before="100" w:beforeLines="100" w:after="50" w:afterLines="50" w:line="480" w:lineRule="auto"/>
      <w:ind w:firstLine="0"/>
      <w:jc w:val="center"/>
    </w:pPr>
    <w:rPr>
      <w:rFonts w:ascii="宋体" w:eastAsia="楷体_GB2312"/>
      <w:b/>
      <w:kern w:val="0"/>
      <w:sz w:val="44"/>
      <w:szCs w:val="44"/>
    </w:rPr>
  </w:style>
  <w:style w:type="paragraph" w:customStyle="1" w:styleId="394">
    <w:name w:val="7表格（治）"/>
    <w:qFormat/>
    <w:uiPriority w:val="0"/>
    <w:pPr>
      <w:widowControl w:val="0"/>
      <w:adjustRightInd w:val="0"/>
      <w:snapToGrid w:val="0"/>
      <w:ind w:right="0"/>
      <w:jc w:val="center"/>
    </w:pPr>
    <w:rPr>
      <w:rFonts w:ascii="Times New Roman" w:hAnsi="Times New Roman" w:eastAsia="宋体" w:cs="Times New Roman"/>
      <w:color w:val="000000"/>
      <w:sz w:val="21"/>
      <w:szCs w:val="21"/>
      <w:lang w:val="en-US" w:eastAsia="zh-CN" w:bidi="ar-SA"/>
    </w:rPr>
  </w:style>
  <w:style w:type="paragraph" w:customStyle="1" w:styleId="395">
    <w:name w:val="条(二级)"/>
    <w:basedOn w:val="6"/>
    <w:next w:val="396"/>
    <w:semiHidden/>
    <w:uiPriority w:val="0"/>
    <w:pPr>
      <w:tabs>
        <w:tab w:val="left" w:pos="851"/>
        <w:tab w:val="left" w:pos="1246"/>
      </w:tabs>
      <w:adjustRightInd w:val="0"/>
      <w:spacing w:before="0" w:after="0" w:line="460" w:lineRule="exact"/>
      <w:ind w:firstLine="0"/>
      <w:outlineLvl w:val="9"/>
    </w:pPr>
    <w:rPr>
      <w:rFonts w:ascii="宋体" w:hAnsi="Times New Roman" w:eastAsia="宋体"/>
      <w:kern w:val="0"/>
      <w:sz w:val="26"/>
      <w:szCs w:val="20"/>
    </w:rPr>
  </w:style>
  <w:style w:type="paragraph" w:customStyle="1" w:styleId="396">
    <w:name w:val="条(三级)"/>
    <w:basedOn w:val="1"/>
    <w:semiHidden/>
    <w:uiPriority w:val="0"/>
    <w:pPr>
      <w:spacing w:line="240" w:lineRule="auto"/>
      <w:ind w:firstLine="0"/>
    </w:pPr>
    <w:rPr>
      <w:rFonts w:ascii="宋体" w:eastAsia="宋体"/>
      <w:kern w:val="0"/>
      <w:sz w:val="34"/>
    </w:rPr>
  </w:style>
  <w:style w:type="paragraph" w:customStyle="1" w:styleId="397">
    <w:name w:val="附言"/>
    <w:basedOn w:val="27"/>
    <w:next w:val="1"/>
    <w:semiHidden/>
    <w:uiPriority w:val="0"/>
    <w:pPr>
      <w:keepLines/>
      <w:widowControl/>
      <w:spacing w:before="220" w:after="220" w:line="180" w:lineRule="atLeast"/>
    </w:pPr>
    <w:rPr>
      <w:rFonts w:hint="eastAsia" w:ascii="Arial" w:hAnsi="Arial" w:cs="宋体"/>
      <w:spacing w:val="-5"/>
      <w:kern w:val="0"/>
      <w:sz w:val="22"/>
      <w:szCs w:val="22"/>
    </w:rPr>
  </w:style>
  <w:style w:type="paragraph" w:customStyle="1" w:styleId="398">
    <w:name w:val="表－序号列171"/>
    <w:basedOn w:val="1"/>
    <w:semiHidden/>
    <w:uiPriority w:val="0"/>
    <w:pPr>
      <w:suppressLineNumbers/>
      <w:tabs>
        <w:tab w:val="left" w:pos="432"/>
        <w:tab w:val="left" w:pos="4025"/>
      </w:tabs>
      <w:suppressAutoHyphens/>
      <w:adjustRightInd w:val="0"/>
      <w:snapToGrid w:val="0"/>
      <w:spacing w:before="120" w:after="120" w:line="360" w:lineRule="auto"/>
      <w:ind w:firstLine="480"/>
      <w:jc w:val="center"/>
    </w:pPr>
    <w:rPr>
      <w:rFonts w:ascii="宋体" w:eastAsia="宋体" w:cs="Arial"/>
      <w:kern w:val="0"/>
      <w:sz w:val="34"/>
      <w:lang w:eastAsia="ja-JP"/>
    </w:rPr>
  </w:style>
  <w:style w:type="paragraph" w:customStyle="1" w:styleId="399">
    <w:name w:val="正文 1"/>
    <w:basedOn w:val="1"/>
    <w:semiHidden/>
    <w:uiPriority w:val="0"/>
    <w:pPr>
      <w:adjustRightInd w:val="0"/>
      <w:spacing w:before="60" w:after="60" w:line="312" w:lineRule="auto"/>
      <w:ind w:firstLine="601"/>
      <w:jc w:val="left"/>
    </w:pPr>
    <w:rPr>
      <w:rFonts w:ascii="宋体" w:eastAsia="宋体"/>
      <w:kern w:val="0"/>
    </w:rPr>
  </w:style>
  <w:style w:type="paragraph" w:customStyle="1" w:styleId="400">
    <w:name w:val="样式 样式 宋体 小四 首行缩进:  0.95 厘米 行距: 1.5 倍行距 + 自动设置"/>
    <w:basedOn w:val="1"/>
    <w:semiHidden/>
    <w:uiPriority w:val="0"/>
    <w:pPr>
      <w:spacing w:line="360" w:lineRule="auto"/>
      <w:ind w:firstLine="540"/>
    </w:pPr>
    <w:rPr>
      <w:rFonts w:ascii="宋体" w:hAnsi="宋体" w:eastAsia="宋体" w:cs="宋体"/>
      <w:kern w:val="0"/>
      <w:sz w:val="24"/>
    </w:rPr>
  </w:style>
  <w:style w:type="paragraph" w:customStyle="1" w:styleId="401">
    <w:name w:val="Company Name One"/>
    <w:basedOn w:val="402"/>
    <w:next w:val="1"/>
    <w:semiHidden/>
    <w:uiPriority w:val="0"/>
    <w:pPr>
      <w:tabs>
        <w:tab w:val="left" w:pos="2160"/>
        <w:tab w:val="right" w:pos="6480"/>
      </w:tabs>
    </w:pPr>
  </w:style>
  <w:style w:type="paragraph" w:customStyle="1" w:styleId="402">
    <w:name w:val="Company Name"/>
    <w:basedOn w:val="1"/>
    <w:next w:val="1"/>
    <w:semiHidden/>
    <w:uiPriority w:val="0"/>
    <w:pPr>
      <w:widowControl/>
      <w:tabs>
        <w:tab w:val="left" w:pos="2160"/>
        <w:tab w:val="right" w:pos="6480"/>
      </w:tabs>
      <w:spacing w:before="220" w:after="40" w:line="220" w:lineRule="atLeast"/>
      <w:ind w:right="-360" w:firstLine="0"/>
      <w:jc w:val="left"/>
    </w:pPr>
    <w:rPr>
      <w:rFonts w:ascii="宋体" w:eastAsia="宋体"/>
      <w:kern w:val="0"/>
      <w:sz w:val="20"/>
    </w:rPr>
  </w:style>
  <w:style w:type="paragraph" w:customStyle="1" w:styleId="403">
    <w:name w:val="1表格头"/>
    <w:basedOn w:val="1"/>
    <w:semiHidden/>
    <w:uiPriority w:val="0"/>
    <w:pPr>
      <w:snapToGrid w:val="0"/>
      <w:spacing w:line="160" w:lineRule="atLeast"/>
      <w:ind w:firstLine="0"/>
      <w:jc w:val="center"/>
    </w:pPr>
    <w:rPr>
      <w:rFonts w:ascii="黑体" w:eastAsia="黑体"/>
    </w:rPr>
  </w:style>
  <w:style w:type="paragraph" w:customStyle="1" w:styleId="404">
    <w:name w:val="样式 8说明(治) + 首行缩进:  2 字符"/>
    <w:basedOn w:val="343"/>
    <w:uiPriority w:val="0"/>
    <w:pPr>
      <w:adjustRightInd w:val="0"/>
      <w:ind w:firstLine="0"/>
    </w:pPr>
    <w:rPr>
      <w:rFonts w:cs="宋体"/>
    </w:rPr>
  </w:style>
  <w:style w:type="paragraph" w:customStyle="1" w:styleId="405">
    <w:name w:val="xl43"/>
    <w:basedOn w:val="1"/>
    <w:semiHidden/>
    <w:uiPriority w:val="0"/>
    <w:pPr>
      <w:widowControl/>
      <w:pBdr>
        <w:top w:val="single" w:color="auto" w:sz="4" w:space="0"/>
        <w:left w:val="single" w:color="auto" w:sz="4" w:space="0"/>
        <w:right w:val="single" w:color="auto" w:sz="4" w:space="0"/>
      </w:pBdr>
      <w:shd w:val="clear" w:color="auto" w:fill="FFFFFF"/>
      <w:spacing w:before="100" w:beforeAutospacing="1" w:after="100" w:afterAutospacing="1" w:line="440" w:lineRule="exact"/>
      <w:ind w:firstLine="0"/>
      <w:jc w:val="left"/>
    </w:pPr>
    <w:rPr>
      <w:rFonts w:ascii="宋体" w:hAnsi="宋体" w:eastAsia="宋体"/>
      <w:color w:val="000000"/>
      <w:kern w:val="0"/>
      <w:sz w:val="20"/>
    </w:rPr>
  </w:style>
  <w:style w:type="paragraph" w:customStyle="1" w:styleId="406">
    <w:name w:val="Bullet 4"/>
    <w:basedOn w:val="1"/>
    <w:next w:val="1"/>
    <w:semiHidden/>
    <w:uiPriority w:val="0"/>
    <w:pPr>
      <w:widowControl/>
      <w:tabs>
        <w:tab w:val="left" w:pos="1200"/>
        <w:tab w:val="left" w:pos="1440"/>
      </w:tabs>
      <w:spacing w:line="240" w:lineRule="auto"/>
      <w:ind w:left="4320" w:hanging="720"/>
      <w:jc w:val="left"/>
    </w:pPr>
    <w:rPr>
      <w:rFonts w:ascii="Arial" w:hAnsi="Arial" w:eastAsia="宋体"/>
      <w:kern w:val="0"/>
      <w:sz w:val="20"/>
    </w:rPr>
  </w:style>
  <w:style w:type="paragraph" w:customStyle="1" w:styleId="407">
    <w:name w:val="CM21"/>
    <w:basedOn w:val="1"/>
    <w:next w:val="1"/>
    <w:semiHidden/>
    <w:uiPriority w:val="0"/>
    <w:pPr>
      <w:autoSpaceDE w:val="0"/>
      <w:autoSpaceDN w:val="0"/>
      <w:adjustRightInd w:val="0"/>
      <w:spacing w:line="548" w:lineRule="atLeast"/>
      <w:ind w:firstLine="0"/>
      <w:jc w:val="left"/>
    </w:pPr>
    <w:rPr>
      <w:rFonts w:ascii="楷体_GB2312" w:eastAsia="楷体_GB2312" w:cs="楷体_GB2312"/>
      <w:kern w:val="0"/>
      <w:sz w:val="24"/>
    </w:rPr>
  </w:style>
  <w:style w:type="paragraph" w:customStyle="1" w:styleId="408">
    <w:name w:val="puce51"/>
    <w:basedOn w:val="1"/>
    <w:semiHidden/>
    <w:uiPriority w:val="0"/>
    <w:pPr>
      <w:widowControl/>
      <w:tabs>
        <w:tab w:val="left" w:pos="964"/>
      </w:tabs>
      <w:adjustRightInd w:val="0"/>
      <w:snapToGrid w:val="0"/>
      <w:spacing w:after="120" w:line="320" w:lineRule="exact"/>
      <w:ind w:left="964" w:hanging="397"/>
      <w:jc w:val="left"/>
    </w:pPr>
    <w:rPr>
      <w:rFonts w:ascii="宋体" w:hAnsi="宋体" w:eastAsia="宋体"/>
      <w:kern w:val="0"/>
      <w:sz w:val="34"/>
      <w:lang w:val="en-GB"/>
    </w:rPr>
  </w:style>
  <w:style w:type="paragraph" w:customStyle="1" w:styleId="409">
    <w:name w:val="样式 样式 楷体_GB2312 小二 加粗 居中 行距: 1.5 倍行距 + 首行缩进:  2 字符"/>
    <w:basedOn w:val="410"/>
    <w:uiPriority w:val="0"/>
    <w:rPr>
      <w:bCs w:val="0"/>
    </w:rPr>
  </w:style>
  <w:style w:type="paragraph" w:customStyle="1" w:styleId="410">
    <w:name w:val="样式 楷体_GB2312 小二 加粗 居中 行距: 1.5 倍行距"/>
    <w:basedOn w:val="1"/>
    <w:next w:val="27"/>
    <w:uiPriority w:val="0"/>
    <w:pPr>
      <w:spacing w:line="240" w:lineRule="auto"/>
      <w:ind w:firstLine="200"/>
    </w:pPr>
    <w:rPr>
      <w:rFonts w:ascii="宋体" w:hAnsi="宋体" w:eastAsia="宋体" w:cs="宋体"/>
      <w:bCs/>
    </w:rPr>
  </w:style>
  <w:style w:type="paragraph" w:customStyle="1" w:styleId="411">
    <w:name w:val="CM11"/>
    <w:basedOn w:val="1"/>
    <w:next w:val="1"/>
    <w:semiHidden/>
    <w:uiPriority w:val="0"/>
    <w:pPr>
      <w:autoSpaceDE w:val="0"/>
      <w:autoSpaceDN w:val="0"/>
      <w:adjustRightInd w:val="0"/>
      <w:spacing w:line="548" w:lineRule="atLeast"/>
      <w:ind w:firstLine="0"/>
      <w:jc w:val="left"/>
    </w:pPr>
    <w:rPr>
      <w:rFonts w:ascii="楷体_GB2312" w:eastAsia="楷体_GB2312"/>
      <w:kern w:val="0"/>
      <w:sz w:val="24"/>
    </w:rPr>
  </w:style>
  <w:style w:type="paragraph" w:customStyle="1" w:styleId="412">
    <w:name w:val="签名 - 姓名"/>
    <w:basedOn w:val="62"/>
    <w:next w:val="1"/>
    <w:semiHidden/>
    <w:uiPriority w:val="0"/>
    <w:pPr>
      <w:keepNext/>
      <w:keepLines/>
      <w:widowControl/>
      <w:spacing w:before="660" w:line="180" w:lineRule="atLeast"/>
      <w:ind w:left="0"/>
    </w:pPr>
    <w:rPr>
      <w:rFonts w:hint="eastAsia" w:ascii="Arial" w:hAnsi="Arial" w:cs="宋体"/>
      <w:spacing w:val="-5"/>
      <w:kern w:val="0"/>
      <w:sz w:val="22"/>
      <w:szCs w:val="22"/>
    </w:rPr>
  </w:style>
  <w:style w:type="paragraph" w:customStyle="1" w:styleId="413">
    <w:name w:val="样式 题注 + 首行缩进:  2 字符"/>
    <w:basedOn w:val="28"/>
    <w:semiHidden/>
    <w:uiPriority w:val="0"/>
    <w:pPr>
      <w:tabs>
        <w:tab w:val="left" w:pos="2268"/>
      </w:tabs>
      <w:adjustRightInd w:val="0"/>
      <w:snapToGrid w:val="0"/>
      <w:spacing w:before="0" w:beforeLines="0" w:after="0" w:line="360" w:lineRule="auto"/>
      <w:ind w:left="851" w:firstLine="400"/>
    </w:pPr>
    <w:rPr>
      <w:rFonts w:ascii="Times New Roman" w:hAnsi="Times New Roman" w:eastAsia="宋体" w:cs="Times New Roman"/>
      <w:kern w:val="0"/>
      <w:sz w:val="24"/>
    </w:rPr>
  </w:style>
  <w:style w:type="paragraph" w:customStyle="1" w:styleId="414">
    <w:name w:val="imo"/>
    <w:basedOn w:val="1"/>
    <w:semiHidden/>
    <w:uiPriority w:val="0"/>
    <w:pPr>
      <w:widowControl/>
      <w:spacing w:before="100" w:beforeAutospacing="1" w:after="100" w:afterAutospacing="1" w:line="240" w:lineRule="auto"/>
      <w:ind w:firstLine="0"/>
      <w:jc w:val="left"/>
    </w:pPr>
    <w:rPr>
      <w:rFonts w:ascii="Arial Unicode MS" w:hAnsi="Arial Unicode MS" w:eastAsia="宋体"/>
      <w:b/>
      <w:bCs/>
      <w:color w:val="0000FF"/>
      <w:kern w:val="0"/>
      <w:sz w:val="22"/>
      <w:szCs w:val="22"/>
    </w:rPr>
  </w:style>
  <w:style w:type="paragraph" w:customStyle="1" w:styleId="415">
    <w:name w:val="Header Base"/>
    <w:basedOn w:val="1"/>
    <w:semiHidden/>
    <w:uiPriority w:val="0"/>
    <w:pPr>
      <w:widowControl/>
      <w:spacing w:line="240" w:lineRule="auto"/>
      <w:ind w:right="-360" w:firstLine="0"/>
      <w:jc w:val="left"/>
    </w:pPr>
    <w:rPr>
      <w:rFonts w:ascii="宋体" w:eastAsia="宋体"/>
      <w:kern w:val="0"/>
      <w:sz w:val="20"/>
    </w:rPr>
  </w:style>
  <w:style w:type="paragraph" w:customStyle="1" w:styleId="416">
    <w:name w:val="CM12"/>
    <w:basedOn w:val="417"/>
    <w:next w:val="417"/>
    <w:semiHidden/>
    <w:uiPriority w:val="0"/>
    <w:pPr>
      <w:spacing w:line="546" w:lineRule="atLeast"/>
    </w:pPr>
    <w:rPr>
      <w:rFonts w:ascii="Arial Black" w:hAnsi="Arial Black" w:cs="Times New Roman"/>
      <w:color w:val="auto"/>
    </w:rPr>
  </w:style>
  <w:style w:type="paragraph" w:customStyle="1" w:styleId="417">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418">
    <w:name w:val="font22"/>
    <w:basedOn w:val="1"/>
    <w:semiHidden/>
    <w:uiPriority w:val="0"/>
    <w:pPr>
      <w:widowControl/>
      <w:spacing w:before="100" w:beforeAutospacing="1" w:after="100" w:afterAutospacing="1" w:line="240" w:lineRule="auto"/>
      <w:ind w:firstLine="0"/>
      <w:jc w:val="left"/>
    </w:pPr>
    <w:rPr>
      <w:rFonts w:ascii="宋体" w:hAnsi="宋体" w:eastAsia="宋体" w:cs="宋体"/>
      <w:kern w:val="0"/>
      <w:sz w:val="12"/>
      <w:szCs w:val="12"/>
    </w:rPr>
  </w:style>
  <w:style w:type="paragraph" w:customStyle="1" w:styleId="419">
    <w:name w:val="xl92"/>
    <w:basedOn w:val="1"/>
    <w:semiHidden/>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line="440" w:lineRule="exact"/>
      <w:ind w:firstLine="0"/>
      <w:jc w:val="right"/>
    </w:pPr>
    <w:rPr>
      <w:rFonts w:ascii="Arial Unicode MS" w:hAnsi="Arial Unicode MS" w:eastAsia="Arial Unicode MS" w:cs="Arial Unicode MS"/>
      <w:color w:val="FFCC99"/>
      <w:kern w:val="0"/>
      <w:sz w:val="20"/>
    </w:rPr>
  </w:style>
  <w:style w:type="paragraph" w:customStyle="1" w:styleId="420">
    <w:name w:val="样式 正文缩进 + 首行缩进:  2 字符"/>
    <w:basedOn w:val="23"/>
    <w:qFormat/>
    <w:uiPriority w:val="0"/>
    <w:pPr>
      <w:adjustRightInd w:val="0"/>
      <w:spacing w:line="315" w:lineRule="atLeast"/>
      <w:ind w:firstLine="480"/>
      <w:jc w:val="left"/>
      <w:textAlignment w:val="baseline"/>
    </w:pPr>
    <w:rPr>
      <w:rFonts w:ascii="宋体" w:hAnsi="Calibri"/>
      <w:sz w:val="21"/>
      <w:szCs w:val="22"/>
    </w:rPr>
  </w:style>
  <w:style w:type="paragraph" w:customStyle="1" w:styleId="421">
    <w:name w:val="font27"/>
    <w:basedOn w:val="1"/>
    <w:semiHidden/>
    <w:uiPriority w:val="0"/>
    <w:pPr>
      <w:widowControl/>
      <w:spacing w:before="100" w:beforeAutospacing="1" w:after="100" w:afterAutospacing="1" w:line="240" w:lineRule="auto"/>
      <w:ind w:firstLine="0"/>
      <w:jc w:val="left"/>
    </w:pPr>
    <w:rPr>
      <w:rFonts w:ascii="宋体" w:eastAsia="宋体"/>
      <w:kern w:val="0"/>
      <w:sz w:val="22"/>
      <w:szCs w:val="22"/>
    </w:rPr>
  </w:style>
  <w:style w:type="paragraph" w:customStyle="1" w:styleId="422">
    <w:name w:val="font19"/>
    <w:basedOn w:val="1"/>
    <w:semiHidden/>
    <w:uiPriority w:val="0"/>
    <w:pPr>
      <w:widowControl/>
      <w:spacing w:before="100" w:beforeAutospacing="1" w:after="100" w:afterAutospacing="1" w:line="240" w:lineRule="auto"/>
      <w:ind w:firstLine="0"/>
      <w:jc w:val="left"/>
    </w:pPr>
    <w:rPr>
      <w:rFonts w:ascii="Arial" w:hAnsi="Arial" w:eastAsia="宋体" w:cs="Arial"/>
      <w:kern w:val="0"/>
      <w:sz w:val="20"/>
    </w:rPr>
  </w:style>
  <w:style w:type="paragraph" w:customStyle="1" w:styleId="423">
    <w:name w:val="表内字"/>
    <w:semiHidden/>
    <w:uiPriority w:val="0"/>
    <w:pPr>
      <w:widowControl w:val="0"/>
      <w:adjustRightInd w:val="0"/>
      <w:snapToGrid w:val="0"/>
      <w:spacing w:line="490" w:lineRule="exact"/>
      <w:jc w:val="both"/>
    </w:pPr>
    <w:rPr>
      <w:rFonts w:ascii="宋体" w:hAnsi="宋体" w:eastAsia="宋体" w:cs="Times New Roman"/>
      <w:kern w:val="21"/>
      <w:sz w:val="21"/>
      <w:szCs w:val="21"/>
      <w:lang w:val="en-US" w:eastAsia="zh-CN" w:bidi="ar-SA"/>
    </w:rPr>
  </w:style>
  <w:style w:type="paragraph" w:customStyle="1" w:styleId="424">
    <w:name w:val="Lara"/>
    <w:basedOn w:val="5"/>
    <w:semiHidden/>
    <w:uiPriority w:val="0"/>
    <w:pPr>
      <w:keepLines w:val="0"/>
      <w:widowControl/>
      <w:spacing w:before="240" w:after="60" w:line="480" w:lineRule="atLeast"/>
      <w:ind w:firstLine="480"/>
      <w:contextualSpacing/>
    </w:pPr>
    <w:rPr>
      <w:rFonts w:ascii="Arial" w:hAnsi="Arial" w:eastAsia="宋体"/>
      <w:kern w:val="24"/>
      <w:sz w:val="22"/>
      <w:szCs w:val="20"/>
      <w:u w:val="words"/>
    </w:rPr>
  </w:style>
  <w:style w:type="paragraph" w:customStyle="1" w:styleId="425">
    <w:name w:val="文档标签"/>
    <w:basedOn w:val="426"/>
    <w:semiHidden/>
    <w:uiPriority w:val="0"/>
    <w:pPr>
      <w:spacing w:before="400" w:after="120" w:line="240" w:lineRule="atLeast"/>
      <w:ind w:left="-840"/>
    </w:pPr>
    <w:rPr>
      <w:spacing w:val="-100"/>
      <w:sz w:val="108"/>
    </w:rPr>
  </w:style>
  <w:style w:type="paragraph" w:customStyle="1" w:styleId="426">
    <w:name w:val="基准标题"/>
    <w:basedOn w:val="27"/>
    <w:next w:val="27"/>
    <w:semiHidden/>
    <w:uiPriority w:val="0"/>
    <w:pPr>
      <w:keepNext/>
      <w:keepLines/>
      <w:widowControl/>
      <w:spacing w:after="0" w:line="180" w:lineRule="atLeast"/>
      <w:jc w:val="left"/>
    </w:pPr>
    <w:rPr>
      <w:rFonts w:hint="eastAsia" w:ascii="Arial Black" w:hAnsi="Arial Black" w:cs="宋体"/>
      <w:spacing w:val="-10"/>
      <w:kern w:val="28"/>
      <w:sz w:val="22"/>
      <w:szCs w:val="22"/>
    </w:rPr>
  </w:style>
  <w:style w:type="paragraph" w:customStyle="1" w:styleId="427">
    <w:name w:val="Char Char Char Char Char Char Char"/>
    <w:basedOn w:val="1"/>
    <w:next w:val="1"/>
    <w:semiHidden/>
    <w:uiPriority w:val="0"/>
    <w:pPr>
      <w:spacing w:line="360" w:lineRule="auto"/>
      <w:ind w:firstLine="200"/>
    </w:pPr>
    <w:rPr>
      <w:rFonts w:ascii="宋体" w:hAnsi="宋体" w:eastAsia="宋体" w:cs="宋体"/>
      <w:sz w:val="24"/>
      <w:szCs w:val="24"/>
    </w:rPr>
  </w:style>
  <w:style w:type="paragraph" w:customStyle="1" w:styleId="428">
    <w:name w:val="标题1"/>
    <w:basedOn w:val="5"/>
    <w:semiHidden/>
    <w:uiPriority w:val="0"/>
    <w:pPr>
      <w:tabs>
        <w:tab w:val="left" w:pos="1680"/>
      </w:tabs>
      <w:spacing w:before="156" w:beforeLines="50" w:after="156" w:afterLines="50" w:line="360" w:lineRule="auto"/>
      <w:ind w:left="1680" w:hanging="420"/>
      <w:contextualSpacing/>
      <w:jc w:val="center"/>
    </w:pPr>
    <w:rPr>
      <w:rFonts w:eastAsia="黑体"/>
      <w:b w:val="0"/>
      <w:kern w:val="0"/>
      <w:sz w:val="24"/>
    </w:rPr>
  </w:style>
  <w:style w:type="paragraph" w:customStyle="1" w:styleId="429">
    <w:name w:val="表文字"/>
    <w:basedOn w:val="1"/>
    <w:semiHidden/>
    <w:uiPriority w:val="0"/>
    <w:pPr>
      <w:spacing w:line="240" w:lineRule="atLeast"/>
      <w:ind w:firstLine="0"/>
      <w:jc w:val="center"/>
    </w:pPr>
    <w:rPr>
      <w:rFonts w:ascii="宋体" w:eastAsia="宋体"/>
      <w:kern w:val="10"/>
      <w:sz w:val="24"/>
    </w:rPr>
  </w:style>
  <w:style w:type="paragraph" w:customStyle="1" w:styleId="430">
    <w:name w:val="插入表格序号30"/>
    <w:basedOn w:val="1"/>
    <w:semiHidden/>
    <w:uiPriority w:val="0"/>
    <w:pPr>
      <w:adjustRightInd w:val="0"/>
      <w:snapToGrid w:val="0"/>
      <w:spacing w:line="360" w:lineRule="auto"/>
      <w:ind w:left="1134" w:hanging="1134"/>
    </w:pPr>
    <w:rPr>
      <w:rFonts w:ascii="宋体" w:eastAsia="宋体"/>
      <w:kern w:val="0"/>
      <w:sz w:val="24"/>
    </w:rPr>
  </w:style>
  <w:style w:type="paragraph" w:customStyle="1" w:styleId="431">
    <w:name w:val="表格标注"/>
    <w:basedOn w:val="1"/>
    <w:qFormat/>
    <w:uiPriority w:val="99"/>
    <w:pPr>
      <w:tabs>
        <w:tab w:val="left" w:pos="3825"/>
        <w:tab w:val="left" w:pos="4680"/>
      </w:tabs>
      <w:spacing w:line="240" w:lineRule="auto"/>
      <w:ind w:firstLine="420"/>
    </w:pPr>
    <w:rPr>
      <w:rFonts w:ascii="宋体" w:hAnsi="宋体" w:eastAsia="宋体"/>
      <w:sz w:val="21"/>
      <w:szCs w:val="21"/>
    </w:rPr>
  </w:style>
  <w:style w:type="paragraph" w:customStyle="1" w:styleId="432">
    <w:name w:val="l20"/>
    <w:basedOn w:val="1"/>
    <w:semiHidden/>
    <w:uiPriority w:val="0"/>
    <w:pPr>
      <w:widowControl/>
      <w:spacing w:before="100" w:beforeAutospacing="1" w:after="100" w:afterAutospacing="1" w:line="300" w:lineRule="atLeast"/>
      <w:ind w:firstLine="0"/>
      <w:jc w:val="left"/>
    </w:pPr>
    <w:rPr>
      <w:rFonts w:ascii="Arial Unicode MS" w:hAnsi="Arial Unicode MS" w:eastAsia="宋体"/>
      <w:kern w:val="0"/>
      <w:sz w:val="24"/>
    </w:rPr>
  </w:style>
  <w:style w:type="paragraph" w:customStyle="1" w:styleId="433">
    <w:name w:val="节标"/>
    <w:basedOn w:val="1"/>
    <w:semiHidden/>
    <w:uiPriority w:val="0"/>
    <w:pPr>
      <w:widowControl/>
      <w:autoSpaceDE w:val="0"/>
      <w:autoSpaceDN w:val="0"/>
      <w:adjustRightInd w:val="0"/>
      <w:spacing w:line="480" w:lineRule="exact"/>
      <w:jc w:val="center"/>
    </w:pPr>
    <w:rPr>
      <w:rFonts w:ascii="宋体" w:eastAsia="宋体"/>
      <w:b/>
      <w:kern w:val="0"/>
      <w:sz w:val="30"/>
    </w:rPr>
  </w:style>
  <w:style w:type="paragraph" w:customStyle="1" w:styleId="434">
    <w:name w:val="Paragraph 1"/>
    <w:basedOn w:val="1"/>
    <w:semiHidden/>
    <w:uiPriority w:val="0"/>
    <w:pPr>
      <w:widowControl/>
      <w:spacing w:after="120" w:line="240" w:lineRule="auto"/>
      <w:ind w:left="720" w:firstLine="0"/>
    </w:pPr>
    <w:rPr>
      <w:rFonts w:ascii="Arial" w:hAnsi="Arial" w:eastAsia="宋体"/>
      <w:kern w:val="0"/>
      <w:sz w:val="22"/>
    </w:rPr>
  </w:style>
  <w:style w:type="paragraph" w:customStyle="1" w:styleId="435">
    <w:name w:val="_puce (1er niveau)"/>
    <w:semiHidden/>
    <w:uiPriority w:val="0"/>
    <w:pPr>
      <w:spacing w:before="120" w:line="280" w:lineRule="atLeast"/>
      <w:ind w:left="851" w:hanging="284"/>
      <w:jc w:val="both"/>
    </w:pPr>
    <w:rPr>
      <w:rFonts w:ascii="Times New Roman" w:hAnsi="Times New Roman" w:eastAsia="宋体" w:cs="Times New Roman"/>
      <w:sz w:val="24"/>
      <w:lang w:val="fr-FR" w:eastAsia="zh-CN" w:bidi="ar-SA"/>
    </w:rPr>
  </w:style>
  <w:style w:type="paragraph" w:customStyle="1" w:styleId="436">
    <w:name w:val="公式"/>
    <w:basedOn w:val="1"/>
    <w:semiHidden/>
    <w:qFormat/>
    <w:uiPriority w:val="0"/>
    <w:pPr>
      <w:tabs>
        <w:tab w:val="center" w:pos="3920"/>
        <w:tab w:val="right" w:pos="8400"/>
      </w:tabs>
      <w:spacing w:line="240" w:lineRule="auto"/>
      <w:ind w:firstLine="0"/>
    </w:pPr>
    <w:rPr>
      <w:rFonts w:ascii="宋体"/>
      <w:kern w:val="0"/>
      <w:szCs w:val="28"/>
    </w:rPr>
  </w:style>
  <w:style w:type="paragraph" w:customStyle="1" w:styleId="437">
    <w:name w:val="样式 宋体 小四 首行缩进:  0.74 厘米 行距: 1.5 倍行距"/>
    <w:basedOn w:val="1"/>
    <w:semiHidden/>
    <w:uiPriority w:val="0"/>
    <w:pPr>
      <w:tabs>
        <w:tab w:val="left" w:pos="851"/>
      </w:tabs>
      <w:spacing w:line="360" w:lineRule="auto"/>
      <w:ind w:left="851" w:hanging="454"/>
    </w:pPr>
    <w:rPr>
      <w:rFonts w:ascii="Arial" w:hAnsi="Arial" w:eastAsia="宋体"/>
      <w:kern w:val="0"/>
      <w:sz w:val="24"/>
    </w:rPr>
  </w:style>
  <w:style w:type="paragraph" w:customStyle="1" w:styleId="438">
    <w:name w:val=" Char Char Char Char Char Char Char Char Char Char Char Char Char Char Char Char Char Char"/>
    <w:basedOn w:val="1"/>
    <w:semiHidden/>
    <w:qFormat/>
    <w:uiPriority w:val="0"/>
    <w:pPr>
      <w:spacing w:line="240" w:lineRule="auto"/>
      <w:ind w:firstLine="0"/>
    </w:pPr>
    <w:rPr>
      <w:rFonts w:ascii="宋体" w:eastAsia="宋体"/>
      <w:kern w:val="0"/>
      <w:sz w:val="34"/>
    </w:rPr>
  </w:style>
  <w:style w:type="paragraph" w:customStyle="1" w:styleId="439">
    <w:name w:val="protit"/>
    <w:basedOn w:val="1"/>
    <w:semiHidden/>
    <w:uiPriority w:val="0"/>
    <w:pPr>
      <w:widowControl/>
      <w:spacing w:before="100" w:beforeAutospacing="1" w:after="100" w:afterAutospacing="1" w:line="240" w:lineRule="auto"/>
      <w:ind w:firstLine="0"/>
      <w:jc w:val="left"/>
    </w:pPr>
    <w:rPr>
      <w:rFonts w:ascii="Arial Unicode MS" w:hAnsi="Arial Unicode MS" w:eastAsia="宋体"/>
      <w:b/>
      <w:bCs/>
      <w:color w:val="FF0000"/>
      <w:kern w:val="0"/>
      <w:sz w:val="26"/>
      <w:szCs w:val="26"/>
    </w:rPr>
  </w:style>
  <w:style w:type="paragraph" w:customStyle="1" w:styleId="440">
    <w:name w:val="表格头"/>
    <w:basedOn w:val="1"/>
    <w:qFormat/>
    <w:uiPriority w:val="0"/>
    <w:pPr>
      <w:spacing w:before="50" w:beforeLines="50" w:line="240" w:lineRule="auto"/>
      <w:ind w:firstLine="0"/>
      <w:jc w:val="center"/>
    </w:pPr>
    <w:rPr>
      <w:rFonts w:eastAsia="黑体"/>
      <w:b/>
      <w:sz w:val="24"/>
      <w:szCs w:val="24"/>
    </w:rPr>
  </w:style>
  <w:style w:type="paragraph" w:customStyle="1" w:styleId="441">
    <w:name w:val="表内正文-Q"/>
    <w:next w:val="1"/>
    <w:qFormat/>
    <w:uiPriority w:val="0"/>
    <w:pPr>
      <w:adjustRightInd w:val="0"/>
      <w:snapToGrid w:val="0"/>
      <w:jc w:val="center"/>
    </w:pPr>
    <w:rPr>
      <w:rFonts w:ascii="Calibri" w:hAnsi="Calibri" w:eastAsia="宋体" w:cs="Times New Roman"/>
      <w:kern w:val="2"/>
      <w:sz w:val="21"/>
      <w:szCs w:val="22"/>
      <w:lang w:val="en-US" w:eastAsia="zh-CN" w:bidi="ar-SA"/>
    </w:rPr>
  </w:style>
  <w:style w:type="paragraph" w:customStyle="1" w:styleId="442">
    <w:name w:val="xl62"/>
    <w:basedOn w:val="1"/>
    <w:semiHidden/>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line="440" w:lineRule="exact"/>
      <w:ind w:firstLine="0"/>
      <w:jc w:val="left"/>
    </w:pPr>
    <w:rPr>
      <w:rFonts w:ascii="宋体" w:hAnsi="宋体" w:eastAsia="宋体"/>
      <w:color w:val="000000"/>
      <w:kern w:val="0"/>
      <w:sz w:val="20"/>
    </w:rPr>
  </w:style>
  <w:style w:type="paragraph" w:customStyle="1" w:styleId="443">
    <w:name w:val="表、图名"/>
    <w:basedOn w:val="1"/>
    <w:semiHidden/>
    <w:uiPriority w:val="0"/>
    <w:pPr>
      <w:adjustRightInd w:val="0"/>
      <w:snapToGrid w:val="0"/>
      <w:spacing w:line="360" w:lineRule="auto"/>
      <w:ind w:left="420" w:firstLine="0"/>
    </w:pPr>
    <w:rPr>
      <w:rFonts w:ascii="黑体" w:hAnsi="宋体" w:eastAsia="黑体"/>
      <w:color w:val="000000"/>
      <w:kern w:val="0"/>
      <w:sz w:val="34"/>
      <w:szCs w:val="18"/>
    </w:rPr>
  </w:style>
  <w:style w:type="paragraph" w:customStyle="1" w:styleId="444">
    <w:name w:val="No Title"/>
    <w:basedOn w:val="1"/>
    <w:semiHidden/>
    <w:uiPriority w:val="0"/>
    <w:pPr>
      <w:widowControl/>
      <w:pBdr>
        <w:top w:val="single" w:color="FFFFFF" w:sz="6" w:space="2"/>
        <w:left w:val="single" w:color="FFFFFF" w:sz="6" w:space="2"/>
        <w:bottom w:val="single" w:color="FFFFFF" w:sz="6" w:space="2"/>
        <w:right w:val="single" w:color="FFFFFF" w:sz="6" w:space="2"/>
      </w:pBdr>
      <w:spacing w:before="120" w:line="280" w:lineRule="atLeast"/>
      <w:ind w:firstLine="0"/>
      <w:jc w:val="left"/>
    </w:pPr>
    <w:rPr>
      <w:rFonts w:ascii="Arial" w:hAnsi="Arial" w:eastAsia="宋体"/>
      <w:b/>
      <w:spacing w:val="-10"/>
      <w:kern w:val="0"/>
      <w:position w:val="7"/>
      <w:sz w:val="20"/>
    </w:rPr>
  </w:style>
  <w:style w:type="paragraph" w:customStyle="1" w:styleId="445">
    <w:name w:val="CM107"/>
    <w:basedOn w:val="417"/>
    <w:next w:val="417"/>
    <w:semiHidden/>
    <w:uiPriority w:val="0"/>
    <w:pPr>
      <w:spacing w:line="626" w:lineRule="atLeast"/>
    </w:pPr>
    <w:rPr>
      <w:rFonts w:ascii="á￥êé" w:hAnsi="Times New Roman" w:eastAsia="á￥êé" w:cs="Times New Roman"/>
      <w:color w:val="auto"/>
      <w:sz w:val="20"/>
      <w:szCs w:val="20"/>
    </w:rPr>
  </w:style>
  <w:style w:type="paragraph" w:customStyle="1" w:styleId="446">
    <w:name w:val="Char Char1 Char Char Char Char"/>
    <w:basedOn w:val="1"/>
    <w:semiHidden/>
    <w:uiPriority w:val="0"/>
    <w:pPr>
      <w:widowControl/>
      <w:spacing w:after="160" w:line="240" w:lineRule="exact"/>
      <w:ind w:firstLine="0"/>
      <w:jc w:val="left"/>
    </w:pPr>
    <w:rPr>
      <w:rFonts w:ascii="宋体" w:hAnsi="宋体" w:eastAsia="Times New Roman" w:cs="Verdana"/>
      <w:b/>
      <w:kern w:val="0"/>
      <w:sz w:val="21"/>
      <w:lang w:eastAsia="en-US"/>
    </w:rPr>
  </w:style>
  <w:style w:type="paragraph" w:customStyle="1" w:styleId="447">
    <w:name w:val="TOC 标题11"/>
    <w:basedOn w:val="1"/>
    <w:next w:val="1"/>
    <w:qFormat/>
    <w:uiPriority w:val="39"/>
    <w:pPr>
      <w:widowControl/>
      <w:spacing w:before="240" w:after="100" w:afterAutospacing="1" w:line="400" w:lineRule="exact"/>
      <w:ind w:firstLine="0"/>
      <w:jc w:val="center"/>
    </w:pPr>
    <w:rPr>
      <w:rFonts w:ascii="Arial" w:hAnsi="Arial" w:eastAsia="宋体"/>
      <w:kern w:val="0"/>
      <w:sz w:val="21"/>
      <w:szCs w:val="24"/>
    </w:rPr>
  </w:style>
  <w:style w:type="paragraph" w:customStyle="1" w:styleId="448">
    <w:name w:val="初设正文"/>
    <w:basedOn w:val="1"/>
    <w:semiHidden/>
    <w:uiPriority w:val="0"/>
    <w:pPr>
      <w:spacing w:after="120" w:line="440" w:lineRule="exact"/>
      <w:ind w:left="425" w:firstLine="425"/>
    </w:pPr>
    <w:rPr>
      <w:rFonts w:ascii="Arial" w:hAnsi="Arial" w:eastAsia="宋体"/>
      <w:kern w:val="0"/>
      <w:sz w:val="24"/>
    </w:rPr>
  </w:style>
  <w:style w:type="paragraph" w:customStyle="1" w:styleId="449">
    <w:name w:val="4标题（治） Char Char"/>
    <w:basedOn w:val="1"/>
    <w:semiHidden/>
    <w:uiPriority w:val="0"/>
    <w:pPr>
      <w:spacing w:line="360" w:lineRule="auto"/>
      <w:ind w:firstLine="200"/>
      <w:outlineLvl w:val="3"/>
    </w:pPr>
    <w:rPr>
      <w:rFonts w:eastAsia="黑体" w:cs="宋体"/>
      <w:b/>
      <w:sz w:val="24"/>
      <w:szCs w:val="24"/>
    </w:rPr>
  </w:style>
  <w:style w:type="paragraph" w:customStyle="1" w:styleId="450">
    <w:name w:val="表格内文字"/>
    <w:basedOn w:val="451"/>
    <w:next w:val="1"/>
    <w:qFormat/>
    <w:uiPriority w:val="0"/>
    <w:pPr>
      <w:tabs>
        <w:tab w:val="left" w:pos="1980"/>
        <w:tab w:val="left" w:pos="3825"/>
        <w:tab w:val="left" w:pos="4680"/>
      </w:tabs>
      <w:adjustRightInd w:val="0"/>
      <w:snapToGrid w:val="0"/>
    </w:pPr>
  </w:style>
  <w:style w:type="paragraph" w:customStyle="1" w:styleId="451">
    <w:name w:val="表格名称"/>
    <w:basedOn w:val="1"/>
    <w:next w:val="450"/>
    <w:qFormat/>
    <w:uiPriority w:val="0"/>
    <w:pPr>
      <w:ind w:firstLine="0"/>
      <w:jc w:val="center"/>
    </w:pPr>
    <w:rPr>
      <w:b/>
    </w:rPr>
  </w:style>
  <w:style w:type="paragraph" w:customStyle="1" w:styleId="452">
    <w:name w:val="puce5"/>
    <w:basedOn w:val="1"/>
    <w:semiHidden/>
    <w:uiPriority w:val="0"/>
    <w:pPr>
      <w:widowControl/>
      <w:tabs>
        <w:tab w:val="left" w:pos="964"/>
      </w:tabs>
      <w:adjustRightInd w:val="0"/>
      <w:snapToGrid w:val="0"/>
      <w:spacing w:after="120" w:line="320" w:lineRule="exact"/>
      <w:ind w:left="964" w:hanging="397"/>
      <w:jc w:val="left"/>
    </w:pPr>
    <w:rPr>
      <w:rFonts w:ascii="宋体" w:hAnsi="宋体" w:eastAsia="宋体"/>
      <w:kern w:val="0"/>
      <w:sz w:val="34"/>
      <w:lang w:val="en-GB"/>
    </w:rPr>
  </w:style>
  <w:style w:type="paragraph" w:customStyle="1" w:styleId="453">
    <w:name w:val="表文字5"/>
    <w:basedOn w:val="1"/>
    <w:semiHidden/>
    <w:uiPriority w:val="0"/>
    <w:pPr>
      <w:adjustRightInd w:val="0"/>
      <w:spacing w:line="240" w:lineRule="auto"/>
      <w:ind w:firstLine="0"/>
      <w:jc w:val="left"/>
      <w:textAlignment w:val="baseline"/>
    </w:pPr>
    <w:rPr>
      <w:rFonts w:ascii="宋体" w:eastAsia="宋体"/>
      <w:kern w:val="0"/>
      <w:sz w:val="34"/>
    </w:rPr>
  </w:style>
  <w:style w:type="paragraph" w:customStyle="1" w:styleId="454">
    <w:name w:val="style8"/>
    <w:basedOn w:val="1"/>
    <w:semiHidden/>
    <w:uiPriority w:val="0"/>
    <w:pPr>
      <w:widowControl/>
      <w:spacing w:before="100" w:beforeAutospacing="1" w:after="100" w:afterAutospacing="1" w:line="240" w:lineRule="auto"/>
      <w:ind w:firstLine="0"/>
      <w:jc w:val="left"/>
    </w:pPr>
    <w:rPr>
      <w:rFonts w:ascii="Arial Unicode MS" w:hAnsi="Arial Unicode MS" w:eastAsia="Arial Unicode MS"/>
      <w:color w:val="008080"/>
      <w:kern w:val="0"/>
      <w:sz w:val="24"/>
    </w:rPr>
  </w:style>
  <w:style w:type="paragraph" w:customStyle="1" w:styleId="455">
    <w:name w:val="xl87"/>
    <w:basedOn w:val="1"/>
    <w:semiHidden/>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center"/>
    </w:pPr>
    <w:rPr>
      <w:rFonts w:ascii="Arial Unicode MS" w:hAnsi="Arial Unicode MS" w:eastAsia="Arial Unicode MS" w:cs="Arial Unicode MS"/>
      <w:color w:val="FFCC99"/>
      <w:kern w:val="0"/>
      <w:sz w:val="20"/>
    </w:rPr>
  </w:style>
  <w:style w:type="paragraph" w:customStyle="1" w:styleId="456">
    <w:name w:val="In Table (II)"/>
    <w:basedOn w:val="457"/>
    <w:semiHidden/>
    <w:uiPriority w:val="0"/>
    <w:pPr>
      <w:tabs>
        <w:tab w:val="left" w:pos="2200"/>
        <w:tab w:val="left" w:pos="3960"/>
        <w:tab w:val="left" w:pos="5280"/>
      </w:tabs>
      <w:spacing w:before="0" w:beforeLines="25" w:after="0" w:afterLines="25"/>
      <w:ind w:left="52"/>
      <w:jc w:val="left"/>
    </w:pPr>
    <w:rPr>
      <w:bCs/>
    </w:rPr>
  </w:style>
  <w:style w:type="paragraph" w:customStyle="1" w:styleId="457">
    <w:name w:val="In Table"/>
    <w:basedOn w:val="1"/>
    <w:semiHidden/>
    <w:uiPriority w:val="0"/>
    <w:pPr>
      <w:tabs>
        <w:tab w:val="left" w:pos="3960"/>
        <w:tab w:val="left" w:pos="5280"/>
      </w:tabs>
      <w:spacing w:before="96" w:after="96"/>
      <w:ind w:firstLine="0"/>
      <w:jc w:val="center"/>
    </w:pPr>
    <w:rPr>
      <w:rFonts w:ascii="Tahoma" w:hAnsi="Tahoma" w:eastAsia="华文中宋"/>
      <w:kern w:val="0"/>
      <w:sz w:val="34"/>
    </w:rPr>
  </w:style>
  <w:style w:type="paragraph" w:customStyle="1" w:styleId="458">
    <w:name w:val="正文sj"/>
    <w:basedOn w:val="1"/>
    <w:semiHidden/>
    <w:uiPriority w:val="0"/>
    <w:pPr>
      <w:ind w:firstLine="0"/>
    </w:pPr>
    <w:rPr>
      <w:rFonts w:ascii="宋体" w:eastAsia="宋体"/>
      <w:kern w:val="0"/>
      <w:sz w:val="24"/>
    </w:rPr>
  </w:style>
  <w:style w:type="paragraph" w:customStyle="1" w:styleId="459">
    <w:name w:val="表头"/>
    <w:basedOn w:val="1"/>
    <w:semiHidden/>
    <w:uiPriority w:val="0"/>
    <w:pPr>
      <w:adjustRightInd w:val="0"/>
      <w:spacing w:before="156" w:beforeLines="50" w:line="240" w:lineRule="auto"/>
      <w:ind w:firstLine="0"/>
      <w:jc w:val="center"/>
    </w:pPr>
    <w:rPr>
      <w:rFonts w:eastAsia="黑体"/>
      <w:b/>
      <w:sz w:val="24"/>
    </w:rPr>
  </w:style>
  <w:style w:type="paragraph" w:customStyle="1" w:styleId="460">
    <w:name w:val="样式 左侧:  1.5 厘米 首行缩进:  0 厘米"/>
    <w:basedOn w:val="1"/>
    <w:semiHidden/>
    <w:uiPriority w:val="0"/>
    <w:pPr>
      <w:spacing w:after="120" w:line="440" w:lineRule="exact"/>
      <w:ind w:left="851" w:firstLine="0"/>
    </w:pPr>
    <w:rPr>
      <w:rFonts w:ascii="Arial" w:hAnsi="Arial" w:eastAsia="宋体"/>
      <w:kern w:val="0"/>
      <w:sz w:val="24"/>
    </w:rPr>
  </w:style>
  <w:style w:type="paragraph" w:customStyle="1" w:styleId="461">
    <w:name w:val="table title"/>
    <w:basedOn w:val="1"/>
    <w:qFormat/>
    <w:uiPriority w:val="0"/>
    <w:pPr>
      <w:spacing w:line="360" w:lineRule="auto"/>
      <w:ind w:firstLine="0"/>
      <w:jc w:val="center"/>
    </w:pPr>
    <w:rPr>
      <w:rFonts w:ascii="Arial" w:hAnsi="Arial" w:eastAsia="黑体" w:cs="宋体"/>
      <w:b/>
      <w:sz w:val="21"/>
      <w:szCs w:val="28"/>
    </w:rPr>
  </w:style>
  <w:style w:type="paragraph" w:customStyle="1" w:styleId="462">
    <w:name w:val="标题7"/>
    <w:basedOn w:val="1"/>
    <w:semiHidden/>
    <w:uiPriority w:val="0"/>
    <w:pPr>
      <w:spacing w:line="360" w:lineRule="auto"/>
      <w:ind w:firstLine="0"/>
    </w:pPr>
    <w:rPr>
      <w:rFonts w:ascii="宋体" w:eastAsia="宋体"/>
      <w:kern w:val="0"/>
      <w:sz w:val="24"/>
    </w:rPr>
  </w:style>
  <w:style w:type="paragraph" w:customStyle="1" w:styleId="463">
    <w:name w:val="xl63"/>
    <w:basedOn w:val="1"/>
    <w:semiHidden/>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宋体" w:hAnsi="宋体" w:eastAsia="宋体"/>
      <w:color w:val="000000"/>
      <w:kern w:val="0"/>
      <w:sz w:val="20"/>
    </w:rPr>
  </w:style>
  <w:style w:type="paragraph" w:customStyle="1" w:styleId="464">
    <w:name w:val="副标题3"/>
    <w:basedOn w:val="1"/>
    <w:semiHidden/>
    <w:uiPriority w:val="0"/>
    <w:pPr>
      <w:keepLines/>
      <w:tabs>
        <w:tab w:val="left" w:pos="672"/>
        <w:tab w:val="left" w:pos="720"/>
      </w:tabs>
      <w:adjustRightInd w:val="0"/>
      <w:snapToGrid w:val="0"/>
      <w:spacing w:line="400" w:lineRule="atLeast"/>
      <w:ind w:left="672" w:hanging="348"/>
      <w:outlineLvl w:val="3"/>
    </w:pPr>
    <w:rPr>
      <w:rFonts w:ascii="宋体" w:eastAsia="宋体"/>
      <w:snapToGrid w:val="0"/>
      <w:kern w:val="0"/>
      <w:sz w:val="24"/>
    </w:rPr>
  </w:style>
  <w:style w:type="paragraph" w:customStyle="1" w:styleId="465">
    <w:name w:val="buttoncolor"/>
    <w:basedOn w:val="1"/>
    <w:semiHidden/>
    <w:uiPriority w:val="0"/>
    <w:pPr>
      <w:widowControl/>
      <w:pBdr>
        <w:top w:val="single" w:color="82D6F2" w:sz="24" w:space="0"/>
      </w:pBdr>
      <w:shd w:val="clear" w:color="auto" w:fill="50BDE0"/>
      <w:spacing w:before="100" w:beforeAutospacing="1" w:after="100" w:afterAutospacing="1" w:line="240" w:lineRule="auto"/>
      <w:ind w:firstLine="225"/>
      <w:jc w:val="left"/>
    </w:pPr>
    <w:rPr>
      <w:rFonts w:ascii="Arial Unicode MS" w:hAnsi="Arial Unicode MS" w:eastAsia="宋体"/>
      <w:color w:val="FFFFFF"/>
      <w:kern w:val="0"/>
      <w:sz w:val="18"/>
      <w:szCs w:val="18"/>
    </w:rPr>
  </w:style>
  <w:style w:type="paragraph" w:customStyle="1" w:styleId="466">
    <w:name w:val="正文，缩进2字符"/>
    <w:basedOn w:val="1"/>
    <w:semiHidden/>
    <w:uiPriority w:val="0"/>
    <w:pPr>
      <w:adjustRightInd w:val="0"/>
      <w:spacing w:line="360" w:lineRule="auto"/>
      <w:ind w:left="200" w:hanging="200"/>
      <w:jc w:val="left"/>
    </w:pPr>
    <w:rPr>
      <w:rFonts w:ascii="宋体" w:eastAsia="宋体"/>
      <w:kern w:val="0"/>
      <w:sz w:val="24"/>
    </w:rPr>
  </w:style>
  <w:style w:type="paragraph" w:customStyle="1" w:styleId="467">
    <w:name w:val="表第一列"/>
    <w:basedOn w:val="26"/>
    <w:semiHidden/>
    <w:uiPriority w:val="0"/>
    <w:pPr>
      <w:keepNext/>
      <w:keepLines/>
      <w:tabs>
        <w:tab w:val="left" w:pos="1727"/>
        <w:tab w:val="left" w:pos="1884"/>
        <w:tab w:val="left" w:pos="2940"/>
      </w:tabs>
      <w:adjustRightInd w:val="0"/>
      <w:snapToGrid w:val="0"/>
      <w:spacing w:after="0"/>
      <w:ind w:firstLine="0"/>
      <w:jc w:val="center"/>
    </w:pPr>
    <w:rPr>
      <w:rFonts w:hAnsi="宋体"/>
      <w:color w:val="000000"/>
      <w:spacing w:val="-4"/>
    </w:rPr>
  </w:style>
  <w:style w:type="paragraph" w:customStyle="1" w:styleId="468">
    <w:name w:val="正文-使用"/>
    <w:basedOn w:val="1"/>
    <w:semiHidden/>
    <w:uiPriority w:val="0"/>
    <w:pPr>
      <w:spacing w:line="360" w:lineRule="auto"/>
      <w:ind w:firstLine="482"/>
    </w:pPr>
    <w:rPr>
      <w:rFonts w:ascii="宋体" w:eastAsia="宋体"/>
      <w:kern w:val="0"/>
      <w:sz w:val="24"/>
    </w:rPr>
  </w:style>
  <w:style w:type="paragraph" w:customStyle="1" w:styleId="469">
    <w:name w:val="xl108"/>
    <w:basedOn w:val="1"/>
    <w:semiHidden/>
    <w:uiPriority w:val="0"/>
    <w:pPr>
      <w:widowControl/>
      <w:pBdr>
        <w:left w:val="single" w:color="auto" w:sz="4" w:space="0"/>
        <w:bottom w:val="single" w:color="auto" w:sz="4" w:space="0"/>
      </w:pBdr>
      <w:shd w:val="clear" w:color="auto" w:fill="FFFFFF"/>
      <w:spacing w:before="100" w:beforeAutospacing="1" w:after="100" w:afterAutospacing="1" w:line="440" w:lineRule="exact"/>
      <w:ind w:firstLine="0"/>
      <w:jc w:val="left"/>
    </w:pPr>
    <w:rPr>
      <w:rFonts w:ascii="Arial Unicode MS" w:hAnsi="Arial Unicode MS" w:eastAsia="Arial Unicode MS" w:cs="Arial Unicode MS"/>
      <w:color w:val="000000"/>
      <w:kern w:val="0"/>
      <w:sz w:val="20"/>
    </w:rPr>
  </w:style>
  <w:style w:type="paragraph" w:customStyle="1" w:styleId="470">
    <w:name w:val="xl105"/>
    <w:basedOn w:val="1"/>
    <w:semiHidden/>
    <w:uiPriority w:val="0"/>
    <w:pPr>
      <w:widowControl/>
      <w:pBdr>
        <w:top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Arial Unicode MS" w:hAnsi="Arial Unicode MS" w:eastAsia="Arial Unicode MS" w:cs="Arial Unicode MS"/>
      <w:color w:val="000000"/>
      <w:kern w:val="0"/>
      <w:sz w:val="20"/>
    </w:rPr>
  </w:style>
  <w:style w:type="paragraph" w:customStyle="1" w:styleId="471">
    <w:name w:val="0正文"/>
    <w:basedOn w:val="1"/>
    <w:qFormat/>
    <w:uiPriority w:val="0"/>
    <w:pPr>
      <w:spacing w:line="360" w:lineRule="auto"/>
      <w:ind w:firstLine="200"/>
    </w:pPr>
    <w:rPr>
      <w:sz w:val="24"/>
    </w:rPr>
  </w:style>
  <w:style w:type="paragraph" w:customStyle="1" w:styleId="472">
    <w:name w:val="图"/>
    <w:semiHidden/>
    <w:uiPriority w:val="0"/>
    <w:pPr>
      <w:adjustRightInd w:val="0"/>
      <w:snapToGrid w:val="0"/>
      <w:jc w:val="both"/>
    </w:pPr>
    <w:rPr>
      <w:rFonts w:ascii="Times New Roman" w:hAnsi="Times New Roman" w:eastAsia="宋体" w:cs="Times New Roman"/>
      <w:lang w:val="en-US" w:eastAsia="zh-CN" w:bidi="ar-SA"/>
    </w:rPr>
  </w:style>
  <w:style w:type="paragraph" w:customStyle="1" w:styleId="473">
    <w:name w:val="xl110"/>
    <w:basedOn w:val="1"/>
    <w:semiHidden/>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line="440" w:lineRule="exact"/>
      <w:ind w:firstLine="0"/>
      <w:jc w:val="right"/>
    </w:pPr>
    <w:rPr>
      <w:rFonts w:ascii="Arial Unicode MS" w:hAnsi="Arial Unicode MS" w:eastAsia="Arial Unicode MS" w:cs="Arial Unicode MS"/>
      <w:color w:val="000000"/>
      <w:kern w:val="0"/>
      <w:sz w:val="20"/>
    </w:rPr>
  </w:style>
  <w:style w:type="paragraph" w:customStyle="1" w:styleId="474">
    <w:name w:val=" Char1"/>
    <w:basedOn w:val="1"/>
    <w:semiHidden/>
    <w:uiPriority w:val="0"/>
    <w:pPr>
      <w:widowControl/>
      <w:spacing w:after="160" w:line="240" w:lineRule="exact"/>
      <w:ind w:firstLine="0"/>
      <w:jc w:val="left"/>
    </w:pPr>
    <w:rPr>
      <w:rFonts w:ascii="Verdana" w:hAnsi="Verdana" w:eastAsia="宋体"/>
      <w:kern w:val="0"/>
      <w:sz w:val="20"/>
      <w:lang w:eastAsia="en-US"/>
    </w:rPr>
  </w:style>
  <w:style w:type="paragraph" w:customStyle="1" w:styleId="475">
    <w:name w:val="tdweb"/>
    <w:basedOn w:val="1"/>
    <w:semiHidden/>
    <w:uiPriority w:val="0"/>
    <w:pPr>
      <w:widowControl/>
      <w:spacing w:before="100" w:beforeAutospacing="1" w:after="100" w:afterAutospacing="1" w:line="240" w:lineRule="auto"/>
      <w:ind w:firstLine="0"/>
      <w:jc w:val="left"/>
    </w:pPr>
    <w:rPr>
      <w:rFonts w:ascii="Arial Unicode MS" w:hAnsi="Arial Unicode MS" w:eastAsia="宋体"/>
      <w:color w:val="000000"/>
      <w:kern w:val="0"/>
      <w:sz w:val="24"/>
    </w:rPr>
  </w:style>
  <w:style w:type="paragraph" w:customStyle="1" w:styleId="476">
    <w:name w:val="xl25"/>
    <w:basedOn w:val="1"/>
    <w:semiHidden/>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left"/>
    </w:pPr>
    <w:rPr>
      <w:rFonts w:ascii="宋体" w:hAnsi="宋体" w:eastAsia="宋体"/>
      <w:color w:val="000000"/>
      <w:kern w:val="0"/>
      <w:sz w:val="20"/>
    </w:rPr>
  </w:style>
  <w:style w:type="paragraph" w:customStyle="1" w:styleId="477">
    <w:name w:val="正文1"/>
    <w:basedOn w:val="1"/>
    <w:qFormat/>
    <w:uiPriority w:val="0"/>
    <w:pPr>
      <w:spacing w:line="240" w:lineRule="auto"/>
      <w:ind w:firstLine="560"/>
    </w:pPr>
    <w:rPr>
      <w:rFonts w:hAnsi="宋体" w:eastAsia="宋体" w:cs="Arial"/>
      <w:szCs w:val="28"/>
    </w:rPr>
  </w:style>
  <w:style w:type="paragraph" w:customStyle="1" w:styleId="478">
    <w:name w:val="+正文"/>
    <w:basedOn w:val="1"/>
    <w:uiPriority w:val="0"/>
    <w:pPr>
      <w:spacing w:line="360" w:lineRule="auto"/>
      <w:ind w:firstLine="0"/>
      <w:jc w:val="left"/>
    </w:pPr>
    <w:rPr>
      <w:rFonts w:ascii="宋体" w:hAnsi="宋体" w:eastAsia="宋体"/>
      <w:color w:val="000000"/>
      <w:spacing w:val="-2"/>
      <w:sz w:val="24"/>
      <w:szCs w:val="24"/>
    </w:rPr>
  </w:style>
  <w:style w:type="paragraph" w:customStyle="1" w:styleId="479">
    <w:name w:val="正文表"/>
    <w:basedOn w:val="1"/>
    <w:semiHidden/>
    <w:uiPriority w:val="0"/>
    <w:pPr>
      <w:tabs>
        <w:tab w:val="left" w:pos="2451"/>
        <w:tab w:val="left" w:pos="4614"/>
        <w:tab w:val="left" w:pos="6777"/>
        <w:tab w:val="left" w:pos="8940"/>
      </w:tabs>
      <w:autoSpaceDE w:val="0"/>
      <w:autoSpaceDN w:val="0"/>
      <w:adjustRightInd w:val="0"/>
      <w:spacing w:line="240" w:lineRule="auto"/>
      <w:ind w:firstLine="0"/>
      <w:jc w:val="center"/>
    </w:pPr>
    <w:rPr>
      <w:rFonts w:ascii="宋体" w:eastAsia="宋体"/>
      <w:color w:val="000000"/>
      <w:kern w:val="0"/>
    </w:rPr>
  </w:style>
  <w:style w:type="paragraph" w:customStyle="1" w:styleId="480">
    <w:name w:val="problu"/>
    <w:basedOn w:val="1"/>
    <w:semiHidden/>
    <w:uiPriority w:val="0"/>
    <w:pPr>
      <w:widowControl/>
      <w:spacing w:before="100" w:beforeAutospacing="1" w:after="100" w:afterAutospacing="1" w:line="240" w:lineRule="auto"/>
      <w:ind w:firstLine="0"/>
      <w:jc w:val="left"/>
    </w:pPr>
    <w:rPr>
      <w:rFonts w:ascii="Arial Unicode MS" w:hAnsi="Arial Unicode MS" w:eastAsia="宋体"/>
      <w:b/>
      <w:bCs/>
      <w:color w:val="0000FF"/>
      <w:kern w:val="0"/>
      <w:sz w:val="26"/>
      <w:szCs w:val="26"/>
    </w:rPr>
  </w:style>
  <w:style w:type="paragraph" w:customStyle="1" w:styleId="481">
    <w:name w:val="北京图头"/>
    <w:next w:val="482"/>
    <w:qFormat/>
    <w:uiPriority w:val="0"/>
    <w:pPr>
      <w:spacing w:line="360" w:lineRule="auto"/>
      <w:jc w:val="center"/>
    </w:pPr>
    <w:rPr>
      <w:rFonts w:ascii="Times New Roman" w:hAnsi="Times New Roman" w:eastAsia="黑体" w:cs="Times New Roman"/>
      <w:color w:val="000000"/>
      <w:kern w:val="2"/>
      <w:sz w:val="24"/>
      <w:szCs w:val="28"/>
      <w:lang w:val="en-US" w:eastAsia="zh-CN" w:bidi="ar-SA"/>
    </w:rPr>
  </w:style>
  <w:style w:type="paragraph" w:customStyle="1" w:styleId="482">
    <w:name w:val="北京正文"/>
    <w:qFormat/>
    <w:uiPriority w:val="0"/>
    <w:pPr>
      <w:adjustRightInd w:val="0"/>
      <w:snapToGrid w:val="0"/>
      <w:spacing w:line="360" w:lineRule="auto"/>
      <w:ind w:firstLine="200"/>
    </w:pPr>
    <w:rPr>
      <w:rFonts w:ascii="Times New Roman" w:hAnsi="Times New Roman" w:eastAsia="宋体" w:cs="Times New Roman"/>
      <w:bCs/>
      <w:color w:val="000000"/>
      <w:kern w:val="2"/>
      <w:sz w:val="24"/>
      <w:szCs w:val="24"/>
      <w:lang w:val="en-US" w:eastAsia="zh-CN" w:bidi="ar-SA"/>
    </w:rPr>
  </w:style>
  <w:style w:type="paragraph" w:customStyle="1" w:styleId="483">
    <w:name w:val="TOC 标题1"/>
    <w:basedOn w:val="1"/>
    <w:next w:val="1"/>
    <w:qFormat/>
    <w:uiPriority w:val="0"/>
    <w:pPr>
      <w:widowControl/>
      <w:pBdr>
        <w:between w:val="single" w:color="auto" w:sz="4" w:space="1"/>
      </w:pBdr>
      <w:spacing w:before="240" w:line="400" w:lineRule="exact"/>
      <w:ind w:firstLine="0"/>
      <w:jc w:val="center"/>
    </w:pPr>
    <w:rPr>
      <w:rFonts w:ascii="Arial" w:hAnsi="Arial" w:eastAsia="宋体"/>
      <w:bCs/>
      <w:kern w:val="0"/>
      <w:sz w:val="21"/>
      <w:szCs w:val="32"/>
    </w:rPr>
  </w:style>
  <w:style w:type="paragraph" w:customStyle="1" w:styleId="484">
    <w:name w:val="xl52"/>
    <w:basedOn w:val="1"/>
    <w:semiHidden/>
    <w:uiPriority w:val="0"/>
    <w:pPr>
      <w:widowControl/>
      <w:pBdr>
        <w:left w:val="single" w:color="000000" w:sz="4" w:space="0"/>
        <w:bottom w:val="single" w:color="000000" w:sz="4" w:space="0"/>
        <w:right w:val="single" w:color="000000" w:sz="4" w:space="0"/>
      </w:pBdr>
      <w:shd w:val="clear" w:color="auto" w:fill="FFFFFF"/>
      <w:spacing w:before="100" w:beforeAutospacing="1" w:after="100" w:afterAutospacing="1" w:line="440" w:lineRule="exact"/>
      <w:ind w:firstLine="0"/>
      <w:jc w:val="center"/>
    </w:pPr>
    <w:rPr>
      <w:rFonts w:ascii="宋体" w:hAnsi="宋体" w:eastAsia="宋体"/>
      <w:color w:val="000000"/>
      <w:kern w:val="0"/>
      <w:sz w:val="20"/>
    </w:rPr>
  </w:style>
  <w:style w:type="paragraph" w:customStyle="1" w:styleId="485">
    <w:name w:val="xl33"/>
    <w:basedOn w:val="1"/>
    <w:semiHidden/>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eastAsia="宋体" w:cs="宋体"/>
      <w:kern w:val="0"/>
      <w:sz w:val="24"/>
      <w:szCs w:val="24"/>
    </w:rPr>
  </w:style>
  <w:style w:type="paragraph" w:customStyle="1" w:styleId="486">
    <w:name w:val="CM18"/>
    <w:basedOn w:val="1"/>
    <w:next w:val="1"/>
    <w:semiHidden/>
    <w:uiPriority w:val="0"/>
    <w:pPr>
      <w:autoSpaceDE w:val="0"/>
      <w:autoSpaceDN w:val="0"/>
      <w:adjustRightInd w:val="0"/>
      <w:spacing w:line="551" w:lineRule="atLeast"/>
      <w:ind w:firstLine="0"/>
      <w:jc w:val="left"/>
    </w:pPr>
    <w:rPr>
      <w:rFonts w:ascii="楷体_GB2312" w:eastAsia="楷体_GB2312"/>
      <w:kern w:val="0"/>
      <w:sz w:val="24"/>
    </w:rPr>
  </w:style>
  <w:style w:type="paragraph" w:customStyle="1" w:styleId="487">
    <w:name w:val="xl35"/>
    <w:basedOn w:val="1"/>
    <w:semiHidden/>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line="440" w:lineRule="exact"/>
      <w:ind w:firstLine="0"/>
      <w:jc w:val="left"/>
    </w:pPr>
    <w:rPr>
      <w:rFonts w:ascii="宋体" w:hAnsi="宋体" w:eastAsia="宋体"/>
      <w:color w:val="000000"/>
      <w:kern w:val="0"/>
      <w:sz w:val="20"/>
    </w:rPr>
  </w:style>
  <w:style w:type="paragraph" w:customStyle="1" w:styleId="488">
    <w:name w:val="基准脚注"/>
    <w:basedOn w:val="1"/>
    <w:semiHidden/>
    <w:uiPriority w:val="0"/>
    <w:pPr>
      <w:widowControl/>
      <w:spacing w:line="360" w:lineRule="auto"/>
      <w:ind w:firstLine="200"/>
      <w:jc w:val="left"/>
    </w:pPr>
    <w:rPr>
      <w:rFonts w:ascii="Garamond" w:hAnsi="Garamond" w:eastAsia="宋体"/>
      <w:kern w:val="0"/>
      <w:sz w:val="22"/>
    </w:rPr>
  </w:style>
  <w:style w:type="paragraph" w:customStyle="1" w:styleId="489">
    <w:name w:val="Char Char Char Char Char Char Char1"/>
    <w:basedOn w:val="1"/>
    <w:semiHidden/>
    <w:uiPriority w:val="0"/>
    <w:pPr>
      <w:widowControl/>
      <w:spacing w:before="60" w:line="460" w:lineRule="exact"/>
      <w:ind w:firstLine="0"/>
      <w:outlineLvl w:val="0"/>
    </w:pPr>
    <w:rPr>
      <w:rFonts w:ascii="宋体" w:eastAsia="宋体"/>
      <w:b/>
      <w:smallCaps/>
      <w:color w:val="000000"/>
      <w:kern w:val="0"/>
      <w:sz w:val="24"/>
    </w:rPr>
  </w:style>
  <w:style w:type="paragraph" w:customStyle="1" w:styleId="490">
    <w:name w:val="样式 样式 首行缩进:  0.75 厘米 + 首行缩进:  2 字符"/>
    <w:basedOn w:val="491"/>
    <w:semiHidden/>
    <w:uiPriority w:val="0"/>
    <w:pPr>
      <w:ind w:left="851" w:firstLine="200"/>
    </w:pPr>
    <w:rPr>
      <w:rFonts w:ascii="Arial" w:hAnsi="Arial"/>
    </w:rPr>
  </w:style>
  <w:style w:type="paragraph" w:customStyle="1" w:styleId="491">
    <w:name w:val="样式 首行缩进:  0.75 厘米"/>
    <w:basedOn w:val="1"/>
    <w:semiHidden/>
    <w:uiPriority w:val="0"/>
    <w:pPr>
      <w:spacing w:line="440" w:lineRule="exact"/>
      <w:ind w:firstLine="425"/>
    </w:pPr>
    <w:rPr>
      <w:rFonts w:ascii="宋体" w:eastAsia="宋体"/>
      <w:kern w:val="0"/>
      <w:sz w:val="24"/>
    </w:rPr>
  </w:style>
  <w:style w:type="paragraph" w:customStyle="1" w:styleId="492">
    <w:name w:val="font8"/>
    <w:basedOn w:val="1"/>
    <w:semiHidden/>
    <w:uiPriority w:val="0"/>
    <w:pPr>
      <w:widowControl/>
      <w:spacing w:before="100" w:beforeAutospacing="1" w:after="100" w:afterAutospacing="1" w:line="440" w:lineRule="exact"/>
      <w:ind w:firstLine="0"/>
      <w:jc w:val="left"/>
    </w:pPr>
    <w:rPr>
      <w:rFonts w:hint="eastAsia" w:ascii="宋体" w:hAnsi="宋体" w:eastAsia="宋体" w:cs="Arial Unicode MS"/>
      <w:kern w:val="0"/>
      <w:sz w:val="22"/>
      <w:szCs w:val="22"/>
    </w:rPr>
  </w:style>
  <w:style w:type="paragraph" w:customStyle="1" w:styleId="493">
    <w:name w:val="表格1"/>
    <w:basedOn w:val="1"/>
    <w:semiHidden/>
    <w:uiPriority w:val="0"/>
    <w:pPr>
      <w:adjustRightInd w:val="0"/>
      <w:snapToGrid w:val="0"/>
      <w:spacing w:line="360" w:lineRule="auto"/>
      <w:ind w:firstLine="0"/>
      <w:jc w:val="left"/>
      <w:textAlignment w:val="baseline"/>
    </w:pPr>
    <w:rPr>
      <w:rFonts w:ascii="宋体" w:eastAsia="宋体"/>
      <w:kern w:val="0"/>
      <w:sz w:val="24"/>
    </w:rPr>
  </w:style>
  <w:style w:type="paragraph" w:customStyle="1" w:styleId="494">
    <w:name w:val="Char Char Char Char Char Char"/>
    <w:basedOn w:val="1"/>
    <w:semiHidden/>
    <w:uiPriority w:val="0"/>
    <w:pPr>
      <w:widowControl/>
      <w:spacing w:after="160" w:line="240" w:lineRule="exact"/>
      <w:ind w:firstLine="0"/>
      <w:jc w:val="left"/>
    </w:pPr>
    <w:rPr>
      <w:rFonts w:ascii="Verdana" w:hAnsi="Verdana" w:eastAsia="宋体"/>
      <w:kern w:val="0"/>
      <w:sz w:val="20"/>
      <w:lang w:eastAsia="en-US"/>
    </w:rPr>
  </w:style>
  <w:style w:type="paragraph" w:customStyle="1" w:styleId="495">
    <w:name w:val=" Char Char Char"/>
    <w:basedOn w:val="1"/>
    <w:semiHidden/>
    <w:uiPriority w:val="0"/>
    <w:pPr>
      <w:spacing w:line="240" w:lineRule="auto"/>
      <w:ind w:firstLine="0"/>
    </w:pPr>
    <w:rPr>
      <w:rFonts w:eastAsia="宋体"/>
      <w:sz w:val="21"/>
      <w:szCs w:val="24"/>
    </w:rPr>
  </w:style>
  <w:style w:type="paragraph" w:customStyle="1" w:styleId="496">
    <w:name w:val="xl99"/>
    <w:basedOn w:val="1"/>
    <w:semiHidden/>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line="440" w:lineRule="exact"/>
      <w:ind w:firstLine="0"/>
      <w:jc w:val="left"/>
    </w:pPr>
    <w:rPr>
      <w:rFonts w:ascii="Arial Unicode MS" w:hAnsi="Arial Unicode MS" w:eastAsia="Arial Unicode MS" w:cs="Arial Unicode MS"/>
      <w:color w:val="000000"/>
      <w:kern w:val="0"/>
      <w:sz w:val="20"/>
    </w:rPr>
  </w:style>
  <w:style w:type="paragraph" w:customStyle="1" w:styleId="497">
    <w:name w:val="金皇表（图）头"/>
    <w:qFormat/>
    <w:uiPriority w:val="0"/>
    <w:pPr>
      <w:widowControl w:val="0"/>
      <w:adjustRightInd w:val="0"/>
      <w:jc w:val="center"/>
      <w:outlineLvl w:val="4"/>
    </w:pPr>
    <w:rPr>
      <w:rFonts w:ascii="Times New Roman" w:hAnsi="Times New Roman" w:eastAsia="黑体" w:cs="Times New Roman"/>
      <w:b/>
      <w:kern w:val="2"/>
      <w:sz w:val="24"/>
      <w:szCs w:val="22"/>
      <w:lang w:val="en-US" w:eastAsia="zh-CN" w:bidi="ar-SA"/>
    </w:rPr>
  </w:style>
  <w:style w:type="paragraph" w:customStyle="1" w:styleId="498">
    <w:name w:val="Char1"/>
    <w:basedOn w:val="1"/>
    <w:semiHidden/>
    <w:uiPriority w:val="0"/>
    <w:pPr>
      <w:widowControl/>
      <w:spacing w:after="160" w:line="240" w:lineRule="exact"/>
      <w:ind w:firstLine="0"/>
      <w:jc w:val="left"/>
    </w:pPr>
    <w:rPr>
      <w:rFonts w:ascii="Verdana" w:hAnsi="Verdana" w:eastAsia="宋体"/>
      <w:kern w:val="0"/>
      <w:sz w:val="20"/>
      <w:lang w:eastAsia="en-US"/>
    </w:rPr>
  </w:style>
  <w:style w:type="paragraph" w:customStyle="1" w:styleId="499">
    <w:name w:val="正文四号"/>
    <w:basedOn w:val="1"/>
    <w:semiHidden/>
    <w:uiPriority w:val="0"/>
    <w:pPr>
      <w:adjustRightInd w:val="0"/>
      <w:snapToGrid w:val="0"/>
      <w:spacing w:before="120" w:after="120" w:line="336" w:lineRule="auto"/>
      <w:ind w:firstLine="0"/>
    </w:pPr>
    <w:rPr>
      <w:rFonts w:ascii="宋体" w:eastAsia="宋体"/>
      <w:kern w:val="0"/>
    </w:rPr>
  </w:style>
  <w:style w:type="paragraph" w:customStyle="1" w:styleId="500">
    <w:name w:val="xl93"/>
    <w:basedOn w:val="1"/>
    <w:semiHidden/>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line="440" w:lineRule="exact"/>
      <w:ind w:firstLine="0"/>
      <w:jc w:val="left"/>
    </w:pPr>
    <w:rPr>
      <w:rFonts w:ascii="Arial Unicode MS" w:hAnsi="Arial Unicode MS" w:eastAsia="Arial Unicode MS" w:cs="Arial Unicode MS"/>
      <w:color w:val="000000"/>
      <w:kern w:val="0"/>
      <w:sz w:val="20"/>
    </w:rPr>
  </w:style>
  <w:style w:type="paragraph" w:customStyle="1" w:styleId="501">
    <w:name w:val="xl79"/>
    <w:basedOn w:val="1"/>
    <w:semiHidden/>
    <w:uiPriority w:val="0"/>
    <w:pPr>
      <w:widowControl/>
      <w:shd w:val="clear" w:color="auto" w:fill="FFFFFF"/>
      <w:spacing w:before="100" w:beforeAutospacing="1" w:after="100" w:afterAutospacing="1" w:line="440" w:lineRule="exact"/>
      <w:ind w:firstLine="0"/>
      <w:jc w:val="center"/>
    </w:pPr>
    <w:rPr>
      <w:rFonts w:ascii="Arial Unicode MS" w:hAnsi="Arial Unicode MS" w:eastAsia="Arial Unicode MS" w:cs="Arial Unicode MS"/>
      <w:color w:val="FFFFFF"/>
      <w:kern w:val="0"/>
      <w:sz w:val="20"/>
    </w:rPr>
  </w:style>
  <w:style w:type="paragraph" w:customStyle="1" w:styleId="502">
    <w:name w:val="编号标题"/>
    <w:basedOn w:val="7"/>
    <w:semiHidden/>
    <w:uiPriority w:val="0"/>
    <w:pPr>
      <w:widowControl/>
      <w:numPr>
        <w:ilvl w:val="2"/>
        <w:numId w:val="0"/>
      </w:numPr>
      <w:tabs>
        <w:tab w:val="left" w:pos="680"/>
      </w:tabs>
      <w:adjustRightInd w:val="0"/>
      <w:snapToGrid w:val="0"/>
      <w:spacing w:before="160" w:after="120" w:line="460" w:lineRule="exact"/>
      <w:ind w:left="680" w:firstLine="420"/>
      <w:jc w:val="left"/>
      <w:textAlignment w:val="baseline"/>
      <w:outlineLvl w:val="9"/>
    </w:pPr>
    <w:rPr>
      <w:rFonts w:hAnsi="宋体" w:eastAsia="宋体"/>
      <w:b w:val="0"/>
      <w:kern w:val="0"/>
      <w:sz w:val="21"/>
      <w:szCs w:val="24"/>
    </w:rPr>
  </w:style>
  <w:style w:type="paragraph" w:customStyle="1" w:styleId="503">
    <w:name w:val="样式 宋体 左侧:  0.74 厘米 行距: 1.5 倍行距"/>
    <w:basedOn w:val="1"/>
    <w:semiHidden/>
    <w:uiPriority w:val="0"/>
    <w:pPr>
      <w:spacing w:after="120" w:line="440" w:lineRule="exact"/>
      <w:ind w:left="851" w:firstLine="0"/>
    </w:pPr>
    <w:rPr>
      <w:rFonts w:ascii="宋体" w:eastAsia="宋体"/>
      <w:kern w:val="0"/>
      <w:sz w:val="24"/>
    </w:rPr>
  </w:style>
  <w:style w:type="paragraph" w:customStyle="1" w:styleId="504">
    <w:name w:val="茅工页眉"/>
    <w:basedOn w:val="61"/>
    <w:semiHidden/>
    <w:uiPriority w:val="0"/>
    <w:pPr>
      <w:tabs>
        <w:tab w:val="center" w:pos="4819"/>
        <w:tab w:val="right" w:pos="9071"/>
        <w:tab w:val="clear" w:pos="4153"/>
        <w:tab w:val="clear" w:pos="8306"/>
      </w:tabs>
      <w:adjustRightInd w:val="0"/>
      <w:snapToGrid/>
      <w:spacing w:line="240" w:lineRule="atLeast"/>
      <w:ind w:firstLine="0"/>
      <w:jc w:val="both"/>
    </w:pPr>
    <w:rPr>
      <w:rFonts w:eastAsia="楷体_GB2312"/>
      <w:b/>
      <w:kern w:val="0"/>
      <w:sz w:val="21"/>
      <w:szCs w:val="20"/>
    </w:rPr>
  </w:style>
  <w:style w:type="paragraph" w:customStyle="1" w:styleId="505">
    <w:name w:val="引用文章"/>
    <w:basedOn w:val="1"/>
    <w:semiHidden/>
    <w:uiPriority w:val="0"/>
    <w:pPr>
      <w:spacing w:line="240" w:lineRule="auto"/>
      <w:ind w:firstLine="420"/>
    </w:pPr>
    <w:rPr>
      <w:rFonts w:ascii="宋体" w:eastAsia="楷体_GB2312"/>
      <w:kern w:val="0"/>
      <w:sz w:val="24"/>
    </w:rPr>
  </w:style>
  <w:style w:type="paragraph" w:customStyle="1" w:styleId="506">
    <w:name w:val="1正文段落"/>
    <w:basedOn w:val="1"/>
    <w:semiHidden/>
    <w:uiPriority w:val="0"/>
    <w:pPr>
      <w:spacing w:line="360" w:lineRule="auto"/>
      <w:ind w:firstLine="480"/>
      <w:jc w:val="left"/>
    </w:pPr>
    <w:rPr>
      <w:rFonts w:ascii="宋体" w:eastAsia="宋体"/>
      <w:snapToGrid w:val="0"/>
      <w:kern w:val="0"/>
      <w:sz w:val="24"/>
    </w:rPr>
  </w:style>
  <w:style w:type="paragraph" w:customStyle="1" w:styleId="507">
    <w:name w:val="Address 2"/>
    <w:basedOn w:val="1"/>
    <w:semiHidden/>
    <w:uiPriority w:val="0"/>
    <w:pPr>
      <w:framePr w:w="2405" w:wrap="notBeside" w:vAnchor="page" w:hAnchor="page" w:x="5761" w:y="1009" w:anchorLock="1"/>
      <w:widowControl/>
      <w:spacing w:line="200" w:lineRule="atLeast"/>
      <w:ind w:firstLine="0"/>
      <w:jc w:val="left"/>
    </w:pPr>
    <w:rPr>
      <w:rFonts w:ascii="宋体" w:eastAsia="宋体"/>
      <w:kern w:val="0"/>
      <w:sz w:val="16"/>
    </w:rPr>
  </w:style>
  <w:style w:type="paragraph" w:customStyle="1" w:styleId="508">
    <w:name w:val="-----标题2"/>
    <w:basedOn w:val="509"/>
    <w:semiHidden/>
    <w:uiPriority w:val="0"/>
    <w:pPr>
      <w:spacing w:before="468" w:beforeLines="150" w:line="240" w:lineRule="auto"/>
      <w:ind w:left="0"/>
    </w:pPr>
    <w:rPr>
      <w:rFonts w:eastAsia="黑体"/>
      <w:sz w:val="28"/>
    </w:rPr>
  </w:style>
  <w:style w:type="paragraph" w:customStyle="1" w:styleId="509">
    <w:name w:val="----标题2"/>
    <w:basedOn w:val="1"/>
    <w:next w:val="1"/>
    <w:semiHidden/>
    <w:uiPriority w:val="0"/>
    <w:pPr>
      <w:spacing w:before="156" w:beforeLines="50" w:line="440" w:lineRule="exact"/>
      <w:ind w:left="720" w:firstLine="0"/>
    </w:pPr>
    <w:rPr>
      <w:rFonts w:ascii="宋体" w:hAnsi="宋体" w:eastAsia="宋体"/>
      <w:color w:val="000000"/>
      <w:kern w:val="28"/>
      <w:sz w:val="24"/>
    </w:rPr>
  </w:style>
  <w:style w:type="paragraph" w:customStyle="1" w:styleId="510">
    <w:name w:val="gb1"/>
    <w:basedOn w:val="1"/>
    <w:semiHidden/>
    <w:uiPriority w:val="0"/>
    <w:pPr>
      <w:widowControl/>
      <w:tabs>
        <w:tab w:val="left" w:pos="227"/>
      </w:tabs>
      <w:overflowPunct w:val="0"/>
      <w:autoSpaceDE w:val="0"/>
      <w:autoSpaceDN w:val="0"/>
      <w:adjustRightInd w:val="0"/>
      <w:spacing w:before="120" w:after="120" w:line="240" w:lineRule="auto"/>
      <w:ind w:firstLine="0"/>
      <w:jc w:val="left"/>
    </w:pPr>
    <w:rPr>
      <w:rFonts w:ascii="Arial" w:hAnsi="Arial" w:eastAsia="仿宋体"/>
      <w:kern w:val="0"/>
      <w:sz w:val="24"/>
    </w:rPr>
  </w:style>
  <w:style w:type="paragraph" w:customStyle="1" w:styleId="511">
    <w:name w:val="CM44"/>
    <w:basedOn w:val="1"/>
    <w:next w:val="1"/>
    <w:semiHidden/>
    <w:uiPriority w:val="0"/>
    <w:pPr>
      <w:autoSpaceDE w:val="0"/>
      <w:autoSpaceDN w:val="0"/>
      <w:adjustRightInd w:val="0"/>
      <w:spacing w:after="125" w:line="240" w:lineRule="auto"/>
      <w:ind w:firstLine="0"/>
      <w:jc w:val="left"/>
    </w:pPr>
    <w:rPr>
      <w:rFonts w:ascii="楷体_GB2312" w:eastAsia="楷体_GB2312" w:cs="楷体_GB2312"/>
      <w:kern w:val="0"/>
      <w:sz w:val="24"/>
    </w:rPr>
  </w:style>
  <w:style w:type="paragraph" w:customStyle="1" w:styleId="512">
    <w:name w:val="font5"/>
    <w:basedOn w:val="1"/>
    <w:semiHidden/>
    <w:uiPriority w:val="0"/>
    <w:pPr>
      <w:widowControl/>
      <w:spacing w:before="100" w:beforeAutospacing="1" w:after="100" w:afterAutospacing="1" w:line="240" w:lineRule="auto"/>
      <w:ind w:firstLine="0"/>
      <w:jc w:val="left"/>
    </w:pPr>
    <w:rPr>
      <w:rFonts w:hint="eastAsia" w:ascii="全真楷書" w:hAnsi="Arial Unicode MS" w:eastAsia="全真楷書"/>
      <w:kern w:val="0"/>
      <w:sz w:val="34"/>
    </w:rPr>
  </w:style>
  <w:style w:type="paragraph" w:customStyle="1" w:styleId="513">
    <w:name w:val="xl78"/>
    <w:basedOn w:val="1"/>
    <w:semiHidden/>
    <w:uiPriority w:val="0"/>
    <w:pPr>
      <w:widowControl/>
      <w:shd w:val="clear" w:color="auto" w:fill="FFFFFF"/>
      <w:spacing w:before="100" w:beforeAutospacing="1" w:after="100" w:afterAutospacing="1" w:line="440" w:lineRule="exact"/>
      <w:ind w:firstLine="0"/>
      <w:jc w:val="center"/>
    </w:pPr>
    <w:rPr>
      <w:rFonts w:ascii="Arial Unicode MS" w:hAnsi="Arial Unicode MS" w:eastAsia="Arial Unicode MS" w:cs="Arial Unicode MS"/>
      <w:color w:val="FF99CC"/>
      <w:kern w:val="0"/>
      <w:sz w:val="20"/>
    </w:rPr>
  </w:style>
  <w:style w:type="paragraph" w:customStyle="1" w:styleId="514">
    <w:name w:val="表格尾注"/>
    <w:next w:val="515"/>
    <w:semiHidden/>
    <w:uiPriority w:val="0"/>
    <w:pPr>
      <w:adjustRightInd w:val="0"/>
      <w:snapToGrid w:val="0"/>
      <w:spacing w:line="360" w:lineRule="exact"/>
      <w:ind w:left="907"/>
    </w:pPr>
    <w:rPr>
      <w:rFonts w:ascii="Times New Roman" w:hAnsi="Times New Roman" w:eastAsia="楷体_GB2312" w:cs="Times New Roman"/>
      <w:sz w:val="21"/>
      <w:szCs w:val="21"/>
      <w:lang w:val="en-US" w:eastAsia="zh-CN" w:bidi="ar-SA"/>
    </w:rPr>
  </w:style>
  <w:style w:type="paragraph" w:customStyle="1" w:styleId="515">
    <w:name w:val="可研报告正文"/>
    <w:basedOn w:val="1"/>
    <w:semiHidden/>
    <w:uiPriority w:val="0"/>
    <w:pPr>
      <w:tabs>
        <w:tab w:val="left" w:pos="5880"/>
      </w:tabs>
      <w:spacing w:before="120" w:beforeLines="50" w:line="440" w:lineRule="exact"/>
      <w:ind w:left="425" w:firstLine="482"/>
    </w:pPr>
    <w:rPr>
      <w:rFonts w:ascii="宋体" w:eastAsia="宋体"/>
      <w:kern w:val="0"/>
      <w:sz w:val="24"/>
    </w:rPr>
  </w:style>
  <w:style w:type="paragraph" w:customStyle="1" w:styleId="516">
    <w:name w:val="基准页脚样式"/>
    <w:basedOn w:val="27"/>
    <w:semiHidden/>
    <w:uiPriority w:val="0"/>
    <w:pPr>
      <w:keepLines/>
      <w:widowControl/>
      <w:spacing w:after="220" w:line="200" w:lineRule="atLeast"/>
    </w:pPr>
    <w:rPr>
      <w:rFonts w:hint="eastAsia" w:ascii="Arial" w:hAnsi="Arial" w:cs="宋体"/>
      <w:spacing w:val="-5"/>
      <w:kern w:val="0"/>
      <w:sz w:val="16"/>
      <w:szCs w:val="22"/>
    </w:rPr>
  </w:style>
  <w:style w:type="paragraph" w:customStyle="1" w:styleId="517">
    <w:name w:val="xl56"/>
    <w:basedOn w:val="1"/>
    <w:semiHidden/>
    <w:uiPriority w:val="0"/>
    <w:pPr>
      <w:widowControl/>
      <w:pBdr>
        <w:top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宋体" w:hAnsi="宋体" w:eastAsia="宋体"/>
      <w:color w:val="FFFFFF"/>
      <w:kern w:val="0"/>
      <w:sz w:val="20"/>
    </w:rPr>
  </w:style>
  <w:style w:type="paragraph" w:customStyle="1" w:styleId="518">
    <w:name w:val="font20"/>
    <w:basedOn w:val="1"/>
    <w:semiHidden/>
    <w:uiPriority w:val="0"/>
    <w:pPr>
      <w:widowControl/>
      <w:spacing w:before="100" w:beforeAutospacing="1" w:after="100" w:afterAutospacing="1" w:line="240" w:lineRule="auto"/>
      <w:ind w:firstLine="0"/>
      <w:jc w:val="left"/>
    </w:pPr>
    <w:rPr>
      <w:rFonts w:ascii="宋体" w:hAnsi="宋体" w:eastAsia="宋体" w:cs="宋体"/>
      <w:kern w:val="0"/>
      <w:sz w:val="20"/>
    </w:rPr>
  </w:style>
  <w:style w:type="paragraph" w:customStyle="1" w:styleId="519">
    <w:name w:val="bullet2"/>
    <w:semiHidden/>
    <w:uiPriority w:val="0"/>
    <w:pPr>
      <w:tabs>
        <w:tab w:val="left" w:pos="1080"/>
      </w:tabs>
      <w:ind w:left="1080" w:hanging="1080"/>
    </w:pPr>
    <w:rPr>
      <w:rFonts w:ascii="Times New Roman" w:hAnsi="Times New Roman" w:eastAsia="宋体" w:cs="Times New Roman"/>
      <w:lang w:val="en-US" w:eastAsia="zh-CN" w:bidi="ar-SA"/>
    </w:rPr>
  </w:style>
  <w:style w:type="paragraph" w:customStyle="1" w:styleId="520">
    <w:name w:val="Cc List"/>
    <w:basedOn w:val="1"/>
    <w:semiHidden/>
    <w:uiPriority w:val="0"/>
    <w:pPr>
      <w:widowControl/>
      <w:spacing w:line="240" w:lineRule="auto"/>
      <w:ind w:firstLine="0"/>
    </w:pPr>
    <w:rPr>
      <w:rFonts w:ascii="Arial" w:hAnsi="Arial" w:eastAsia="宋体"/>
      <w:kern w:val="0"/>
      <w:sz w:val="22"/>
    </w:rPr>
  </w:style>
  <w:style w:type="paragraph" w:customStyle="1" w:styleId="521">
    <w:name w:val="标题 3 + Arial 小四 非加粗 段前: 0 磅 段后: 6 磅 行距: 固定值 22 磅"/>
    <w:basedOn w:val="7"/>
    <w:next w:val="1"/>
    <w:semiHidden/>
    <w:uiPriority w:val="0"/>
    <w:pPr>
      <w:tabs>
        <w:tab w:val="left" w:pos="680"/>
      </w:tabs>
      <w:spacing w:before="0" w:after="0" w:line="440" w:lineRule="exact"/>
      <w:ind w:firstLine="0"/>
    </w:pPr>
    <w:rPr>
      <w:rFonts w:ascii="宋体" w:hAnsi="宋体" w:eastAsia="宋体"/>
      <w:sz w:val="24"/>
      <w:szCs w:val="20"/>
    </w:rPr>
  </w:style>
  <w:style w:type="paragraph" w:customStyle="1" w:styleId="522">
    <w:name w:val="说明书"/>
    <w:basedOn w:val="1"/>
    <w:semiHidden/>
    <w:uiPriority w:val="0"/>
    <w:pPr>
      <w:adjustRightInd w:val="0"/>
      <w:spacing w:line="500" w:lineRule="exact"/>
      <w:ind w:firstLine="624"/>
      <w:textAlignment w:val="baseline"/>
    </w:pPr>
    <w:rPr>
      <w:rFonts w:ascii="Arial" w:hAnsi="Arial" w:eastAsia="宋体"/>
      <w:kern w:val="0"/>
    </w:rPr>
  </w:style>
  <w:style w:type="paragraph" w:customStyle="1" w:styleId="523">
    <w:name w:val=" Char Char1"/>
    <w:basedOn w:val="1"/>
    <w:semiHidden/>
    <w:uiPriority w:val="0"/>
    <w:pPr>
      <w:spacing w:line="240" w:lineRule="auto"/>
      <w:ind w:firstLine="0"/>
    </w:pPr>
    <w:rPr>
      <w:rFonts w:eastAsia="宋体"/>
      <w:sz w:val="24"/>
      <w:szCs w:val="24"/>
    </w:rPr>
  </w:style>
  <w:style w:type="paragraph" w:customStyle="1" w:styleId="524">
    <w:name w:val="样式 首行缩进:  2 字符1"/>
    <w:basedOn w:val="1"/>
    <w:semiHidden/>
    <w:qFormat/>
    <w:uiPriority w:val="0"/>
    <w:pPr>
      <w:adjustRightInd w:val="0"/>
      <w:snapToGrid w:val="0"/>
      <w:spacing w:line="360" w:lineRule="auto"/>
      <w:ind w:firstLine="480"/>
    </w:pPr>
    <w:rPr>
      <w:rFonts w:ascii="Calibri" w:hAnsi="Calibri" w:eastAsia="宋体" w:cs="宋体"/>
      <w:sz w:val="24"/>
    </w:rPr>
  </w:style>
  <w:style w:type="paragraph" w:customStyle="1" w:styleId="525">
    <w:name w:val="五号字表格"/>
    <w:basedOn w:val="493"/>
    <w:semiHidden/>
    <w:uiPriority w:val="0"/>
    <w:pPr>
      <w:spacing w:line="240" w:lineRule="auto"/>
    </w:pPr>
    <w:rPr>
      <w:sz w:val="21"/>
    </w:rPr>
  </w:style>
  <w:style w:type="paragraph" w:customStyle="1" w:styleId="526">
    <w:name w:val="A003"/>
    <w:qFormat/>
    <w:uiPriority w:val="0"/>
    <w:pPr>
      <w:numPr>
        <w:ilvl w:val="0"/>
        <w:numId w:val="12"/>
      </w:numPr>
      <w:spacing w:before="260" w:beforeLines="50" w:after="260" w:afterLines="50" w:line="360" w:lineRule="auto"/>
      <w:ind w:left="0" w:right="100"/>
      <w:outlineLvl w:val="3"/>
    </w:pPr>
    <w:rPr>
      <w:rFonts w:ascii="楷体_GB2312" w:hAnsi="Calibri" w:eastAsia="黑体" w:cs="Times New Roman"/>
      <w:kern w:val="2"/>
      <w:sz w:val="28"/>
      <w:szCs w:val="24"/>
      <w:lang w:val="en-US" w:eastAsia="zh-CN" w:bidi="ar-SA"/>
    </w:rPr>
  </w:style>
  <w:style w:type="paragraph" w:customStyle="1" w:styleId="527">
    <w:name w:val="style16"/>
    <w:basedOn w:val="1"/>
    <w:semiHidden/>
    <w:uiPriority w:val="0"/>
    <w:pPr>
      <w:widowControl/>
      <w:spacing w:before="100" w:beforeAutospacing="1" w:after="100" w:afterAutospacing="1" w:line="240" w:lineRule="auto"/>
      <w:ind w:firstLine="0"/>
      <w:jc w:val="left"/>
    </w:pPr>
    <w:rPr>
      <w:rFonts w:ascii="Arial Unicode MS" w:hAnsi="Arial Unicode MS" w:eastAsia="宋体"/>
      <w:color w:val="000000"/>
      <w:kern w:val="0"/>
      <w:sz w:val="34"/>
      <w:szCs w:val="21"/>
    </w:rPr>
  </w:style>
  <w:style w:type="paragraph" w:customStyle="1" w:styleId="528">
    <w:name w:val="表中正文"/>
    <w:semiHidden/>
    <w:uiPriority w:val="0"/>
    <w:pPr>
      <w:spacing w:line="240" w:lineRule="atLeast"/>
      <w:jc w:val="center"/>
    </w:pPr>
    <w:rPr>
      <w:rFonts w:ascii="Times New Roman" w:hAnsi="Times New Roman" w:eastAsia="宋体" w:cs="宋体"/>
      <w:kern w:val="2"/>
      <w:sz w:val="21"/>
      <w:szCs w:val="21"/>
      <w:lang w:val="en-US" w:eastAsia="zh-CN" w:bidi="ar-SA"/>
    </w:rPr>
  </w:style>
  <w:style w:type="paragraph" w:customStyle="1" w:styleId="529">
    <w:name w:val="封面标准文稿编辑信息"/>
    <w:semiHidden/>
    <w:uiPriority w:val="0"/>
    <w:pPr>
      <w:spacing w:before="180" w:line="180" w:lineRule="exact"/>
      <w:jc w:val="center"/>
    </w:pPr>
    <w:rPr>
      <w:rFonts w:ascii="宋体" w:hAnsi="Times New Roman" w:eastAsia="宋体" w:cs="Times New Roman"/>
      <w:sz w:val="21"/>
      <w:lang w:val="en-US" w:eastAsia="zh-CN" w:bidi="ar-SA"/>
    </w:rPr>
  </w:style>
  <w:style w:type="paragraph" w:customStyle="1" w:styleId="530">
    <w:name w:val="xl88"/>
    <w:basedOn w:val="1"/>
    <w:semiHidden/>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Arial Unicode MS" w:hAnsi="Arial Unicode MS" w:eastAsia="Arial Unicode MS" w:cs="Arial Unicode MS"/>
      <w:color w:val="FF0000"/>
      <w:kern w:val="0"/>
      <w:sz w:val="20"/>
    </w:rPr>
  </w:style>
  <w:style w:type="paragraph" w:customStyle="1" w:styleId="531">
    <w:name w:val="表格的字"/>
    <w:basedOn w:val="1"/>
    <w:qFormat/>
    <w:uiPriority w:val="0"/>
    <w:pPr>
      <w:jc w:val="center"/>
    </w:pPr>
    <w:rPr>
      <w:sz w:val="21"/>
      <w:szCs w:val="24"/>
    </w:rPr>
  </w:style>
  <w:style w:type="paragraph" w:customStyle="1" w:styleId="532">
    <w:name w:val="xl40"/>
    <w:basedOn w:val="1"/>
    <w:semiHidden/>
    <w:uiPriority w:val="0"/>
    <w:pPr>
      <w:widowControl/>
      <w:shd w:val="clear" w:color="auto" w:fill="FFFFFF"/>
      <w:spacing w:before="100" w:beforeAutospacing="1" w:after="100" w:afterAutospacing="1" w:line="440" w:lineRule="exact"/>
      <w:ind w:firstLine="0"/>
      <w:jc w:val="right"/>
    </w:pPr>
    <w:rPr>
      <w:rFonts w:ascii="宋体" w:hAnsi="宋体" w:eastAsia="宋体"/>
      <w:color w:val="000000"/>
      <w:kern w:val="0"/>
      <w:sz w:val="20"/>
    </w:rPr>
  </w:style>
  <w:style w:type="paragraph" w:customStyle="1" w:styleId="533">
    <w:name w:val="封面标准号1"/>
    <w:semiHidden/>
    <w:uiPriority w:val="0"/>
    <w:pPr>
      <w:widowControl w:val="0"/>
      <w:kinsoku w:val="0"/>
      <w:overflowPunct w:val="0"/>
      <w:autoSpaceDE w:val="0"/>
      <w:autoSpaceDN w:val="0"/>
      <w:spacing w:before="308"/>
      <w:jc w:val="right"/>
      <w:textAlignment w:val="center"/>
    </w:pPr>
    <w:rPr>
      <w:rFonts w:ascii="Times New Roman" w:hAnsi="Times New Roman" w:eastAsia="宋体" w:cs="Times New Roman"/>
      <w:sz w:val="28"/>
      <w:lang w:val="en-US" w:eastAsia="zh-CN" w:bidi="ar-SA"/>
    </w:rPr>
  </w:style>
  <w:style w:type="paragraph" w:customStyle="1" w:styleId="534">
    <w:name w:val="wtext"/>
    <w:basedOn w:val="1"/>
    <w:semiHidden/>
    <w:uiPriority w:val="0"/>
    <w:pPr>
      <w:widowControl/>
      <w:spacing w:before="100" w:beforeAutospacing="1" w:after="100" w:afterAutospacing="1" w:line="240" w:lineRule="auto"/>
      <w:ind w:firstLine="480"/>
      <w:jc w:val="left"/>
    </w:pPr>
    <w:rPr>
      <w:rFonts w:ascii="_x000B__x000C_" w:hAnsi="_x000B__x000C_" w:eastAsia="宋体"/>
      <w:color w:val="000000"/>
      <w:kern w:val="0"/>
      <w:sz w:val="22"/>
      <w:szCs w:val="22"/>
    </w:rPr>
  </w:style>
  <w:style w:type="paragraph" w:customStyle="1" w:styleId="535">
    <w:name w:val="xl73"/>
    <w:basedOn w:val="1"/>
    <w:semiHidden/>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line="440" w:lineRule="exact"/>
      <w:ind w:firstLine="0"/>
      <w:jc w:val="center"/>
    </w:pPr>
    <w:rPr>
      <w:rFonts w:ascii="宋体" w:hAnsi="宋体" w:eastAsia="宋体"/>
      <w:color w:val="000000"/>
      <w:kern w:val="0"/>
      <w:sz w:val="20"/>
    </w:rPr>
  </w:style>
  <w:style w:type="paragraph" w:customStyle="1" w:styleId="536">
    <w:name w:val="line"/>
    <w:basedOn w:val="1"/>
    <w:semiHidden/>
    <w:uiPriority w:val="0"/>
    <w:pPr>
      <w:widowControl/>
      <w:pBdr>
        <w:top w:val="single" w:color="8F8F8F" w:sz="6" w:space="0"/>
        <w:left w:val="single" w:color="8F8F8F" w:sz="6" w:space="0"/>
        <w:bottom w:val="single" w:color="8F8F8F" w:sz="6" w:space="0"/>
        <w:right w:val="single" w:color="8F8F8F" w:sz="6" w:space="0"/>
      </w:pBdr>
      <w:spacing w:before="100" w:beforeAutospacing="1" w:after="100" w:afterAutospacing="1" w:line="240" w:lineRule="auto"/>
      <w:ind w:firstLine="0"/>
      <w:jc w:val="left"/>
    </w:pPr>
    <w:rPr>
      <w:rFonts w:ascii="Arial Unicode MS" w:hAnsi="Arial Unicode MS" w:eastAsia="宋体"/>
      <w:kern w:val="0"/>
      <w:sz w:val="24"/>
    </w:rPr>
  </w:style>
  <w:style w:type="paragraph" w:customStyle="1" w:styleId="537">
    <w:name w:val="样式 5文章(治) + 首行缩进:  2 字符"/>
    <w:basedOn w:val="3"/>
    <w:qFormat/>
    <w:uiPriority w:val="0"/>
    <w:pPr>
      <w:adjustRightInd/>
      <w:jc w:val="both"/>
    </w:pPr>
    <w:rPr>
      <w:rFonts w:cs="宋体"/>
      <w:kern w:val="0"/>
    </w:rPr>
  </w:style>
  <w:style w:type="paragraph" w:customStyle="1" w:styleId="538">
    <w:name w:val="xl98"/>
    <w:basedOn w:val="1"/>
    <w:semiHidden/>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left"/>
    </w:pPr>
    <w:rPr>
      <w:rFonts w:ascii="Arial Unicode MS" w:hAnsi="Arial Unicode MS" w:eastAsia="Arial Unicode MS" w:cs="Arial Unicode MS"/>
      <w:color w:val="000000"/>
      <w:kern w:val="0"/>
      <w:sz w:val="20"/>
    </w:rPr>
  </w:style>
  <w:style w:type="paragraph" w:customStyle="1" w:styleId="539">
    <w:name w:val="xl44"/>
    <w:basedOn w:val="1"/>
    <w:semiHidden/>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center"/>
    </w:pPr>
    <w:rPr>
      <w:rFonts w:ascii="宋体" w:hAnsi="宋体" w:eastAsia="宋体"/>
      <w:color w:val="000000"/>
      <w:kern w:val="0"/>
      <w:sz w:val="20"/>
    </w:rPr>
  </w:style>
  <w:style w:type="paragraph" w:customStyle="1" w:styleId="540">
    <w:name w:val="正本文字"/>
    <w:basedOn w:val="1"/>
    <w:qFormat/>
    <w:uiPriority w:val="0"/>
    <w:pPr>
      <w:adjustRightInd w:val="0"/>
      <w:snapToGrid w:val="0"/>
      <w:spacing w:line="360" w:lineRule="auto"/>
      <w:ind w:firstLine="200"/>
    </w:pPr>
    <w:rPr>
      <w:kern w:val="18"/>
      <w:sz w:val="24"/>
    </w:rPr>
  </w:style>
  <w:style w:type="paragraph" w:customStyle="1" w:styleId="541">
    <w:name w:val="条款"/>
    <w:basedOn w:val="1"/>
    <w:semiHidden/>
    <w:uiPriority w:val="0"/>
    <w:pPr>
      <w:spacing w:line="240" w:lineRule="auto"/>
      <w:ind w:firstLine="0"/>
    </w:pPr>
    <w:rPr>
      <w:rFonts w:ascii="宋体" w:eastAsia="宋体"/>
      <w:kern w:val="0"/>
      <w:sz w:val="34"/>
    </w:rPr>
  </w:style>
  <w:style w:type="paragraph" w:customStyle="1" w:styleId="542">
    <w:name w:val="font28"/>
    <w:basedOn w:val="1"/>
    <w:semiHidden/>
    <w:uiPriority w:val="0"/>
    <w:pPr>
      <w:widowControl/>
      <w:spacing w:before="100" w:beforeAutospacing="1" w:after="100" w:afterAutospacing="1" w:line="240" w:lineRule="auto"/>
      <w:ind w:firstLine="0"/>
      <w:jc w:val="left"/>
    </w:pPr>
    <w:rPr>
      <w:rFonts w:ascii="宋体" w:hAnsi="宋体" w:eastAsia="宋体" w:cs="宋体"/>
      <w:kern w:val="0"/>
      <w:sz w:val="22"/>
      <w:szCs w:val="22"/>
    </w:rPr>
  </w:style>
  <w:style w:type="paragraph" w:customStyle="1" w:styleId="543">
    <w:name w:val="font13"/>
    <w:basedOn w:val="1"/>
    <w:semiHidden/>
    <w:uiPriority w:val="0"/>
    <w:pPr>
      <w:widowControl/>
      <w:spacing w:before="100" w:beforeAutospacing="1" w:after="100" w:afterAutospacing="1" w:line="440" w:lineRule="exact"/>
      <w:ind w:firstLine="0"/>
      <w:jc w:val="left"/>
    </w:pPr>
    <w:rPr>
      <w:rFonts w:ascii="Arial" w:hAnsi="Arial" w:eastAsia="Arial Unicode MS" w:cs="Arial"/>
      <w:kern w:val="0"/>
      <w:sz w:val="20"/>
    </w:rPr>
  </w:style>
  <w:style w:type="paragraph" w:customStyle="1" w:styleId="544">
    <w:name w:val="正文2"/>
    <w:basedOn w:val="1"/>
    <w:semiHidden/>
    <w:uiPriority w:val="0"/>
    <w:pPr>
      <w:adjustRightInd w:val="0"/>
      <w:snapToGrid w:val="0"/>
      <w:spacing w:before="32" w:beforeLines="10" w:line="240" w:lineRule="auto"/>
      <w:ind w:firstLine="0"/>
      <w:jc w:val="center"/>
    </w:pPr>
    <w:rPr>
      <w:rFonts w:ascii="宋体" w:eastAsia="宋体"/>
      <w:kern w:val="0"/>
      <w:sz w:val="34"/>
    </w:rPr>
  </w:style>
  <w:style w:type="paragraph" w:customStyle="1" w:styleId="545">
    <w:name w:val="样式8"/>
    <w:basedOn w:val="59"/>
    <w:uiPriority w:val="0"/>
    <w:pPr>
      <w:ind w:firstLine="0"/>
    </w:pPr>
    <w:rPr>
      <w:rFonts w:hAnsi="宋体" w:eastAsia="楷体_GB2312"/>
      <w:b/>
      <w:kern w:val="0"/>
      <w:sz w:val="44"/>
      <w:szCs w:val="44"/>
    </w:rPr>
  </w:style>
  <w:style w:type="paragraph" w:customStyle="1" w:styleId="546">
    <w:name w:val="标注"/>
    <w:basedOn w:val="1"/>
    <w:semiHidden/>
    <w:uiPriority w:val="0"/>
    <w:pPr>
      <w:adjustRightInd w:val="0"/>
      <w:snapToGrid w:val="0"/>
      <w:spacing w:line="312" w:lineRule="auto"/>
      <w:ind w:firstLine="480"/>
    </w:pPr>
    <w:rPr>
      <w:rFonts w:ascii="宋体"/>
      <w:kern w:val="0"/>
      <w:sz w:val="24"/>
    </w:rPr>
  </w:style>
  <w:style w:type="paragraph" w:customStyle="1" w:styleId="547">
    <w:name w:val="样式 (西文) Arial (中文) 黑体 二号 加粗 居中"/>
    <w:basedOn w:val="1"/>
    <w:semiHidden/>
    <w:uiPriority w:val="0"/>
    <w:pPr>
      <w:spacing w:line="240" w:lineRule="auto"/>
      <w:ind w:firstLine="0"/>
      <w:jc w:val="center"/>
    </w:pPr>
    <w:rPr>
      <w:rFonts w:ascii="黑体" w:hAnsi="Arial" w:eastAsia="黑体" w:cs="宋体"/>
      <w:bCs/>
      <w:kern w:val="0"/>
      <w:szCs w:val="28"/>
    </w:rPr>
  </w:style>
  <w:style w:type="paragraph" w:customStyle="1" w:styleId="548">
    <w:name w:val="xl100"/>
    <w:basedOn w:val="1"/>
    <w:semiHidden/>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center"/>
    </w:pPr>
    <w:rPr>
      <w:rFonts w:ascii="Arial Unicode MS" w:hAnsi="Arial Unicode MS" w:eastAsia="Arial Unicode MS" w:cs="Arial Unicode MS"/>
      <w:color w:val="FFFFFF"/>
      <w:kern w:val="0"/>
      <w:sz w:val="20"/>
    </w:rPr>
  </w:style>
  <w:style w:type="paragraph" w:customStyle="1" w:styleId="549">
    <w:name w:val="font0"/>
    <w:basedOn w:val="1"/>
    <w:semiHidden/>
    <w:uiPriority w:val="0"/>
    <w:pPr>
      <w:widowControl/>
      <w:spacing w:before="100" w:beforeAutospacing="1" w:after="100" w:afterAutospacing="1" w:line="240" w:lineRule="auto"/>
      <w:ind w:firstLine="0"/>
      <w:jc w:val="left"/>
    </w:pPr>
    <w:rPr>
      <w:rFonts w:hint="eastAsia" w:ascii="宋体" w:hAnsi="宋体" w:eastAsia="宋体" w:cs="Century"/>
      <w:kern w:val="0"/>
      <w:sz w:val="24"/>
    </w:rPr>
  </w:style>
  <w:style w:type="paragraph" w:customStyle="1" w:styleId="550">
    <w:name w:val="表1"/>
    <w:basedOn w:val="1"/>
    <w:semiHidden/>
    <w:uiPriority w:val="0"/>
    <w:pPr>
      <w:adjustRightInd w:val="0"/>
      <w:snapToGrid w:val="0"/>
      <w:spacing w:before="40"/>
      <w:ind w:firstLine="480"/>
      <w:jc w:val="center"/>
    </w:pPr>
    <w:rPr>
      <w:rFonts w:ascii="宋体" w:eastAsia="宋体"/>
      <w:kern w:val="0"/>
      <w:sz w:val="34"/>
    </w:rPr>
  </w:style>
  <w:style w:type="paragraph" w:customStyle="1" w:styleId="551">
    <w:name w:val="xl635"/>
    <w:basedOn w:val="1"/>
    <w:semiHidden/>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Arial Unicode MS" w:hAnsi="Arial Unicode MS" w:eastAsia="Arial Unicode MS"/>
      <w:color w:val="FF0000"/>
      <w:kern w:val="0"/>
      <w:sz w:val="34"/>
    </w:rPr>
  </w:style>
  <w:style w:type="paragraph" w:customStyle="1" w:styleId="552">
    <w:name w:val="c"/>
    <w:semiHidden/>
    <w:uiPriority w:val="0"/>
    <w:pPr>
      <w:widowControl w:val="0"/>
      <w:autoSpaceDE w:val="0"/>
      <w:autoSpaceDN w:val="0"/>
      <w:adjustRightInd w:val="0"/>
      <w:jc w:val="both"/>
    </w:pPr>
    <w:rPr>
      <w:rFonts w:ascii="Arial" w:hAnsi="Arial" w:eastAsia="宋体" w:cs="Times New Roman"/>
      <w:sz w:val="24"/>
      <w:lang w:val="en-US" w:eastAsia="zh-CN" w:bidi="ar-SA"/>
    </w:rPr>
  </w:style>
  <w:style w:type="paragraph" w:customStyle="1" w:styleId="553">
    <w:name w:val="xl24"/>
    <w:basedOn w:val="1"/>
    <w:semiHidden/>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center"/>
    </w:pPr>
    <w:rPr>
      <w:rFonts w:ascii="宋体" w:hAnsi="宋体" w:eastAsia="宋体"/>
      <w:color w:val="000000"/>
      <w:kern w:val="0"/>
      <w:sz w:val="20"/>
    </w:rPr>
  </w:style>
  <w:style w:type="paragraph" w:customStyle="1" w:styleId="554">
    <w:name w:val="ttt-f"/>
    <w:basedOn w:val="1"/>
    <w:semiHidden/>
    <w:uiPriority w:val="0"/>
    <w:pPr>
      <w:widowControl/>
      <w:spacing w:before="100" w:beforeAutospacing="1" w:after="100" w:afterAutospacing="1" w:line="240" w:lineRule="auto"/>
      <w:ind w:firstLine="0"/>
      <w:jc w:val="left"/>
    </w:pPr>
    <w:rPr>
      <w:rFonts w:ascii="Arial Unicode MS" w:hAnsi="Arial Unicode MS" w:eastAsia="宋体"/>
      <w:b/>
      <w:bCs/>
      <w:color w:val="333333"/>
      <w:kern w:val="0"/>
      <w:sz w:val="34"/>
      <w:szCs w:val="21"/>
    </w:rPr>
  </w:style>
  <w:style w:type="paragraph" w:customStyle="1" w:styleId="555">
    <w:name w:val="样式 标题 2"/>
    <w:basedOn w:val="6"/>
    <w:semiHidden/>
    <w:uiPriority w:val="0"/>
    <w:pPr>
      <w:numPr>
        <w:ilvl w:val="1"/>
        <w:numId w:val="0"/>
      </w:numPr>
      <w:adjustRightInd w:val="0"/>
      <w:snapToGrid w:val="0"/>
      <w:spacing w:before="120" w:after="120" w:line="336" w:lineRule="auto"/>
    </w:pPr>
    <w:rPr>
      <w:rFonts w:ascii="Times New Roman" w:hAnsi="Times New Roman" w:eastAsia="宋体"/>
      <w:kern w:val="44"/>
      <w:sz w:val="30"/>
    </w:rPr>
  </w:style>
  <w:style w:type="paragraph" w:customStyle="1" w:styleId="556">
    <w:name w:val="Sun"/>
    <w:basedOn w:val="1"/>
    <w:semiHidden/>
    <w:uiPriority w:val="0"/>
    <w:pPr>
      <w:adjustRightInd w:val="0"/>
      <w:spacing w:line="360" w:lineRule="auto"/>
    </w:pPr>
    <w:rPr>
      <w:rFonts w:ascii="宋体" w:eastAsia="宋体"/>
      <w:kern w:val="28"/>
    </w:rPr>
  </w:style>
  <w:style w:type="paragraph" w:customStyle="1" w:styleId="557">
    <w:name w:val="北京2级标题"/>
    <w:next w:val="482"/>
    <w:qFormat/>
    <w:uiPriority w:val="0"/>
    <w:pPr>
      <w:spacing w:line="360" w:lineRule="auto"/>
      <w:outlineLvl w:val="1"/>
    </w:pPr>
    <w:rPr>
      <w:rFonts w:ascii="黑体" w:hAnsi="Times New Roman" w:eastAsia="黑体" w:cs="Times New Roman"/>
      <w:color w:val="000000"/>
      <w:kern w:val="2"/>
      <w:sz w:val="28"/>
      <w:szCs w:val="28"/>
      <w:lang w:val="en-US" w:eastAsia="zh-CN" w:bidi="ar-SA"/>
    </w:rPr>
  </w:style>
  <w:style w:type="paragraph" w:customStyle="1" w:styleId="558">
    <w:name w:val="style10"/>
    <w:basedOn w:val="1"/>
    <w:semiHidden/>
    <w:uiPriority w:val="0"/>
    <w:pPr>
      <w:widowControl/>
      <w:spacing w:before="100" w:beforeAutospacing="1" w:after="100" w:afterAutospacing="1" w:line="240" w:lineRule="auto"/>
      <w:ind w:firstLine="0"/>
      <w:jc w:val="left"/>
    </w:pPr>
    <w:rPr>
      <w:rFonts w:ascii="Arial Unicode MS" w:hAnsi="Arial Unicode MS" w:eastAsia="宋体"/>
      <w:color w:val="0000FF"/>
      <w:kern w:val="0"/>
      <w:sz w:val="24"/>
    </w:rPr>
  </w:style>
  <w:style w:type="paragraph" w:customStyle="1" w:styleId="559">
    <w:name w:val="xl94"/>
    <w:basedOn w:val="1"/>
    <w:semiHidden/>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line="440" w:lineRule="exact"/>
      <w:ind w:firstLine="0"/>
      <w:jc w:val="center"/>
    </w:pPr>
    <w:rPr>
      <w:rFonts w:ascii="Arial Unicode MS" w:hAnsi="Arial Unicode MS" w:eastAsia="Arial Unicode MS" w:cs="Arial Unicode MS"/>
      <w:color w:val="000000"/>
      <w:kern w:val="0"/>
      <w:sz w:val="20"/>
    </w:rPr>
  </w:style>
  <w:style w:type="paragraph" w:customStyle="1" w:styleId="560">
    <w:name w:val="条(四级)"/>
    <w:basedOn w:val="396"/>
    <w:next w:val="8"/>
    <w:semiHidden/>
    <w:uiPriority w:val="0"/>
    <w:pPr>
      <w:keepNext/>
      <w:keepLines/>
      <w:tabs>
        <w:tab w:val="left" w:pos="1246"/>
      </w:tabs>
      <w:adjustRightInd w:val="0"/>
      <w:spacing w:line="460" w:lineRule="exact"/>
    </w:pPr>
    <w:rPr>
      <w:sz w:val="26"/>
    </w:rPr>
  </w:style>
  <w:style w:type="paragraph" w:customStyle="1" w:styleId="561">
    <w:name w:val="单位"/>
    <w:semiHidden/>
    <w:uiPriority w:val="0"/>
    <w:pPr>
      <w:ind w:left="1440"/>
      <w:jc w:val="right"/>
    </w:pPr>
    <w:rPr>
      <w:rFonts w:ascii="Times New Roman" w:hAnsi="Times New Roman" w:eastAsia="宋体" w:cs="Times New Roman"/>
      <w:sz w:val="21"/>
      <w:lang w:val="en-US" w:eastAsia="zh-CN" w:bidi="ar-SA"/>
    </w:rPr>
  </w:style>
  <w:style w:type="paragraph" w:customStyle="1" w:styleId="562">
    <w:name w:val="xl51"/>
    <w:basedOn w:val="1"/>
    <w:semiHidden/>
    <w:uiPriority w:val="0"/>
    <w:pPr>
      <w:widowControl/>
      <w:pBdr>
        <w:top w:val="single" w:color="000000" w:sz="4" w:space="0"/>
        <w:left w:val="single" w:color="000000" w:sz="4" w:space="0"/>
        <w:right w:val="single" w:color="000000" w:sz="4" w:space="0"/>
      </w:pBdr>
      <w:shd w:val="clear" w:color="auto" w:fill="FFFFFF"/>
      <w:spacing w:before="100" w:beforeAutospacing="1" w:after="100" w:afterAutospacing="1" w:line="440" w:lineRule="exact"/>
      <w:ind w:firstLine="0"/>
      <w:jc w:val="center"/>
    </w:pPr>
    <w:rPr>
      <w:rFonts w:ascii="宋体" w:hAnsi="宋体" w:eastAsia="宋体"/>
      <w:color w:val="000000"/>
      <w:kern w:val="0"/>
      <w:sz w:val="20"/>
    </w:rPr>
  </w:style>
  <w:style w:type="paragraph" w:customStyle="1" w:styleId="563">
    <w:name w:val="City/State"/>
    <w:basedOn w:val="27"/>
    <w:next w:val="27"/>
    <w:semiHidden/>
    <w:uiPriority w:val="0"/>
    <w:pPr>
      <w:keepNext/>
      <w:widowControl/>
      <w:spacing w:after="220" w:line="220" w:lineRule="atLeast"/>
      <w:ind w:right="-360"/>
      <w:jc w:val="left"/>
    </w:pPr>
    <w:rPr>
      <w:rFonts w:hint="eastAsia" w:ascii="宋体" w:hAnsi="宋体" w:cs="宋体"/>
      <w:kern w:val="0"/>
      <w:sz w:val="20"/>
      <w:szCs w:val="22"/>
    </w:rPr>
  </w:style>
  <w:style w:type="paragraph" w:customStyle="1" w:styleId="564">
    <w:name w:val="font17"/>
    <w:basedOn w:val="1"/>
    <w:semiHidden/>
    <w:uiPriority w:val="0"/>
    <w:pPr>
      <w:widowControl/>
      <w:spacing w:before="100" w:beforeAutospacing="1" w:after="100" w:afterAutospacing="1" w:line="240" w:lineRule="auto"/>
      <w:ind w:firstLine="0"/>
      <w:jc w:val="left"/>
    </w:pPr>
    <w:rPr>
      <w:rFonts w:ascii="Arial" w:hAnsi="Arial" w:eastAsia="宋体" w:cs="Arial"/>
      <w:color w:val="000000"/>
      <w:kern w:val="0"/>
      <w:sz w:val="34"/>
      <w:szCs w:val="21"/>
    </w:rPr>
  </w:style>
  <w:style w:type="paragraph" w:customStyle="1" w:styleId="565">
    <w:name w:val="xl31"/>
    <w:basedOn w:val="1"/>
    <w:semiHidden/>
    <w:uiPriority w:val="0"/>
    <w:pPr>
      <w:widowControl/>
      <w:shd w:val="clear" w:color="auto" w:fill="FFFFFF"/>
      <w:spacing w:before="100" w:beforeAutospacing="1" w:after="100" w:afterAutospacing="1" w:line="440" w:lineRule="exact"/>
      <w:ind w:firstLine="0"/>
      <w:jc w:val="right"/>
    </w:pPr>
    <w:rPr>
      <w:rFonts w:ascii="宋体" w:hAnsi="宋体" w:eastAsia="宋体"/>
      <w:color w:val="000000"/>
      <w:kern w:val="0"/>
      <w:sz w:val="20"/>
    </w:rPr>
  </w:style>
  <w:style w:type="paragraph" w:customStyle="1" w:styleId="566">
    <w:name w:val="_tiret (2e niveau)"/>
    <w:semiHidden/>
    <w:uiPriority w:val="0"/>
    <w:pPr>
      <w:spacing w:before="120"/>
      <w:ind w:left="1134" w:hanging="284"/>
      <w:jc w:val="both"/>
    </w:pPr>
    <w:rPr>
      <w:rFonts w:ascii="Times New Roman" w:hAnsi="Times New Roman" w:eastAsia="宋体" w:cs="Times New Roman"/>
      <w:sz w:val="24"/>
      <w:lang w:val="fr-FR" w:eastAsia="zh-CN" w:bidi="ar-SA"/>
    </w:rPr>
  </w:style>
  <w:style w:type="paragraph" w:customStyle="1" w:styleId="567">
    <w:name w:val="l18"/>
    <w:basedOn w:val="1"/>
    <w:semiHidden/>
    <w:uiPriority w:val="0"/>
    <w:pPr>
      <w:widowControl/>
      <w:spacing w:before="100" w:beforeAutospacing="1" w:after="100" w:afterAutospacing="1" w:line="270" w:lineRule="atLeast"/>
      <w:ind w:firstLine="0"/>
      <w:jc w:val="left"/>
    </w:pPr>
    <w:rPr>
      <w:rFonts w:ascii="Arial Unicode MS" w:hAnsi="Arial Unicode MS" w:eastAsia="宋体"/>
      <w:kern w:val="0"/>
      <w:sz w:val="24"/>
    </w:rPr>
  </w:style>
  <w:style w:type="paragraph" w:customStyle="1" w:styleId="568">
    <w:name w:val="font7"/>
    <w:basedOn w:val="1"/>
    <w:semiHidden/>
    <w:uiPriority w:val="0"/>
    <w:pPr>
      <w:widowControl/>
      <w:spacing w:before="100" w:beforeAutospacing="1" w:after="100" w:afterAutospacing="1" w:line="240" w:lineRule="auto"/>
      <w:ind w:firstLine="0"/>
      <w:jc w:val="left"/>
    </w:pPr>
    <w:rPr>
      <w:rFonts w:ascii="宋体" w:eastAsia="Arial Unicode MS"/>
      <w:kern w:val="0"/>
      <w:sz w:val="34"/>
    </w:rPr>
  </w:style>
  <w:style w:type="paragraph" w:customStyle="1" w:styleId="569">
    <w:name w:val="ST20_32"/>
    <w:basedOn w:val="59"/>
    <w:semiHidden/>
    <w:uiPriority w:val="0"/>
    <w:pPr>
      <w:keepLines/>
      <w:pBdr>
        <w:top w:val="single" w:color="auto" w:sz="6" w:space="1"/>
      </w:pBdr>
      <w:tabs>
        <w:tab w:val="center" w:pos="4320"/>
        <w:tab w:val="clear" w:pos="4153"/>
        <w:tab w:val="clear" w:pos="8306"/>
      </w:tabs>
      <w:autoSpaceDE w:val="0"/>
      <w:autoSpaceDN w:val="0"/>
      <w:adjustRightInd w:val="0"/>
      <w:snapToGrid/>
      <w:spacing w:line="360" w:lineRule="atLeast"/>
      <w:ind w:firstLine="0"/>
      <w:jc w:val="center"/>
    </w:pPr>
    <w:rPr>
      <w:rFonts w:hAnsi="Tms Rmn" w:eastAsia="楷体_GB2312"/>
      <w:b/>
      <w:kern w:val="0"/>
      <w:sz w:val="28"/>
      <w:szCs w:val="20"/>
    </w:rPr>
  </w:style>
  <w:style w:type="paragraph" w:customStyle="1" w:styleId="570">
    <w:name w:val="xl111"/>
    <w:basedOn w:val="1"/>
    <w:semiHidden/>
    <w:uiPriority w:val="0"/>
    <w:pPr>
      <w:widowControl/>
      <w:pBdr>
        <w:top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Arial Unicode MS" w:hAnsi="Arial Unicode MS" w:eastAsia="Arial Unicode MS" w:cs="Arial Unicode MS"/>
      <w:color w:val="000000"/>
      <w:kern w:val="0"/>
      <w:sz w:val="20"/>
    </w:rPr>
  </w:style>
  <w:style w:type="paragraph" w:customStyle="1" w:styleId="571">
    <w:name w:val="3xxly2"/>
    <w:basedOn w:val="1"/>
    <w:semiHidden/>
    <w:uiPriority w:val="0"/>
    <w:pPr>
      <w:widowControl/>
      <w:spacing w:before="100" w:beforeAutospacing="1" w:after="100" w:afterAutospacing="1" w:line="240" w:lineRule="auto"/>
      <w:ind w:firstLine="0"/>
      <w:jc w:val="left"/>
    </w:pPr>
    <w:rPr>
      <w:rFonts w:ascii="_x001A_" w:hAnsi="_x001A_" w:eastAsia="宋体"/>
      <w:color w:val="3C00FF"/>
      <w:kern w:val="0"/>
      <w:sz w:val="27"/>
      <w:szCs w:val="27"/>
    </w:rPr>
  </w:style>
  <w:style w:type="paragraph" w:customStyle="1" w:styleId="572">
    <w:name w:val="条文2"/>
    <w:basedOn w:val="8"/>
    <w:semiHidden/>
    <w:uiPriority w:val="0"/>
    <w:pPr>
      <w:keepNext w:val="0"/>
      <w:keepLines w:val="0"/>
      <w:tabs>
        <w:tab w:val="left" w:pos="840"/>
      </w:tabs>
      <w:adjustRightInd w:val="0"/>
      <w:spacing w:before="0" w:after="0" w:line="460" w:lineRule="exact"/>
      <w:ind w:left="1151" w:hanging="425"/>
      <w:jc w:val="left"/>
      <w:outlineLvl w:val="9"/>
    </w:pPr>
    <w:rPr>
      <w:rFonts w:ascii="宋体" w:eastAsia="宋体"/>
      <w:b w:val="0"/>
      <w:bCs w:val="0"/>
      <w:spacing w:val="3"/>
      <w:kern w:val="24"/>
      <w:sz w:val="24"/>
      <w:szCs w:val="20"/>
    </w:rPr>
  </w:style>
  <w:style w:type="paragraph" w:customStyle="1" w:styleId="573">
    <w:name w:val="*Centrage"/>
    <w:semiHidden/>
    <w:uiPriority w:val="0"/>
    <w:pPr>
      <w:spacing w:line="280" w:lineRule="atLeast"/>
      <w:jc w:val="center"/>
    </w:pPr>
    <w:rPr>
      <w:rFonts w:ascii="Times New Roman" w:hAnsi="Times New Roman" w:eastAsia="宋体" w:cs="Times New Roman"/>
      <w:b/>
      <w:sz w:val="28"/>
      <w:lang w:val="fr-FR" w:eastAsia="zh-CN" w:bidi="ar-SA"/>
    </w:rPr>
  </w:style>
  <w:style w:type="paragraph" w:customStyle="1" w:styleId="574">
    <w:name w:val="Bullet 2"/>
    <w:basedOn w:val="1"/>
    <w:next w:val="1"/>
    <w:semiHidden/>
    <w:uiPriority w:val="0"/>
    <w:pPr>
      <w:widowControl/>
      <w:tabs>
        <w:tab w:val="left" w:pos="1080"/>
        <w:tab w:val="left" w:pos="1440"/>
      </w:tabs>
      <w:spacing w:line="240" w:lineRule="auto"/>
      <w:ind w:left="2880" w:hanging="1080"/>
      <w:jc w:val="left"/>
    </w:pPr>
    <w:rPr>
      <w:rFonts w:ascii="Arial" w:hAnsi="Arial" w:eastAsia="宋体"/>
      <w:kern w:val="0"/>
      <w:sz w:val="20"/>
    </w:rPr>
  </w:style>
  <w:style w:type="paragraph" w:customStyle="1" w:styleId="575">
    <w:name w:val="1 Char Char Char Char Char Char Char Char Char Char Char Char Char Char Char Char"/>
    <w:basedOn w:val="1"/>
    <w:semiHidden/>
    <w:uiPriority w:val="0"/>
    <w:pPr>
      <w:widowControl/>
      <w:spacing w:line="240" w:lineRule="auto"/>
      <w:ind w:firstLine="0"/>
      <w:jc w:val="left"/>
    </w:pPr>
    <w:rPr>
      <w:rFonts w:ascii="宋体" w:hAnsi="宋体" w:eastAsia="宋体" w:cs="宋体"/>
      <w:kern w:val="0"/>
      <w:sz w:val="21"/>
      <w:szCs w:val="24"/>
    </w:rPr>
  </w:style>
  <w:style w:type="paragraph" w:customStyle="1" w:styleId="576">
    <w:name w:val="Titre Instruction"/>
    <w:basedOn w:val="1"/>
    <w:semiHidden/>
    <w:uiPriority w:val="0"/>
    <w:pPr>
      <w:widowControl/>
      <w:pBdr>
        <w:top w:val="double" w:color="auto" w:sz="6" w:space="1"/>
        <w:left w:val="double" w:color="auto" w:sz="6" w:space="1"/>
        <w:bottom w:val="double" w:color="auto" w:sz="6" w:space="1"/>
        <w:right w:val="double" w:color="auto" w:sz="6" w:space="1"/>
      </w:pBdr>
      <w:spacing w:before="120" w:after="1320" w:line="240" w:lineRule="auto"/>
      <w:ind w:left="851" w:right="851" w:firstLine="0"/>
      <w:jc w:val="center"/>
    </w:pPr>
    <w:rPr>
      <w:rFonts w:ascii="宋体" w:eastAsia="宋体"/>
      <w:b/>
      <w:caps/>
      <w:kern w:val="0"/>
      <w:sz w:val="32"/>
      <w:lang w:val="fr-FR"/>
    </w:rPr>
  </w:style>
  <w:style w:type="paragraph" w:customStyle="1" w:styleId="577">
    <w:name w:val="样式 表格内容 + 宋体"/>
    <w:basedOn w:val="357"/>
    <w:semiHidden/>
    <w:uiPriority w:val="0"/>
    <w:pPr>
      <w:widowControl w:val="0"/>
      <w:overflowPunct w:val="0"/>
      <w:spacing w:after="120" w:line="440" w:lineRule="exact"/>
      <w:jc w:val="left"/>
      <w:textAlignment w:val="baseline"/>
    </w:pPr>
    <w:rPr>
      <w:rFonts w:ascii="Arial" w:hAnsi="Arial" w:eastAsia="宋体"/>
      <w:kern w:val="0"/>
      <w:szCs w:val="21"/>
    </w:rPr>
  </w:style>
  <w:style w:type="paragraph" w:customStyle="1" w:styleId="578">
    <w:name w:val="xl57"/>
    <w:basedOn w:val="1"/>
    <w:semiHidden/>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line="440" w:lineRule="exact"/>
      <w:ind w:firstLine="0"/>
      <w:jc w:val="left"/>
    </w:pPr>
    <w:rPr>
      <w:rFonts w:ascii="宋体" w:hAnsi="宋体" w:eastAsia="宋体"/>
      <w:color w:val="FFFFFF"/>
      <w:kern w:val="0"/>
      <w:sz w:val="20"/>
    </w:rPr>
  </w:style>
  <w:style w:type="paragraph" w:customStyle="1" w:styleId="579">
    <w:name w:val="样式 标题 3 + (西文) Times New Roman (中文) 宋体 小四 加粗"/>
    <w:basedOn w:val="7"/>
    <w:uiPriority w:val="0"/>
    <w:pPr>
      <w:numPr>
        <w:ilvl w:val="2"/>
        <w:numId w:val="1"/>
      </w:numPr>
      <w:adjustRightInd w:val="0"/>
      <w:snapToGrid w:val="0"/>
      <w:spacing w:beforeLines="50" w:afterLines="50" w:line="360" w:lineRule="auto"/>
      <w:jc w:val="left"/>
    </w:pPr>
    <w:rPr>
      <w:rFonts w:ascii="宋体" w:hAnsi="宋体"/>
      <w:snapToGrid w:val="0"/>
      <w:sz w:val="28"/>
      <w:szCs w:val="28"/>
    </w:rPr>
  </w:style>
  <w:style w:type="paragraph" w:customStyle="1" w:styleId="580">
    <w:name w:val="样式 表 + 左侧:  0.02 字符 行距: 1.5 倍行距1"/>
    <w:basedOn w:val="23"/>
    <w:semiHidden/>
    <w:uiPriority w:val="0"/>
    <w:pPr>
      <w:widowControl/>
      <w:ind w:firstLine="0"/>
      <w:jc w:val="center"/>
    </w:pPr>
    <w:rPr>
      <w:rFonts w:hAnsi="宋体"/>
      <w:sz w:val="20"/>
      <w:szCs w:val="20"/>
    </w:rPr>
  </w:style>
  <w:style w:type="paragraph" w:customStyle="1" w:styleId="581">
    <w:name w:val="表格下方正文"/>
    <w:basedOn w:val="1"/>
    <w:semiHidden/>
    <w:uiPriority w:val="0"/>
    <w:pPr>
      <w:spacing w:before="300" w:line="460" w:lineRule="exact"/>
      <w:ind w:firstLine="482"/>
    </w:pPr>
    <w:rPr>
      <w:rFonts w:ascii="宋体" w:eastAsia="宋体"/>
      <w:kern w:val="0"/>
      <w:sz w:val="24"/>
    </w:rPr>
  </w:style>
  <w:style w:type="paragraph" w:customStyle="1" w:styleId="582">
    <w:name w:val="表的标题"/>
    <w:basedOn w:val="1"/>
    <w:next w:val="1"/>
    <w:qFormat/>
    <w:uiPriority w:val="0"/>
    <w:pPr>
      <w:adjustRightInd w:val="0"/>
      <w:snapToGrid w:val="0"/>
      <w:spacing w:beforeLines="50" w:line="240" w:lineRule="auto"/>
      <w:ind w:firstLine="0"/>
      <w:jc w:val="center"/>
    </w:pPr>
    <w:rPr>
      <w:rFonts w:ascii="Calibri" w:hAnsi="Calibri" w:eastAsia="黑体"/>
      <w:sz w:val="24"/>
    </w:rPr>
  </w:style>
  <w:style w:type="paragraph" w:customStyle="1" w:styleId="583">
    <w:name w:val="样式 表 + 左侧:  0.02 字符 行距: 1.5 倍行距"/>
    <w:basedOn w:val="23"/>
    <w:semiHidden/>
    <w:uiPriority w:val="0"/>
    <w:pPr>
      <w:widowControl/>
      <w:ind w:firstLine="0"/>
      <w:jc w:val="center"/>
    </w:pPr>
    <w:rPr>
      <w:rFonts w:hAnsi="宋体"/>
      <w:sz w:val="20"/>
      <w:szCs w:val="20"/>
    </w:rPr>
  </w:style>
  <w:style w:type="paragraph" w:customStyle="1" w:styleId="584">
    <w:name w:val="样式6"/>
    <w:basedOn w:val="1"/>
    <w:semiHidden/>
    <w:uiPriority w:val="0"/>
    <w:pPr>
      <w:widowControl/>
      <w:spacing w:line="500" w:lineRule="exact"/>
      <w:ind w:firstLine="360"/>
    </w:pPr>
    <w:rPr>
      <w:rFonts w:ascii="宋体" w:hAnsi="宋体" w:eastAsia="宋体"/>
      <w:kern w:val="0"/>
      <w:sz w:val="24"/>
    </w:rPr>
  </w:style>
  <w:style w:type="paragraph" w:customStyle="1" w:styleId="585">
    <w:name w:val="样式 初设正文 + 首行缩进:  0.85 厘米"/>
    <w:basedOn w:val="448"/>
    <w:semiHidden/>
    <w:uiPriority w:val="0"/>
  </w:style>
  <w:style w:type="paragraph" w:customStyle="1" w:styleId="586">
    <w:name w:val="Reference Initials"/>
    <w:basedOn w:val="1"/>
    <w:semiHidden/>
    <w:uiPriority w:val="0"/>
    <w:pPr>
      <w:widowControl/>
      <w:spacing w:line="240" w:lineRule="auto"/>
      <w:ind w:firstLine="0"/>
    </w:pPr>
    <w:rPr>
      <w:rFonts w:ascii="Arial" w:hAnsi="Arial" w:eastAsia="宋体"/>
      <w:kern w:val="0"/>
      <w:sz w:val="22"/>
    </w:rPr>
  </w:style>
  <w:style w:type="paragraph" w:customStyle="1" w:styleId="587">
    <w:name w:val="xl112"/>
    <w:basedOn w:val="1"/>
    <w:semiHidden/>
    <w:uiPriority w:val="0"/>
    <w:pPr>
      <w:widowControl/>
      <w:pBdr>
        <w:top w:val="single" w:color="auto" w:sz="4" w:space="0"/>
        <w:bottom w:val="single" w:color="auto" w:sz="4" w:space="0"/>
      </w:pBdr>
      <w:shd w:val="clear" w:color="auto" w:fill="FFFFFF"/>
      <w:spacing w:before="100" w:beforeAutospacing="1" w:after="100" w:afterAutospacing="1" w:line="440" w:lineRule="exact"/>
      <w:ind w:firstLine="0"/>
      <w:jc w:val="left"/>
    </w:pPr>
    <w:rPr>
      <w:rFonts w:ascii="Arial Unicode MS" w:hAnsi="Arial Unicode MS" w:eastAsia="Arial Unicode MS" w:cs="Arial Unicode MS"/>
      <w:color w:val="000000"/>
      <w:kern w:val="0"/>
      <w:sz w:val="20"/>
    </w:rPr>
  </w:style>
  <w:style w:type="paragraph" w:customStyle="1" w:styleId="588">
    <w:name w:val="样式 表格内容 + (中文) 宋体 居中"/>
    <w:basedOn w:val="1"/>
    <w:semiHidden/>
    <w:uiPriority w:val="0"/>
    <w:pPr>
      <w:overflowPunct w:val="0"/>
      <w:adjustRightInd w:val="0"/>
      <w:snapToGrid w:val="0"/>
      <w:spacing w:after="120" w:line="440" w:lineRule="exact"/>
      <w:ind w:firstLine="0"/>
      <w:jc w:val="center"/>
      <w:textAlignment w:val="baseline"/>
    </w:pPr>
    <w:rPr>
      <w:rFonts w:ascii="Arial" w:hAnsi="Arial" w:eastAsia="宋体"/>
      <w:kern w:val="0"/>
      <w:sz w:val="34"/>
      <w:szCs w:val="21"/>
    </w:rPr>
  </w:style>
  <w:style w:type="paragraph" w:customStyle="1" w:styleId="589">
    <w:name w:val="CM15"/>
    <w:basedOn w:val="417"/>
    <w:next w:val="417"/>
    <w:semiHidden/>
    <w:uiPriority w:val="0"/>
    <w:pPr>
      <w:spacing w:line="546" w:lineRule="atLeast"/>
    </w:pPr>
    <w:rPr>
      <w:rFonts w:ascii="Arial Black" w:hAnsi="Arial Black" w:cs="Times New Roman"/>
      <w:color w:val="auto"/>
    </w:rPr>
  </w:style>
  <w:style w:type="paragraph" w:customStyle="1" w:styleId="590">
    <w:name w:val="qqq"/>
    <w:basedOn w:val="1"/>
    <w:next w:val="1"/>
    <w:semiHidden/>
    <w:qFormat/>
    <w:uiPriority w:val="99"/>
    <w:pPr>
      <w:adjustRightInd w:val="0"/>
      <w:spacing w:line="360" w:lineRule="auto"/>
      <w:ind w:firstLine="200"/>
    </w:pPr>
    <w:rPr>
      <w:rFonts w:ascii="宋体" w:hAnsi="宋体" w:eastAsia="宋体"/>
      <w:sz w:val="24"/>
      <w:szCs w:val="28"/>
    </w:rPr>
  </w:style>
  <w:style w:type="paragraph" w:customStyle="1" w:styleId="591">
    <w:name w:val="表格文字居中"/>
    <w:basedOn w:val="1"/>
    <w:semiHidden/>
    <w:uiPriority w:val="0"/>
    <w:pPr>
      <w:tabs>
        <w:tab w:val="left" w:pos="0"/>
        <w:tab w:val="left" w:pos="2660"/>
      </w:tabs>
      <w:autoSpaceDE w:val="0"/>
      <w:autoSpaceDN w:val="0"/>
      <w:adjustRightInd w:val="0"/>
      <w:snapToGrid w:val="0"/>
      <w:spacing w:before="100" w:beforeAutospacing="1" w:line="240" w:lineRule="auto"/>
      <w:ind w:right="-2" w:firstLine="32"/>
    </w:pPr>
    <w:rPr>
      <w:rFonts w:ascii="宋体" w:hAnsi="Arial" w:eastAsia="宋体"/>
      <w:color w:val="000000"/>
      <w:kern w:val="0"/>
      <w:sz w:val="34"/>
      <w:szCs w:val="28"/>
    </w:rPr>
  </w:style>
  <w:style w:type="paragraph" w:customStyle="1" w:styleId="592">
    <w:name w:val="xl77"/>
    <w:basedOn w:val="1"/>
    <w:semiHidden/>
    <w:uiPriority w:val="0"/>
    <w:pPr>
      <w:widowControl/>
      <w:shd w:val="clear" w:color="auto" w:fill="FFFFFF"/>
      <w:spacing w:before="100" w:beforeAutospacing="1" w:after="100" w:afterAutospacing="1" w:line="440" w:lineRule="exact"/>
      <w:ind w:firstLine="0"/>
      <w:jc w:val="center"/>
    </w:pPr>
    <w:rPr>
      <w:rFonts w:ascii="Arial Unicode MS" w:hAnsi="Arial Unicode MS" w:eastAsia="Arial Unicode MS" w:cs="Arial Unicode MS"/>
      <w:color w:val="FFFFFF"/>
      <w:kern w:val="0"/>
      <w:sz w:val="20"/>
    </w:rPr>
  </w:style>
  <w:style w:type="paragraph" w:customStyle="1" w:styleId="593">
    <w:name w:val="style12"/>
    <w:basedOn w:val="1"/>
    <w:semiHidden/>
    <w:uiPriority w:val="0"/>
    <w:pPr>
      <w:widowControl/>
      <w:spacing w:before="100" w:beforeAutospacing="1" w:after="100" w:afterAutospacing="1" w:line="240" w:lineRule="auto"/>
      <w:ind w:firstLine="0"/>
      <w:jc w:val="left"/>
    </w:pPr>
    <w:rPr>
      <w:rFonts w:ascii="Arial Unicode MS" w:hAnsi="Arial Unicode MS" w:eastAsia="宋体"/>
      <w:color w:val="999999"/>
      <w:kern w:val="0"/>
      <w:sz w:val="24"/>
    </w:rPr>
  </w:style>
  <w:style w:type="paragraph" w:customStyle="1" w:styleId="594">
    <w:name w:val="北京4级标题"/>
    <w:next w:val="482"/>
    <w:qFormat/>
    <w:uiPriority w:val="0"/>
    <w:pPr>
      <w:spacing w:line="360" w:lineRule="auto"/>
    </w:pPr>
    <w:rPr>
      <w:rFonts w:ascii="黑体" w:hAnsi="Times New Roman" w:eastAsia="黑体" w:cs="Times New Roman"/>
      <w:bCs/>
      <w:color w:val="000000"/>
      <w:kern w:val="2"/>
      <w:sz w:val="21"/>
      <w:szCs w:val="24"/>
      <w:lang w:val="en-US" w:eastAsia="zh-CN" w:bidi="ar-SA"/>
    </w:rPr>
  </w:style>
  <w:style w:type="paragraph" w:customStyle="1" w:styleId="595">
    <w:name w:val=" Char Char Char Char Char Char Char Char Char Char Char Char Char Char Char Char"/>
    <w:basedOn w:val="1"/>
    <w:semiHidden/>
    <w:uiPriority w:val="0"/>
    <w:pPr>
      <w:spacing w:line="360" w:lineRule="auto"/>
      <w:ind w:firstLine="200"/>
    </w:pPr>
    <w:rPr>
      <w:rFonts w:ascii="宋体" w:hAnsi="宋体" w:eastAsia="宋体" w:cs="宋体"/>
      <w:sz w:val="24"/>
      <w:szCs w:val="24"/>
    </w:rPr>
  </w:style>
  <w:style w:type="paragraph" w:customStyle="1" w:styleId="596">
    <w:name w:val="数据来源"/>
    <w:basedOn w:val="1"/>
    <w:semiHidden/>
    <w:uiPriority w:val="0"/>
    <w:pPr>
      <w:adjustRightInd w:val="0"/>
      <w:snapToGrid w:val="0"/>
      <w:spacing w:line="360" w:lineRule="auto"/>
      <w:ind w:firstLine="0"/>
    </w:pPr>
    <w:rPr>
      <w:rFonts w:ascii="宋体" w:eastAsia="宋体"/>
      <w:kern w:val="0"/>
      <w:sz w:val="20"/>
    </w:rPr>
  </w:style>
  <w:style w:type="paragraph" w:customStyle="1" w:styleId="597">
    <w:name w:val=" Char Char1 Char Char Char Char"/>
    <w:basedOn w:val="1"/>
    <w:semiHidden/>
    <w:uiPriority w:val="0"/>
    <w:pPr>
      <w:widowControl/>
      <w:spacing w:after="160" w:line="240" w:lineRule="exact"/>
      <w:ind w:firstLine="0"/>
      <w:jc w:val="left"/>
    </w:pPr>
    <w:rPr>
      <w:rFonts w:ascii="宋体" w:hAnsi="宋体" w:eastAsia="Times New Roman" w:cs="Verdana"/>
      <w:b/>
      <w:kern w:val="0"/>
      <w:sz w:val="34"/>
      <w:lang w:eastAsia="en-US"/>
    </w:rPr>
  </w:style>
  <w:style w:type="paragraph" w:customStyle="1" w:styleId="598">
    <w:name w:val="Name"/>
    <w:basedOn w:val="1"/>
    <w:next w:val="1"/>
    <w:semiHidden/>
    <w:uiPriority w:val="0"/>
    <w:pPr>
      <w:widowControl/>
      <w:spacing w:after="440" w:line="240" w:lineRule="atLeast"/>
      <w:ind w:left="2160" w:firstLine="0"/>
      <w:jc w:val="left"/>
    </w:pPr>
    <w:rPr>
      <w:rFonts w:ascii="宋体" w:eastAsia="宋体"/>
      <w:spacing w:val="-20"/>
      <w:kern w:val="0"/>
      <w:sz w:val="48"/>
    </w:rPr>
  </w:style>
  <w:style w:type="paragraph" w:customStyle="1" w:styleId="599">
    <w:name w:val="CM19"/>
    <w:basedOn w:val="417"/>
    <w:next w:val="417"/>
    <w:semiHidden/>
    <w:uiPriority w:val="0"/>
    <w:pPr>
      <w:spacing w:line="548" w:lineRule="atLeast"/>
    </w:pPr>
    <w:rPr>
      <w:rFonts w:ascii="楷体_GB2312" w:hAnsi="Times New Roman" w:eastAsia="楷体_GB2312" w:cs="楷体_GB2312"/>
      <w:color w:val="auto"/>
    </w:rPr>
  </w:style>
  <w:style w:type="paragraph" w:customStyle="1" w:styleId="600">
    <w:name w:val="xl29"/>
    <w:basedOn w:val="1"/>
    <w:semiHidden/>
    <w:uiPriority w:val="0"/>
    <w:pPr>
      <w:widowControl/>
      <w:shd w:val="clear" w:color="auto" w:fill="FFFFFF"/>
      <w:spacing w:before="100" w:beforeAutospacing="1" w:after="100" w:afterAutospacing="1" w:line="440" w:lineRule="exact"/>
      <w:ind w:firstLine="0"/>
      <w:jc w:val="right"/>
    </w:pPr>
    <w:rPr>
      <w:rFonts w:ascii="宋体" w:hAnsi="宋体" w:eastAsia="宋体"/>
      <w:color w:val="000000"/>
      <w:kern w:val="0"/>
      <w:sz w:val="20"/>
    </w:rPr>
  </w:style>
  <w:style w:type="paragraph" w:customStyle="1" w:styleId="601">
    <w:name w:val="编号汉字数字"/>
    <w:basedOn w:val="602"/>
    <w:next w:val="1"/>
    <w:semiHidden/>
    <w:uiPriority w:val="0"/>
    <w:pPr>
      <w:tabs>
        <w:tab w:val="left" w:pos="0"/>
        <w:tab w:val="left" w:pos="927"/>
      </w:tabs>
      <w:ind w:left="0" w:firstLine="822"/>
      <w:outlineLvl w:val="9"/>
    </w:pPr>
  </w:style>
  <w:style w:type="paragraph" w:customStyle="1" w:styleId="602">
    <w:name w:val="编号括号数字"/>
    <w:basedOn w:val="1"/>
    <w:semiHidden/>
    <w:uiPriority w:val="0"/>
    <w:pPr>
      <w:tabs>
        <w:tab w:val="left" w:pos="927"/>
      </w:tabs>
      <w:adjustRightInd w:val="0"/>
      <w:snapToGrid w:val="0"/>
      <w:spacing w:line="360" w:lineRule="auto"/>
      <w:ind w:left="927" w:hanging="360"/>
      <w:outlineLvl w:val="4"/>
    </w:pPr>
    <w:rPr>
      <w:rFonts w:ascii="宋体" w:eastAsia="宋体"/>
      <w:kern w:val="0"/>
      <w:sz w:val="24"/>
    </w:rPr>
  </w:style>
  <w:style w:type="paragraph" w:customStyle="1" w:styleId="603">
    <w:name w:val="样式 样式 楷体_GB2312 小二 加粗 居中 行距: 1.5 倍行距 + 首行缩进:  2 字符10"/>
    <w:basedOn w:val="410"/>
    <w:uiPriority w:val="0"/>
    <w:rPr>
      <w:bCs w:val="0"/>
    </w:rPr>
  </w:style>
  <w:style w:type="paragraph" w:customStyle="1" w:styleId="604">
    <w:name w:val="样式 小四 行距: 1.5 倍行距"/>
    <w:basedOn w:val="1"/>
    <w:semiHidden/>
    <w:uiPriority w:val="0"/>
    <w:pPr>
      <w:spacing w:line="360" w:lineRule="auto"/>
      <w:ind w:firstLine="480"/>
    </w:pPr>
    <w:rPr>
      <w:rFonts w:ascii="宋体" w:eastAsia="宋体" w:cs="宋体"/>
      <w:kern w:val="0"/>
      <w:sz w:val="24"/>
    </w:rPr>
  </w:style>
  <w:style w:type="paragraph" w:customStyle="1" w:styleId="605">
    <w:name w:val="2表内正文CM"/>
    <w:basedOn w:val="1"/>
    <w:next w:val="1"/>
    <w:qFormat/>
    <w:uiPriority w:val="0"/>
    <w:pPr>
      <w:widowControl/>
      <w:adjustRightInd w:val="0"/>
      <w:snapToGrid w:val="0"/>
      <w:spacing w:line="240" w:lineRule="auto"/>
      <w:ind w:firstLine="0"/>
      <w:jc w:val="center"/>
    </w:pPr>
    <w:rPr>
      <w:rFonts w:ascii="Calibri" w:hAnsi="Calibri" w:eastAsia="等线"/>
      <w:sz w:val="21"/>
      <w:szCs w:val="22"/>
    </w:rPr>
  </w:style>
  <w:style w:type="paragraph" w:customStyle="1" w:styleId="606">
    <w:name w:val="副标题4"/>
    <w:basedOn w:val="464"/>
    <w:semiHidden/>
    <w:uiPriority w:val="0"/>
    <w:pPr>
      <w:tabs>
        <w:tab w:val="left" w:pos="1275"/>
        <w:tab w:val="left" w:pos="2100"/>
        <w:tab w:val="left" w:pos="3600"/>
        <w:tab w:val="clear" w:pos="672"/>
      </w:tabs>
      <w:ind w:left="1275" w:hanging="705"/>
      <w:outlineLvl w:val="4"/>
    </w:pPr>
  </w:style>
  <w:style w:type="paragraph" w:customStyle="1" w:styleId="607">
    <w:name w:val="font25"/>
    <w:basedOn w:val="1"/>
    <w:semiHidden/>
    <w:uiPriority w:val="0"/>
    <w:pPr>
      <w:widowControl/>
      <w:spacing w:before="100" w:beforeAutospacing="1" w:after="100" w:afterAutospacing="1" w:line="240" w:lineRule="auto"/>
      <w:ind w:firstLine="0"/>
      <w:jc w:val="left"/>
    </w:pPr>
    <w:rPr>
      <w:rFonts w:ascii="宋体" w:eastAsia="宋体"/>
      <w:kern w:val="0"/>
      <w:sz w:val="22"/>
      <w:szCs w:val="22"/>
    </w:rPr>
  </w:style>
  <w:style w:type="paragraph" w:customStyle="1" w:styleId="608">
    <w:name w:val="xl76"/>
    <w:basedOn w:val="1"/>
    <w:semiHidden/>
    <w:uiPriority w:val="0"/>
    <w:pPr>
      <w:widowControl/>
      <w:shd w:val="clear" w:color="auto" w:fill="FFFFFF"/>
      <w:spacing w:before="100" w:beforeAutospacing="1" w:after="100" w:afterAutospacing="1" w:line="440" w:lineRule="exact"/>
      <w:ind w:firstLine="0"/>
      <w:jc w:val="left"/>
    </w:pPr>
    <w:rPr>
      <w:rFonts w:ascii="Arial Unicode MS" w:hAnsi="Arial Unicode MS" w:eastAsia="Arial Unicode MS" w:cs="Arial Unicode MS"/>
      <w:color w:val="000000"/>
      <w:kern w:val="0"/>
      <w:sz w:val="20"/>
    </w:rPr>
  </w:style>
  <w:style w:type="paragraph" w:customStyle="1" w:styleId="609">
    <w:name w:val="表字"/>
    <w:basedOn w:val="1"/>
    <w:semiHidden/>
    <w:uiPriority w:val="0"/>
    <w:pPr>
      <w:spacing w:line="360" w:lineRule="auto"/>
      <w:ind w:firstLine="420"/>
    </w:pPr>
    <w:rPr>
      <w:rFonts w:ascii="Arial" w:hAnsi="Arial" w:eastAsia="宋体"/>
      <w:kern w:val="0"/>
      <w:sz w:val="24"/>
    </w:rPr>
  </w:style>
  <w:style w:type="paragraph" w:customStyle="1" w:styleId="610">
    <w:name w:val="xl90"/>
    <w:basedOn w:val="1"/>
    <w:semiHidden/>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Arial Unicode MS" w:hAnsi="Arial Unicode MS" w:eastAsia="Arial Unicode MS" w:cs="Arial Unicode MS"/>
      <w:color w:val="000000"/>
      <w:kern w:val="0"/>
      <w:sz w:val="20"/>
    </w:rPr>
  </w:style>
  <w:style w:type="paragraph" w:customStyle="1" w:styleId="611">
    <w:name w:val="xl82"/>
    <w:basedOn w:val="1"/>
    <w:semiHidden/>
    <w:uiPriority w:val="0"/>
    <w:pPr>
      <w:widowControl/>
      <w:shd w:val="clear" w:color="auto" w:fill="FFFFFF"/>
      <w:spacing w:before="100" w:beforeAutospacing="1" w:after="100" w:afterAutospacing="1" w:line="440" w:lineRule="exact"/>
      <w:ind w:firstLine="0"/>
      <w:jc w:val="center"/>
    </w:pPr>
    <w:rPr>
      <w:rFonts w:ascii="Arial Unicode MS" w:hAnsi="Arial Unicode MS" w:eastAsia="Arial Unicode MS" w:cs="Arial Unicode MS"/>
      <w:color w:val="FF99CC"/>
      <w:kern w:val="0"/>
      <w:sz w:val="20"/>
    </w:rPr>
  </w:style>
  <w:style w:type="paragraph" w:customStyle="1" w:styleId="612">
    <w:name w:val="正文3"/>
    <w:qFormat/>
    <w:uiPriority w:val="0"/>
    <w:pPr>
      <w:jc w:val="both"/>
    </w:pPr>
    <w:rPr>
      <w:rFonts w:ascii="Calibri" w:hAnsi="Calibri" w:eastAsia="宋体" w:cs="Calibri"/>
      <w:kern w:val="2"/>
      <w:sz w:val="21"/>
      <w:szCs w:val="21"/>
      <w:lang w:val="en-US" w:eastAsia="zh-CN" w:bidi="ar-SA"/>
    </w:rPr>
  </w:style>
  <w:style w:type="paragraph" w:customStyle="1" w:styleId="613">
    <w:name w:val="zw1"/>
    <w:basedOn w:val="1"/>
    <w:semiHidden/>
    <w:uiPriority w:val="0"/>
    <w:pPr>
      <w:widowControl/>
      <w:spacing w:before="100" w:beforeAutospacing="1" w:after="100" w:afterAutospacing="1" w:line="375" w:lineRule="atLeast"/>
      <w:ind w:firstLine="0"/>
      <w:jc w:val="left"/>
    </w:pPr>
    <w:rPr>
      <w:rFonts w:ascii="宋体" w:hAnsi="宋体" w:eastAsia="宋体"/>
      <w:color w:val="000000"/>
      <w:kern w:val="0"/>
      <w:sz w:val="24"/>
      <w:szCs w:val="21"/>
    </w:rPr>
  </w:style>
  <w:style w:type="paragraph" w:customStyle="1" w:styleId="614">
    <w:name w:val="xl543"/>
    <w:basedOn w:val="1"/>
    <w:semiHidden/>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line="240" w:lineRule="auto"/>
      <w:ind w:firstLine="0"/>
      <w:jc w:val="center"/>
      <w:textAlignment w:val="center"/>
    </w:pPr>
    <w:rPr>
      <w:rFonts w:ascii="Arial Unicode MS" w:hAnsi="Arial Unicode MS" w:eastAsia="Arial Unicode MS"/>
      <w:kern w:val="0"/>
      <w:sz w:val="34"/>
    </w:rPr>
  </w:style>
  <w:style w:type="paragraph" w:customStyle="1" w:styleId="615">
    <w:name w:val="xl28"/>
    <w:basedOn w:val="1"/>
    <w:semiHidden/>
    <w:uiPriority w:val="0"/>
    <w:pPr>
      <w:widowControl/>
      <w:pBdr>
        <w:left w:val="single" w:color="auto" w:sz="8" w:space="0"/>
        <w:right w:val="single" w:color="auto" w:sz="8" w:space="0"/>
      </w:pBdr>
      <w:autoSpaceDE w:val="0"/>
      <w:autoSpaceDN w:val="0"/>
      <w:adjustRightInd w:val="0"/>
      <w:snapToGrid w:val="0"/>
      <w:spacing w:before="100" w:after="100" w:line="240" w:lineRule="auto"/>
      <w:ind w:firstLine="0"/>
      <w:jc w:val="center"/>
    </w:pPr>
    <w:rPr>
      <w:rFonts w:hint="eastAsia" w:ascii="宋体" w:hAnsi="宋体" w:eastAsia="宋体"/>
      <w:kern w:val="0"/>
      <w:sz w:val="34"/>
    </w:rPr>
  </w:style>
  <w:style w:type="paragraph" w:customStyle="1" w:styleId="616">
    <w:name w:val="段"/>
    <w:basedOn w:val="1"/>
    <w:qFormat/>
    <w:uiPriority w:val="0"/>
    <w:pPr>
      <w:spacing w:line="240" w:lineRule="auto"/>
      <w:ind w:firstLine="425"/>
    </w:pPr>
    <w:rPr>
      <w:rFonts w:ascii="宋体" w:eastAsia="宋体"/>
      <w:sz w:val="24"/>
    </w:rPr>
  </w:style>
  <w:style w:type="paragraph" w:customStyle="1" w:styleId="617">
    <w:name w:val="默认段落字体 Para Char"/>
    <w:basedOn w:val="1"/>
    <w:next w:val="1"/>
    <w:semiHidden/>
    <w:uiPriority w:val="0"/>
    <w:pPr>
      <w:tabs>
        <w:tab w:val="left" w:pos="1620"/>
        <w:tab w:val="left" w:pos="2363"/>
      </w:tabs>
      <w:spacing w:line="360" w:lineRule="auto"/>
      <w:ind w:left="1620" w:hanging="360"/>
    </w:pPr>
    <w:rPr>
      <w:rFonts w:ascii="宋体" w:hAnsi="宋体" w:eastAsia="宋体" w:cs="宋体"/>
      <w:kern w:val="0"/>
      <w:sz w:val="24"/>
    </w:rPr>
  </w:style>
  <w:style w:type="paragraph" w:customStyle="1" w:styleId="618">
    <w:name w:val="font12"/>
    <w:basedOn w:val="1"/>
    <w:semiHidden/>
    <w:uiPriority w:val="0"/>
    <w:pPr>
      <w:widowControl/>
      <w:spacing w:before="100" w:beforeAutospacing="1" w:after="100" w:afterAutospacing="1" w:line="440" w:lineRule="exact"/>
      <w:ind w:firstLine="0"/>
      <w:jc w:val="left"/>
    </w:pPr>
    <w:rPr>
      <w:rFonts w:ascii="Arial" w:hAnsi="Arial" w:eastAsia="Arial Unicode MS" w:cs="Arial"/>
      <w:b/>
      <w:bCs/>
      <w:kern w:val="0"/>
      <w:sz w:val="20"/>
    </w:rPr>
  </w:style>
  <w:style w:type="paragraph" w:customStyle="1" w:styleId="619">
    <w:name w:val="xl109"/>
    <w:basedOn w:val="1"/>
    <w:semiHidden/>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center"/>
    </w:pPr>
    <w:rPr>
      <w:rFonts w:ascii="Arial Unicode MS" w:hAnsi="Arial Unicode MS" w:eastAsia="Arial Unicode MS" w:cs="Arial Unicode MS"/>
      <w:color w:val="000000"/>
      <w:kern w:val="0"/>
      <w:sz w:val="20"/>
    </w:rPr>
  </w:style>
  <w:style w:type="paragraph" w:customStyle="1" w:styleId="620">
    <w:name w:val=" Char Char Char Char Char Char1 Char"/>
    <w:basedOn w:val="1"/>
    <w:semiHidden/>
    <w:uiPriority w:val="0"/>
    <w:pPr>
      <w:widowControl/>
      <w:spacing w:after="160" w:line="240" w:lineRule="exact"/>
      <w:ind w:firstLine="0"/>
      <w:jc w:val="left"/>
    </w:pPr>
    <w:rPr>
      <w:rFonts w:ascii="宋体" w:hAnsi="宋体" w:eastAsia="Times New Roman" w:cs="Verdana"/>
      <w:b/>
      <w:kern w:val="0"/>
      <w:sz w:val="21"/>
      <w:lang w:eastAsia="en-US"/>
    </w:rPr>
  </w:style>
  <w:style w:type="paragraph" w:customStyle="1" w:styleId="621">
    <w:name w:val="xl60"/>
    <w:basedOn w:val="1"/>
    <w:semiHidden/>
    <w:uiPriority w:val="0"/>
    <w:pPr>
      <w:widowControl/>
      <w:pBdr>
        <w:left w:val="single" w:color="000000" w:sz="4" w:space="0"/>
        <w:bottom w:val="single" w:color="000000" w:sz="4" w:space="0"/>
        <w:right w:val="single" w:color="000000" w:sz="4" w:space="0"/>
      </w:pBdr>
      <w:shd w:val="clear" w:color="auto" w:fill="FFFFFF"/>
      <w:spacing w:before="100" w:beforeAutospacing="1" w:after="100" w:afterAutospacing="1" w:line="440" w:lineRule="exact"/>
      <w:ind w:firstLine="0"/>
      <w:jc w:val="center"/>
    </w:pPr>
    <w:rPr>
      <w:rFonts w:ascii="宋体" w:hAnsi="宋体" w:eastAsia="宋体"/>
      <w:color w:val="000000"/>
      <w:kern w:val="0"/>
      <w:sz w:val="20"/>
    </w:rPr>
  </w:style>
  <w:style w:type="paragraph" w:customStyle="1" w:styleId="622">
    <w:name w:val="金皇-表（图）头"/>
    <w:basedOn w:val="1"/>
    <w:qFormat/>
    <w:uiPriority w:val="0"/>
    <w:pPr>
      <w:adjustRightInd w:val="0"/>
      <w:spacing w:line="240" w:lineRule="auto"/>
      <w:ind w:firstLine="0"/>
      <w:jc w:val="center"/>
      <w:outlineLvl w:val="4"/>
    </w:pPr>
    <w:rPr>
      <w:rFonts w:eastAsia="黑体"/>
      <w:b/>
      <w:kern w:val="0"/>
      <w:sz w:val="24"/>
      <w:szCs w:val="22"/>
    </w:rPr>
  </w:style>
  <w:style w:type="paragraph" w:customStyle="1" w:styleId="623">
    <w:name w:val="标题9"/>
    <w:basedOn w:val="1"/>
    <w:semiHidden/>
    <w:uiPriority w:val="0"/>
    <w:pPr>
      <w:spacing w:line="360" w:lineRule="auto"/>
      <w:ind w:left="1361" w:hanging="397"/>
    </w:pPr>
    <w:rPr>
      <w:rFonts w:ascii="宋体" w:eastAsia="宋体"/>
      <w:kern w:val="0"/>
      <w:sz w:val="24"/>
    </w:rPr>
  </w:style>
  <w:style w:type="paragraph" w:customStyle="1" w:styleId="624">
    <w:name w:val="xl48"/>
    <w:basedOn w:val="1"/>
    <w:semiHidden/>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center"/>
    </w:pPr>
    <w:rPr>
      <w:rFonts w:ascii="宋体" w:hAnsi="宋体" w:eastAsia="宋体"/>
      <w:color w:val="000000"/>
      <w:kern w:val="0"/>
      <w:sz w:val="20"/>
    </w:rPr>
  </w:style>
  <w:style w:type="paragraph" w:customStyle="1" w:styleId="625">
    <w:name w:val="xl32"/>
    <w:basedOn w:val="1"/>
    <w:semiHidden/>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line="440" w:lineRule="exact"/>
      <w:ind w:firstLine="0"/>
      <w:jc w:val="left"/>
    </w:pPr>
    <w:rPr>
      <w:rFonts w:ascii="宋体" w:hAnsi="宋体" w:eastAsia="宋体"/>
      <w:color w:val="000000"/>
      <w:kern w:val="0"/>
      <w:sz w:val="20"/>
    </w:rPr>
  </w:style>
  <w:style w:type="paragraph" w:customStyle="1" w:styleId="626">
    <w:name w:val="块引用"/>
    <w:basedOn w:val="27"/>
    <w:semiHidden/>
    <w:uiPriority w:val="0"/>
    <w:pPr>
      <w:keepLines/>
      <w:widowControl/>
      <w:spacing w:line="280" w:lineRule="exact"/>
      <w:ind w:left="1080" w:right="720"/>
      <w:jc w:val="left"/>
    </w:pPr>
    <w:rPr>
      <w:rFonts w:hint="eastAsia" w:ascii="Arial" w:hAnsi="Arial" w:cs="宋体"/>
      <w:i/>
      <w:kern w:val="0"/>
      <w:sz w:val="22"/>
      <w:szCs w:val="22"/>
    </w:rPr>
  </w:style>
  <w:style w:type="paragraph" w:customStyle="1" w:styleId="627">
    <w:name w:val="font23"/>
    <w:basedOn w:val="1"/>
    <w:semiHidden/>
    <w:uiPriority w:val="0"/>
    <w:pPr>
      <w:widowControl/>
      <w:spacing w:before="100" w:beforeAutospacing="1" w:after="100" w:afterAutospacing="1" w:line="240" w:lineRule="auto"/>
      <w:ind w:firstLine="0"/>
      <w:jc w:val="left"/>
    </w:pPr>
    <w:rPr>
      <w:rFonts w:ascii="Arial" w:hAnsi="Arial" w:eastAsia="宋体" w:cs="Arial"/>
      <w:kern w:val="0"/>
      <w:sz w:val="12"/>
      <w:szCs w:val="12"/>
    </w:rPr>
  </w:style>
  <w:style w:type="paragraph" w:customStyle="1" w:styleId="628">
    <w:name w:val="Numbered List 1"/>
    <w:basedOn w:val="23"/>
    <w:semiHidden/>
    <w:uiPriority w:val="0"/>
    <w:pPr>
      <w:widowControl/>
      <w:tabs>
        <w:tab w:val="left" w:pos="360"/>
      </w:tabs>
      <w:spacing w:after="120"/>
      <w:ind w:left="360" w:hanging="360"/>
      <w:jc w:val="left"/>
    </w:pPr>
    <w:rPr>
      <w:sz w:val="24"/>
      <w:szCs w:val="20"/>
      <w:u w:val="single"/>
      <w:lang w:val="en-GB"/>
    </w:rPr>
  </w:style>
  <w:style w:type="paragraph" w:customStyle="1" w:styleId="629">
    <w:name w:val="样式 样式 左侧:  1.5 厘米 首行缩进:  0 厘米 + 左侧:  0 厘米"/>
    <w:basedOn w:val="460"/>
    <w:semiHidden/>
    <w:uiPriority w:val="0"/>
    <w:pPr>
      <w:ind w:left="0" w:firstLine="200"/>
    </w:pPr>
  </w:style>
  <w:style w:type="paragraph" w:customStyle="1" w:styleId="630">
    <w:name w:val="文阳光"/>
    <w:qFormat/>
    <w:uiPriority w:val="0"/>
    <w:pPr>
      <w:spacing w:line="360" w:lineRule="auto"/>
      <w:ind w:firstLine="200"/>
      <w:jc w:val="both"/>
    </w:pPr>
    <w:rPr>
      <w:rFonts w:ascii="Times New Roman" w:hAnsi="Times New Roman" w:eastAsia="宋体" w:cs="Times New Roman"/>
      <w:bCs/>
      <w:sz w:val="24"/>
      <w:szCs w:val="28"/>
      <w:lang w:val="en-US" w:eastAsia="zh-CN" w:bidi="ar-SA"/>
    </w:rPr>
  </w:style>
  <w:style w:type="paragraph" w:customStyle="1" w:styleId="631">
    <w:name w:val="kk"/>
    <w:basedOn w:val="1"/>
    <w:semiHidden/>
    <w:uiPriority w:val="0"/>
    <w:pPr>
      <w:widowControl/>
      <w:pBdr>
        <w:top w:val="single" w:color="F7F7F7" w:sz="18" w:space="0"/>
        <w:bottom w:val="single" w:color="C6C6C6" w:sz="18" w:space="0"/>
      </w:pBdr>
      <w:shd w:val="clear" w:color="auto" w:fill="DDDDDD"/>
      <w:spacing w:before="100" w:beforeAutospacing="1" w:after="100" w:afterAutospacing="1" w:line="240" w:lineRule="auto"/>
      <w:ind w:firstLine="0"/>
      <w:jc w:val="left"/>
    </w:pPr>
    <w:rPr>
      <w:rFonts w:ascii="Arial Unicode MS" w:hAnsi="Arial Unicode MS" w:eastAsia="宋体"/>
      <w:kern w:val="0"/>
      <w:sz w:val="24"/>
    </w:rPr>
  </w:style>
  <w:style w:type="paragraph" w:customStyle="1" w:styleId="632">
    <w:name w:val="1文章"/>
    <w:basedOn w:val="1"/>
    <w:semiHidden/>
    <w:uiPriority w:val="0"/>
    <w:pPr>
      <w:snapToGrid w:val="0"/>
      <w:spacing w:line="420" w:lineRule="auto"/>
      <w:ind w:firstLine="518"/>
      <w:outlineLvl w:val="4"/>
    </w:pPr>
    <w:rPr>
      <w:rFonts w:ascii="宋体" w:eastAsia="宋体"/>
      <w:spacing w:val="4"/>
      <w:kern w:val="0"/>
      <w:sz w:val="24"/>
    </w:rPr>
  </w:style>
  <w:style w:type="paragraph" w:customStyle="1" w:styleId="633">
    <w:name w:val="xl83"/>
    <w:basedOn w:val="1"/>
    <w:semiHidden/>
    <w:uiPriority w:val="0"/>
    <w:pPr>
      <w:widowControl/>
      <w:shd w:val="clear" w:color="auto" w:fill="FFFFFF"/>
      <w:spacing w:before="100" w:beforeAutospacing="1" w:after="100" w:afterAutospacing="1" w:line="440" w:lineRule="exact"/>
      <w:ind w:firstLine="0"/>
      <w:jc w:val="center"/>
    </w:pPr>
    <w:rPr>
      <w:rFonts w:ascii="Arial Unicode MS" w:hAnsi="Arial Unicode MS" w:eastAsia="Arial Unicode MS" w:cs="Arial Unicode MS"/>
      <w:color w:val="000000"/>
      <w:kern w:val="0"/>
      <w:sz w:val="20"/>
    </w:rPr>
  </w:style>
  <w:style w:type="paragraph" w:customStyle="1" w:styleId="634">
    <w:name w:val="Tblhead"/>
    <w:basedOn w:val="1"/>
    <w:next w:val="1"/>
    <w:semiHidden/>
    <w:uiPriority w:val="0"/>
    <w:pPr>
      <w:pageBreakBefore/>
      <w:adjustRightInd w:val="0"/>
      <w:spacing w:line="240" w:lineRule="auto"/>
      <w:ind w:firstLine="0"/>
      <w:jc w:val="center"/>
      <w:textAlignment w:val="baseline"/>
    </w:pPr>
    <w:rPr>
      <w:rFonts w:ascii="宋体" w:eastAsia="宋体"/>
      <w:kern w:val="0"/>
      <w:sz w:val="24"/>
    </w:rPr>
  </w:style>
  <w:style w:type="paragraph" w:customStyle="1" w:styleId="635">
    <w:name w:val="ST20_13"/>
    <w:basedOn w:val="1"/>
    <w:next w:val="1"/>
    <w:semiHidden/>
    <w:uiPriority w:val="0"/>
    <w:pPr>
      <w:autoSpaceDE w:val="0"/>
      <w:autoSpaceDN w:val="0"/>
      <w:adjustRightInd w:val="0"/>
      <w:spacing w:before="160" w:line="360" w:lineRule="atLeast"/>
      <w:ind w:firstLine="0"/>
      <w:jc w:val="left"/>
    </w:pPr>
    <w:rPr>
      <w:rFonts w:ascii="宋体" w:hAnsi="Tms Rmn" w:eastAsia="宋体"/>
      <w:kern w:val="0"/>
    </w:rPr>
  </w:style>
  <w:style w:type="paragraph" w:customStyle="1" w:styleId="636">
    <w:name w:val="xl75"/>
    <w:basedOn w:val="1"/>
    <w:semiHidden/>
    <w:uiPriority w:val="0"/>
    <w:pPr>
      <w:widowControl/>
      <w:shd w:val="clear" w:color="auto" w:fill="FFFFFF"/>
      <w:spacing w:before="100" w:beforeAutospacing="1" w:after="100" w:afterAutospacing="1" w:line="440" w:lineRule="exact"/>
      <w:ind w:firstLine="0"/>
      <w:jc w:val="center"/>
    </w:pPr>
    <w:rPr>
      <w:rFonts w:ascii="Arial Unicode MS" w:hAnsi="Arial Unicode MS" w:eastAsia="Arial Unicode MS" w:cs="Arial Unicode MS"/>
      <w:color w:val="FFFFFF"/>
      <w:kern w:val="0"/>
      <w:sz w:val="20"/>
    </w:rPr>
  </w:style>
  <w:style w:type="paragraph" w:customStyle="1" w:styleId="637">
    <w:name w:val="xl59"/>
    <w:basedOn w:val="1"/>
    <w:semiHidden/>
    <w:uiPriority w:val="0"/>
    <w:pPr>
      <w:widowControl/>
      <w:pBdr>
        <w:top w:val="single" w:color="auto" w:sz="4" w:space="0"/>
        <w:left w:val="single" w:color="auto" w:sz="4" w:space="0"/>
        <w:right w:val="single" w:color="auto" w:sz="4" w:space="0"/>
      </w:pBdr>
      <w:shd w:val="clear" w:color="auto" w:fill="FFFFFF"/>
      <w:spacing w:before="100" w:beforeAutospacing="1" w:after="100" w:afterAutospacing="1" w:line="440" w:lineRule="exact"/>
      <w:ind w:firstLine="0"/>
      <w:jc w:val="center"/>
    </w:pPr>
    <w:rPr>
      <w:rFonts w:ascii="宋体" w:hAnsi="宋体" w:eastAsia="宋体"/>
      <w:color w:val="000000"/>
      <w:kern w:val="0"/>
      <w:sz w:val="20"/>
    </w:rPr>
  </w:style>
  <w:style w:type="paragraph" w:customStyle="1" w:styleId="638">
    <w:name w:val="xl81"/>
    <w:basedOn w:val="1"/>
    <w:semiHidden/>
    <w:uiPriority w:val="0"/>
    <w:pPr>
      <w:widowControl/>
      <w:pBdr>
        <w:bottom w:val="single" w:color="auto" w:sz="4" w:space="0"/>
      </w:pBdr>
      <w:shd w:val="clear" w:color="auto" w:fill="FFFFFF"/>
      <w:spacing w:before="100" w:beforeAutospacing="1" w:after="100" w:afterAutospacing="1" w:line="440" w:lineRule="exact"/>
      <w:ind w:firstLine="0"/>
      <w:jc w:val="center"/>
    </w:pPr>
    <w:rPr>
      <w:rFonts w:ascii="Arial Unicode MS" w:hAnsi="Arial Unicode MS" w:eastAsia="Arial Unicode MS" w:cs="Arial Unicode MS"/>
      <w:color w:val="000000"/>
      <w:kern w:val="0"/>
      <w:sz w:val="20"/>
    </w:rPr>
  </w:style>
  <w:style w:type="paragraph" w:customStyle="1" w:styleId="639">
    <w:name w:val="xl50"/>
    <w:basedOn w:val="1"/>
    <w:semiHidden/>
    <w:uiPriority w:val="0"/>
    <w:pPr>
      <w:widowControl/>
      <w:pBdr>
        <w:top w:val="single" w:color="000000" w:sz="4" w:space="0"/>
        <w:left w:val="single" w:color="000000" w:sz="4" w:space="0"/>
        <w:bottom w:val="single" w:color="000000" w:sz="4" w:space="0"/>
        <w:right w:val="single" w:color="000000" w:sz="4" w:space="0"/>
      </w:pBdr>
      <w:shd w:val="clear" w:color="auto" w:fill="FFFFFF"/>
      <w:spacing w:before="100" w:beforeAutospacing="1" w:after="100" w:afterAutospacing="1" w:line="440" w:lineRule="exact"/>
      <w:ind w:firstLine="0"/>
      <w:jc w:val="center"/>
    </w:pPr>
    <w:rPr>
      <w:rFonts w:ascii="宋体" w:hAnsi="宋体" w:eastAsia="宋体"/>
      <w:color w:val="000000"/>
      <w:kern w:val="0"/>
      <w:sz w:val="20"/>
    </w:rPr>
  </w:style>
  <w:style w:type="paragraph" w:customStyle="1" w:styleId="640">
    <w:name w:val="CM45"/>
    <w:basedOn w:val="417"/>
    <w:next w:val="417"/>
    <w:semiHidden/>
    <w:uiPriority w:val="0"/>
    <w:pPr>
      <w:spacing w:after="500"/>
    </w:pPr>
    <w:rPr>
      <w:rFonts w:ascii="楷体_GB2312" w:hAnsi="Times New Roman" w:eastAsia="楷体_GB2312" w:cs="楷体_GB2312"/>
      <w:color w:val="auto"/>
    </w:rPr>
  </w:style>
  <w:style w:type="paragraph" w:customStyle="1" w:styleId="641">
    <w:name w:val="xl34"/>
    <w:basedOn w:val="1"/>
    <w:semiHidden/>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line="440" w:lineRule="exact"/>
      <w:ind w:firstLine="0"/>
      <w:jc w:val="left"/>
    </w:pPr>
    <w:rPr>
      <w:rFonts w:ascii="宋体" w:hAnsi="宋体" w:eastAsia="宋体"/>
      <w:color w:val="000000"/>
      <w:kern w:val="0"/>
      <w:sz w:val="20"/>
    </w:rPr>
  </w:style>
  <w:style w:type="paragraph" w:customStyle="1" w:styleId="642">
    <w:name w:val="CM22"/>
    <w:basedOn w:val="417"/>
    <w:next w:val="417"/>
    <w:semiHidden/>
    <w:uiPriority w:val="0"/>
    <w:rPr>
      <w:rFonts w:ascii="楷体_GB2312" w:hAnsi="Times New Roman" w:eastAsia="楷体_GB2312" w:cs="Times New Roman"/>
      <w:color w:val="auto"/>
    </w:rPr>
  </w:style>
  <w:style w:type="paragraph" w:customStyle="1" w:styleId="643">
    <w:name w:val="报告书表格"/>
    <w:basedOn w:val="1"/>
    <w:semiHidden/>
    <w:uiPriority w:val="0"/>
    <w:pPr>
      <w:adjustRightInd w:val="0"/>
      <w:snapToGrid w:val="0"/>
      <w:spacing w:before="60" w:after="60" w:line="240" w:lineRule="atLeast"/>
      <w:ind w:firstLine="480"/>
      <w:jc w:val="center"/>
      <w:textAlignment w:val="baseline"/>
    </w:pPr>
    <w:rPr>
      <w:rFonts w:ascii="宋体" w:eastAsia="宋体"/>
      <w:kern w:val="0"/>
      <w:sz w:val="34"/>
    </w:rPr>
  </w:style>
  <w:style w:type="paragraph" w:customStyle="1" w:styleId="644">
    <w:name w:val=" Char Char3 Char Char Char Char"/>
    <w:basedOn w:val="1"/>
    <w:semiHidden/>
    <w:uiPriority w:val="0"/>
    <w:pPr>
      <w:widowControl/>
      <w:spacing w:after="160" w:line="240" w:lineRule="exact"/>
      <w:ind w:firstLine="0"/>
      <w:jc w:val="left"/>
    </w:pPr>
    <w:rPr>
      <w:rFonts w:ascii="Verdana" w:hAnsi="Verdana" w:eastAsia="宋体"/>
      <w:kern w:val="0"/>
      <w:sz w:val="20"/>
      <w:lang w:eastAsia="en-US"/>
    </w:rPr>
  </w:style>
  <w:style w:type="paragraph" w:customStyle="1" w:styleId="645">
    <w:name w:val="样式2"/>
    <w:basedOn w:val="1"/>
    <w:qFormat/>
    <w:uiPriority w:val="0"/>
    <w:pPr>
      <w:spacing w:line="300" w:lineRule="atLeast"/>
      <w:ind w:firstLine="0"/>
      <w:jc w:val="center"/>
    </w:pPr>
    <w:rPr>
      <w:rFonts w:ascii="宋体" w:eastAsia="楷体_GB2312"/>
      <w:kern w:val="0"/>
      <w:sz w:val="34"/>
    </w:rPr>
  </w:style>
  <w:style w:type="paragraph" w:customStyle="1" w:styleId="646">
    <w:name w:val="样式 左侧:  1.5 厘米"/>
    <w:basedOn w:val="1"/>
    <w:semiHidden/>
    <w:uiPriority w:val="0"/>
    <w:pPr>
      <w:spacing w:after="120" w:line="440" w:lineRule="exact"/>
      <w:ind w:left="851" w:firstLine="0"/>
    </w:pPr>
    <w:rPr>
      <w:rFonts w:ascii="Arial" w:hAnsi="Arial" w:eastAsia="宋体"/>
      <w:kern w:val="0"/>
      <w:sz w:val="24"/>
    </w:rPr>
  </w:style>
  <w:style w:type="paragraph" w:customStyle="1" w:styleId="647">
    <w:name w:val="Objective"/>
    <w:basedOn w:val="1"/>
    <w:next w:val="27"/>
    <w:semiHidden/>
    <w:uiPriority w:val="0"/>
    <w:pPr>
      <w:widowControl/>
      <w:spacing w:before="220" w:after="220" w:line="220" w:lineRule="atLeast"/>
      <w:ind w:firstLine="0"/>
      <w:jc w:val="left"/>
    </w:pPr>
    <w:rPr>
      <w:rFonts w:ascii="宋体" w:eastAsia="宋体"/>
      <w:kern w:val="0"/>
      <w:sz w:val="20"/>
    </w:rPr>
  </w:style>
  <w:style w:type="paragraph" w:customStyle="1" w:styleId="648">
    <w:name w:val="表格内容000"/>
    <w:basedOn w:val="1"/>
    <w:qFormat/>
    <w:uiPriority w:val="0"/>
    <w:pPr>
      <w:spacing w:line="240" w:lineRule="auto"/>
      <w:ind w:firstLine="0"/>
      <w:jc w:val="center"/>
    </w:pPr>
    <w:rPr>
      <w:rFonts w:ascii="Calibri" w:hAnsi="Calibri" w:eastAsia="宋体"/>
      <w:color w:val="000000"/>
      <w:kern w:val="0"/>
      <w:sz w:val="21"/>
      <w:szCs w:val="21"/>
    </w:rPr>
  </w:style>
  <w:style w:type="paragraph" w:customStyle="1" w:styleId="649">
    <w:name w:val="表－居中列"/>
    <w:basedOn w:val="650"/>
    <w:semiHidden/>
    <w:qFormat/>
    <w:uiPriority w:val="0"/>
    <w:pPr>
      <w:jc w:val="center"/>
    </w:pPr>
  </w:style>
  <w:style w:type="paragraph" w:customStyle="1" w:styleId="650">
    <w:name w:val="表－左对齐"/>
    <w:basedOn w:val="1"/>
    <w:semiHidden/>
    <w:qFormat/>
    <w:uiPriority w:val="0"/>
    <w:pPr>
      <w:suppressLineNumbers/>
      <w:suppressAutoHyphens/>
      <w:snapToGrid w:val="0"/>
      <w:spacing w:before="60" w:after="60" w:line="240" w:lineRule="auto"/>
      <w:ind w:firstLine="0"/>
      <w:jc w:val="left"/>
    </w:pPr>
    <w:rPr>
      <w:rFonts w:ascii="宋体" w:eastAsia="宋体" w:cs="Arial"/>
      <w:kern w:val="0"/>
      <w:sz w:val="34"/>
      <w:szCs w:val="21"/>
      <w:lang w:eastAsia="ja-JP"/>
    </w:rPr>
  </w:style>
  <w:style w:type="paragraph" w:customStyle="1" w:styleId="651">
    <w:name w:val="xl85"/>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center"/>
    </w:pPr>
    <w:rPr>
      <w:rFonts w:ascii="Arial Unicode MS" w:hAnsi="Arial Unicode MS" w:eastAsia="Arial Unicode MS" w:cs="Arial Unicode MS"/>
      <w:color w:val="000000"/>
      <w:kern w:val="0"/>
      <w:sz w:val="20"/>
    </w:rPr>
  </w:style>
  <w:style w:type="paragraph" w:customStyle="1" w:styleId="652">
    <w:name w:val="_a) énum. (1er niveau)"/>
    <w:semiHidden/>
    <w:qFormat/>
    <w:uiPriority w:val="0"/>
    <w:pPr>
      <w:spacing w:after="120" w:line="280" w:lineRule="atLeast"/>
      <w:ind w:left="993" w:hanging="426"/>
      <w:jc w:val="both"/>
    </w:pPr>
    <w:rPr>
      <w:rFonts w:ascii="Times New Roman" w:hAnsi="Times New Roman" w:eastAsia="宋体" w:cs="Times New Roman"/>
      <w:b/>
      <w:sz w:val="24"/>
      <w:lang w:val="fr-FR" w:eastAsia="zh-CN" w:bidi="ar-SA"/>
    </w:rPr>
  </w:style>
  <w:style w:type="paragraph" w:customStyle="1" w:styleId="653">
    <w:name w:val="Bullet 3"/>
    <w:basedOn w:val="1"/>
    <w:next w:val="1"/>
    <w:semiHidden/>
    <w:uiPriority w:val="0"/>
    <w:pPr>
      <w:widowControl/>
      <w:tabs>
        <w:tab w:val="left" w:pos="0"/>
        <w:tab w:val="left" w:pos="1440"/>
      </w:tabs>
      <w:spacing w:line="240" w:lineRule="auto"/>
      <w:ind w:left="3600" w:firstLine="0"/>
      <w:jc w:val="left"/>
    </w:pPr>
    <w:rPr>
      <w:rFonts w:ascii="Arial" w:hAnsi="Arial" w:eastAsia="宋体"/>
      <w:kern w:val="0"/>
      <w:sz w:val="20"/>
    </w:rPr>
  </w:style>
  <w:style w:type="paragraph" w:customStyle="1" w:styleId="654">
    <w:name w:val="样式2 正文"/>
    <w:basedOn w:val="1"/>
    <w:semiHidden/>
    <w:uiPriority w:val="0"/>
    <w:pPr>
      <w:adjustRightInd w:val="0"/>
      <w:snapToGrid w:val="0"/>
      <w:spacing w:line="420" w:lineRule="auto"/>
      <w:ind w:firstLine="200"/>
    </w:pPr>
    <w:rPr>
      <w:rFonts w:ascii="宋体" w:eastAsia="宋体"/>
      <w:kern w:val="0"/>
      <w:sz w:val="34"/>
      <w:szCs w:val="21"/>
    </w:rPr>
  </w:style>
  <w:style w:type="paragraph" w:customStyle="1" w:styleId="655">
    <w:name w:val="表格下注"/>
    <w:semiHidden/>
    <w:uiPriority w:val="0"/>
    <w:pPr>
      <w:autoSpaceDE w:val="0"/>
      <w:autoSpaceDN w:val="0"/>
      <w:ind w:firstLine="200"/>
      <w:jc w:val="both"/>
    </w:pPr>
    <w:rPr>
      <w:rFonts w:ascii="Times New Roman" w:hAnsi="Times New Roman" w:eastAsia="黑体" w:cs="Times New Roman"/>
      <w:sz w:val="21"/>
      <w:lang w:val="en-US" w:eastAsia="zh-CN" w:bidi="ar-SA"/>
    </w:rPr>
  </w:style>
  <w:style w:type="paragraph" w:customStyle="1" w:styleId="656">
    <w:name w:val="正文A"/>
    <w:basedOn w:val="1"/>
    <w:qFormat/>
    <w:uiPriority w:val="0"/>
    <w:pPr>
      <w:autoSpaceDE w:val="0"/>
      <w:autoSpaceDN w:val="0"/>
      <w:adjustRightInd w:val="0"/>
      <w:snapToGrid w:val="0"/>
      <w:spacing w:line="400" w:lineRule="atLeast"/>
      <w:ind w:firstLine="539"/>
      <w:textAlignment w:val="baseline"/>
    </w:pPr>
    <w:rPr>
      <w:rFonts w:ascii="Calibri" w:hAnsi="宋体" w:eastAsia="宋体"/>
      <w:sz w:val="21"/>
    </w:rPr>
  </w:style>
  <w:style w:type="paragraph" w:customStyle="1" w:styleId="657">
    <w:name w:val="正文文本缩进A"/>
    <w:basedOn w:val="1"/>
    <w:semiHidden/>
    <w:qFormat/>
    <w:uiPriority w:val="0"/>
    <w:pPr>
      <w:spacing w:line="360" w:lineRule="auto"/>
      <w:jc w:val="left"/>
    </w:pPr>
    <w:rPr>
      <w:rFonts w:ascii="Arial" w:hAnsi="Arial" w:eastAsia="宋体" w:cs="宋体"/>
      <w:kern w:val="0"/>
    </w:rPr>
  </w:style>
  <w:style w:type="paragraph" w:customStyle="1" w:styleId="658">
    <w:name w:val="xl42"/>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left"/>
    </w:pPr>
    <w:rPr>
      <w:rFonts w:ascii="宋体" w:hAnsi="宋体" w:eastAsia="宋体"/>
      <w:color w:val="000000"/>
      <w:kern w:val="0"/>
      <w:sz w:val="20"/>
    </w:rPr>
  </w:style>
  <w:style w:type="paragraph" w:customStyle="1" w:styleId="659">
    <w:name w:val="hei"/>
    <w:basedOn w:val="1"/>
    <w:semiHidden/>
    <w:qFormat/>
    <w:uiPriority w:val="0"/>
    <w:pPr>
      <w:widowControl/>
      <w:spacing w:before="100" w:beforeAutospacing="1" w:after="100" w:afterAutospacing="1" w:line="240" w:lineRule="auto"/>
      <w:ind w:firstLine="0"/>
      <w:jc w:val="left"/>
    </w:pPr>
    <w:rPr>
      <w:rFonts w:ascii="_x001A_" w:hAnsi="_x001A_" w:eastAsia="宋体"/>
      <w:color w:val="3C00FF"/>
      <w:kern w:val="0"/>
      <w:sz w:val="27"/>
      <w:szCs w:val="27"/>
    </w:rPr>
  </w:style>
  <w:style w:type="paragraph" w:customStyle="1" w:styleId="660">
    <w:name w:val="标题3"/>
    <w:basedOn w:val="7"/>
    <w:next w:val="8"/>
    <w:qFormat/>
    <w:uiPriority w:val="0"/>
    <w:pPr>
      <w:tabs>
        <w:tab w:val="left" w:pos="567"/>
      </w:tabs>
      <w:autoSpaceDE w:val="0"/>
      <w:autoSpaceDN w:val="0"/>
      <w:adjustRightInd w:val="0"/>
      <w:spacing w:before="0" w:after="0" w:line="360" w:lineRule="auto"/>
      <w:ind w:firstLine="0"/>
      <w:jc w:val="left"/>
    </w:pPr>
    <w:rPr>
      <w:rFonts w:cs="Arial"/>
      <w:color w:val="000000"/>
      <w:kern w:val="0"/>
      <w:sz w:val="24"/>
      <w:szCs w:val="20"/>
    </w:rPr>
  </w:style>
  <w:style w:type="paragraph" w:customStyle="1" w:styleId="661">
    <w:name w:val="0.正文内容"/>
    <w:qFormat/>
    <w:uiPriority w:val="0"/>
    <w:pPr>
      <w:adjustRightInd w:val="0"/>
      <w:snapToGrid w:val="0"/>
      <w:jc w:val="both"/>
    </w:pPr>
    <w:rPr>
      <w:rFonts w:ascii="Calibri" w:hAnsi="Calibri" w:eastAsia="等线" w:cs="Times New Roman"/>
      <w:sz w:val="21"/>
      <w:lang w:val="en-US" w:eastAsia="zh-CN" w:bidi="ar-SA"/>
    </w:rPr>
  </w:style>
  <w:style w:type="paragraph" w:customStyle="1" w:styleId="662">
    <w:name w:val="样式 目录 1 + 小四"/>
    <w:basedOn w:val="63"/>
    <w:semiHidden/>
    <w:uiPriority w:val="0"/>
    <w:pPr>
      <w:keepNext/>
      <w:keepLines/>
      <w:tabs>
        <w:tab w:val="right" w:leader="dot" w:pos="9240"/>
      </w:tabs>
      <w:spacing w:line="360" w:lineRule="auto"/>
      <w:outlineLvl w:val="1"/>
    </w:pPr>
    <w:rPr>
      <w:rFonts w:ascii="宋体" w:hAnsi="Arial"/>
      <w:b w:val="0"/>
      <w:bCs/>
      <w:i/>
      <w:kern w:val="0"/>
      <w:sz w:val="28"/>
      <w:szCs w:val="28"/>
    </w:rPr>
  </w:style>
  <w:style w:type="paragraph" w:customStyle="1" w:styleId="663">
    <w:name w:val="xl72"/>
    <w:basedOn w:val="1"/>
    <w:semiHidden/>
    <w:uiPriority w:val="0"/>
    <w:pPr>
      <w:widowControl/>
      <w:pBdr>
        <w:top w:val="single" w:color="auto" w:sz="4" w:space="0"/>
        <w:left w:val="single" w:color="auto" w:sz="4" w:space="0"/>
        <w:bottom w:val="single" w:color="auto" w:sz="4" w:space="0"/>
      </w:pBdr>
      <w:spacing w:before="100" w:beforeAutospacing="1" w:after="100" w:afterAutospacing="1" w:line="440" w:lineRule="exact"/>
      <w:ind w:firstLine="0"/>
    </w:pPr>
    <w:rPr>
      <w:rFonts w:ascii="宋体" w:hAnsi="宋体" w:eastAsia="宋体"/>
      <w:color w:val="000000"/>
      <w:kern w:val="0"/>
      <w:sz w:val="20"/>
    </w:rPr>
  </w:style>
  <w:style w:type="paragraph" w:customStyle="1" w:styleId="664">
    <w:name w:val="txt"/>
    <w:basedOn w:val="1"/>
    <w:semiHidden/>
    <w:qFormat/>
    <w:uiPriority w:val="0"/>
    <w:pPr>
      <w:widowControl/>
      <w:spacing w:before="100" w:beforeAutospacing="1" w:after="100" w:afterAutospacing="1" w:line="360" w:lineRule="auto"/>
      <w:ind w:firstLine="0"/>
      <w:jc w:val="left"/>
    </w:pPr>
    <w:rPr>
      <w:rFonts w:ascii="Arial Unicode MS" w:hAnsi="Arial Unicode MS" w:eastAsia="宋体"/>
      <w:b/>
      <w:bCs/>
      <w:color w:val="000000"/>
      <w:kern w:val="0"/>
      <w:sz w:val="34"/>
      <w:szCs w:val="21"/>
    </w:rPr>
  </w:style>
  <w:style w:type="paragraph" w:customStyle="1" w:styleId="665">
    <w:name w:val="Bullet1"/>
    <w:basedOn w:val="1"/>
    <w:semiHidden/>
    <w:qFormat/>
    <w:uiPriority w:val="0"/>
    <w:pPr>
      <w:tabs>
        <w:tab w:val="left" w:pos="1270"/>
      </w:tabs>
      <w:spacing w:line="240" w:lineRule="auto"/>
      <w:ind w:left="1270" w:hanging="420"/>
    </w:pPr>
    <w:rPr>
      <w:rFonts w:ascii="宋体" w:eastAsia="宋体"/>
      <w:kern w:val="0"/>
      <w:sz w:val="34"/>
    </w:rPr>
  </w:style>
  <w:style w:type="paragraph" w:customStyle="1" w:styleId="666">
    <w:name w:val="标题5"/>
    <w:basedOn w:val="1"/>
    <w:semiHidden/>
    <w:qFormat/>
    <w:uiPriority w:val="0"/>
    <w:pPr>
      <w:tabs>
        <w:tab w:val="left" w:pos="3360"/>
      </w:tabs>
      <w:spacing w:line="360" w:lineRule="auto"/>
      <w:ind w:left="3360" w:firstLine="0"/>
    </w:pPr>
    <w:rPr>
      <w:rFonts w:ascii="宋体" w:eastAsia="宋体"/>
      <w:kern w:val="0"/>
      <w:sz w:val="24"/>
    </w:rPr>
  </w:style>
  <w:style w:type="paragraph" w:customStyle="1" w:styleId="667">
    <w:name w:val="style7"/>
    <w:basedOn w:val="1"/>
    <w:semiHidden/>
    <w:qFormat/>
    <w:uiPriority w:val="0"/>
    <w:pPr>
      <w:widowControl/>
      <w:spacing w:before="100" w:beforeAutospacing="1" w:after="100" w:afterAutospacing="1" w:line="240" w:lineRule="auto"/>
      <w:ind w:firstLine="0"/>
      <w:jc w:val="left"/>
    </w:pPr>
    <w:rPr>
      <w:rFonts w:ascii="Arial Unicode MS" w:hAnsi="Arial Unicode MS" w:eastAsia="Arial Unicode MS"/>
      <w:color w:val="FF0000"/>
      <w:kern w:val="0"/>
      <w:sz w:val="24"/>
    </w:rPr>
  </w:style>
  <w:style w:type="paragraph" w:customStyle="1" w:styleId="668">
    <w:name w:val="Job Title"/>
    <w:next w:val="669"/>
    <w:semiHidden/>
    <w:qFormat/>
    <w:uiPriority w:val="0"/>
    <w:pPr>
      <w:spacing w:after="40" w:line="220" w:lineRule="atLeast"/>
    </w:pPr>
    <w:rPr>
      <w:rFonts w:ascii="Arial" w:hAnsi="Arial" w:eastAsia="宋体" w:cs="Times New Roman"/>
      <w:b/>
      <w:spacing w:val="-10"/>
      <w:lang w:val="en-US" w:eastAsia="zh-CN" w:bidi="ar-SA"/>
    </w:rPr>
  </w:style>
  <w:style w:type="paragraph" w:customStyle="1" w:styleId="669">
    <w:name w:val="Achievement"/>
    <w:basedOn w:val="1"/>
    <w:semiHidden/>
    <w:uiPriority w:val="0"/>
    <w:pPr>
      <w:tabs>
        <w:tab w:val="left" w:pos="360"/>
      </w:tabs>
      <w:spacing w:line="440" w:lineRule="exact"/>
      <w:ind w:left="360" w:hanging="360"/>
    </w:pPr>
    <w:rPr>
      <w:rFonts w:ascii="宋体" w:eastAsia="宋体"/>
      <w:kern w:val="0"/>
      <w:sz w:val="34"/>
    </w:rPr>
  </w:style>
  <w:style w:type="paragraph" w:customStyle="1" w:styleId="670">
    <w:name w:val="三级标题"/>
    <w:basedOn w:val="1"/>
    <w:qFormat/>
    <w:uiPriority w:val="0"/>
    <w:pPr>
      <w:adjustRightInd w:val="0"/>
      <w:snapToGrid w:val="0"/>
      <w:spacing w:line="360" w:lineRule="auto"/>
      <w:ind w:firstLine="200"/>
      <w:outlineLvl w:val="2"/>
    </w:pPr>
    <w:rPr>
      <w:rFonts w:eastAsia="宋体"/>
      <w:b/>
      <w:sz w:val="24"/>
    </w:rPr>
  </w:style>
  <w:style w:type="paragraph" w:customStyle="1" w:styleId="671">
    <w:name w:val="font10"/>
    <w:basedOn w:val="1"/>
    <w:semiHidden/>
    <w:qFormat/>
    <w:uiPriority w:val="0"/>
    <w:pPr>
      <w:widowControl/>
      <w:spacing w:before="100" w:beforeAutospacing="1" w:after="100" w:afterAutospacing="1" w:line="440" w:lineRule="exact"/>
      <w:ind w:firstLine="0"/>
      <w:jc w:val="left"/>
    </w:pPr>
    <w:rPr>
      <w:rFonts w:ascii="Arial" w:hAnsi="Arial" w:eastAsia="Arial Unicode MS" w:cs="Arial"/>
      <w:kern w:val="0"/>
      <w:sz w:val="20"/>
    </w:rPr>
  </w:style>
  <w:style w:type="paragraph" w:customStyle="1" w:styleId="672">
    <w:name w:val="xl55"/>
    <w:basedOn w:val="1"/>
    <w:semiHidden/>
    <w:qFormat/>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line="440" w:lineRule="exact"/>
      <w:ind w:firstLine="0"/>
      <w:jc w:val="left"/>
    </w:pPr>
    <w:rPr>
      <w:rFonts w:ascii="宋体" w:hAnsi="宋体" w:eastAsia="宋体"/>
      <w:color w:val="FFFFFF"/>
      <w:kern w:val="0"/>
      <w:sz w:val="20"/>
    </w:rPr>
  </w:style>
  <w:style w:type="paragraph" w:customStyle="1" w:styleId="673">
    <w:name w:val="Plain Text1"/>
    <w:basedOn w:val="1"/>
    <w:semiHidden/>
    <w:qFormat/>
    <w:uiPriority w:val="0"/>
    <w:pPr>
      <w:adjustRightInd w:val="0"/>
      <w:spacing w:line="240" w:lineRule="auto"/>
      <w:ind w:firstLine="0"/>
      <w:textAlignment w:val="baseline"/>
    </w:pPr>
    <w:rPr>
      <w:rFonts w:ascii="宋体" w:hAnsi="Courier New" w:eastAsia="宋体"/>
      <w:sz w:val="21"/>
    </w:rPr>
  </w:style>
  <w:style w:type="paragraph" w:customStyle="1" w:styleId="674">
    <w:name w:val="样式 Arial 首行缩进:  1.01 厘米 行距: 最小值 20 磅"/>
    <w:basedOn w:val="1"/>
    <w:semiHidden/>
    <w:qFormat/>
    <w:uiPriority w:val="0"/>
    <w:pPr>
      <w:spacing w:line="400" w:lineRule="atLeast"/>
      <w:ind w:firstLine="0"/>
    </w:pPr>
    <w:rPr>
      <w:rFonts w:ascii="Arial" w:hAnsi="Arial" w:eastAsia="宋体"/>
      <w:kern w:val="0"/>
      <w:sz w:val="24"/>
    </w:rPr>
  </w:style>
  <w:style w:type="paragraph" w:customStyle="1" w:styleId="675">
    <w:name w:val="标题 11"/>
    <w:basedOn w:val="1"/>
    <w:next w:val="1"/>
    <w:qFormat/>
    <w:uiPriority w:val="0"/>
    <w:pPr>
      <w:keepNext/>
      <w:keepLines/>
      <w:spacing w:before="100" w:after="90" w:line="578" w:lineRule="auto"/>
      <w:ind w:firstLine="0"/>
      <w:outlineLvl w:val="0"/>
    </w:pPr>
    <w:rPr>
      <w:rFonts w:eastAsia="黑体"/>
      <w:b/>
      <w:bCs/>
      <w:kern w:val="44"/>
      <w:sz w:val="36"/>
      <w:szCs w:val="44"/>
    </w:rPr>
  </w:style>
  <w:style w:type="paragraph" w:customStyle="1" w:styleId="676">
    <w:name w:val="Titre 1 sans SP"/>
    <w:basedOn w:val="5"/>
    <w:semiHidden/>
    <w:qFormat/>
    <w:uiPriority w:val="0"/>
    <w:pPr>
      <w:keepNext w:val="0"/>
      <w:keepLines w:val="0"/>
      <w:widowControl/>
      <w:tabs>
        <w:tab w:val="left" w:pos="432"/>
      </w:tabs>
      <w:spacing w:before="720" w:after="120" w:line="280" w:lineRule="atLeast"/>
      <w:ind w:left="432" w:hanging="432"/>
      <w:contextualSpacing/>
      <w:jc w:val="left"/>
    </w:pPr>
    <w:rPr>
      <w:rFonts w:eastAsia="宋体"/>
      <w:b w:val="0"/>
      <w:caps/>
      <w:kern w:val="0"/>
      <w:sz w:val="32"/>
      <w:szCs w:val="20"/>
    </w:rPr>
  </w:style>
  <w:style w:type="paragraph" w:customStyle="1" w:styleId="677">
    <w:name w:val="ksheet"/>
    <w:basedOn w:val="1"/>
    <w:semiHidden/>
    <w:qFormat/>
    <w:uiPriority w:val="0"/>
    <w:pPr>
      <w:autoSpaceDE w:val="0"/>
      <w:autoSpaceDN w:val="0"/>
      <w:adjustRightInd w:val="0"/>
      <w:snapToGrid w:val="0"/>
      <w:spacing w:line="300" w:lineRule="exact"/>
      <w:ind w:firstLine="0"/>
      <w:jc w:val="center"/>
    </w:pPr>
    <w:rPr>
      <w:rFonts w:ascii="宋体" w:eastAsia="宋体"/>
      <w:color w:val="000000"/>
      <w:kern w:val="0"/>
      <w:sz w:val="34"/>
    </w:rPr>
  </w:style>
  <w:style w:type="paragraph" w:customStyle="1" w:styleId="678">
    <w:name w:val="Byline"/>
    <w:basedOn w:val="27"/>
    <w:semiHidden/>
    <w:uiPriority w:val="0"/>
    <w:pPr>
      <w:widowControl/>
      <w:spacing w:after="0"/>
    </w:pPr>
    <w:rPr>
      <w:rFonts w:hint="eastAsia" w:ascii="Arial" w:hAnsi="Arial" w:cs="宋体"/>
      <w:kern w:val="0"/>
      <w:sz w:val="24"/>
      <w:szCs w:val="22"/>
    </w:rPr>
  </w:style>
  <w:style w:type="paragraph" w:customStyle="1" w:styleId="679">
    <w:name w:val="xl101"/>
    <w:basedOn w:val="1"/>
    <w:semiHidden/>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Arial Unicode MS" w:hAnsi="Arial Unicode MS" w:eastAsia="Arial Unicode MS" w:cs="Arial Unicode MS"/>
      <w:color w:val="000000"/>
      <w:kern w:val="0"/>
      <w:sz w:val="20"/>
    </w:rPr>
  </w:style>
  <w:style w:type="paragraph" w:customStyle="1" w:styleId="680">
    <w:name w:val="xl95"/>
    <w:basedOn w:val="1"/>
    <w:semiHidden/>
    <w:qFormat/>
    <w:uiPriority w:val="0"/>
    <w:pPr>
      <w:widowControl/>
      <w:shd w:val="clear" w:color="auto" w:fill="FFFFFF"/>
      <w:spacing w:before="100" w:beforeAutospacing="1" w:after="100" w:afterAutospacing="1" w:line="440" w:lineRule="exact"/>
      <w:ind w:firstLine="0"/>
      <w:jc w:val="right"/>
    </w:pPr>
    <w:rPr>
      <w:rFonts w:ascii="Arial Unicode MS" w:hAnsi="Arial Unicode MS" w:eastAsia="Arial Unicode MS" w:cs="Arial Unicode MS"/>
      <w:kern w:val="0"/>
      <w:sz w:val="20"/>
    </w:rPr>
  </w:style>
  <w:style w:type="paragraph" w:customStyle="1" w:styleId="681">
    <w:name w:val="首页脚注"/>
    <w:basedOn w:val="59"/>
    <w:semiHidden/>
    <w:qFormat/>
    <w:uiPriority w:val="0"/>
    <w:pPr>
      <w:keepLines/>
      <w:widowControl/>
      <w:tabs>
        <w:tab w:val="center" w:pos="4320"/>
        <w:tab w:val="clear" w:pos="4153"/>
        <w:tab w:val="clear" w:pos="8306"/>
      </w:tabs>
      <w:overflowPunct w:val="0"/>
      <w:autoSpaceDE w:val="0"/>
      <w:autoSpaceDN w:val="0"/>
      <w:adjustRightInd w:val="0"/>
      <w:snapToGrid/>
      <w:spacing w:line="360" w:lineRule="auto"/>
      <w:ind w:firstLine="0"/>
      <w:jc w:val="center"/>
    </w:pPr>
    <w:rPr>
      <w:rFonts w:eastAsia="楷体_GB2312"/>
      <w:b/>
      <w:kern w:val="0"/>
      <w:sz w:val="28"/>
      <w:szCs w:val="20"/>
    </w:rPr>
  </w:style>
  <w:style w:type="paragraph" w:customStyle="1" w:styleId="682">
    <w:name w:val="样式3wf"/>
    <w:basedOn w:val="1"/>
    <w:semiHidden/>
    <w:qFormat/>
    <w:uiPriority w:val="0"/>
    <w:pPr>
      <w:autoSpaceDE w:val="0"/>
      <w:autoSpaceDN w:val="0"/>
      <w:adjustRightInd w:val="0"/>
      <w:snapToGrid w:val="0"/>
      <w:spacing w:line="360" w:lineRule="auto"/>
      <w:ind w:firstLine="514"/>
    </w:pPr>
    <w:rPr>
      <w:rFonts w:ascii="宋体" w:eastAsia="宋体" w:cs="Arial"/>
      <w:kern w:val="0"/>
      <w:sz w:val="24"/>
    </w:rPr>
  </w:style>
  <w:style w:type="paragraph" w:customStyle="1" w:styleId="683">
    <w:name w:val="p3"/>
    <w:basedOn w:val="1"/>
    <w:semiHidden/>
    <w:qFormat/>
    <w:uiPriority w:val="0"/>
    <w:pPr>
      <w:widowControl/>
      <w:spacing w:before="100" w:after="100" w:line="240" w:lineRule="auto"/>
      <w:ind w:firstLine="0"/>
      <w:jc w:val="left"/>
    </w:pPr>
    <w:rPr>
      <w:rFonts w:ascii="Arial Unicode MS" w:hAnsi="Arial Unicode MS" w:eastAsia="Arial Unicode MS"/>
      <w:kern w:val="0"/>
      <w:sz w:val="24"/>
    </w:rPr>
  </w:style>
  <w:style w:type="paragraph" w:customStyle="1" w:styleId="684">
    <w:name w:val="表内文字"/>
    <w:basedOn w:val="1"/>
    <w:qFormat/>
    <w:uiPriority w:val="0"/>
    <w:pPr>
      <w:spacing w:line="240" w:lineRule="exact"/>
      <w:ind w:firstLine="0"/>
    </w:pPr>
    <w:rPr>
      <w:rFonts w:ascii="宋体" w:eastAsia="宋体"/>
      <w:kern w:val="0"/>
      <w:sz w:val="34"/>
    </w:rPr>
  </w:style>
  <w:style w:type="paragraph" w:customStyle="1" w:styleId="685">
    <w:name w:val="表居中（中文）"/>
    <w:basedOn w:val="1"/>
    <w:semiHidden/>
    <w:uiPriority w:val="0"/>
    <w:pPr>
      <w:adjustRightInd w:val="0"/>
      <w:spacing w:line="380" w:lineRule="atLeast"/>
      <w:ind w:firstLine="0"/>
      <w:jc w:val="center"/>
      <w:textAlignment w:val="baseline"/>
    </w:pPr>
    <w:rPr>
      <w:rFonts w:ascii="宋体" w:eastAsia="楷体_GB2312"/>
      <w:kern w:val="0"/>
      <w:sz w:val="34"/>
    </w:rPr>
  </w:style>
  <w:style w:type="paragraph" w:customStyle="1" w:styleId="686">
    <w:name w:val="正文(首行缩进)"/>
    <w:basedOn w:val="1"/>
    <w:qFormat/>
    <w:uiPriority w:val="0"/>
    <w:pPr>
      <w:adjustRightInd w:val="0"/>
      <w:snapToGrid w:val="0"/>
      <w:spacing w:line="360" w:lineRule="auto"/>
      <w:ind w:firstLine="200"/>
    </w:pPr>
    <w:rPr>
      <w:rFonts w:ascii="宋体" w:eastAsia="宋体"/>
      <w:snapToGrid w:val="0"/>
      <w:kern w:val="0"/>
      <w:sz w:val="24"/>
    </w:rPr>
  </w:style>
  <w:style w:type="paragraph" w:customStyle="1" w:styleId="687">
    <w:name w:val="金皇-表格内文字"/>
    <w:basedOn w:val="1"/>
    <w:qFormat/>
    <w:uiPriority w:val="0"/>
    <w:pPr>
      <w:tabs>
        <w:tab w:val="left" w:pos="0"/>
      </w:tabs>
      <w:adjustRightInd w:val="0"/>
      <w:snapToGrid w:val="0"/>
      <w:spacing w:line="240" w:lineRule="auto"/>
      <w:ind w:firstLine="0"/>
      <w:jc w:val="center"/>
    </w:pPr>
    <w:rPr>
      <w:rFonts w:eastAsia="宋体"/>
      <w:snapToGrid w:val="0"/>
      <w:sz w:val="21"/>
      <w:szCs w:val="21"/>
    </w:rPr>
  </w:style>
  <w:style w:type="paragraph" w:customStyle="1" w:styleId="688">
    <w:name w:val="表头图头"/>
    <w:basedOn w:val="27"/>
    <w:next w:val="1"/>
    <w:qFormat/>
    <w:uiPriority w:val="0"/>
    <w:pPr>
      <w:keepLines/>
      <w:widowControl/>
      <w:tabs>
        <w:tab w:val="left" w:pos="7740"/>
        <w:tab w:val="left" w:pos="8640"/>
        <w:tab w:val="left" w:pos="9000"/>
      </w:tabs>
      <w:spacing w:line="240" w:lineRule="auto"/>
      <w:ind w:firstLine="0"/>
      <w:jc w:val="center"/>
      <w:outlineLvl w:val="4"/>
    </w:pPr>
    <w:rPr>
      <w:rFonts w:ascii="Times New Roman" w:hAnsi="Times New Roman"/>
      <w:b/>
    </w:rPr>
  </w:style>
  <w:style w:type="paragraph" w:customStyle="1" w:styleId="689">
    <w:name w:val="xl113"/>
    <w:basedOn w:val="1"/>
    <w:semiHidden/>
    <w:qFormat/>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line="440" w:lineRule="exact"/>
      <w:ind w:firstLine="0"/>
      <w:jc w:val="center"/>
    </w:pPr>
    <w:rPr>
      <w:rFonts w:ascii="Arial Unicode MS" w:hAnsi="Arial Unicode MS" w:eastAsia="Arial Unicode MS" w:cs="Arial Unicode MS"/>
      <w:color w:val="000000"/>
      <w:kern w:val="0"/>
      <w:sz w:val="20"/>
    </w:rPr>
  </w:style>
  <w:style w:type="paragraph" w:customStyle="1" w:styleId="690">
    <w:name w:val="Char Char3 Char Char Char Char"/>
    <w:basedOn w:val="1"/>
    <w:semiHidden/>
    <w:qFormat/>
    <w:uiPriority w:val="0"/>
    <w:pPr>
      <w:widowControl/>
      <w:spacing w:after="160" w:line="240" w:lineRule="exact"/>
      <w:ind w:firstLine="0"/>
      <w:jc w:val="left"/>
    </w:pPr>
    <w:rPr>
      <w:rFonts w:ascii="Verdana" w:hAnsi="Verdana" w:eastAsia="宋体"/>
      <w:kern w:val="0"/>
      <w:sz w:val="20"/>
      <w:lang w:eastAsia="en-US"/>
    </w:rPr>
  </w:style>
  <w:style w:type="paragraph" w:customStyle="1" w:styleId="691">
    <w:name w:val="font30"/>
    <w:basedOn w:val="1"/>
    <w:semiHidden/>
    <w:qFormat/>
    <w:uiPriority w:val="0"/>
    <w:pPr>
      <w:widowControl/>
      <w:spacing w:before="100" w:beforeAutospacing="1" w:after="100" w:afterAutospacing="1" w:line="240" w:lineRule="auto"/>
      <w:ind w:firstLine="0"/>
      <w:jc w:val="left"/>
    </w:pPr>
    <w:rPr>
      <w:rFonts w:ascii="仿宋_GB2312" w:hAnsi="宋体" w:cs="宋体"/>
      <w:kern w:val="0"/>
      <w:sz w:val="20"/>
    </w:rPr>
  </w:style>
  <w:style w:type="paragraph" w:customStyle="1" w:styleId="692">
    <w:name w:val="font29"/>
    <w:basedOn w:val="1"/>
    <w:semiHidden/>
    <w:qFormat/>
    <w:uiPriority w:val="0"/>
    <w:pPr>
      <w:widowControl/>
      <w:spacing w:before="100" w:beforeAutospacing="1" w:after="100" w:afterAutospacing="1" w:line="240" w:lineRule="auto"/>
      <w:ind w:firstLine="0"/>
      <w:jc w:val="left"/>
    </w:pPr>
    <w:rPr>
      <w:rFonts w:ascii="宋体" w:hAnsi="宋体" w:eastAsia="宋体" w:cs="宋体"/>
      <w:kern w:val="0"/>
      <w:sz w:val="24"/>
    </w:rPr>
  </w:style>
  <w:style w:type="paragraph" w:customStyle="1" w:styleId="693">
    <w:name w:val="金皇正文"/>
    <w:basedOn w:val="1"/>
    <w:qFormat/>
    <w:uiPriority w:val="0"/>
    <w:pPr>
      <w:widowControl/>
      <w:adjustRightInd w:val="0"/>
      <w:snapToGrid w:val="0"/>
      <w:spacing w:line="360" w:lineRule="auto"/>
      <w:ind w:firstLine="480"/>
      <w:jc w:val="left"/>
    </w:pPr>
    <w:rPr>
      <w:rFonts w:eastAsia="宋体" w:cs="宋体"/>
      <w:kern w:val="0"/>
      <w:sz w:val="24"/>
      <w:szCs w:val="24"/>
    </w:rPr>
  </w:style>
  <w:style w:type="paragraph" w:customStyle="1" w:styleId="694">
    <w:name w:val="表注"/>
    <w:next w:val="1"/>
    <w:semiHidden/>
    <w:uiPriority w:val="0"/>
    <w:pPr>
      <w:adjustRightInd w:val="0"/>
      <w:snapToGrid w:val="0"/>
      <w:spacing w:line="160" w:lineRule="atLeast"/>
    </w:pPr>
    <w:rPr>
      <w:rFonts w:ascii="Times New Roman" w:hAnsi="Times New Roman" w:eastAsia="宋体" w:cs="Times New Roman"/>
      <w:sz w:val="15"/>
      <w:lang w:val="en-US" w:eastAsia="zh-CN" w:bidi="ar-SA"/>
    </w:rPr>
  </w:style>
  <w:style w:type="paragraph" w:customStyle="1" w:styleId="695">
    <w:name w:val="CM106"/>
    <w:basedOn w:val="417"/>
    <w:next w:val="417"/>
    <w:semiHidden/>
    <w:uiPriority w:val="0"/>
    <w:pPr>
      <w:spacing w:line="626" w:lineRule="atLeast"/>
    </w:pPr>
    <w:rPr>
      <w:rFonts w:ascii="á￥êé" w:hAnsi="Times New Roman" w:eastAsia="á￥êé" w:cs="Times New Roman"/>
      <w:color w:val="auto"/>
      <w:sz w:val="20"/>
      <w:szCs w:val="20"/>
    </w:rPr>
  </w:style>
  <w:style w:type="paragraph" w:customStyle="1" w:styleId="696">
    <w:name w:val="xl97"/>
    <w:basedOn w:val="1"/>
    <w:semiHidden/>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line="440" w:lineRule="exact"/>
      <w:ind w:firstLine="0"/>
      <w:jc w:val="left"/>
    </w:pPr>
    <w:rPr>
      <w:rFonts w:ascii="Arial Unicode MS" w:hAnsi="Arial Unicode MS" w:eastAsia="Arial Unicode MS" w:cs="Arial Unicode MS"/>
      <w:color w:val="000000"/>
      <w:kern w:val="0"/>
      <w:sz w:val="20"/>
    </w:rPr>
  </w:style>
  <w:style w:type="paragraph" w:customStyle="1" w:styleId="697">
    <w:name w:val="样式3"/>
    <w:basedOn w:val="5"/>
    <w:qFormat/>
    <w:uiPriority w:val="0"/>
    <w:pPr>
      <w:widowControl/>
      <w:spacing w:before="0" w:after="0" w:line="336" w:lineRule="auto"/>
      <w:ind w:firstLine="360"/>
      <w:contextualSpacing/>
      <w:jc w:val="left"/>
    </w:pPr>
    <w:rPr>
      <w:rFonts w:ascii="宋体" w:hAnsi="宋体" w:eastAsia="宋体"/>
      <w:sz w:val="24"/>
      <w:szCs w:val="24"/>
    </w:rPr>
  </w:style>
  <w:style w:type="paragraph" w:customStyle="1" w:styleId="698">
    <w:name w:val="dktext"/>
    <w:basedOn w:val="1"/>
    <w:semiHidden/>
    <w:qFormat/>
    <w:uiPriority w:val="0"/>
    <w:pPr>
      <w:widowControl/>
      <w:shd w:val="clear" w:color="auto" w:fill="FFFFFF"/>
      <w:spacing w:before="100" w:beforeAutospacing="1" w:after="100" w:afterAutospacing="1" w:line="285" w:lineRule="atLeast"/>
      <w:ind w:firstLine="0"/>
      <w:jc w:val="left"/>
    </w:pPr>
    <w:rPr>
      <w:rFonts w:ascii="_x000B__x000C_" w:hAnsi="_x000B__x000C_" w:eastAsia="宋体"/>
      <w:kern w:val="0"/>
      <w:sz w:val="20"/>
    </w:rPr>
  </w:style>
  <w:style w:type="paragraph" w:customStyle="1" w:styleId="699">
    <w:name w:val="CM13"/>
    <w:basedOn w:val="1"/>
    <w:next w:val="1"/>
    <w:semiHidden/>
    <w:qFormat/>
    <w:uiPriority w:val="0"/>
    <w:pPr>
      <w:autoSpaceDE w:val="0"/>
      <w:autoSpaceDN w:val="0"/>
      <w:adjustRightInd w:val="0"/>
      <w:spacing w:line="548" w:lineRule="atLeast"/>
      <w:ind w:firstLine="0"/>
      <w:jc w:val="left"/>
    </w:pPr>
    <w:rPr>
      <w:rFonts w:ascii="楷体_GB2312" w:eastAsia="楷体_GB2312" w:cs="楷体_GB2312"/>
      <w:kern w:val="0"/>
      <w:sz w:val="24"/>
    </w:rPr>
  </w:style>
  <w:style w:type="paragraph" w:customStyle="1" w:styleId="700">
    <w:name w:val="orange"/>
    <w:basedOn w:val="1"/>
    <w:semiHidden/>
    <w:qFormat/>
    <w:uiPriority w:val="0"/>
    <w:pPr>
      <w:widowControl/>
      <w:spacing w:before="100" w:beforeAutospacing="1" w:after="100" w:afterAutospacing="1" w:line="288" w:lineRule="auto"/>
      <w:ind w:firstLine="0"/>
      <w:jc w:val="left"/>
    </w:pPr>
    <w:rPr>
      <w:rFonts w:ascii="Arial Unicode MS" w:hAnsi="Arial Unicode MS" w:eastAsia="宋体"/>
      <w:color w:val="FF6600"/>
      <w:kern w:val="0"/>
      <w:sz w:val="18"/>
      <w:szCs w:val="18"/>
    </w:rPr>
  </w:style>
  <w:style w:type="paragraph" w:customStyle="1" w:styleId="701">
    <w:name w:val="五号字表格3"/>
    <w:basedOn w:val="1"/>
    <w:next w:val="1"/>
    <w:semiHidden/>
    <w:uiPriority w:val="0"/>
    <w:pPr>
      <w:suppressLineNumbers/>
      <w:tabs>
        <w:tab w:val="left" w:pos="432"/>
        <w:tab w:val="left" w:pos="4025"/>
      </w:tabs>
      <w:suppressAutoHyphens/>
      <w:adjustRightInd w:val="0"/>
      <w:snapToGrid w:val="0"/>
      <w:spacing w:before="60" w:line="360" w:lineRule="auto"/>
      <w:ind w:firstLine="480"/>
      <w:jc w:val="left"/>
    </w:pPr>
    <w:rPr>
      <w:rFonts w:ascii="宋体" w:eastAsia="宋体"/>
      <w:kern w:val="0"/>
      <w:sz w:val="20"/>
      <w:lang w:eastAsia="ja-JP"/>
    </w:rPr>
  </w:style>
  <w:style w:type="paragraph" w:customStyle="1" w:styleId="702">
    <w:name w:val="表内容"/>
    <w:basedOn w:val="23"/>
    <w:qFormat/>
    <w:uiPriority w:val="0"/>
    <w:pPr>
      <w:widowControl/>
      <w:ind w:firstLine="0"/>
    </w:pPr>
    <w:rPr>
      <w:kern w:val="24"/>
      <w:sz w:val="21"/>
      <w:szCs w:val="20"/>
      <w:lang w:val="zh-CN"/>
    </w:rPr>
  </w:style>
  <w:style w:type="paragraph" w:customStyle="1" w:styleId="703">
    <w:name w:val="xl61"/>
    <w:basedOn w:val="1"/>
    <w:semiHidden/>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line="440" w:lineRule="exact"/>
      <w:ind w:firstLine="0"/>
      <w:jc w:val="left"/>
    </w:pPr>
    <w:rPr>
      <w:rFonts w:ascii="宋体" w:hAnsi="宋体" w:eastAsia="宋体"/>
      <w:color w:val="000000"/>
      <w:kern w:val="0"/>
      <w:sz w:val="20"/>
    </w:rPr>
  </w:style>
  <w:style w:type="paragraph" w:customStyle="1" w:styleId="704">
    <w:name w:val="图片"/>
    <w:basedOn w:val="1"/>
    <w:next w:val="28"/>
    <w:semiHidden/>
    <w:uiPriority w:val="0"/>
    <w:pPr>
      <w:keepNext/>
      <w:widowControl/>
      <w:spacing w:line="240" w:lineRule="auto"/>
      <w:ind w:firstLine="0"/>
      <w:jc w:val="left"/>
    </w:pPr>
    <w:rPr>
      <w:rFonts w:ascii="Arial" w:hAnsi="Arial" w:eastAsia="宋体"/>
      <w:spacing w:val="-5"/>
      <w:kern w:val="0"/>
      <w:sz w:val="20"/>
    </w:rPr>
  </w:style>
  <w:style w:type="paragraph" w:customStyle="1" w:styleId="705">
    <w:name w:val="档案号"/>
    <w:basedOn w:val="61"/>
    <w:semiHidden/>
    <w:qFormat/>
    <w:uiPriority w:val="0"/>
    <w:pPr>
      <w:pBdr>
        <w:bottom w:val="none" w:color="auto" w:sz="0" w:space="0"/>
      </w:pBdr>
      <w:tabs>
        <w:tab w:val="center" w:pos="4320"/>
        <w:tab w:val="right" w:pos="8640"/>
        <w:tab w:val="clear" w:pos="4153"/>
        <w:tab w:val="clear" w:pos="8306"/>
      </w:tabs>
      <w:adjustRightInd w:val="0"/>
      <w:snapToGrid/>
      <w:spacing w:line="460" w:lineRule="exact"/>
      <w:ind w:firstLine="0"/>
      <w:jc w:val="right"/>
    </w:pPr>
    <w:rPr>
      <w:rFonts w:hAnsi="Arial" w:eastAsia="楷体_GB2312"/>
      <w:b/>
      <w:spacing w:val="3"/>
      <w:kern w:val="24"/>
      <w:sz w:val="24"/>
      <w:szCs w:val="20"/>
    </w:rPr>
  </w:style>
  <w:style w:type="paragraph" w:customStyle="1" w:styleId="706">
    <w:name w:val="xl84"/>
    <w:basedOn w:val="1"/>
    <w:semiHidden/>
    <w:qFormat/>
    <w:uiPriority w:val="0"/>
    <w:pPr>
      <w:widowControl/>
      <w:pBdr>
        <w:top w:val="single" w:color="auto" w:sz="4" w:space="0"/>
        <w:left w:val="single" w:color="auto" w:sz="4" w:space="0"/>
      </w:pBdr>
      <w:shd w:val="clear" w:color="auto" w:fill="FFFFFF"/>
      <w:spacing w:before="100" w:beforeAutospacing="1" w:after="100" w:afterAutospacing="1" w:line="440" w:lineRule="exact"/>
      <w:ind w:firstLine="0"/>
      <w:jc w:val="center"/>
    </w:pPr>
    <w:rPr>
      <w:rFonts w:ascii="Arial Unicode MS" w:hAnsi="Arial Unicode MS" w:eastAsia="Arial Unicode MS" w:cs="Arial Unicode MS"/>
      <w:color w:val="000000"/>
      <w:kern w:val="0"/>
      <w:sz w:val="20"/>
    </w:rPr>
  </w:style>
  <w:style w:type="paragraph" w:customStyle="1" w:styleId="707">
    <w:name w:val="CM24"/>
    <w:basedOn w:val="417"/>
    <w:next w:val="417"/>
    <w:semiHidden/>
    <w:qFormat/>
    <w:uiPriority w:val="0"/>
    <w:pPr>
      <w:spacing w:line="546" w:lineRule="atLeast"/>
    </w:pPr>
    <w:rPr>
      <w:rFonts w:ascii="Arial Black" w:hAnsi="Arial Black" w:cs="Times New Roman"/>
      <w:color w:val="auto"/>
    </w:rPr>
  </w:style>
  <w:style w:type="paragraph" w:customStyle="1" w:styleId="708">
    <w:name w:val="Table Paragraph"/>
    <w:basedOn w:val="1"/>
    <w:qFormat/>
    <w:uiPriority w:val="0"/>
    <w:pPr>
      <w:widowControl/>
      <w:spacing w:line="240" w:lineRule="auto"/>
      <w:ind w:firstLine="0"/>
      <w:jc w:val="left"/>
    </w:pPr>
    <w:rPr>
      <w:rFonts w:ascii="Calibri" w:hAnsi="Calibri" w:eastAsia="宋体"/>
      <w:kern w:val="0"/>
      <w:sz w:val="22"/>
      <w:szCs w:val="22"/>
    </w:rPr>
  </w:style>
  <w:style w:type="paragraph" w:customStyle="1" w:styleId="709">
    <w:name w:val="样式 样式 左侧:  1.5 厘米1 + 首行缩进:  2 字符"/>
    <w:basedOn w:val="1"/>
    <w:semiHidden/>
    <w:uiPriority w:val="0"/>
    <w:pPr>
      <w:spacing w:after="120" w:line="440" w:lineRule="exact"/>
      <w:ind w:left="851" w:firstLine="0"/>
    </w:pPr>
    <w:rPr>
      <w:rFonts w:ascii="Arial" w:hAnsi="Arial" w:eastAsia="宋体"/>
      <w:kern w:val="0"/>
      <w:sz w:val="24"/>
    </w:rPr>
  </w:style>
  <w:style w:type="paragraph" w:customStyle="1" w:styleId="710">
    <w:name w:val="px14white"/>
    <w:basedOn w:val="1"/>
    <w:semiHidden/>
    <w:uiPriority w:val="0"/>
    <w:pPr>
      <w:widowControl/>
      <w:spacing w:before="100" w:beforeAutospacing="1" w:after="100" w:afterAutospacing="1" w:line="300" w:lineRule="atLeast"/>
      <w:ind w:firstLine="0"/>
      <w:jc w:val="left"/>
    </w:pPr>
    <w:rPr>
      <w:rFonts w:ascii="Arial Unicode MS" w:hAnsi="Arial Unicode MS" w:eastAsia="宋体"/>
      <w:color w:val="FFFFFF"/>
      <w:kern w:val="0"/>
      <w:sz w:val="34"/>
      <w:szCs w:val="21"/>
    </w:rPr>
  </w:style>
  <w:style w:type="paragraph" w:customStyle="1" w:styleId="711">
    <w:name w:val="xl104"/>
    <w:basedOn w:val="1"/>
    <w:semiHidden/>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Arial Unicode MS" w:hAnsi="Arial Unicode MS" w:eastAsia="Arial Unicode MS" w:cs="Arial Unicode MS"/>
      <w:color w:val="000000"/>
      <w:kern w:val="0"/>
      <w:sz w:val="20"/>
    </w:rPr>
  </w:style>
  <w:style w:type="paragraph" w:customStyle="1" w:styleId="712">
    <w:name w:val="表标题"/>
    <w:basedOn w:val="22"/>
    <w:semiHidden/>
    <w:uiPriority w:val="0"/>
    <w:pPr>
      <w:numPr>
        <w:ilvl w:val="0"/>
        <w:numId w:val="0"/>
      </w:numPr>
      <w:tabs>
        <w:tab w:val="clear" w:pos="360"/>
      </w:tabs>
      <w:jc w:val="center"/>
    </w:pPr>
    <w:rPr>
      <w:kern w:val="0"/>
      <w:szCs w:val="20"/>
    </w:rPr>
  </w:style>
  <w:style w:type="paragraph" w:customStyle="1" w:styleId="713">
    <w:name w:val="基准索引样式"/>
    <w:basedOn w:val="1"/>
    <w:semiHidden/>
    <w:qFormat/>
    <w:uiPriority w:val="0"/>
    <w:pPr>
      <w:widowControl/>
      <w:spacing w:line="240" w:lineRule="atLeast"/>
      <w:ind w:left="360" w:hanging="360"/>
      <w:jc w:val="left"/>
    </w:pPr>
    <w:rPr>
      <w:rFonts w:ascii="Garamond" w:hAnsi="Garamond" w:eastAsia="宋体"/>
      <w:kern w:val="0"/>
      <w:sz w:val="20"/>
    </w:rPr>
  </w:style>
  <w:style w:type="paragraph" w:customStyle="1" w:styleId="714">
    <w:name w:val="尾消息标题"/>
    <w:basedOn w:val="83"/>
    <w:next w:val="27"/>
    <w:semiHidden/>
    <w:qFormat/>
    <w:uiPriority w:val="0"/>
    <w:pPr>
      <w:keepLines/>
      <w:widowControl/>
      <w:pBdr>
        <w:top w:val="none" w:color="auto" w:sz="0" w:space="0"/>
        <w:left w:val="none" w:color="auto" w:sz="0" w:space="0"/>
        <w:bottom w:val="single" w:color="auto" w:sz="6" w:space="19"/>
        <w:right w:val="none" w:color="auto" w:sz="0" w:space="0"/>
      </w:pBdr>
      <w:shd w:val="clear" w:color="auto" w:fill="auto"/>
      <w:tabs>
        <w:tab w:val="left" w:pos="1260"/>
        <w:tab w:val="left" w:pos="2940"/>
        <w:tab w:val="right" w:pos="8640"/>
      </w:tabs>
      <w:spacing w:before="120" w:after="120" w:line="440" w:lineRule="atLeast"/>
      <w:ind w:left="0" w:firstLine="0"/>
      <w:jc w:val="center"/>
    </w:pPr>
    <w:rPr>
      <w:rFonts w:hint="eastAsia" w:cs="宋体"/>
      <w:kern w:val="0"/>
      <w:szCs w:val="22"/>
    </w:rPr>
  </w:style>
  <w:style w:type="paragraph" w:customStyle="1" w:styleId="715">
    <w:name w:val="Titre Prem Page"/>
    <w:basedOn w:val="1"/>
    <w:semiHidden/>
    <w:qFormat/>
    <w:uiPriority w:val="0"/>
    <w:pPr>
      <w:widowControl/>
      <w:tabs>
        <w:tab w:val="center" w:pos="9923"/>
      </w:tabs>
      <w:spacing w:line="240" w:lineRule="auto"/>
      <w:ind w:firstLine="0"/>
      <w:jc w:val="center"/>
    </w:pPr>
    <w:rPr>
      <w:rFonts w:ascii="Times" w:hAnsi="Times" w:eastAsia="宋体"/>
      <w:b/>
      <w:color w:val="000000"/>
      <w:kern w:val="0"/>
      <w:sz w:val="48"/>
      <w:lang w:val="fr-FR"/>
    </w:rPr>
  </w:style>
  <w:style w:type="paragraph" w:customStyle="1" w:styleId="716">
    <w:name w:val="项目符号1"/>
    <w:basedOn w:val="1"/>
    <w:semiHidden/>
    <w:qFormat/>
    <w:uiPriority w:val="0"/>
    <w:pPr>
      <w:tabs>
        <w:tab w:val="left" w:pos="425"/>
      </w:tabs>
      <w:snapToGrid w:val="0"/>
      <w:spacing w:before="120" w:after="120" w:line="312" w:lineRule="auto"/>
      <w:ind w:left="425" w:hanging="425"/>
    </w:pPr>
    <w:rPr>
      <w:rFonts w:ascii="Arial" w:hAnsi="Arial" w:eastAsia="楷体_GB2312"/>
      <w:b/>
      <w:kern w:val="0"/>
    </w:rPr>
  </w:style>
  <w:style w:type="paragraph" w:customStyle="1" w:styleId="717">
    <w:name w:val="1标题1级"/>
    <w:qFormat/>
    <w:uiPriority w:val="99"/>
    <w:pPr>
      <w:widowControl w:val="0"/>
      <w:snapToGrid w:val="0"/>
      <w:spacing w:line="360" w:lineRule="auto"/>
      <w:jc w:val="both"/>
    </w:pPr>
    <w:rPr>
      <w:rFonts w:ascii="Calibri" w:hAnsi="Calibri" w:eastAsia="黑体" w:cs="Times New Roman"/>
      <w:b/>
      <w:kern w:val="2"/>
      <w:sz w:val="36"/>
      <w:szCs w:val="20"/>
      <w:lang w:val="en-US" w:eastAsia="zh-CN" w:bidi="ar-SA"/>
    </w:rPr>
  </w:style>
  <w:style w:type="paragraph" w:customStyle="1" w:styleId="718">
    <w:name w:val="Titre Instr. 2"/>
    <w:basedOn w:val="576"/>
    <w:semiHidden/>
    <w:uiPriority w:val="0"/>
    <w:pPr>
      <w:pBdr>
        <w:top w:val="none" w:color="auto" w:sz="0" w:space="0"/>
        <w:left w:val="none" w:color="auto" w:sz="0" w:space="0"/>
        <w:bottom w:val="none" w:color="auto" w:sz="0" w:space="0"/>
        <w:right w:val="none" w:color="auto" w:sz="0" w:space="0"/>
      </w:pBdr>
    </w:pPr>
  </w:style>
  <w:style w:type="paragraph" w:customStyle="1" w:styleId="719">
    <w:name w:val="xl41"/>
    <w:basedOn w:val="1"/>
    <w:semiHidden/>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left"/>
    </w:pPr>
    <w:rPr>
      <w:rFonts w:ascii="宋体" w:hAnsi="宋体" w:eastAsia="宋体"/>
      <w:color w:val="000000"/>
      <w:kern w:val="0"/>
      <w:sz w:val="20"/>
    </w:rPr>
  </w:style>
  <w:style w:type="paragraph" w:customStyle="1" w:styleId="720">
    <w:name w:val="标题3-节"/>
    <w:basedOn w:val="660"/>
    <w:semiHidden/>
    <w:uiPriority w:val="0"/>
    <w:pPr>
      <w:tabs>
        <w:tab w:val="left" w:pos="680"/>
        <w:tab w:val="left" w:pos="2520"/>
        <w:tab w:val="clear" w:pos="567"/>
      </w:tabs>
      <w:autoSpaceDE/>
      <w:autoSpaceDN/>
      <w:adjustRightInd/>
      <w:spacing w:before="120" w:beforeLines="50"/>
      <w:jc w:val="both"/>
    </w:pPr>
    <w:rPr>
      <w:rFonts w:ascii="黑体" w:hAnsi="宋体" w:eastAsia="黑体" w:cs="宋体"/>
      <w:b w:val="0"/>
      <w:color w:val="auto"/>
    </w:rPr>
  </w:style>
  <w:style w:type="paragraph" w:customStyle="1" w:styleId="721">
    <w:name w:val="1表格"/>
    <w:basedOn w:val="1"/>
    <w:semiHidden/>
    <w:qFormat/>
    <w:uiPriority w:val="0"/>
    <w:pPr>
      <w:snapToGrid w:val="0"/>
      <w:spacing w:line="160" w:lineRule="atLeast"/>
      <w:ind w:firstLine="0"/>
      <w:jc w:val="center"/>
    </w:pPr>
    <w:rPr>
      <w:sz w:val="21"/>
    </w:rPr>
  </w:style>
  <w:style w:type="paragraph" w:customStyle="1" w:styleId="722">
    <w:name w:val="Institution"/>
    <w:basedOn w:val="1"/>
    <w:next w:val="669"/>
    <w:semiHidden/>
    <w:qFormat/>
    <w:uiPriority w:val="0"/>
    <w:pPr>
      <w:widowControl/>
      <w:tabs>
        <w:tab w:val="left" w:pos="2160"/>
        <w:tab w:val="right" w:pos="6480"/>
      </w:tabs>
      <w:spacing w:before="220" w:after="60" w:line="220" w:lineRule="atLeast"/>
      <w:ind w:right="-360" w:firstLine="0"/>
      <w:jc w:val="left"/>
    </w:pPr>
    <w:rPr>
      <w:rFonts w:ascii="宋体" w:eastAsia="宋体"/>
      <w:kern w:val="0"/>
      <w:sz w:val="20"/>
    </w:rPr>
  </w:style>
  <w:style w:type="paragraph" w:customStyle="1" w:styleId="723">
    <w:name w:val="正文C1"/>
    <w:basedOn w:val="24"/>
    <w:qFormat/>
    <w:uiPriority w:val="0"/>
    <w:pPr>
      <w:tabs>
        <w:tab w:val="left" w:pos="420"/>
        <w:tab w:val="left" w:pos="870"/>
        <w:tab w:val="left" w:pos="3150"/>
      </w:tabs>
      <w:autoSpaceDE w:val="0"/>
      <w:autoSpaceDN w:val="0"/>
      <w:adjustRightInd w:val="0"/>
      <w:snapToGrid w:val="0"/>
      <w:spacing w:after="0" w:line="336" w:lineRule="auto"/>
      <w:ind w:left="0" w:firstLine="200"/>
      <w:textAlignment w:val="baseline"/>
    </w:pPr>
    <w:rPr>
      <w:rFonts w:ascii="宋体"/>
      <w:kern w:val="0"/>
      <w:sz w:val="24"/>
      <w:szCs w:val="28"/>
    </w:rPr>
  </w:style>
  <w:style w:type="paragraph" w:customStyle="1" w:styleId="724">
    <w:name w:val="表格内容（）"/>
    <w:basedOn w:val="1"/>
    <w:qFormat/>
    <w:uiPriority w:val="0"/>
    <w:pPr>
      <w:adjustRightInd w:val="0"/>
      <w:snapToGrid w:val="0"/>
      <w:jc w:val="center"/>
    </w:pPr>
    <w:rPr>
      <w:color w:val="00B0F0"/>
      <w:szCs w:val="21"/>
    </w:rPr>
  </w:style>
  <w:style w:type="paragraph" w:customStyle="1" w:styleId="725">
    <w:name w:val="xl66"/>
    <w:basedOn w:val="1"/>
    <w:semiHidden/>
    <w:uiPriority w:val="0"/>
    <w:pPr>
      <w:widowControl/>
      <w:pBdr>
        <w:top w:val="single" w:color="auto" w:sz="4" w:space="0"/>
        <w:left w:val="single" w:color="auto" w:sz="4" w:space="0"/>
        <w:right w:val="single" w:color="auto" w:sz="4" w:space="0"/>
      </w:pBdr>
      <w:shd w:val="clear" w:color="auto" w:fill="FFFFFF"/>
      <w:spacing w:before="100" w:beforeAutospacing="1" w:after="100" w:afterAutospacing="1" w:line="440" w:lineRule="exact"/>
      <w:ind w:firstLine="0"/>
      <w:jc w:val="right"/>
    </w:pPr>
    <w:rPr>
      <w:rFonts w:ascii="宋体" w:hAnsi="宋体" w:eastAsia="宋体"/>
      <w:color w:val="000000"/>
      <w:kern w:val="0"/>
      <w:sz w:val="20"/>
    </w:rPr>
  </w:style>
  <w:style w:type="paragraph" w:customStyle="1" w:styleId="726">
    <w:name w:val="Section Title"/>
    <w:basedOn w:val="1"/>
    <w:next w:val="1"/>
    <w:semiHidden/>
    <w:uiPriority w:val="0"/>
    <w:pPr>
      <w:widowControl/>
      <w:pBdr>
        <w:top w:val="single" w:color="FFFFFF" w:sz="6" w:space="2"/>
        <w:left w:val="single" w:color="FFFFFF" w:sz="6" w:space="2"/>
        <w:bottom w:val="single" w:color="FFFFFF" w:sz="6" w:space="2"/>
        <w:right w:val="single" w:color="FFFFFF" w:sz="6" w:space="2"/>
      </w:pBdr>
      <w:shd w:val="pct10" w:color="auto" w:fill="auto"/>
      <w:spacing w:before="120" w:line="280" w:lineRule="atLeast"/>
      <w:ind w:firstLine="0"/>
      <w:jc w:val="left"/>
    </w:pPr>
    <w:rPr>
      <w:rFonts w:ascii="Arial" w:hAnsi="Arial" w:eastAsia="宋体"/>
      <w:b/>
      <w:spacing w:val="-10"/>
      <w:kern w:val="0"/>
      <w:position w:val="7"/>
      <w:sz w:val="20"/>
    </w:rPr>
  </w:style>
  <w:style w:type="paragraph" w:customStyle="1" w:styleId="727">
    <w:name w:val="样式 居中 段前: 4 磅 段后: 4 磅"/>
    <w:basedOn w:val="1"/>
    <w:semiHidden/>
    <w:uiPriority w:val="0"/>
    <w:pPr>
      <w:snapToGrid w:val="0"/>
      <w:spacing w:before="80" w:after="80" w:line="240" w:lineRule="auto"/>
      <w:ind w:firstLine="0"/>
      <w:jc w:val="center"/>
    </w:pPr>
    <w:rPr>
      <w:rFonts w:eastAsia="宋体" w:cs="宋体"/>
      <w:sz w:val="21"/>
    </w:rPr>
  </w:style>
  <w:style w:type="paragraph" w:customStyle="1" w:styleId="728">
    <w:name w:val="6.图片格式CM"/>
    <w:qFormat/>
    <w:uiPriority w:val="0"/>
    <w:pPr>
      <w:spacing w:before="30" w:beforeLines="30" w:after="30" w:afterLines="30" w:line="360" w:lineRule="auto"/>
      <w:jc w:val="center"/>
    </w:pPr>
    <w:rPr>
      <w:rFonts w:ascii="Times New Roman" w:hAnsi="Times New Roman" w:eastAsia="宋体" w:cs="Times New Roman"/>
      <w:kern w:val="2"/>
      <w:sz w:val="24"/>
      <w:szCs w:val="21"/>
      <w:lang w:val="en-US" w:eastAsia="zh-CN" w:bidi="ar-SA"/>
    </w:rPr>
  </w:style>
  <w:style w:type="paragraph" w:customStyle="1" w:styleId="729">
    <w:name w:val="短简表"/>
    <w:basedOn w:val="1"/>
    <w:semiHidden/>
    <w:qFormat/>
    <w:uiPriority w:val="0"/>
    <w:pPr>
      <w:adjustRightInd w:val="0"/>
      <w:snapToGrid w:val="0"/>
      <w:spacing w:before="120" w:after="120" w:line="240" w:lineRule="auto"/>
      <w:ind w:left="1068" w:hanging="480"/>
    </w:pPr>
    <w:rPr>
      <w:rFonts w:ascii="宋体" w:eastAsia="宋体"/>
      <w:kern w:val="0"/>
      <w:sz w:val="34"/>
    </w:rPr>
  </w:style>
  <w:style w:type="paragraph" w:customStyle="1" w:styleId="730">
    <w:name w:val="1章(治)"/>
    <w:basedOn w:val="1"/>
    <w:next w:val="1"/>
    <w:qFormat/>
    <w:uiPriority w:val="0"/>
    <w:pPr>
      <w:snapToGrid w:val="0"/>
      <w:spacing w:line="360" w:lineRule="auto"/>
      <w:ind w:firstLine="0"/>
      <w:jc w:val="center"/>
      <w:outlineLvl w:val="0"/>
    </w:pPr>
    <w:rPr>
      <w:rFonts w:ascii="黑体" w:hAnsi="宋体" w:eastAsia="黑体"/>
      <w:b/>
      <w:sz w:val="44"/>
      <w:szCs w:val="44"/>
    </w:rPr>
  </w:style>
  <w:style w:type="paragraph" w:customStyle="1" w:styleId="731">
    <w:name w:val=" Char Char1 Char Char Char Char Char Char Char Char Char Char Char Char Char Char Char Char Char Char"/>
    <w:basedOn w:val="1"/>
    <w:semiHidden/>
    <w:qFormat/>
    <w:uiPriority w:val="0"/>
    <w:pPr>
      <w:spacing w:line="360" w:lineRule="auto"/>
      <w:ind w:firstLine="200"/>
    </w:pPr>
    <w:rPr>
      <w:rFonts w:ascii="宋体" w:hAnsi="宋体" w:eastAsia="宋体" w:cs="宋体"/>
      <w:kern w:val="0"/>
      <w:sz w:val="24"/>
    </w:rPr>
  </w:style>
  <w:style w:type="paragraph" w:customStyle="1" w:styleId="732">
    <w:name w:val="表－序号列"/>
    <w:basedOn w:val="701"/>
    <w:semiHidden/>
    <w:qFormat/>
    <w:uiPriority w:val="0"/>
    <w:pPr>
      <w:spacing w:before="120" w:after="120"/>
      <w:jc w:val="center"/>
    </w:pPr>
    <w:rPr>
      <w:rFonts w:cs="Arial"/>
      <w:sz w:val="21"/>
    </w:rPr>
  </w:style>
  <w:style w:type="paragraph" w:customStyle="1" w:styleId="733">
    <w:name w:val="首消息标题"/>
    <w:basedOn w:val="83"/>
    <w:next w:val="83"/>
    <w:semiHidden/>
    <w:uiPriority w:val="0"/>
    <w:pPr>
      <w:keepLines/>
      <w:widowControl/>
      <w:pBdr>
        <w:top w:val="none" w:color="auto" w:sz="0" w:space="0"/>
        <w:left w:val="none" w:color="auto" w:sz="0" w:space="0"/>
        <w:bottom w:val="none" w:color="auto" w:sz="0" w:space="0"/>
        <w:right w:val="none" w:color="auto" w:sz="0" w:space="0"/>
      </w:pBdr>
      <w:shd w:val="clear" w:color="auto" w:fill="auto"/>
      <w:tabs>
        <w:tab w:val="right" w:pos="8640"/>
      </w:tabs>
      <w:spacing w:after="40" w:line="440" w:lineRule="atLeast"/>
      <w:ind w:left="0" w:firstLine="0"/>
      <w:jc w:val="left"/>
    </w:pPr>
    <w:rPr>
      <w:rFonts w:hint="eastAsia" w:eastAsia="黑体" w:cs="宋体"/>
      <w:b/>
      <w:kern w:val="0"/>
      <w:szCs w:val="22"/>
    </w:rPr>
  </w:style>
  <w:style w:type="paragraph" w:customStyle="1" w:styleId="734">
    <w:name w:val="ttt"/>
    <w:basedOn w:val="1"/>
    <w:semiHidden/>
    <w:uiPriority w:val="0"/>
    <w:pPr>
      <w:widowControl/>
      <w:spacing w:before="100" w:beforeAutospacing="1" w:after="100" w:afterAutospacing="1" w:line="240" w:lineRule="auto"/>
      <w:ind w:firstLine="0"/>
      <w:jc w:val="left"/>
    </w:pPr>
    <w:rPr>
      <w:rFonts w:ascii="Verdana" w:hAnsi="Verdana" w:eastAsia="宋体"/>
      <w:b/>
      <w:bCs/>
      <w:color w:val="FFFFFF"/>
      <w:kern w:val="0"/>
      <w:sz w:val="34"/>
      <w:szCs w:val="21"/>
    </w:rPr>
  </w:style>
  <w:style w:type="paragraph" w:customStyle="1" w:styleId="735">
    <w:name w:val="四级标题-Q"/>
    <w:qFormat/>
    <w:uiPriority w:val="0"/>
    <w:pPr>
      <w:widowControl w:val="0"/>
      <w:numPr>
        <w:ilvl w:val="0"/>
        <w:numId w:val="13"/>
      </w:numPr>
      <w:spacing w:before="50" w:beforeLines="50"/>
      <w:jc w:val="left"/>
      <w:outlineLvl w:val="3"/>
    </w:pPr>
    <w:rPr>
      <w:rFonts w:ascii="Times New Roman" w:hAnsi="Times New Roman" w:eastAsia="宋体" w:cs="Times New Roman"/>
      <w:b/>
      <w:kern w:val="2"/>
      <w:sz w:val="21"/>
      <w:szCs w:val="22"/>
      <w:lang w:val="en-US" w:eastAsia="zh-CN" w:bidi="ar-SA"/>
    </w:rPr>
  </w:style>
  <w:style w:type="paragraph" w:customStyle="1" w:styleId="736">
    <w:name w:val="Address 1"/>
    <w:basedOn w:val="1"/>
    <w:semiHidden/>
    <w:uiPriority w:val="0"/>
    <w:pPr>
      <w:framePr w:w="2400" w:wrap="notBeside" w:vAnchor="page" w:hAnchor="page" w:x="8065" w:y="1009" w:anchorLock="1"/>
      <w:widowControl/>
      <w:spacing w:line="200" w:lineRule="atLeast"/>
      <w:ind w:firstLine="0"/>
      <w:jc w:val="left"/>
    </w:pPr>
    <w:rPr>
      <w:rFonts w:ascii="宋体" w:eastAsia="宋体"/>
      <w:kern w:val="0"/>
      <w:sz w:val="16"/>
    </w:rPr>
  </w:style>
  <w:style w:type="paragraph" w:customStyle="1" w:styleId="737">
    <w:name w:val="font6"/>
    <w:basedOn w:val="1"/>
    <w:semiHidden/>
    <w:qFormat/>
    <w:uiPriority w:val="0"/>
    <w:pPr>
      <w:widowControl/>
      <w:spacing w:before="100" w:beforeAutospacing="1" w:after="100" w:afterAutospacing="1" w:line="240" w:lineRule="auto"/>
      <w:ind w:firstLine="0"/>
      <w:jc w:val="left"/>
    </w:pPr>
    <w:rPr>
      <w:rFonts w:ascii="宋体" w:eastAsia="Arial Unicode MS"/>
      <w:kern w:val="0"/>
      <w:sz w:val="18"/>
      <w:szCs w:val="18"/>
    </w:rPr>
  </w:style>
  <w:style w:type="paragraph" w:customStyle="1" w:styleId="738">
    <w:name w:val="xl54"/>
    <w:basedOn w:val="1"/>
    <w:semiHidden/>
    <w:qFormat/>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line="440" w:lineRule="exact"/>
      <w:ind w:firstLine="0"/>
      <w:jc w:val="left"/>
    </w:pPr>
    <w:rPr>
      <w:rFonts w:ascii="宋体" w:hAnsi="宋体" w:eastAsia="宋体"/>
      <w:color w:val="FFFFFF"/>
      <w:kern w:val="0"/>
      <w:sz w:val="20"/>
    </w:rPr>
  </w:style>
  <w:style w:type="paragraph" w:customStyle="1" w:styleId="739">
    <w:name w:val="样式 正文 + 左侧:  0 厘米 悬挂缩进: 2 字符"/>
    <w:basedOn w:val="1"/>
    <w:semiHidden/>
    <w:qFormat/>
    <w:uiPriority w:val="0"/>
    <w:pPr>
      <w:widowControl/>
      <w:spacing w:after="120" w:line="440" w:lineRule="exact"/>
      <w:ind w:left="851" w:firstLine="200"/>
      <w:jc w:val="left"/>
    </w:pPr>
    <w:rPr>
      <w:rFonts w:ascii="Arial" w:hAnsi="Arial" w:eastAsia="宋体"/>
      <w:kern w:val="0"/>
      <w:sz w:val="24"/>
    </w:rPr>
  </w:style>
  <w:style w:type="paragraph" w:customStyle="1" w:styleId="740">
    <w:name w:val="样式 北京表格内容 + 自动设置"/>
    <w:basedOn w:val="741"/>
    <w:qFormat/>
    <w:uiPriority w:val="0"/>
    <w:rPr>
      <w:szCs w:val="18"/>
    </w:rPr>
  </w:style>
  <w:style w:type="paragraph" w:customStyle="1" w:styleId="741">
    <w:name w:val="北京表格内容"/>
    <w:next w:val="1"/>
    <w:qFormat/>
    <w:uiPriority w:val="0"/>
    <w:pPr>
      <w:spacing w:line="280" w:lineRule="exact"/>
      <w:jc w:val="center"/>
    </w:pPr>
    <w:rPr>
      <w:rFonts w:ascii="Times New Roman" w:hAnsi="Times New Roman" w:eastAsia="宋体" w:cs="Times New Roman"/>
      <w:bCs/>
      <w:color w:val="000000"/>
      <w:kern w:val="2"/>
      <w:sz w:val="18"/>
      <w:szCs w:val="24"/>
      <w:lang w:val="en-US" w:eastAsia="zh-CN" w:bidi="ar-SA"/>
    </w:rPr>
  </w:style>
  <w:style w:type="paragraph" w:customStyle="1" w:styleId="742">
    <w:name w:val="CM104"/>
    <w:basedOn w:val="417"/>
    <w:next w:val="417"/>
    <w:semiHidden/>
    <w:uiPriority w:val="0"/>
    <w:pPr>
      <w:spacing w:line="626" w:lineRule="atLeast"/>
    </w:pPr>
    <w:rPr>
      <w:rFonts w:ascii="á￥êé" w:hAnsi="Times New Roman" w:eastAsia="á￥êé" w:cs="Times New Roman"/>
      <w:color w:val="auto"/>
      <w:sz w:val="20"/>
      <w:szCs w:val="20"/>
    </w:rPr>
  </w:style>
  <w:style w:type="paragraph" w:customStyle="1" w:styleId="743">
    <w:name w:val="*Insertion tableau"/>
    <w:semiHidden/>
    <w:uiPriority w:val="0"/>
    <w:pPr>
      <w:spacing w:line="280" w:lineRule="atLeast"/>
    </w:pPr>
    <w:rPr>
      <w:rFonts w:ascii="Times New Roman" w:hAnsi="Times New Roman" w:eastAsia="宋体" w:cs="Times New Roman"/>
      <w:sz w:val="24"/>
      <w:lang w:val="fr-FR" w:eastAsia="zh-CN" w:bidi="ar-SA"/>
    </w:rPr>
  </w:style>
  <w:style w:type="paragraph" w:customStyle="1" w:styleId="744">
    <w:name w:val="xl27"/>
    <w:basedOn w:val="1"/>
    <w:semiHidden/>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center"/>
    </w:pPr>
    <w:rPr>
      <w:rFonts w:ascii="宋体" w:hAnsi="宋体" w:eastAsia="宋体"/>
      <w:color w:val="000000"/>
      <w:kern w:val="0"/>
      <w:sz w:val="20"/>
    </w:rPr>
  </w:style>
  <w:style w:type="paragraph" w:customStyle="1" w:styleId="745">
    <w:name w:val="Char Char1 Char Char Char Char Char Char Char Char Char Char Char Char Char Char Char Char Char Char Char Char1 Char"/>
    <w:basedOn w:val="1"/>
    <w:semiHidden/>
    <w:qFormat/>
    <w:uiPriority w:val="0"/>
    <w:pPr>
      <w:spacing w:line="360" w:lineRule="auto"/>
      <w:ind w:firstLine="200"/>
    </w:pPr>
    <w:rPr>
      <w:rFonts w:ascii="宋体" w:hAnsi="宋体" w:eastAsia="宋体" w:cs="宋体"/>
      <w:sz w:val="24"/>
      <w:szCs w:val="24"/>
    </w:rPr>
  </w:style>
  <w:style w:type="paragraph" w:customStyle="1" w:styleId="746">
    <w:name w:val="font26"/>
    <w:basedOn w:val="1"/>
    <w:semiHidden/>
    <w:qFormat/>
    <w:uiPriority w:val="0"/>
    <w:pPr>
      <w:widowControl/>
      <w:spacing w:before="100" w:beforeAutospacing="1" w:after="100" w:afterAutospacing="1" w:line="240" w:lineRule="auto"/>
      <w:ind w:firstLine="0"/>
      <w:jc w:val="left"/>
    </w:pPr>
    <w:rPr>
      <w:rFonts w:ascii="宋体" w:hAnsi="宋体" w:eastAsia="宋体" w:cs="宋体"/>
      <w:kern w:val="0"/>
      <w:sz w:val="22"/>
      <w:szCs w:val="22"/>
    </w:rPr>
  </w:style>
  <w:style w:type="paragraph" w:customStyle="1" w:styleId="747">
    <w:name w:val="xl116"/>
    <w:basedOn w:val="1"/>
    <w:semiHidden/>
    <w:qFormat/>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line="440" w:lineRule="exact"/>
      <w:ind w:firstLine="0"/>
      <w:jc w:val="left"/>
    </w:pPr>
    <w:rPr>
      <w:rFonts w:ascii="Arial Unicode MS" w:hAnsi="Arial Unicode MS" w:eastAsia="Arial Unicode MS" w:cs="Arial Unicode MS"/>
      <w:color w:val="000000"/>
      <w:kern w:val="0"/>
      <w:sz w:val="20"/>
    </w:rPr>
  </w:style>
  <w:style w:type="paragraph" w:customStyle="1" w:styleId="748">
    <w:name w:val="正文11"/>
    <w:basedOn w:val="1"/>
    <w:semiHidden/>
    <w:qFormat/>
    <w:uiPriority w:val="0"/>
    <w:pPr>
      <w:spacing w:line="440" w:lineRule="exact"/>
      <w:ind w:firstLine="540"/>
    </w:pPr>
    <w:rPr>
      <w:rFonts w:ascii="宋体" w:hAnsi="宋体" w:eastAsia="宋体"/>
      <w:color w:val="000000"/>
      <w:kern w:val="0"/>
      <w:sz w:val="24"/>
    </w:rPr>
  </w:style>
  <w:style w:type="paragraph" w:customStyle="1" w:styleId="749">
    <w:name w:val="英文"/>
    <w:basedOn w:val="1"/>
    <w:semiHidden/>
    <w:qFormat/>
    <w:uiPriority w:val="0"/>
    <w:pPr>
      <w:spacing w:line="240" w:lineRule="auto"/>
      <w:ind w:firstLine="0"/>
    </w:pPr>
    <w:rPr>
      <w:rFonts w:ascii="宋体" w:eastAsia="Arial"/>
      <w:kern w:val="0"/>
      <w:sz w:val="34"/>
    </w:rPr>
  </w:style>
  <w:style w:type="paragraph" w:customStyle="1" w:styleId="750">
    <w:name w:val="bian2"/>
    <w:basedOn w:val="1"/>
    <w:semiHidden/>
    <w:uiPriority w:val="0"/>
    <w:pPr>
      <w:widowControl/>
      <w:pBdr>
        <w:left w:val="single" w:color="FFFFFF" w:sz="6" w:space="0"/>
      </w:pBdr>
      <w:spacing w:before="100" w:beforeAutospacing="1" w:after="100" w:afterAutospacing="1" w:line="240" w:lineRule="auto"/>
      <w:ind w:firstLine="0"/>
      <w:jc w:val="left"/>
    </w:pPr>
    <w:rPr>
      <w:rFonts w:ascii="Arial Unicode MS" w:hAnsi="Arial Unicode MS" w:eastAsia="Arial Unicode MS"/>
      <w:kern w:val="0"/>
      <w:sz w:val="24"/>
    </w:rPr>
  </w:style>
  <w:style w:type="paragraph" w:customStyle="1" w:styleId="751">
    <w:name w:val="样式 宋体 小四 黑色 行距: 固定值 22 磅"/>
    <w:basedOn w:val="1"/>
    <w:semiHidden/>
    <w:uiPriority w:val="0"/>
    <w:pPr>
      <w:spacing w:line="440" w:lineRule="exact"/>
      <w:ind w:firstLine="0"/>
    </w:pPr>
    <w:rPr>
      <w:rFonts w:ascii="Arial" w:hAnsi="Arial" w:eastAsia="宋体"/>
      <w:color w:val="000000"/>
      <w:kern w:val="0"/>
      <w:sz w:val="24"/>
    </w:rPr>
  </w:style>
  <w:style w:type="paragraph" w:customStyle="1" w:styleId="752">
    <w:name w:val="Char2"/>
    <w:basedOn w:val="1"/>
    <w:semiHidden/>
    <w:uiPriority w:val="0"/>
    <w:pPr>
      <w:widowControl/>
      <w:spacing w:after="160" w:line="240" w:lineRule="exact"/>
      <w:ind w:firstLine="0"/>
      <w:jc w:val="left"/>
    </w:pPr>
    <w:rPr>
      <w:rFonts w:ascii="Verdana" w:hAnsi="Verdana" w:eastAsia="宋体"/>
      <w:kern w:val="0"/>
      <w:sz w:val="20"/>
      <w:lang w:eastAsia="en-US"/>
    </w:rPr>
  </w:style>
  <w:style w:type="paragraph" w:customStyle="1" w:styleId="753">
    <w:name w:val="图文字"/>
    <w:basedOn w:val="1"/>
    <w:next w:val="1"/>
    <w:semiHidden/>
    <w:qFormat/>
    <w:uiPriority w:val="0"/>
    <w:pPr>
      <w:snapToGrid w:val="0"/>
      <w:spacing w:line="240" w:lineRule="auto"/>
      <w:ind w:firstLine="0"/>
    </w:pPr>
    <w:rPr>
      <w:rFonts w:ascii="Arial" w:hAnsi="Arial" w:eastAsia="楷体_GB2312"/>
      <w:sz w:val="24"/>
    </w:rPr>
  </w:style>
  <w:style w:type="paragraph" w:customStyle="1" w:styleId="754">
    <w:name w:val="xl36"/>
    <w:basedOn w:val="1"/>
    <w:semiHidden/>
    <w:qFormat/>
    <w:uiPriority w:val="0"/>
    <w:pPr>
      <w:widowControl/>
      <w:pBdr>
        <w:top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宋体" w:hAnsi="宋体" w:eastAsia="宋体"/>
      <w:color w:val="000000"/>
      <w:kern w:val="0"/>
      <w:sz w:val="20"/>
    </w:rPr>
  </w:style>
  <w:style w:type="paragraph" w:customStyle="1" w:styleId="755">
    <w:name w:val="流程图"/>
    <w:basedOn w:val="27"/>
    <w:semiHidden/>
    <w:qFormat/>
    <w:uiPriority w:val="0"/>
    <w:pPr>
      <w:ind w:firstLine="480"/>
    </w:pPr>
    <w:rPr>
      <w:rFonts w:hint="eastAsia" w:ascii="宋体" w:hAnsi="宋体" w:cs="宋体"/>
      <w:kern w:val="0"/>
      <w:sz w:val="18"/>
      <w:szCs w:val="22"/>
    </w:rPr>
  </w:style>
  <w:style w:type="paragraph" w:customStyle="1" w:styleId="756">
    <w:name w:val="searchbar"/>
    <w:basedOn w:val="1"/>
    <w:semiHidden/>
    <w:qFormat/>
    <w:uiPriority w:val="0"/>
    <w:pPr>
      <w:widowControl/>
      <w:pBdr>
        <w:top w:val="single" w:color="F1F1F1" w:sz="24" w:space="0"/>
      </w:pBdr>
      <w:shd w:val="clear" w:color="auto" w:fill="E7E7E7"/>
      <w:spacing w:before="100" w:beforeAutospacing="1" w:after="100" w:afterAutospacing="1" w:line="240" w:lineRule="auto"/>
      <w:ind w:firstLine="0"/>
      <w:jc w:val="left"/>
    </w:pPr>
    <w:rPr>
      <w:rFonts w:ascii="Arial Unicode MS" w:hAnsi="Arial Unicode MS" w:eastAsia="宋体"/>
      <w:kern w:val="0"/>
      <w:sz w:val="24"/>
    </w:rPr>
  </w:style>
  <w:style w:type="paragraph" w:customStyle="1" w:styleId="757">
    <w:name w:val="CM14"/>
    <w:basedOn w:val="1"/>
    <w:next w:val="1"/>
    <w:semiHidden/>
    <w:qFormat/>
    <w:uiPriority w:val="0"/>
    <w:pPr>
      <w:autoSpaceDE w:val="0"/>
      <w:autoSpaceDN w:val="0"/>
      <w:adjustRightInd w:val="0"/>
      <w:spacing w:line="551" w:lineRule="atLeast"/>
      <w:ind w:firstLine="0"/>
      <w:jc w:val="left"/>
    </w:pPr>
    <w:rPr>
      <w:rFonts w:ascii="楷体_GB2312" w:eastAsia="楷体_GB2312" w:cs="楷体_GB2312"/>
      <w:kern w:val="0"/>
      <w:sz w:val="24"/>
    </w:rPr>
  </w:style>
  <w:style w:type="paragraph" w:customStyle="1" w:styleId="758">
    <w:name w:val="xl39"/>
    <w:basedOn w:val="1"/>
    <w:semiHidden/>
    <w:uiPriority w:val="0"/>
    <w:pPr>
      <w:widowControl/>
      <w:pBdr>
        <w:top w:val="single" w:color="auto" w:sz="4" w:space="0"/>
        <w:left w:val="single" w:color="auto" w:sz="4" w:space="0"/>
      </w:pBdr>
      <w:shd w:val="clear" w:color="auto" w:fill="FFFFFF"/>
      <w:spacing w:before="100" w:beforeAutospacing="1" w:after="100" w:afterAutospacing="1" w:line="440" w:lineRule="exact"/>
      <w:ind w:firstLine="0"/>
      <w:jc w:val="left"/>
    </w:pPr>
    <w:rPr>
      <w:rFonts w:ascii="宋体" w:hAnsi="宋体" w:eastAsia="宋体"/>
      <w:color w:val="000000"/>
      <w:kern w:val="0"/>
      <w:sz w:val="20"/>
    </w:rPr>
  </w:style>
  <w:style w:type="paragraph" w:customStyle="1" w:styleId="759">
    <w:name w:val="xl115"/>
    <w:basedOn w:val="1"/>
    <w:semiHidden/>
    <w:uiPriority w:val="0"/>
    <w:pPr>
      <w:widowControl/>
      <w:pBdr>
        <w:top w:val="single" w:color="auto" w:sz="4" w:space="0"/>
        <w:bottom w:val="single" w:color="auto" w:sz="4" w:space="0"/>
      </w:pBdr>
      <w:shd w:val="clear" w:color="auto" w:fill="FFFFFF"/>
      <w:spacing w:before="100" w:beforeAutospacing="1" w:after="100" w:afterAutospacing="1" w:line="440" w:lineRule="exact"/>
      <w:ind w:firstLine="0"/>
      <w:jc w:val="left"/>
    </w:pPr>
    <w:rPr>
      <w:rFonts w:ascii="Arial Unicode MS" w:hAnsi="Arial Unicode MS" w:eastAsia="Arial Unicode MS" w:cs="Arial Unicode MS"/>
      <w:color w:val="000000"/>
      <w:kern w:val="0"/>
      <w:sz w:val="20"/>
    </w:rPr>
  </w:style>
  <w:style w:type="paragraph" w:customStyle="1" w:styleId="760">
    <w:name w:val="xl23"/>
    <w:basedOn w:val="1"/>
    <w:semiHidden/>
    <w:uiPriority w:val="0"/>
    <w:pPr>
      <w:widowControl/>
      <w:spacing w:before="100" w:beforeAutospacing="1" w:after="100" w:afterAutospacing="1" w:line="440" w:lineRule="exact"/>
      <w:ind w:firstLine="0"/>
      <w:jc w:val="center"/>
    </w:pPr>
    <w:rPr>
      <w:rFonts w:ascii="宋体" w:hAnsi="宋体" w:eastAsia="宋体"/>
      <w:kern w:val="0"/>
      <w:sz w:val="24"/>
    </w:rPr>
  </w:style>
  <w:style w:type="paragraph" w:customStyle="1" w:styleId="761">
    <w:name w:val="gh"/>
    <w:basedOn w:val="1"/>
    <w:semiHidden/>
    <w:qFormat/>
    <w:uiPriority w:val="0"/>
    <w:pPr>
      <w:spacing w:line="360" w:lineRule="auto"/>
      <w:ind w:firstLine="480"/>
    </w:pPr>
    <w:rPr>
      <w:rFonts w:eastAsia="宋体"/>
      <w:snapToGrid w:val="0"/>
      <w:color w:val="000000"/>
      <w:kern w:val="0"/>
      <w:sz w:val="24"/>
      <w:szCs w:val="24"/>
    </w:rPr>
  </w:style>
  <w:style w:type="paragraph" w:customStyle="1" w:styleId="762">
    <w:name w:val="标题2-章"/>
    <w:basedOn w:val="6"/>
    <w:semiHidden/>
    <w:qFormat/>
    <w:uiPriority w:val="0"/>
    <w:pPr>
      <w:tabs>
        <w:tab w:val="left" w:pos="0"/>
      </w:tabs>
      <w:spacing w:before="120" w:beforeLines="50" w:after="120" w:afterLines="50" w:line="360" w:lineRule="auto"/>
      <w:ind w:firstLine="0"/>
    </w:pPr>
    <w:rPr>
      <w:rFonts w:ascii="黑体" w:hAnsi="宋体" w:cs="宋体"/>
      <w:b w:val="0"/>
      <w:kern w:val="0"/>
      <w:sz w:val="24"/>
      <w:szCs w:val="20"/>
    </w:rPr>
  </w:style>
  <w:style w:type="paragraph" w:customStyle="1" w:styleId="763">
    <w:name w:val="font18"/>
    <w:basedOn w:val="1"/>
    <w:semiHidden/>
    <w:qFormat/>
    <w:uiPriority w:val="0"/>
    <w:pPr>
      <w:widowControl/>
      <w:spacing w:before="100" w:beforeAutospacing="1" w:after="100" w:afterAutospacing="1" w:line="240" w:lineRule="auto"/>
      <w:ind w:firstLine="0"/>
      <w:jc w:val="left"/>
    </w:pPr>
    <w:rPr>
      <w:rFonts w:ascii="Arial" w:hAnsi="Arial" w:eastAsia="宋体" w:cs="Arial"/>
      <w:color w:val="000000"/>
      <w:kern w:val="0"/>
      <w:sz w:val="16"/>
      <w:szCs w:val="16"/>
    </w:rPr>
  </w:style>
  <w:style w:type="paragraph" w:customStyle="1" w:styleId="764">
    <w:name w:val="xl102"/>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Arial Unicode MS" w:hAnsi="Arial Unicode MS" w:eastAsia="Arial Unicode MS" w:cs="Arial Unicode MS"/>
      <w:color w:val="000000"/>
      <w:kern w:val="0"/>
      <w:sz w:val="20"/>
    </w:rPr>
  </w:style>
  <w:style w:type="paragraph" w:customStyle="1" w:styleId="765">
    <w:name w:val="样式 正文文本缩进 + 行距: 固定值 24 磅2"/>
    <w:basedOn w:val="25"/>
    <w:semiHidden/>
    <w:qFormat/>
    <w:uiPriority w:val="0"/>
    <w:pPr>
      <w:snapToGrid/>
      <w:spacing w:line="480" w:lineRule="exact"/>
      <w:ind w:left="-59" w:firstLine="560"/>
    </w:pPr>
    <w:rPr>
      <w:rFonts w:ascii="宋体" w:hAnsi="宋体" w:cs="宋体"/>
    </w:rPr>
  </w:style>
  <w:style w:type="paragraph" w:customStyle="1" w:styleId="766">
    <w:name w:val="小表格"/>
    <w:basedOn w:val="227"/>
    <w:uiPriority w:val="0"/>
    <w:pPr>
      <w:autoSpaceDE w:val="0"/>
      <w:autoSpaceDN w:val="0"/>
      <w:spacing w:before="0" w:after="0" w:line="360" w:lineRule="auto"/>
      <w:ind w:firstLine="0"/>
    </w:pPr>
    <w:rPr>
      <w:rFonts w:ascii="仿宋_GB2312"/>
      <w:kern w:val="0"/>
      <w:sz w:val="34"/>
    </w:rPr>
  </w:style>
  <w:style w:type="paragraph" w:customStyle="1" w:styleId="767">
    <w:name w:val="条文1"/>
    <w:basedOn w:val="8"/>
    <w:semiHidden/>
    <w:uiPriority w:val="0"/>
    <w:pPr>
      <w:keepNext w:val="0"/>
      <w:keepLines w:val="0"/>
      <w:adjustRightInd w:val="0"/>
      <w:spacing w:before="0" w:after="0" w:line="460" w:lineRule="exact"/>
      <w:ind w:left="907" w:hanging="425"/>
      <w:outlineLvl w:val="9"/>
    </w:pPr>
    <w:rPr>
      <w:rFonts w:ascii="宋体" w:hAnsi="Times New Roman" w:eastAsia="宋体"/>
      <w:b w:val="0"/>
      <w:bCs w:val="0"/>
      <w:kern w:val="0"/>
      <w:sz w:val="26"/>
      <w:szCs w:val="20"/>
    </w:rPr>
  </w:style>
  <w:style w:type="paragraph" w:customStyle="1" w:styleId="768">
    <w:name w:val="正文样式"/>
    <w:basedOn w:val="1"/>
    <w:semiHidden/>
    <w:uiPriority w:val="0"/>
    <w:pPr>
      <w:adjustRightInd w:val="0"/>
      <w:snapToGrid w:val="0"/>
      <w:spacing w:before="156" w:beforeLines="50" w:after="156" w:afterLines="50" w:line="312" w:lineRule="auto"/>
      <w:ind w:firstLine="480"/>
    </w:pPr>
    <w:rPr>
      <w:rFonts w:ascii="宋体" w:eastAsia="宋体" w:cs="宋体"/>
      <w:kern w:val="0"/>
      <w:sz w:val="34"/>
    </w:rPr>
  </w:style>
  <w:style w:type="paragraph" w:customStyle="1" w:styleId="769">
    <w:name w:val="1.表格标题CM"/>
    <w:basedOn w:val="1"/>
    <w:qFormat/>
    <w:uiPriority w:val="0"/>
    <w:pPr>
      <w:adjustRightInd w:val="0"/>
      <w:snapToGrid w:val="0"/>
      <w:spacing w:line="240" w:lineRule="auto"/>
      <w:ind w:firstLine="0"/>
      <w:jc w:val="center"/>
      <w:outlineLvl w:val="6"/>
    </w:pPr>
    <w:rPr>
      <w:rFonts w:ascii="Calibri" w:hAnsi="Calibri" w:eastAsia="宋体"/>
      <w:b/>
      <w:sz w:val="21"/>
      <w:szCs w:val="22"/>
    </w:rPr>
  </w:style>
  <w:style w:type="paragraph" w:customStyle="1" w:styleId="770">
    <w:name w:val="表头标题"/>
    <w:qFormat/>
    <w:uiPriority w:val="0"/>
    <w:pPr>
      <w:widowControl w:val="0"/>
      <w:spacing w:line="360" w:lineRule="auto"/>
      <w:jc w:val="center"/>
    </w:pPr>
    <w:rPr>
      <w:rFonts w:ascii="Times New Roman" w:hAnsi="Times New Roman" w:eastAsia="宋体" w:cs="Times New Roman"/>
      <w:b/>
      <w:kern w:val="2"/>
      <w:sz w:val="24"/>
      <w:szCs w:val="21"/>
      <w:lang w:val="en-US" w:eastAsia="zh-CN" w:bidi="ar-SA"/>
    </w:rPr>
  </w:style>
  <w:style w:type="paragraph" w:customStyle="1" w:styleId="771">
    <w:name w:val="Bullet 1"/>
    <w:basedOn w:val="1"/>
    <w:next w:val="1"/>
    <w:semiHidden/>
    <w:uiPriority w:val="0"/>
    <w:pPr>
      <w:widowControl/>
      <w:tabs>
        <w:tab w:val="left" w:pos="845"/>
        <w:tab w:val="left" w:pos="1440"/>
      </w:tabs>
      <w:spacing w:line="240" w:lineRule="auto"/>
      <w:ind w:left="2160" w:hanging="420"/>
      <w:jc w:val="left"/>
    </w:pPr>
    <w:rPr>
      <w:rFonts w:ascii="Arial" w:hAnsi="Arial" w:eastAsia="宋体"/>
      <w:kern w:val="0"/>
      <w:sz w:val="20"/>
    </w:rPr>
  </w:style>
  <w:style w:type="paragraph" w:customStyle="1" w:styleId="772">
    <w:name w:val="样式 (符号) 宋体 四号 行距: 1.5 倍行距"/>
    <w:basedOn w:val="1"/>
    <w:semiHidden/>
    <w:uiPriority w:val="0"/>
    <w:pPr>
      <w:snapToGrid w:val="0"/>
      <w:spacing w:line="360" w:lineRule="auto"/>
      <w:ind w:firstLine="480"/>
    </w:pPr>
    <w:rPr>
      <w:rFonts w:ascii="宋体" w:hAnsi="宋体" w:eastAsia="宋体" w:cs="宋体"/>
      <w:kern w:val="28"/>
      <w:sz w:val="24"/>
    </w:rPr>
  </w:style>
  <w:style w:type="paragraph" w:customStyle="1" w:styleId="773">
    <w:name w:val="标题1-篇"/>
    <w:basedOn w:val="428"/>
    <w:semiHidden/>
    <w:uiPriority w:val="0"/>
    <w:pPr>
      <w:spacing w:before="120" w:after="120"/>
      <w:ind w:left="0" w:firstLine="0"/>
    </w:pPr>
    <w:rPr>
      <w:rFonts w:cs="宋体"/>
      <w:sz w:val="28"/>
      <w:szCs w:val="28"/>
    </w:rPr>
  </w:style>
  <w:style w:type="paragraph" w:customStyle="1" w:styleId="774">
    <w:name w:val="xl64"/>
    <w:basedOn w:val="1"/>
    <w:semiHidden/>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宋体" w:hAnsi="宋体" w:eastAsia="宋体"/>
      <w:color w:val="000000"/>
      <w:kern w:val="0"/>
      <w:sz w:val="20"/>
    </w:rPr>
  </w:style>
  <w:style w:type="paragraph" w:customStyle="1" w:styleId="775">
    <w:name w:val="表－右对齐"/>
    <w:basedOn w:val="649"/>
    <w:semiHidden/>
    <w:qFormat/>
    <w:uiPriority w:val="0"/>
    <w:pPr>
      <w:adjustRightInd w:val="0"/>
      <w:spacing w:line="360" w:lineRule="auto"/>
      <w:ind w:firstLine="480"/>
      <w:jc w:val="right"/>
    </w:pPr>
  </w:style>
  <w:style w:type="paragraph" w:customStyle="1" w:styleId="776">
    <w:name w:val="样式5"/>
    <w:basedOn w:val="423"/>
    <w:next w:val="690"/>
    <w:semiHidden/>
    <w:qFormat/>
    <w:uiPriority w:val="0"/>
    <w:pPr>
      <w:spacing w:line="160" w:lineRule="exact"/>
      <w:ind w:left="100" w:right="100"/>
      <w:jc w:val="center"/>
    </w:pPr>
    <w:rPr>
      <w:snapToGrid w:val="0"/>
    </w:rPr>
  </w:style>
  <w:style w:type="paragraph" w:customStyle="1" w:styleId="777">
    <w:name w:val="金皇-正文"/>
    <w:basedOn w:val="1"/>
    <w:qFormat/>
    <w:uiPriority w:val="0"/>
    <w:pPr>
      <w:spacing w:line="360" w:lineRule="auto"/>
      <w:ind w:firstLine="200"/>
    </w:pPr>
    <w:rPr>
      <w:rFonts w:ascii="Calibri" w:hAnsi="Calibri" w:eastAsia="宋体"/>
      <w:sz w:val="24"/>
      <w:szCs w:val="24"/>
    </w:rPr>
  </w:style>
  <w:style w:type="paragraph" w:customStyle="1" w:styleId="778">
    <w:name w:val="北京表头"/>
    <w:next w:val="482"/>
    <w:qFormat/>
    <w:uiPriority w:val="0"/>
    <w:pPr>
      <w:spacing w:line="360" w:lineRule="auto"/>
      <w:jc w:val="center"/>
    </w:pPr>
    <w:rPr>
      <w:rFonts w:ascii="Times New Roman" w:hAnsi="Times New Roman" w:eastAsia="黑体" w:cs="Times New Roman"/>
      <w:bCs/>
      <w:color w:val="000000"/>
      <w:kern w:val="2"/>
      <w:sz w:val="21"/>
      <w:szCs w:val="24"/>
      <w:lang w:val="en-US" w:eastAsia="zh-CN" w:bidi="ar-SA"/>
    </w:rPr>
  </w:style>
  <w:style w:type="paragraph" w:customStyle="1" w:styleId="779">
    <w:name w:val="CM42"/>
    <w:basedOn w:val="1"/>
    <w:next w:val="1"/>
    <w:semiHidden/>
    <w:qFormat/>
    <w:uiPriority w:val="0"/>
    <w:pPr>
      <w:autoSpaceDE w:val="0"/>
      <w:autoSpaceDN w:val="0"/>
      <w:adjustRightInd w:val="0"/>
      <w:spacing w:after="318" w:line="240" w:lineRule="auto"/>
      <w:ind w:firstLine="0"/>
      <w:jc w:val="left"/>
    </w:pPr>
    <w:rPr>
      <w:rFonts w:ascii="楷体_GB2312" w:eastAsia="楷体_GB2312" w:cs="楷体_GB2312"/>
      <w:kern w:val="0"/>
      <w:sz w:val="24"/>
    </w:rPr>
  </w:style>
  <w:style w:type="paragraph" w:customStyle="1" w:styleId="780">
    <w:name w:val="目次、标准名称标题"/>
    <w:basedOn w:val="1"/>
    <w:next w:val="616"/>
    <w:semiHidden/>
    <w:uiPriority w:val="0"/>
    <w:pPr>
      <w:widowControl/>
      <w:shd w:val="clear" w:color="FFFFFF" w:fill="FFFFFF"/>
      <w:spacing w:before="640" w:after="560" w:line="460" w:lineRule="exact"/>
      <w:ind w:firstLine="0"/>
      <w:jc w:val="center"/>
      <w:outlineLvl w:val="0"/>
    </w:pPr>
    <w:rPr>
      <w:rFonts w:ascii="黑体" w:eastAsia="黑体"/>
      <w:kern w:val="0"/>
      <w:sz w:val="32"/>
    </w:rPr>
  </w:style>
  <w:style w:type="paragraph" w:customStyle="1" w:styleId="781">
    <w:name w:val=" Char Char2"/>
    <w:basedOn w:val="1"/>
    <w:next w:val="1"/>
    <w:semiHidden/>
    <w:uiPriority w:val="0"/>
    <w:pPr>
      <w:spacing w:line="360" w:lineRule="auto"/>
      <w:ind w:firstLine="200"/>
    </w:pPr>
    <w:rPr>
      <w:rFonts w:ascii="宋体" w:hAnsi="宋体" w:eastAsia="宋体" w:cs="宋体"/>
      <w:sz w:val="24"/>
      <w:szCs w:val="24"/>
    </w:rPr>
  </w:style>
  <w:style w:type="paragraph" w:customStyle="1" w:styleId="782">
    <w:name w:val="xl70"/>
    <w:basedOn w:val="1"/>
    <w:semiHidden/>
    <w:uiPriority w:val="0"/>
    <w:pPr>
      <w:widowControl/>
      <w:shd w:val="clear" w:color="auto" w:fill="FFFFFF"/>
      <w:spacing w:before="100" w:beforeAutospacing="1" w:after="100" w:afterAutospacing="1" w:line="440" w:lineRule="exact"/>
      <w:ind w:firstLine="0"/>
      <w:jc w:val="left"/>
    </w:pPr>
    <w:rPr>
      <w:rFonts w:ascii="宋体" w:hAnsi="宋体" w:eastAsia="宋体"/>
      <w:kern w:val="0"/>
      <w:sz w:val="20"/>
    </w:rPr>
  </w:style>
  <w:style w:type="paragraph" w:customStyle="1" w:styleId="783">
    <w:name w:val="Bullet 5"/>
    <w:basedOn w:val="1"/>
    <w:next w:val="1"/>
    <w:semiHidden/>
    <w:qFormat/>
    <w:uiPriority w:val="0"/>
    <w:pPr>
      <w:widowControl/>
      <w:tabs>
        <w:tab w:val="left" w:pos="360"/>
        <w:tab w:val="left" w:pos="1440"/>
      </w:tabs>
      <w:spacing w:line="240" w:lineRule="auto"/>
      <w:ind w:left="5041" w:hanging="360"/>
      <w:jc w:val="left"/>
    </w:pPr>
    <w:rPr>
      <w:rFonts w:ascii="Arial" w:hAnsi="Arial" w:eastAsia="宋体"/>
      <w:kern w:val="0"/>
      <w:sz w:val="20"/>
    </w:rPr>
  </w:style>
  <w:style w:type="paragraph" w:customStyle="1" w:styleId="784">
    <w:name w:val="标题6后正文"/>
    <w:basedOn w:val="1"/>
    <w:next w:val="1"/>
    <w:semiHidden/>
    <w:qFormat/>
    <w:uiPriority w:val="0"/>
    <w:pPr>
      <w:tabs>
        <w:tab w:val="left" w:pos="5880"/>
      </w:tabs>
      <w:adjustRightInd w:val="0"/>
      <w:snapToGrid w:val="0"/>
      <w:spacing w:before="120" w:beforeLines="50" w:line="440" w:lineRule="exact"/>
      <w:ind w:left="907" w:firstLine="454"/>
    </w:pPr>
    <w:rPr>
      <w:rFonts w:ascii="宋体" w:eastAsia="宋体"/>
      <w:kern w:val="0"/>
      <w:sz w:val="24"/>
    </w:rPr>
  </w:style>
  <w:style w:type="paragraph" w:customStyle="1" w:styleId="785">
    <w:name w:val="中文报告书样式"/>
    <w:basedOn w:val="1"/>
    <w:semiHidden/>
    <w:qFormat/>
    <w:uiPriority w:val="0"/>
    <w:pPr>
      <w:adjustRightInd w:val="0"/>
      <w:snapToGrid w:val="0"/>
      <w:spacing w:line="520" w:lineRule="exact"/>
      <w:ind w:firstLine="578"/>
      <w:textAlignment w:val="baseline"/>
    </w:pPr>
    <w:rPr>
      <w:rFonts w:ascii="宋体" w:eastAsia="宋体"/>
      <w:kern w:val="24"/>
      <w:sz w:val="24"/>
    </w:rPr>
  </w:style>
  <w:style w:type="paragraph" w:customStyle="1" w:styleId="786">
    <w:name w:val="Personal Info"/>
    <w:basedOn w:val="669"/>
    <w:semiHidden/>
    <w:qFormat/>
    <w:uiPriority w:val="0"/>
    <w:pPr>
      <w:widowControl/>
      <w:tabs>
        <w:tab w:val="left" w:pos="900"/>
        <w:tab w:val="clear" w:pos="360"/>
      </w:tabs>
      <w:spacing w:before="220" w:after="60" w:line="220" w:lineRule="atLeast"/>
      <w:ind w:left="900" w:right="-360" w:hanging="900"/>
      <w:jc w:val="left"/>
    </w:pPr>
    <w:rPr>
      <w:sz w:val="20"/>
    </w:rPr>
  </w:style>
  <w:style w:type="paragraph" w:customStyle="1" w:styleId="787">
    <w:name w:val="t200"/>
    <w:basedOn w:val="1"/>
    <w:semiHidden/>
    <w:qFormat/>
    <w:uiPriority w:val="0"/>
    <w:pPr>
      <w:widowControl/>
      <w:spacing w:before="100" w:beforeAutospacing="1" w:after="100" w:afterAutospacing="1" w:line="480" w:lineRule="auto"/>
      <w:ind w:firstLine="0"/>
      <w:jc w:val="left"/>
    </w:pPr>
    <w:rPr>
      <w:rFonts w:ascii="Arial Unicode MS" w:hAnsi="Arial Unicode MS" w:eastAsia="Arial Unicode MS"/>
      <w:kern w:val="0"/>
      <w:sz w:val="24"/>
    </w:rPr>
  </w:style>
  <w:style w:type="paragraph" w:customStyle="1" w:styleId="788">
    <w:name w:val="样式 5文章(治) + 首行缩进:  2 字符1"/>
    <w:basedOn w:val="3"/>
    <w:uiPriority w:val="0"/>
    <w:pPr>
      <w:ind w:firstLine="480"/>
    </w:pPr>
    <w:rPr>
      <w:rFonts w:cs="宋体"/>
    </w:rPr>
  </w:style>
  <w:style w:type="paragraph" w:customStyle="1" w:styleId="789">
    <w:name w:val="北京3级标题"/>
    <w:next w:val="482"/>
    <w:qFormat/>
    <w:uiPriority w:val="0"/>
    <w:pPr>
      <w:spacing w:line="360" w:lineRule="auto"/>
      <w:outlineLvl w:val="2"/>
    </w:pPr>
    <w:rPr>
      <w:rFonts w:ascii="黑体" w:hAnsi="Times New Roman" w:eastAsia="黑体" w:cs="Times New Roman"/>
      <w:bCs/>
      <w:color w:val="000000"/>
      <w:kern w:val="2"/>
      <w:sz w:val="24"/>
      <w:szCs w:val="24"/>
      <w:lang w:val="en-US" w:eastAsia="zh-CN" w:bidi="ar-SA"/>
    </w:rPr>
  </w:style>
  <w:style w:type="paragraph" w:customStyle="1" w:styleId="790">
    <w:name w:val=" Char Char Char Char Char Char Char"/>
    <w:basedOn w:val="1"/>
    <w:next w:val="1"/>
    <w:semiHidden/>
    <w:uiPriority w:val="0"/>
    <w:pPr>
      <w:spacing w:line="360" w:lineRule="auto"/>
      <w:ind w:firstLine="200"/>
    </w:pPr>
    <w:rPr>
      <w:rFonts w:ascii="宋体" w:hAnsi="宋体" w:eastAsia="宋体" w:cs="宋体"/>
      <w:sz w:val="24"/>
      <w:szCs w:val="24"/>
    </w:rPr>
  </w:style>
  <w:style w:type="paragraph" w:customStyle="1" w:styleId="791">
    <w:name w:val="样式1 正文"/>
    <w:basedOn w:val="49"/>
    <w:semiHidden/>
    <w:qFormat/>
    <w:uiPriority w:val="0"/>
    <w:pPr>
      <w:adjustRightInd w:val="0"/>
      <w:snapToGrid w:val="0"/>
      <w:spacing w:line="420" w:lineRule="auto"/>
      <w:ind w:firstLine="480"/>
    </w:pPr>
    <w:rPr>
      <w:rFonts w:hAnsi="宋体" w:cs="Courier New"/>
      <w:sz w:val="21"/>
      <w:szCs w:val="21"/>
    </w:rPr>
  </w:style>
  <w:style w:type="paragraph" w:customStyle="1" w:styleId="792">
    <w:name w:val="p1"/>
    <w:basedOn w:val="1"/>
    <w:semiHidden/>
    <w:qFormat/>
    <w:uiPriority w:val="0"/>
    <w:pPr>
      <w:widowControl/>
      <w:spacing w:before="100" w:beforeAutospacing="1" w:after="100" w:afterAutospacing="1" w:line="330" w:lineRule="atLeast"/>
      <w:ind w:firstLine="0"/>
      <w:jc w:val="left"/>
    </w:pPr>
    <w:rPr>
      <w:rFonts w:ascii="Arial Unicode MS" w:hAnsi="Arial Unicode MS" w:eastAsia="Arial Unicode MS"/>
      <w:color w:val="000000"/>
      <w:kern w:val="0"/>
      <w:sz w:val="34"/>
      <w:szCs w:val="21"/>
    </w:rPr>
  </w:style>
  <w:style w:type="paragraph" w:customStyle="1" w:styleId="793">
    <w:name w:val="CM10"/>
    <w:basedOn w:val="1"/>
    <w:next w:val="1"/>
    <w:semiHidden/>
    <w:qFormat/>
    <w:uiPriority w:val="0"/>
    <w:pPr>
      <w:autoSpaceDE w:val="0"/>
      <w:autoSpaceDN w:val="0"/>
      <w:adjustRightInd w:val="0"/>
      <w:spacing w:line="468" w:lineRule="atLeast"/>
      <w:ind w:firstLine="0"/>
      <w:jc w:val="left"/>
    </w:pPr>
    <w:rPr>
      <w:rFonts w:ascii="华文新魏" w:eastAsia="华文新魏"/>
      <w:kern w:val="0"/>
      <w:sz w:val="24"/>
    </w:rPr>
  </w:style>
  <w:style w:type="paragraph" w:customStyle="1" w:styleId="794">
    <w:name w:val="font15"/>
    <w:basedOn w:val="1"/>
    <w:semiHidden/>
    <w:qFormat/>
    <w:uiPriority w:val="0"/>
    <w:pPr>
      <w:widowControl/>
      <w:spacing w:before="100" w:beforeAutospacing="1" w:after="100" w:afterAutospacing="1" w:line="240" w:lineRule="auto"/>
      <w:ind w:firstLine="0"/>
      <w:jc w:val="left"/>
    </w:pPr>
    <w:rPr>
      <w:rFonts w:ascii="Arial" w:hAnsi="Arial" w:eastAsia="宋体" w:cs="Arial"/>
      <w:color w:val="000000"/>
      <w:kern w:val="0"/>
      <w:sz w:val="10"/>
      <w:szCs w:val="10"/>
    </w:rPr>
  </w:style>
  <w:style w:type="paragraph" w:customStyle="1" w:styleId="795">
    <w:name w:val="green"/>
    <w:basedOn w:val="1"/>
    <w:semiHidden/>
    <w:qFormat/>
    <w:uiPriority w:val="0"/>
    <w:pPr>
      <w:widowControl/>
      <w:spacing w:before="100" w:beforeAutospacing="1" w:after="100" w:afterAutospacing="1" w:line="288" w:lineRule="auto"/>
      <w:ind w:firstLine="0"/>
      <w:jc w:val="left"/>
    </w:pPr>
    <w:rPr>
      <w:rFonts w:ascii="Arial Unicode MS" w:hAnsi="Arial Unicode MS" w:eastAsia="宋体"/>
      <w:color w:val="007B92"/>
      <w:kern w:val="0"/>
      <w:sz w:val="18"/>
      <w:szCs w:val="18"/>
    </w:rPr>
  </w:style>
  <w:style w:type="paragraph" w:customStyle="1" w:styleId="796">
    <w:name w:val="xl96"/>
    <w:basedOn w:val="1"/>
    <w:semiHidden/>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Arial Unicode MS" w:hAnsi="Arial Unicode MS" w:eastAsia="Arial Unicode MS" w:cs="Arial Unicode MS"/>
      <w:color w:val="000000"/>
      <w:kern w:val="0"/>
      <w:sz w:val="20"/>
    </w:rPr>
  </w:style>
  <w:style w:type="paragraph" w:customStyle="1" w:styleId="797">
    <w:name w:val="Document Label"/>
    <w:basedOn w:val="1"/>
    <w:next w:val="1"/>
    <w:semiHidden/>
    <w:uiPriority w:val="0"/>
    <w:pPr>
      <w:widowControl/>
      <w:spacing w:after="220" w:line="240" w:lineRule="auto"/>
      <w:ind w:right="-360" w:firstLine="0"/>
      <w:jc w:val="left"/>
    </w:pPr>
    <w:rPr>
      <w:rFonts w:ascii="宋体" w:eastAsia="宋体"/>
      <w:spacing w:val="-20"/>
      <w:kern w:val="0"/>
      <w:sz w:val="48"/>
    </w:rPr>
  </w:style>
  <w:style w:type="paragraph" w:customStyle="1" w:styleId="798">
    <w:name w:val=" Char Char"/>
    <w:basedOn w:val="1"/>
    <w:next w:val="1"/>
    <w:semiHidden/>
    <w:uiPriority w:val="0"/>
    <w:pPr>
      <w:spacing w:line="360" w:lineRule="auto"/>
      <w:ind w:firstLine="200"/>
    </w:pPr>
    <w:rPr>
      <w:rFonts w:ascii="宋体" w:hAnsi="宋体" w:eastAsia="宋体" w:cs="宋体"/>
      <w:sz w:val="24"/>
      <w:szCs w:val="24"/>
    </w:rPr>
  </w:style>
  <w:style w:type="paragraph" w:customStyle="1" w:styleId="799">
    <w:name w:val="调研内容"/>
    <w:basedOn w:val="1"/>
    <w:semiHidden/>
    <w:qFormat/>
    <w:uiPriority w:val="0"/>
    <w:pPr>
      <w:spacing w:line="360" w:lineRule="auto"/>
      <w:ind w:firstLine="0"/>
    </w:pPr>
    <w:rPr>
      <w:rFonts w:ascii="宋体" w:eastAsia="宋体"/>
      <w:kern w:val="0"/>
      <w:sz w:val="34"/>
    </w:rPr>
  </w:style>
  <w:style w:type="paragraph" w:customStyle="1" w:styleId="800">
    <w:name w:val="Heading Base"/>
    <w:basedOn w:val="27"/>
    <w:next w:val="27"/>
    <w:semiHidden/>
    <w:qFormat/>
    <w:uiPriority w:val="0"/>
    <w:pPr>
      <w:keepNext/>
      <w:keepLines/>
      <w:widowControl/>
      <w:spacing w:after="0" w:line="220" w:lineRule="atLeast"/>
      <w:ind w:right="-360"/>
      <w:jc w:val="left"/>
    </w:pPr>
    <w:rPr>
      <w:rFonts w:hint="eastAsia" w:ascii="Arial" w:hAnsi="Arial" w:cs="宋体"/>
      <w:spacing w:val="-4"/>
      <w:kern w:val="0"/>
      <w:sz w:val="18"/>
      <w:szCs w:val="22"/>
    </w:rPr>
  </w:style>
  <w:style w:type="paragraph" w:customStyle="1" w:styleId="801">
    <w:name w:val="xl107"/>
    <w:basedOn w:val="1"/>
    <w:semiHidden/>
    <w:qFormat/>
    <w:uiPriority w:val="0"/>
    <w:pPr>
      <w:widowControl/>
      <w:pBdr>
        <w:left w:val="single" w:color="000000" w:sz="4" w:space="0"/>
        <w:bottom w:val="single" w:color="000000" w:sz="4" w:space="0"/>
        <w:right w:val="single" w:color="000000" w:sz="4" w:space="0"/>
      </w:pBdr>
      <w:shd w:val="clear" w:color="auto" w:fill="FFFFFF"/>
      <w:spacing w:before="100" w:beforeAutospacing="1" w:after="100" w:afterAutospacing="1" w:line="440" w:lineRule="exact"/>
      <w:ind w:firstLine="0"/>
      <w:jc w:val="center"/>
    </w:pPr>
    <w:rPr>
      <w:rFonts w:ascii="Arial Unicode MS" w:hAnsi="Arial Unicode MS" w:eastAsia="Arial Unicode MS" w:cs="Arial Unicode MS"/>
      <w:color w:val="000000"/>
      <w:kern w:val="0"/>
      <w:sz w:val="20"/>
    </w:rPr>
  </w:style>
  <w:style w:type="paragraph" w:customStyle="1" w:styleId="802">
    <w:name w:val="表内序号"/>
    <w:basedOn w:val="1"/>
    <w:semiHidden/>
    <w:qFormat/>
    <w:uiPriority w:val="0"/>
    <w:pPr>
      <w:spacing w:line="240" w:lineRule="auto"/>
      <w:ind w:firstLine="0"/>
      <w:jc w:val="center"/>
    </w:pPr>
    <w:rPr>
      <w:rFonts w:ascii="宋体" w:eastAsia="宋体"/>
      <w:color w:val="000000"/>
      <w:kern w:val="0"/>
      <w:sz w:val="34"/>
    </w:rPr>
  </w:style>
  <w:style w:type="paragraph" w:customStyle="1" w:styleId="803">
    <w:name w:val="!Texte courant"/>
    <w:semiHidden/>
    <w:qFormat/>
    <w:uiPriority w:val="0"/>
    <w:pPr>
      <w:spacing w:before="120" w:line="280" w:lineRule="atLeast"/>
      <w:jc w:val="both"/>
    </w:pPr>
    <w:rPr>
      <w:rFonts w:ascii="Times New Roman" w:hAnsi="Times New Roman" w:eastAsia="宋体" w:cs="Times New Roman"/>
      <w:sz w:val="24"/>
      <w:lang w:val="fr-FR" w:eastAsia="zh-CN" w:bidi="ar-SA"/>
    </w:rPr>
  </w:style>
  <w:style w:type="paragraph" w:customStyle="1" w:styleId="804">
    <w:name w:val="xl26"/>
    <w:basedOn w:val="1"/>
    <w:semiHidden/>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textAlignment w:val="center"/>
    </w:pPr>
    <w:rPr>
      <w:rFonts w:hint="eastAsia" w:ascii="宋体" w:hAnsi="宋体" w:eastAsia="宋体"/>
      <w:color w:val="000000"/>
      <w:kern w:val="0"/>
      <w:sz w:val="34"/>
      <w:szCs w:val="21"/>
    </w:rPr>
  </w:style>
  <w:style w:type="paragraph" w:customStyle="1" w:styleId="805">
    <w:name w:val="正文内容"/>
    <w:qFormat/>
    <w:uiPriority w:val="0"/>
    <w:pPr>
      <w:spacing w:line="360" w:lineRule="auto"/>
      <w:ind w:firstLine="200"/>
      <w:jc w:val="both"/>
    </w:pPr>
    <w:rPr>
      <w:rFonts w:ascii="Times New Roman" w:hAnsi="Times New Roman" w:eastAsia="宋体" w:cs="Times New Roman"/>
      <w:kern w:val="2"/>
      <w:sz w:val="24"/>
      <w:szCs w:val="22"/>
      <w:lang w:val="en-US" w:eastAsia="zh-CN" w:bidi="ar-SA"/>
    </w:rPr>
  </w:style>
  <w:style w:type="paragraph" w:customStyle="1" w:styleId="806">
    <w:name w:val="redbarword"/>
    <w:basedOn w:val="1"/>
    <w:semiHidden/>
    <w:uiPriority w:val="0"/>
    <w:pPr>
      <w:widowControl/>
      <w:spacing w:before="100" w:beforeAutospacing="1" w:after="100" w:afterAutospacing="1" w:line="432" w:lineRule="auto"/>
      <w:ind w:firstLine="0"/>
      <w:jc w:val="left"/>
    </w:pPr>
    <w:rPr>
      <w:rFonts w:ascii="Arial Unicode MS" w:hAnsi="Arial Unicode MS" w:eastAsia="宋体"/>
      <w:color w:val="00287B"/>
      <w:kern w:val="0"/>
      <w:sz w:val="30"/>
      <w:szCs w:val="30"/>
    </w:rPr>
  </w:style>
  <w:style w:type="paragraph" w:customStyle="1" w:styleId="807">
    <w:name w:val="章(一级)"/>
    <w:basedOn w:val="5"/>
    <w:next w:val="1"/>
    <w:semiHidden/>
    <w:qFormat/>
    <w:uiPriority w:val="0"/>
    <w:pPr>
      <w:keepNext w:val="0"/>
      <w:keepLines w:val="0"/>
      <w:widowControl/>
      <w:spacing w:before="0" w:after="0" w:line="400" w:lineRule="exact"/>
      <w:ind w:firstLine="240"/>
      <w:contextualSpacing/>
      <w:jc w:val="left"/>
    </w:pPr>
    <w:rPr>
      <w:rFonts w:ascii="黑体" w:eastAsia="黑体"/>
      <w:kern w:val="0"/>
      <w:sz w:val="24"/>
      <w:szCs w:val="20"/>
    </w:rPr>
  </w:style>
  <w:style w:type="paragraph" w:styleId="808">
    <w:name w:val="List Paragraph"/>
    <w:basedOn w:val="1"/>
    <w:qFormat/>
    <w:uiPriority w:val="34"/>
    <w:pPr>
      <w:spacing w:line="240" w:lineRule="auto"/>
      <w:ind w:firstLine="420"/>
    </w:pPr>
    <w:rPr>
      <w:rFonts w:ascii="Calibri" w:hAnsi="Calibri" w:eastAsia="宋体"/>
      <w:kern w:val="0"/>
      <w:sz w:val="34"/>
      <w:szCs w:val="22"/>
    </w:rPr>
  </w:style>
  <w:style w:type="paragraph" w:customStyle="1" w:styleId="809">
    <w:name w:val="font24"/>
    <w:basedOn w:val="1"/>
    <w:semiHidden/>
    <w:qFormat/>
    <w:uiPriority w:val="0"/>
    <w:pPr>
      <w:widowControl/>
      <w:spacing w:before="100" w:beforeAutospacing="1" w:after="100" w:afterAutospacing="1" w:line="240" w:lineRule="auto"/>
      <w:ind w:firstLine="0"/>
      <w:jc w:val="left"/>
    </w:pPr>
    <w:rPr>
      <w:rFonts w:ascii="宋体" w:hAnsi="宋体" w:eastAsia="宋体" w:cs="宋体"/>
      <w:kern w:val="0"/>
      <w:sz w:val="16"/>
      <w:szCs w:val="16"/>
    </w:rPr>
  </w:style>
  <w:style w:type="paragraph" w:customStyle="1" w:styleId="810">
    <w:name w:val="Char"/>
    <w:basedOn w:val="1"/>
    <w:semiHidden/>
    <w:qFormat/>
    <w:uiPriority w:val="0"/>
    <w:pPr>
      <w:spacing w:line="360" w:lineRule="auto"/>
      <w:ind w:firstLine="200"/>
    </w:pPr>
    <w:rPr>
      <w:rFonts w:eastAsia="宋体"/>
      <w:sz w:val="24"/>
      <w:szCs w:val="24"/>
    </w:rPr>
  </w:style>
  <w:style w:type="paragraph" w:customStyle="1" w:styleId="811">
    <w:name w:val="xl80"/>
    <w:basedOn w:val="1"/>
    <w:semiHidden/>
    <w:qFormat/>
    <w:uiPriority w:val="0"/>
    <w:pPr>
      <w:widowControl/>
      <w:shd w:val="clear" w:color="auto" w:fill="FFFFFF"/>
      <w:spacing w:before="100" w:beforeAutospacing="1" w:after="100" w:afterAutospacing="1" w:line="440" w:lineRule="exact"/>
      <w:ind w:firstLine="0"/>
      <w:jc w:val="center"/>
    </w:pPr>
    <w:rPr>
      <w:rFonts w:ascii="Arial Unicode MS" w:hAnsi="Arial Unicode MS" w:eastAsia="Arial Unicode MS" w:cs="Arial Unicode MS"/>
      <w:color w:val="FFFFFF"/>
      <w:kern w:val="0"/>
      <w:sz w:val="20"/>
    </w:rPr>
  </w:style>
  <w:style w:type="paragraph" w:customStyle="1" w:styleId="812">
    <w:name w:val="relationpx"/>
    <w:basedOn w:val="1"/>
    <w:semiHidden/>
    <w:uiPriority w:val="0"/>
    <w:pPr>
      <w:widowControl/>
      <w:spacing w:before="100" w:beforeAutospacing="1" w:after="100" w:afterAutospacing="1" w:line="300" w:lineRule="atLeast"/>
      <w:ind w:firstLine="0"/>
      <w:jc w:val="left"/>
    </w:pPr>
    <w:rPr>
      <w:rFonts w:ascii="Arial Unicode MS" w:hAnsi="Arial Unicode MS" w:eastAsia="宋体"/>
      <w:color w:val="FFFFFF"/>
      <w:kern w:val="0"/>
      <w:sz w:val="34"/>
      <w:szCs w:val="21"/>
    </w:rPr>
  </w:style>
  <w:style w:type="paragraph" w:customStyle="1" w:styleId="813">
    <w:name w:val="文本"/>
    <w:basedOn w:val="1"/>
    <w:qFormat/>
    <w:uiPriority w:val="0"/>
    <w:pPr>
      <w:spacing w:line="360" w:lineRule="auto"/>
      <w:ind w:firstLine="200"/>
    </w:pPr>
    <w:rPr>
      <w:rFonts w:ascii="宋体" w:hAnsi="宋体" w:eastAsia="宋体" w:cs="宋体"/>
      <w:sz w:val="24"/>
      <w:szCs w:val="24"/>
    </w:rPr>
  </w:style>
  <w:style w:type="paragraph" w:customStyle="1" w:styleId="814">
    <w:name w:val="xl45"/>
    <w:basedOn w:val="1"/>
    <w:semiHidden/>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line="440" w:lineRule="exact"/>
      <w:ind w:firstLine="0"/>
      <w:jc w:val="left"/>
    </w:pPr>
    <w:rPr>
      <w:rFonts w:ascii="宋体" w:hAnsi="宋体" w:eastAsia="宋体"/>
      <w:kern w:val="0"/>
      <w:sz w:val="20"/>
    </w:rPr>
  </w:style>
  <w:style w:type="paragraph" w:customStyle="1" w:styleId="815">
    <w:name w:val="xl47"/>
    <w:basedOn w:val="1"/>
    <w:semiHidden/>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line="440" w:lineRule="exact"/>
      <w:ind w:firstLine="0"/>
      <w:jc w:val="left"/>
    </w:pPr>
    <w:rPr>
      <w:rFonts w:ascii="宋体" w:hAnsi="宋体" w:eastAsia="宋体"/>
      <w:color w:val="FFFFFF"/>
      <w:kern w:val="0"/>
      <w:sz w:val="20"/>
    </w:rPr>
  </w:style>
  <w:style w:type="paragraph" w:customStyle="1" w:styleId="816">
    <w:name w:val="简单回函地址"/>
    <w:basedOn w:val="1"/>
    <w:semiHidden/>
    <w:qFormat/>
    <w:uiPriority w:val="0"/>
    <w:pPr>
      <w:autoSpaceDE w:val="0"/>
      <w:autoSpaceDN w:val="0"/>
      <w:adjustRightInd w:val="0"/>
      <w:spacing w:line="240" w:lineRule="auto"/>
      <w:ind w:firstLine="0"/>
      <w:textAlignment w:val="baseline"/>
    </w:pPr>
    <w:rPr>
      <w:rFonts w:ascii="宋体" w:eastAsia="楷体_GB2312"/>
      <w:kern w:val="0"/>
    </w:rPr>
  </w:style>
  <w:style w:type="paragraph" w:customStyle="1" w:styleId="817">
    <w:name w:val="Char Char15 Char Char Char Char"/>
    <w:basedOn w:val="1"/>
    <w:qFormat/>
    <w:uiPriority w:val="0"/>
    <w:pPr>
      <w:spacing w:beforeLines="100" w:afterLines="50" w:line="480" w:lineRule="auto"/>
      <w:ind w:firstLine="0"/>
      <w:jc w:val="center"/>
    </w:pPr>
    <w:rPr>
      <w:rFonts w:ascii="宋体" w:eastAsia="楷体_GB2312"/>
      <w:b/>
      <w:kern w:val="0"/>
      <w:sz w:val="44"/>
      <w:szCs w:val="44"/>
    </w:rPr>
  </w:style>
  <w:style w:type="paragraph" w:customStyle="1" w:styleId="818">
    <w:name w:val="xl38"/>
    <w:basedOn w:val="1"/>
    <w:semiHidden/>
    <w:qFormat/>
    <w:uiPriority w:val="0"/>
    <w:pPr>
      <w:widowControl/>
      <w:pBdr>
        <w:top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宋体" w:hAnsi="宋体" w:eastAsia="宋体"/>
      <w:color w:val="FFFFFF"/>
      <w:kern w:val="0"/>
      <w:sz w:val="20"/>
    </w:rPr>
  </w:style>
  <w:style w:type="paragraph" w:customStyle="1" w:styleId="819">
    <w:name w:val="font_en_x"/>
    <w:basedOn w:val="1"/>
    <w:semiHidden/>
    <w:qFormat/>
    <w:uiPriority w:val="0"/>
    <w:pPr>
      <w:widowControl/>
      <w:spacing w:before="100" w:beforeAutospacing="1" w:after="100" w:afterAutospacing="1" w:line="440" w:lineRule="exact"/>
      <w:ind w:firstLine="0"/>
      <w:jc w:val="left"/>
    </w:pPr>
    <w:rPr>
      <w:rFonts w:ascii="Arial Unicode MS" w:hAnsi="Arial Unicode MS" w:eastAsia="Arial Unicode MS" w:cs="Arial Unicode MS"/>
      <w:kern w:val="0"/>
      <w:sz w:val="15"/>
      <w:szCs w:val="15"/>
    </w:rPr>
  </w:style>
  <w:style w:type="paragraph" w:customStyle="1" w:styleId="820">
    <w:name w:val="xl91"/>
    <w:basedOn w:val="1"/>
    <w:semiHidden/>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line="440" w:lineRule="exact"/>
      <w:ind w:firstLine="0"/>
      <w:jc w:val="right"/>
    </w:pPr>
    <w:rPr>
      <w:rFonts w:ascii="Arial Unicode MS" w:hAnsi="Arial Unicode MS" w:eastAsia="Arial Unicode MS" w:cs="Arial Unicode MS"/>
      <w:color w:val="FFCC99"/>
      <w:kern w:val="0"/>
      <w:sz w:val="20"/>
    </w:rPr>
  </w:style>
  <w:style w:type="paragraph" w:customStyle="1" w:styleId="821">
    <w:name w:val="回信地址"/>
    <w:basedOn w:val="1"/>
    <w:semiHidden/>
    <w:uiPriority w:val="0"/>
    <w:pPr>
      <w:keepLines/>
      <w:framePr w:w="5040" w:hSpace="180" w:wrap="notBeside" w:vAnchor="page" w:hAnchor="page" w:x="1801" w:y="961" w:anchorLock="1"/>
      <w:widowControl/>
      <w:tabs>
        <w:tab w:val="left" w:pos="2640"/>
      </w:tabs>
      <w:spacing w:line="200" w:lineRule="atLeast"/>
      <w:ind w:firstLine="0"/>
      <w:jc w:val="left"/>
    </w:pPr>
    <w:rPr>
      <w:rFonts w:ascii="Arial" w:hAnsi="Arial" w:eastAsia="宋体"/>
      <w:spacing w:val="-2"/>
      <w:kern w:val="0"/>
      <w:sz w:val="18"/>
    </w:rPr>
  </w:style>
  <w:style w:type="paragraph" w:customStyle="1" w:styleId="822">
    <w:name w:val="4.图片格式CM"/>
    <w:qFormat/>
    <w:uiPriority w:val="0"/>
    <w:pPr>
      <w:spacing w:before="20" w:beforeLines="20" w:after="30" w:afterLines="30" w:line="360" w:lineRule="auto"/>
      <w:jc w:val="center"/>
    </w:pPr>
    <w:rPr>
      <w:rFonts w:ascii="Times New Roman" w:hAnsi="Times New Roman" w:eastAsia="宋体" w:cs="Times New Roman"/>
      <w:kern w:val="2"/>
      <w:sz w:val="24"/>
      <w:szCs w:val="21"/>
      <w:lang w:val="en-US" w:eastAsia="zh-CN" w:bidi="ar-SA"/>
    </w:rPr>
  </w:style>
  <w:style w:type="paragraph" w:customStyle="1" w:styleId="823">
    <w:name w:val="基准页眉样式"/>
    <w:basedOn w:val="27"/>
    <w:semiHidden/>
    <w:uiPriority w:val="0"/>
    <w:pPr>
      <w:spacing w:after="0"/>
      <w:jc w:val="center"/>
    </w:pPr>
    <w:rPr>
      <w:rFonts w:hint="eastAsia" w:ascii="宋体" w:hAnsi="宋体" w:cs="宋体"/>
      <w:kern w:val="0"/>
      <w:sz w:val="22"/>
      <w:szCs w:val="22"/>
    </w:rPr>
  </w:style>
  <w:style w:type="paragraph" w:customStyle="1" w:styleId="824">
    <w:name w:val="样式 (符号) 宋体 段前: 4 磅 段后: 4 磅 行距: 最小值 12 磅"/>
    <w:basedOn w:val="1"/>
    <w:semiHidden/>
    <w:qFormat/>
    <w:uiPriority w:val="0"/>
    <w:pPr>
      <w:snapToGrid w:val="0"/>
      <w:spacing w:before="80" w:after="80" w:line="240" w:lineRule="auto"/>
      <w:ind w:firstLine="0"/>
    </w:pPr>
    <w:rPr>
      <w:rFonts w:hAnsi="宋体" w:eastAsia="宋体" w:cs="宋体"/>
      <w:sz w:val="21"/>
    </w:rPr>
  </w:style>
  <w:style w:type="paragraph" w:customStyle="1" w:styleId="825">
    <w:name w:val="_point"/>
    <w:semiHidden/>
    <w:qFormat/>
    <w:uiPriority w:val="0"/>
    <w:pPr>
      <w:ind w:left="1418" w:hanging="284"/>
      <w:jc w:val="both"/>
    </w:pPr>
    <w:rPr>
      <w:rFonts w:ascii="Times New Roman" w:hAnsi="Times New Roman" w:eastAsia="宋体" w:cs="Times New Roman"/>
      <w:sz w:val="24"/>
      <w:lang w:val="fr-FR" w:eastAsia="zh-CN" w:bidi="ar-SA"/>
    </w:rPr>
  </w:style>
  <w:style w:type="paragraph" w:customStyle="1" w:styleId="826">
    <w:name w:val=" Char Char Char Char Char Char Char Char Char Char Char Char Char Char Char Char Char Char Char Char Char Char Char Char Char Char Char Char Char Char Char Char Char Char Char Char Char Char Char Char Char Char"/>
    <w:basedOn w:val="1"/>
    <w:semiHidden/>
    <w:qFormat/>
    <w:uiPriority w:val="0"/>
    <w:pPr>
      <w:spacing w:line="240" w:lineRule="auto"/>
      <w:ind w:firstLine="0"/>
    </w:pPr>
    <w:rPr>
      <w:rFonts w:ascii="宋体" w:eastAsia="宋体"/>
      <w:kern w:val="0"/>
      <w:sz w:val="34"/>
    </w:rPr>
  </w:style>
  <w:style w:type="paragraph" w:customStyle="1" w:styleId="827">
    <w:name w:val="xl86"/>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center"/>
    </w:pPr>
    <w:rPr>
      <w:rFonts w:ascii="Arial Unicode MS" w:hAnsi="Arial Unicode MS" w:eastAsia="Arial Unicode MS" w:cs="Arial Unicode MS"/>
      <w:color w:val="000000"/>
      <w:kern w:val="0"/>
      <w:sz w:val="20"/>
    </w:rPr>
  </w:style>
  <w:style w:type="paragraph" w:customStyle="1" w:styleId="828">
    <w:name w:val="font16"/>
    <w:basedOn w:val="1"/>
    <w:semiHidden/>
    <w:uiPriority w:val="0"/>
    <w:pPr>
      <w:widowControl/>
      <w:spacing w:before="100" w:beforeAutospacing="1" w:after="100" w:afterAutospacing="1" w:line="240" w:lineRule="auto"/>
      <w:ind w:firstLine="0"/>
      <w:jc w:val="left"/>
    </w:pPr>
    <w:rPr>
      <w:rFonts w:ascii="Arial" w:hAnsi="Arial" w:eastAsia="宋体" w:cs="Arial"/>
      <w:color w:val="000000"/>
      <w:kern w:val="0"/>
      <w:sz w:val="9"/>
      <w:szCs w:val="9"/>
    </w:rPr>
  </w:style>
  <w:style w:type="paragraph" w:customStyle="1" w:styleId="829">
    <w:name w:val="五号表格"/>
    <w:next w:val="1"/>
    <w:semiHidden/>
    <w:uiPriority w:val="0"/>
    <w:rPr>
      <w:rFonts w:ascii="宋体" w:hAnsi="Times New Roman" w:eastAsia="宋体" w:cs="Times New Roman"/>
      <w:sz w:val="21"/>
      <w:lang w:val="en-US" w:eastAsia="zh-CN" w:bidi="ar-SA"/>
    </w:rPr>
  </w:style>
  <w:style w:type="paragraph" w:customStyle="1" w:styleId="830">
    <w:name w:val="FQLQD"/>
    <w:next w:val="1"/>
    <w:qFormat/>
    <w:uiPriority w:val="0"/>
    <w:pPr>
      <w:widowControl w:val="0"/>
      <w:spacing w:line="360" w:lineRule="auto"/>
      <w:ind w:firstLine="480"/>
      <w:jc w:val="both"/>
    </w:pPr>
    <w:rPr>
      <w:rFonts w:ascii="Calibri" w:hAnsi="Calibri" w:eastAsia="宋体" w:cs="Times New Roman"/>
      <w:sz w:val="24"/>
      <w:lang w:val="en-US" w:eastAsia="zh-CN" w:bidi="ar-SA"/>
    </w:rPr>
  </w:style>
  <w:style w:type="paragraph" w:customStyle="1" w:styleId="831">
    <w:name w:val="Enclosure"/>
    <w:basedOn w:val="1"/>
    <w:semiHidden/>
    <w:qFormat/>
    <w:uiPriority w:val="0"/>
    <w:pPr>
      <w:widowControl/>
      <w:spacing w:line="240" w:lineRule="auto"/>
      <w:ind w:firstLine="0"/>
    </w:pPr>
    <w:rPr>
      <w:rFonts w:ascii="Arial" w:hAnsi="Arial" w:eastAsia="宋体"/>
      <w:kern w:val="0"/>
      <w:sz w:val="22"/>
    </w:rPr>
  </w:style>
  <w:style w:type="paragraph" w:customStyle="1" w:styleId="832">
    <w:name w:val="表格文字左对齐"/>
    <w:basedOn w:val="1"/>
    <w:semiHidden/>
    <w:qFormat/>
    <w:uiPriority w:val="0"/>
    <w:pPr>
      <w:ind w:firstLine="0"/>
      <w:jc w:val="center"/>
    </w:pPr>
    <w:rPr>
      <w:rFonts w:ascii="Arial Narrow" w:hAnsi="Arial Narrow"/>
      <w:kern w:val="0"/>
      <w:sz w:val="34"/>
    </w:rPr>
  </w:style>
  <w:style w:type="paragraph" w:customStyle="1" w:styleId="833">
    <w:name w:val="Style1"/>
    <w:basedOn w:val="1"/>
    <w:semiHidden/>
    <w:qFormat/>
    <w:uiPriority w:val="0"/>
    <w:pPr>
      <w:widowControl/>
      <w:tabs>
        <w:tab w:val="left" w:pos="1060"/>
        <w:tab w:val="left" w:pos="1440"/>
      </w:tabs>
      <w:spacing w:line="240" w:lineRule="auto"/>
      <w:ind w:left="90" w:hanging="900"/>
      <w:jc w:val="left"/>
    </w:pPr>
    <w:rPr>
      <w:rFonts w:ascii="Arial" w:hAnsi="Arial" w:eastAsia="宋体"/>
      <w:b/>
      <w:kern w:val="0"/>
      <w:sz w:val="20"/>
    </w:rPr>
  </w:style>
  <w:style w:type="paragraph" w:customStyle="1" w:styleId="834">
    <w:name w:val="style4"/>
    <w:basedOn w:val="1"/>
    <w:semiHidden/>
    <w:qFormat/>
    <w:uiPriority w:val="0"/>
    <w:pPr>
      <w:widowControl/>
      <w:spacing w:before="100" w:beforeAutospacing="1" w:after="100" w:afterAutospacing="1" w:line="450" w:lineRule="atLeast"/>
      <w:ind w:firstLine="0"/>
      <w:jc w:val="left"/>
    </w:pPr>
    <w:rPr>
      <w:rFonts w:ascii="Arial Unicode MS" w:hAnsi="Arial Unicode MS" w:eastAsia="Arial Unicode MS" w:cs="Arial Unicode MS"/>
      <w:kern w:val="0"/>
      <w:sz w:val="34"/>
      <w:szCs w:val="21"/>
    </w:rPr>
  </w:style>
  <w:style w:type="paragraph" w:customStyle="1" w:styleId="835">
    <w:name w:val="xl74"/>
    <w:basedOn w:val="1"/>
    <w:semiHidden/>
    <w:qFormat/>
    <w:uiPriority w:val="0"/>
    <w:pPr>
      <w:widowControl/>
      <w:pBdr>
        <w:top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center"/>
    </w:pPr>
    <w:rPr>
      <w:rFonts w:ascii="宋体" w:hAnsi="宋体" w:eastAsia="宋体"/>
      <w:kern w:val="0"/>
      <w:sz w:val="24"/>
    </w:rPr>
  </w:style>
  <w:style w:type="paragraph" w:customStyle="1" w:styleId="836">
    <w:name w:val="Char Char Char Char Char Char1 Char"/>
    <w:basedOn w:val="1"/>
    <w:semiHidden/>
    <w:uiPriority w:val="0"/>
    <w:pPr>
      <w:widowControl/>
      <w:spacing w:after="160" w:line="240" w:lineRule="exact"/>
      <w:ind w:firstLine="0"/>
      <w:jc w:val="left"/>
    </w:pPr>
    <w:rPr>
      <w:rFonts w:eastAsia="宋体"/>
      <w:sz w:val="21"/>
      <w:szCs w:val="24"/>
    </w:rPr>
  </w:style>
  <w:style w:type="paragraph" w:customStyle="1" w:styleId="837">
    <w:name w:val="intro"/>
    <w:basedOn w:val="1"/>
    <w:semiHidden/>
    <w:uiPriority w:val="0"/>
    <w:pPr>
      <w:widowControl/>
      <w:spacing w:before="100" w:beforeAutospacing="1" w:after="100" w:afterAutospacing="1" w:line="432" w:lineRule="auto"/>
      <w:ind w:firstLine="0"/>
      <w:jc w:val="left"/>
    </w:pPr>
    <w:rPr>
      <w:rFonts w:ascii="Arial Unicode MS" w:hAnsi="Arial Unicode MS" w:eastAsia="宋体"/>
      <w:color w:val="444444"/>
      <w:kern w:val="0"/>
      <w:sz w:val="18"/>
      <w:szCs w:val="18"/>
    </w:rPr>
  </w:style>
  <w:style w:type="paragraph" w:customStyle="1" w:styleId="838">
    <w:name w:val="xl68"/>
    <w:basedOn w:val="1"/>
    <w:semiHidden/>
    <w:qFormat/>
    <w:uiPriority w:val="0"/>
    <w:pPr>
      <w:widowControl/>
      <w:pBdr>
        <w:top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宋体" w:hAnsi="宋体" w:eastAsia="宋体"/>
      <w:kern w:val="0"/>
      <w:sz w:val="20"/>
    </w:rPr>
  </w:style>
  <w:style w:type="paragraph" w:customStyle="1" w:styleId="839">
    <w:name w:val="xl49"/>
    <w:basedOn w:val="1"/>
    <w:semiHidden/>
    <w:qFormat/>
    <w:uiPriority w:val="0"/>
    <w:pPr>
      <w:widowControl/>
      <w:pBdr>
        <w:top w:val="single" w:color="000000" w:sz="4" w:space="0"/>
        <w:left w:val="single" w:color="000000" w:sz="4" w:space="0"/>
        <w:bottom w:val="single" w:color="000000" w:sz="4" w:space="0"/>
        <w:right w:val="single" w:color="000000" w:sz="4" w:space="0"/>
      </w:pBdr>
      <w:shd w:val="clear" w:color="auto" w:fill="FFFFFF"/>
      <w:spacing w:before="100" w:beforeAutospacing="1" w:after="100" w:afterAutospacing="1" w:line="440" w:lineRule="exact"/>
      <w:ind w:firstLine="0"/>
      <w:jc w:val="center"/>
    </w:pPr>
    <w:rPr>
      <w:rFonts w:ascii="宋体" w:hAnsi="宋体" w:eastAsia="宋体"/>
      <w:color w:val="000000"/>
      <w:kern w:val="0"/>
      <w:sz w:val="20"/>
    </w:rPr>
  </w:style>
  <w:style w:type="paragraph" w:customStyle="1" w:styleId="840">
    <w:name w:val="标题8"/>
    <w:basedOn w:val="1"/>
    <w:semiHidden/>
    <w:qFormat/>
    <w:uiPriority w:val="0"/>
    <w:pPr>
      <w:spacing w:line="360" w:lineRule="auto"/>
    </w:pPr>
    <w:rPr>
      <w:rFonts w:ascii="宋体" w:eastAsia="宋体"/>
      <w:kern w:val="0"/>
      <w:sz w:val="24"/>
    </w:rPr>
  </w:style>
  <w:style w:type="paragraph" w:customStyle="1" w:styleId="841">
    <w:name w:val="xl65"/>
    <w:basedOn w:val="1"/>
    <w:semiHidden/>
    <w:qFormat/>
    <w:uiPriority w:val="0"/>
    <w:pPr>
      <w:widowControl/>
      <w:pBdr>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宋体" w:hAnsi="宋体" w:eastAsia="宋体"/>
      <w:color w:val="000000"/>
      <w:kern w:val="0"/>
      <w:sz w:val="20"/>
    </w:rPr>
  </w:style>
  <w:style w:type="paragraph" w:customStyle="1" w:styleId="842">
    <w:name w:val="dktext1"/>
    <w:basedOn w:val="1"/>
    <w:semiHidden/>
    <w:qFormat/>
    <w:uiPriority w:val="0"/>
    <w:pPr>
      <w:widowControl/>
      <w:shd w:val="clear" w:color="auto" w:fill="FFFFFF"/>
      <w:spacing w:before="100" w:beforeAutospacing="1" w:after="100" w:afterAutospacing="1" w:line="300" w:lineRule="atLeast"/>
      <w:ind w:firstLine="0"/>
      <w:jc w:val="left"/>
    </w:pPr>
    <w:rPr>
      <w:rFonts w:ascii="_x000B__x000C_" w:hAnsi="_x000B__x000C_" w:eastAsia="宋体"/>
      <w:kern w:val="0"/>
      <w:sz w:val="20"/>
    </w:rPr>
  </w:style>
  <w:style w:type="paragraph" w:customStyle="1" w:styleId="843">
    <w:name w:val="样式 表格内容"/>
    <w:basedOn w:val="27"/>
    <w:semiHidden/>
    <w:qFormat/>
    <w:uiPriority w:val="0"/>
    <w:pPr>
      <w:adjustRightInd w:val="0"/>
      <w:snapToGrid w:val="0"/>
      <w:spacing w:after="0"/>
    </w:pPr>
    <w:rPr>
      <w:rFonts w:hint="eastAsia" w:ascii="宋体" w:hAnsi="宋体" w:cs="宋体"/>
      <w:kern w:val="0"/>
      <w:sz w:val="22"/>
      <w:szCs w:val="21"/>
    </w:rPr>
  </w:style>
  <w:style w:type="paragraph" w:customStyle="1" w:styleId="844">
    <w:name w:val="大标题 Char Char Char Char Char Char Char"/>
    <w:basedOn w:val="1"/>
    <w:uiPriority w:val="0"/>
    <w:pPr>
      <w:spacing w:before="100" w:beforeLines="100" w:after="50" w:afterLines="50" w:line="480" w:lineRule="auto"/>
      <w:ind w:firstLine="0"/>
      <w:jc w:val="center"/>
    </w:pPr>
    <w:rPr>
      <w:rFonts w:eastAsia="楷体_GB2312"/>
      <w:b/>
      <w:sz w:val="44"/>
      <w:szCs w:val="44"/>
    </w:rPr>
  </w:style>
  <w:style w:type="paragraph" w:customStyle="1" w:styleId="845">
    <w:name w:val="正文 A"/>
    <w:qFormat/>
    <w:uiPriority w:val="0"/>
    <w:pPr>
      <w:widowControl w:val="0"/>
      <w:jc w:val="both"/>
    </w:pPr>
    <w:rPr>
      <w:rFonts w:ascii="Times New Roman" w:hAnsi="Times New Roman" w:eastAsia="Arial Unicode MS" w:cs="Arial Unicode MS"/>
      <w:color w:val="000000"/>
      <w:kern w:val="2"/>
      <w:sz w:val="21"/>
      <w:szCs w:val="21"/>
      <w:lang w:val="en-US" w:eastAsia="zh-CN" w:bidi="ar-SA"/>
    </w:rPr>
  </w:style>
  <w:style w:type="paragraph" w:customStyle="1" w:styleId="846">
    <w:name w:val="首页页眉样式"/>
    <w:basedOn w:val="61"/>
    <w:semiHidden/>
    <w:qFormat/>
    <w:uiPriority w:val="0"/>
    <w:pPr>
      <w:keepLines/>
      <w:widowControl/>
      <w:pBdr>
        <w:bottom w:val="none" w:color="auto" w:sz="0" w:space="0"/>
      </w:pBdr>
      <w:tabs>
        <w:tab w:val="center" w:pos="-18551"/>
        <w:tab w:val="right" w:pos="4320"/>
        <w:tab w:val="clear" w:pos="4153"/>
        <w:tab w:val="clear" w:pos="8306"/>
      </w:tabs>
      <w:snapToGrid/>
      <w:spacing w:after="480" w:line="240" w:lineRule="atLeast"/>
      <w:ind w:firstLine="0"/>
    </w:pPr>
    <w:rPr>
      <w:rFonts w:ascii="Garamond" w:hAnsi="Garamond" w:eastAsia="楷体_GB2312"/>
      <w:b/>
      <w:smallCaps/>
      <w:spacing w:val="15"/>
      <w:kern w:val="0"/>
      <w:sz w:val="21"/>
      <w:szCs w:val="20"/>
    </w:rPr>
  </w:style>
  <w:style w:type="paragraph" w:customStyle="1" w:styleId="847">
    <w:name w:val="xl22"/>
    <w:basedOn w:val="1"/>
    <w:semiHidden/>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jc w:val="center"/>
    </w:pPr>
    <w:rPr>
      <w:rFonts w:ascii="宋体" w:hAnsi="宋体" w:eastAsia="宋体"/>
      <w:b/>
      <w:bCs/>
      <w:kern w:val="0"/>
      <w:sz w:val="20"/>
    </w:rPr>
  </w:style>
  <w:style w:type="paragraph" w:customStyle="1" w:styleId="848">
    <w:name w:val="表标题4.16"/>
    <w:basedOn w:val="1"/>
    <w:semiHidden/>
    <w:qFormat/>
    <w:uiPriority w:val="0"/>
    <w:pPr>
      <w:tabs>
        <w:tab w:val="left" w:pos="360"/>
        <w:tab w:val="left" w:pos="851"/>
        <w:tab w:val="center" w:pos="4060"/>
        <w:tab w:val="right" w:pos="8261"/>
      </w:tabs>
      <w:suppressAutoHyphens/>
      <w:adjustRightInd w:val="0"/>
      <w:spacing w:before="240"/>
      <w:ind w:left="360" w:hanging="360"/>
      <w:jc w:val="right"/>
    </w:pPr>
    <w:rPr>
      <w:rFonts w:ascii="黑体" w:eastAsia="黑体" w:cs="宋体"/>
      <w:b/>
      <w:bCs/>
      <w:kern w:val="0"/>
      <w:sz w:val="24"/>
    </w:rPr>
  </w:style>
  <w:style w:type="paragraph" w:customStyle="1" w:styleId="849">
    <w:name w:val="表格文本"/>
    <w:basedOn w:val="1"/>
    <w:next w:val="1"/>
    <w:semiHidden/>
    <w:qFormat/>
    <w:uiPriority w:val="0"/>
    <w:pPr>
      <w:adjustRightInd w:val="0"/>
      <w:snapToGrid w:val="0"/>
      <w:spacing w:line="240" w:lineRule="exact"/>
      <w:ind w:firstLine="0"/>
    </w:pPr>
    <w:rPr>
      <w:rFonts w:eastAsia="宋体"/>
      <w:sz w:val="21"/>
    </w:rPr>
  </w:style>
  <w:style w:type="paragraph" w:customStyle="1" w:styleId="850">
    <w:name w:val="编号圆圈数字"/>
    <w:basedOn w:val="1"/>
    <w:semiHidden/>
    <w:qFormat/>
    <w:uiPriority w:val="0"/>
    <w:pPr>
      <w:tabs>
        <w:tab w:val="left" w:pos="927"/>
      </w:tabs>
      <w:spacing w:line="240" w:lineRule="auto"/>
      <w:ind w:left="927" w:hanging="360"/>
    </w:pPr>
    <w:rPr>
      <w:rFonts w:ascii="宋体" w:eastAsia="宋体"/>
      <w:kern w:val="0"/>
      <w:sz w:val="24"/>
    </w:rPr>
  </w:style>
  <w:style w:type="paragraph" w:customStyle="1" w:styleId="851">
    <w:name w:val="普通 (Web)"/>
    <w:basedOn w:val="1"/>
    <w:semiHidden/>
    <w:qFormat/>
    <w:uiPriority w:val="0"/>
    <w:pPr>
      <w:widowControl/>
      <w:spacing w:before="100" w:beforeAutospacing="1" w:after="100" w:afterAutospacing="1" w:line="440" w:lineRule="exact"/>
      <w:ind w:firstLine="0"/>
      <w:jc w:val="left"/>
    </w:pPr>
    <w:rPr>
      <w:rFonts w:ascii="宋体" w:hAnsi="宋体" w:eastAsia="宋体"/>
      <w:kern w:val="0"/>
      <w:sz w:val="24"/>
    </w:rPr>
  </w:style>
  <w:style w:type="paragraph" w:customStyle="1" w:styleId="852">
    <w:name w:val="环评文本"/>
    <w:basedOn w:val="1"/>
    <w:qFormat/>
    <w:uiPriority w:val="0"/>
    <w:pPr>
      <w:tabs>
        <w:tab w:val="left" w:pos="1590"/>
      </w:tabs>
      <w:spacing w:beforeLines="30" w:line="360" w:lineRule="auto"/>
      <w:ind w:firstLine="480"/>
    </w:pPr>
    <w:rPr>
      <w:rFonts w:ascii="Calibri" w:hAnsi="Calibri" w:eastAsia="宋体"/>
      <w:sz w:val="24"/>
      <w:szCs w:val="22"/>
    </w:rPr>
  </w:style>
  <w:style w:type="paragraph" w:customStyle="1" w:styleId="853">
    <w:name w:val="首行缩进"/>
    <w:basedOn w:val="1"/>
    <w:semiHidden/>
    <w:qFormat/>
    <w:uiPriority w:val="0"/>
    <w:pPr>
      <w:overflowPunct w:val="0"/>
      <w:autoSpaceDE w:val="0"/>
      <w:autoSpaceDN w:val="0"/>
      <w:spacing w:line="360" w:lineRule="auto"/>
      <w:ind w:firstLine="200"/>
    </w:pPr>
    <w:rPr>
      <w:rFonts w:ascii="Arial" w:hAnsi="Arial" w:eastAsia="宋体"/>
      <w:kern w:val="24"/>
      <w:sz w:val="24"/>
    </w:rPr>
  </w:style>
  <w:style w:type="paragraph" w:customStyle="1" w:styleId="854">
    <w:name w:val="图表标题"/>
    <w:basedOn w:val="1"/>
    <w:semiHidden/>
    <w:uiPriority w:val="0"/>
    <w:pPr>
      <w:adjustRightInd w:val="0"/>
      <w:snapToGrid w:val="0"/>
      <w:spacing w:line="360" w:lineRule="auto"/>
      <w:ind w:firstLine="0"/>
      <w:jc w:val="center"/>
    </w:pPr>
    <w:rPr>
      <w:rFonts w:ascii="黑体" w:eastAsia="黑体"/>
      <w:b/>
      <w:snapToGrid w:val="0"/>
      <w:kern w:val="0"/>
      <w:sz w:val="24"/>
      <w:szCs w:val="24"/>
    </w:rPr>
  </w:style>
  <w:style w:type="paragraph" w:customStyle="1" w:styleId="855">
    <w:name w:val=" Char Char Char Char Char Char Char1"/>
    <w:basedOn w:val="1"/>
    <w:semiHidden/>
    <w:uiPriority w:val="0"/>
    <w:pPr>
      <w:widowControl/>
      <w:spacing w:before="60" w:line="460" w:lineRule="exact"/>
      <w:ind w:firstLine="0"/>
      <w:outlineLvl w:val="0"/>
    </w:pPr>
    <w:rPr>
      <w:rFonts w:ascii="宋体" w:eastAsia="宋体"/>
      <w:b/>
      <w:smallCaps/>
      <w:color w:val="000000"/>
      <w:kern w:val="0"/>
      <w:sz w:val="24"/>
    </w:rPr>
  </w:style>
  <w:style w:type="paragraph" w:customStyle="1" w:styleId="856">
    <w:name w:val="标题6"/>
    <w:basedOn w:val="1"/>
    <w:semiHidden/>
    <w:qFormat/>
    <w:uiPriority w:val="0"/>
    <w:pPr>
      <w:spacing w:line="360" w:lineRule="auto"/>
      <w:ind w:firstLine="0"/>
    </w:pPr>
    <w:rPr>
      <w:rFonts w:ascii="宋体" w:eastAsia="宋体"/>
      <w:kern w:val="0"/>
      <w:sz w:val="24"/>
    </w:rPr>
  </w:style>
  <w:style w:type="paragraph" w:customStyle="1" w:styleId="857">
    <w:name w:val="正文 自定义"/>
    <w:basedOn w:val="1"/>
    <w:qFormat/>
    <w:uiPriority w:val="0"/>
    <w:pPr>
      <w:spacing w:before="156" w:line="360" w:lineRule="auto"/>
      <w:ind w:firstLine="200"/>
    </w:pPr>
    <w:rPr>
      <w:rFonts w:ascii="宋体" w:hAnsi="宋体" w:eastAsia="宋体" w:cs="宋体"/>
      <w:sz w:val="24"/>
    </w:rPr>
  </w:style>
  <w:style w:type="paragraph" w:customStyle="1" w:styleId="858">
    <w:name w:val="xl58"/>
    <w:basedOn w:val="1"/>
    <w:semiHidden/>
    <w:qFormat/>
    <w:uiPriority w:val="0"/>
    <w:pPr>
      <w:widowControl/>
      <w:pBdr>
        <w:top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宋体" w:hAnsi="宋体" w:eastAsia="宋体"/>
      <w:color w:val="FFFFFF"/>
      <w:kern w:val="0"/>
      <w:sz w:val="20"/>
    </w:rPr>
  </w:style>
  <w:style w:type="paragraph" w:customStyle="1" w:styleId="859">
    <w:name w:val="默认段落字体 Para Char Char Char Char"/>
    <w:basedOn w:val="1"/>
    <w:semiHidden/>
    <w:qFormat/>
    <w:uiPriority w:val="0"/>
    <w:pPr>
      <w:spacing w:line="240" w:lineRule="auto"/>
      <w:ind w:firstLine="0"/>
    </w:pPr>
    <w:rPr>
      <w:rFonts w:eastAsia="宋体"/>
      <w:sz w:val="24"/>
      <w:szCs w:val="24"/>
    </w:rPr>
  </w:style>
  <w:style w:type="paragraph" w:customStyle="1" w:styleId="860">
    <w:name w:val="xl46"/>
    <w:basedOn w:val="1"/>
    <w:semiHidden/>
    <w:qFormat/>
    <w:uiPriority w:val="0"/>
    <w:pPr>
      <w:widowControl/>
      <w:pBdr>
        <w:top w:val="single" w:color="000000" w:sz="4" w:space="0"/>
        <w:left w:val="single" w:color="000000" w:sz="4" w:space="0"/>
        <w:right w:val="single" w:color="000000" w:sz="4" w:space="0"/>
      </w:pBdr>
      <w:shd w:val="clear" w:color="auto" w:fill="FFFFFF"/>
      <w:spacing w:before="100" w:beforeAutospacing="1" w:after="100" w:afterAutospacing="1" w:line="440" w:lineRule="exact"/>
      <w:ind w:firstLine="0"/>
      <w:jc w:val="left"/>
    </w:pPr>
    <w:rPr>
      <w:rFonts w:ascii="宋体" w:hAnsi="宋体" w:eastAsia="宋体"/>
      <w:color w:val="000000"/>
      <w:kern w:val="0"/>
      <w:sz w:val="20"/>
    </w:rPr>
  </w:style>
  <w:style w:type="paragraph" w:customStyle="1" w:styleId="861">
    <w:name w:val="style17"/>
    <w:basedOn w:val="1"/>
    <w:semiHidden/>
    <w:uiPriority w:val="0"/>
    <w:pPr>
      <w:widowControl/>
      <w:spacing w:before="100" w:beforeAutospacing="1" w:after="100" w:afterAutospacing="1" w:line="240" w:lineRule="auto"/>
      <w:ind w:firstLine="0"/>
      <w:jc w:val="left"/>
    </w:pPr>
    <w:rPr>
      <w:rFonts w:ascii="Arial Unicode MS" w:hAnsi="Arial Unicode MS" w:eastAsia="宋体"/>
      <w:color w:val="666666"/>
      <w:kern w:val="0"/>
      <w:sz w:val="24"/>
    </w:rPr>
  </w:style>
  <w:style w:type="paragraph" w:customStyle="1" w:styleId="862">
    <w:name w:val="项目符号2"/>
    <w:basedOn w:val="1"/>
    <w:semiHidden/>
    <w:uiPriority w:val="0"/>
    <w:pPr>
      <w:tabs>
        <w:tab w:val="left" w:pos="360"/>
        <w:tab w:val="left" w:pos="720"/>
      </w:tabs>
      <w:snapToGrid w:val="0"/>
      <w:spacing w:before="120" w:after="120" w:line="312" w:lineRule="auto"/>
      <w:ind w:left="850" w:hanging="720"/>
    </w:pPr>
    <w:rPr>
      <w:rFonts w:ascii="Arial" w:hAnsi="Arial" w:eastAsia="楷体_GB2312"/>
      <w:kern w:val="0"/>
    </w:rPr>
  </w:style>
  <w:style w:type="paragraph" w:customStyle="1" w:styleId="863">
    <w:name w:val="nub2.4"/>
    <w:semiHidden/>
    <w:uiPriority w:val="0"/>
    <w:pPr>
      <w:widowControl w:val="0"/>
      <w:tabs>
        <w:tab w:val="left" w:pos="288"/>
        <w:tab w:val="left" w:pos="1721"/>
        <w:tab w:val="left" w:pos="2776"/>
        <w:tab w:val="left" w:pos="3568"/>
        <w:tab w:val="left" w:pos="4392"/>
        <w:tab w:val="left" w:pos="5052"/>
        <w:tab w:val="left" w:pos="5943"/>
        <w:tab w:val="left" w:pos="6553"/>
        <w:tab w:val="left" w:pos="6982"/>
        <w:tab w:val="left" w:pos="7807"/>
      </w:tabs>
      <w:autoSpaceDE w:val="0"/>
      <w:autoSpaceDN w:val="0"/>
      <w:adjustRightInd w:val="0"/>
      <w:spacing w:before="43" w:after="43" w:line="302" w:lineRule="atLeast"/>
      <w:ind w:left="604"/>
    </w:pPr>
    <w:rPr>
      <w:rFonts w:ascii="Arial" w:hAnsi="Arial" w:eastAsia="宋体" w:cs="Times New Roman"/>
      <w:color w:val="000000"/>
      <w:lang w:val="en-US" w:eastAsia="zh-CN" w:bidi="ar-SA"/>
    </w:rPr>
  </w:style>
  <w:style w:type="paragraph" w:customStyle="1" w:styleId="864">
    <w:name w:val="页号"/>
    <w:basedOn w:val="59"/>
    <w:semiHidden/>
    <w:qFormat/>
    <w:uiPriority w:val="0"/>
    <w:pPr>
      <w:pBdr>
        <w:top w:val="single" w:color="auto" w:sz="6" w:space="1"/>
      </w:pBdr>
      <w:tabs>
        <w:tab w:val="center" w:pos="4320"/>
        <w:tab w:val="right" w:pos="8640"/>
        <w:tab w:val="clear" w:pos="4153"/>
        <w:tab w:val="clear" w:pos="8306"/>
      </w:tabs>
      <w:adjustRightInd w:val="0"/>
      <w:snapToGrid/>
      <w:ind w:firstLine="0"/>
      <w:jc w:val="center"/>
    </w:pPr>
    <w:rPr>
      <w:rFonts w:hAnsi="Arial" w:eastAsia="楷体_GB2312"/>
      <w:b/>
      <w:spacing w:val="3"/>
      <w:kern w:val="24"/>
      <w:sz w:val="24"/>
      <w:szCs w:val="20"/>
    </w:rPr>
  </w:style>
  <w:style w:type="paragraph" w:customStyle="1" w:styleId="865">
    <w:name w:val="xl30"/>
    <w:basedOn w:val="1"/>
    <w:semiHidden/>
    <w:qFormat/>
    <w:uiPriority w:val="0"/>
    <w:pPr>
      <w:widowControl/>
      <w:shd w:val="clear" w:color="auto" w:fill="FFFFFF"/>
      <w:spacing w:before="100" w:beforeAutospacing="1" w:after="100" w:afterAutospacing="1" w:line="440" w:lineRule="exact"/>
      <w:ind w:firstLine="0"/>
      <w:jc w:val="left"/>
    </w:pPr>
    <w:rPr>
      <w:rFonts w:ascii="宋体" w:hAnsi="宋体" w:eastAsia="宋体"/>
      <w:color w:val="000000"/>
      <w:kern w:val="0"/>
      <w:sz w:val="20"/>
    </w:rPr>
  </w:style>
  <w:style w:type="paragraph" w:customStyle="1" w:styleId="866">
    <w:name w:val="汤1"/>
    <w:qFormat/>
    <w:uiPriority w:val="0"/>
    <w:pPr>
      <w:widowControl w:val="0"/>
      <w:spacing w:line="360" w:lineRule="auto"/>
      <w:jc w:val="left"/>
      <w:outlineLvl w:val="0"/>
    </w:pPr>
    <w:rPr>
      <w:rFonts w:ascii="宋体" w:hAnsi="宋体" w:eastAsia="宋体" w:cs="Times New Roman"/>
      <w:b/>
      <w:bCs/>
      <w:iCs/>
      <w:color w:val="000000"/>
      <w:kern w:val="2"/>
      <w:sz w:val="28"/>
      <w:szCs w:val="28"/>
      <w:lang w:val="en-US" w:eastAsia="zh-CN" w:bidi="ar-SA"/>
    </w:rPr>
  </w:style>
  <w:style w:type="paragraph" w:customStyle="1" w:styleId="867">
    <w:name w:val="正文文本缩进 New"/>
    <w:basedOn w:val="1"/>
    <w:semiHidden/>
    <w:qFormat/>
    <w:uiPriority w:val="0"/>
    <w:pPr>
      <w:tabs>
        <w:tab w:val="left" w:pos="4140"/>
      </w:tabs>
      <w:adjustRightInd w:val="0"/>
      <w:spacing w:line="240" w:lineRule="atLeast"/>
      <w:ind w:firstLine="480"/>
      <w:jc w:val="left"/>
      <w:textAlignment w:val="baseline"/>
    </w:pPr>
    <w:rPr>
      <w:rFonts w:ascii="宋体" w:eastAsia="楷体_GB2312"/>
      <w:kern w:val="0"/>
      <w:sz w:val="22"/>
      <w:szCs w:val="28"/>
    </w:rPr>
  </w:style>
  <w:style w:type="paragraph" w:customStyle="1" w:styleId="868">
    <w:name w:val="xl67"/>
    <w:basedOn w:val="1"/>
    <w:semiHidden/>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center"/>
    </w:pPr>
    <w:rPr>
      <w:rFonts w:ascii="宋体" w:hAnsi="宋体" w:eastAsia="宋体"/>
      <w:kern w:val="0"/>
      <w:sz w:val="20"/>
    </w:rPr>
  </w:style>
  <w:style w:type="paragraph" w:customStyle="1" w:styleId="869">
    <w:name w:val="CM110"/>
    <w:basedOn w:val="417"/>
    <w:next w:val="417"/>
    <w:semiHidden/>
    <w:uiPriority w:val="0"/>
    <w:pPr>
      <w:spacing w:line="626" w:lineRule="atLeast"/>
    </w:pPr>
    <w:rPr>
      <w:rFonts w:ascii="á￥êé" w:hAnsi="Times New Roman" w:eastAsia="á￥êé" w:cs="Times New Roman"/>
      <w:color w:val="auto"/>
      <w:sz w:val="20"/>
      <w:szCs w:val="20"/>
    </w:rPr>
  </w:style>
  <w:style w:type="paragraph" w:customStyle="1" w:styleId="870">
    <w:name w:val="文本居中"/>
    <w:basedOn w:val="1"/>
    <w:semiHidden/>
    <w:uiPriority w:val="0"/>
    <w:pPr>
      <w:adjustRightInd w:val="0"/>
      <w:spacing w:line="240" w:lineRule="auto"/>
      <w:ind w:firstLine="0"/>
      <w:jc w:val="center"/>
    </w:pPr>
    <w:rPr>
      <w:rFonts w:ascii="宋体" w:eastAsia="宋体"/>
      <w:kern w:val="0"/>
      <w:sz w:val="34"/>
    </w:rPr>
  </w:style>
  <w:style w:type="paragraph" w:customStyle="1" w:styleId="871">
    <w:name w:val="xl103"/>
    <w:basedOn w:val="1"/>
    <w:semiHidden/>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Arial Unicode MS" w:hAnsi="Arial Unicode MS" w:eastAsia="Arial Unicode MS" w:cs="Arial Unicode MS"/>
      <w:kern w:val="0"/>
      <w:sz w:val="20"/>
    </w:rPr>
  </w:style>
  <w:style w:type="paragraph" w:customStyle="1" w:styleId="872">
    <w:name w:val="Char Char Char Char"/>
    <w:basedOn w:val="1"/>
    <w:semiHidden/>
    <w:qFormat/>
    <w:uiPriority w:val="0"/>
    <w:pPr>
      <w:spacing w:line="480" w:lineRule="auto"/>
      <w:ind w:firstLine="0"/>
    </w:pPr>
    <w:rPr>
      <w:rFonts w:eastAsia="宋体"/>
      <w:b/>
      <w:sz w:val="24"/>
      <w:szCs w:val="24"/>
    </w:rPr>
  </w:style>
  <w:style w:type="paragraph" w:customStyle="1" w:styleId="873">
    <w:name w:val="xl37"/>
    <w:basedOn w:val="1"/>
    <w:semiHidden/>
    <w:qFormat/>
    <w:uiPriority w:val="0"/>
    <w:pPr>
      <w:widowControl/>
      <w:pBdr>
        <w:top w:val="single" w:color="auto" w:sz="8" w:space="0"/>
        <w:left w:val="single" w:color="auto" w:sz="4" w:space="0"/>
        <w:bottom w:val="single" w:color="auto" w:sz="4" w:space="0"/>
        <w:right w:val="single" w:color="auto" w:sz="8" w:space="0"/>
      </w:pBdr>
      <w:shd w:val="clear" w:color="auto" w:fill="FFCC99"/>
      <w:spacing w:before="100" w:beforeAutospacing="1" w:after="100" w:afterAutospacing="1" w:line="240" w:lineRule="auto"/>
      <w:ind w:firstLine="0"/>
      <w:jc w:val="center"/>
    </w:pPr>
    <w:rPr>
      <w:rFonts w:hint="eastAsia" w:ascii="宋体" w:hAnsi="宋体" w:eastAsia="宋体"/>
      <w:kern w:val="0"/>
      <w:sz w:val="20"/>
    </w:rPr>
  </w:style>
  <w:style w:type="paragraph" w:customStyle="1" w:styleId="874">
    <w:name w:val="北京1级标题"/>
    <w:next w:val="482"/>
    <w:qFormat/>
    <w:uiPriority w:val="0"/>
    <w:pPr>
      <w:spacing w:line="360" w:lineRule="auto"/>
      <w:outlineLvl w:val="0"/>
    </w:pPr>
    <w:rPr>
      <w:rFonts w:ascii="黑体" w:hAnsi="Times New Roman" w:eastAsia="黑体" w:cs="Times New Roman"/>
      <w:bCs/>
      <w:color w:val="000000"/>
      <w:kern w:val="2"/>
      <w:sz w:val="30"/>
      <w:szCs w:val="24"/>
      <w:lang w:val="en-US" w:eastAsia="zh-CN" w:bidi="ar-SA"/>
    </w:rPr>
  </w:style>
  <w:style w:type="paragraph" w:customStyle="1" w:styleId="875">
    <w:name w:val="图文框"/>
    <w:basedOn w:val="1"/>
    <w:qFormat/>
    <w:uiPriority w:val="0"/>
    <w:pPr>
      <w:autoSpaceDE w:val="0"/>
      <w:autoSpaceDN w:val="0"/>
      <w:adjustRightInd w:val="0"/>
      <w:snapToGrid w:val="0"/>
      <w:spacing w:line="240" w:lineRule="auto"/>
      <w:ind w:firstLine="0"/>
      <w:jc w:val="center"/>
    </w:pPr>
    <w:rPr>
      <w:rFonts w:ascii="宋体" w:eastAsia="宋体"/>
      <w:color w:val="000000"/>
      <w:kern w:val="28"/>
      <w:sz w:val="34"/>
    </w:rPr>
  </w:style>
  <w:style w:type="paragraph" w:customStyle="1" w:styleId="876">
    <w:name w:val="表格标题"/>
    <w:next w:val="1"/>
    <w:qFormat/>
    <w:uiPriority w:val="0"/>
    <w:pPr>
      <w:spacing w:line="312" w:lineRule="auto"/>
      <w:jc w:val="center"/>
    </w:pPr>
    <w:rPr>
      <w:rFonts w:ascii="Times New Roman" w:hAnsi="Times New Roman" w:eastAsia="黑体" w:cs="Times New Roman"/>
      <w:kern w:val="2"/>
      <w:sz w:val="21"/>
      <w:lang w:val="en-US" w:eastAsia="zh-CN" w:bidi="ar-SA"/>
    </w:rPr>
  </w:style>
  <w:style w:type="paragraph" w:customStyle="1" w:styleId="877">
    <w:name w:val="xl53"/>
    <w:basedOn w:val="1"/>
    <w:semiHidden/>
    <w:uiPriority w:val="0"/>
    <w:pPr>
      <w:widowControl/>
      <w:pBdr>
        <w:top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宋体" w:hAnsi="宋体" w:eastAsia="宋体"/>
      <w:color w:val="FFFFFF"/>
      <w:kern w:val="0"/>
      <w:sz w:val="20"/>
    </w:rPr>
  </w:style>
  <w:style w:type="paragraph" w:customStyle="1" w:styleId="878">
    <w:name w:val="6文章(治)"/>
    <w:qFormat/>
    <w:uiPriority w:val="0"/>
    <w:pPr>
      <w:widowControl w:val="0"/>
      <w:spacing w:line="360" w:lineRule="auto"/>
      <w:ind w:firstLine="200"/>
      <w:jc w:val="both"/>
    </w:pPr>
    <w:rPr>
      <w:rFonts w:ascii="Times New Roman" w:hAnsi="Times New Roman" w:eastAsia="宋体" w:cs="Times New Roman"/>
      <w:kern w:val="2"/>
      <w:sz w:val="24"/>
      <w:lang w:val="en-US" w:eastAsia="zh-CN" w:bidi="ar-SA"/>
    </w:rPr>
  </w:style>
  <w:style w:type="paragraph" w:customStyle="1" w:styleId="879">
    <w:name w:val="CM23"/>
    <w:basedOn w:val="417"/>
    <w:next w:val="417"/>
    <w:semiHidden/>
    <w:uiPriority w:val="0"/>
    <w:pPr>
      <w:spacing w:line="548" w:lineRule="atLeast"/>
    </w:pPr>
    <w:rPr>
      <w:rFonts w:ascii="Arial Black" w:hAnsi="Arial Black" w:cs="Times New Roman"/>
      <w:color w:val="auto"/>
    </w:rPr>
  </w:style>
  <w:style w:type="paragraph" w:customStyle="1" w:styleId="880">
    <w:name w:val="xl89"/>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center"/>
    </w:pPr>
    <w:rPr>
      <w:rFonts w:ascii="Arial Unicode MS" w:hAnsi="Arial Unicode MS" w:eastAsia="Arial Unicode MS" w:cs="Arial Unicode MS"/>
      <w:color w:val="000000"/>
      <w:kern w:val="0"/>
      <w:sz w:val="20"/>
    </w:rPr>
  </w:style>
  <w:style w:type="paragraph" w:customStyle="1" w:styleId="881">
    <w:name w:val="xl69"/>
    <w:basedOn w:val="1"/>
    <w:semiHidden/>
    <w:qFormat/>
    <w:uiPriority w:val="0"/>
    <w:pPr>
      <w:widowControl/>
      <w:pBdr>
        <w:top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宋体" w:hAnsi="宋体" w:eastAsia="宋体"/>
      <w:color w:val="000000"/>
      <w:kern w:val="0"/>
      <w:sz w:val="20"/>
    </w:rPr>
  </w:style>
  <w:style w:type="paragraph" w:customStyle="1" w:styleId="882">
    <w:name w:val="样式7"/>
    <w:basedOn w:val="1"/>
    <w:semiHidden/>
    <w:qFormat/>
    <w:uiPriority w:val="0"/>
    <w:pPr>
      <w:widowControl/>
      <w:spacing w:line="500" w:lineRule="exact"/>
      <w:ind w:firstLine="360"/>
    </w:pPr>
    <w:rPr>
      <w:rFonts w:ascii="宋体" w:hAnsi="宋体" w:eastAsia="宋体"/>
      <w:kern w:val="0"/>
      <w:sz w:val="24"/>
    </w:rPr>
  </w:style>
  <w:style w:type="paragraph" w:customStyle="1" w:styleId="883">
    <w:name w:val="公司名"/>
    <w:basedOn w:val="821"/>
    <w:semiHidden/>
    <w:qFormat/>
    <w:uiPriority w:val="0"/>
    <w:pPr>
      <w:framePr w:w="3552" w:hSpace="0" w:x="7501" w:y="1009"/>
      <w:pBdr>
        <w:top w:val="single" w:color="auto" w:sz="6" w:space="9"/>
        <w:left w:val="single" w:color="auto" w:sz="6" w:space="9"/>
        <w:bottom w:val="single" w:color="auto" w:sz="6" w:space="9"/>
        <w:right w:val="single" w:color="auto" w:sz="6" w:space="9"/>
      </w:pBdr>
      <w:shd w:val="solid" w:color="auto" w:fill="auto"/>
      <w:spacing w:line="320" w:lineRule="exact"/>
    </w:pPr>
    <w:rPr>
      <w:rFonts w:ascii="Arial Black" w:hAnsi="Arial Black" w:eastAsia="黑体"/>
      <w:spacing w:val="0"/>
      <w:position w:val="-2"/>
      <w:sz w:val="32"/>
    </w:rPr>
  </w:style>
  <w:style w:type="paragraph" w:customStyle="1" w:styleId="884">
    <w:name w:val="hui"/>
    <w:basedOn w:val="1"/>
    <w:semiHidden/>
    <w:qFormat/>
    <w:uiPriority w:val="0"/>
    <w:pPr>
      <w:widowControl/>
      <w:spacing w:before="100" w:beforeAutospacing="1" w:after="100" w:afterAutospacing="1" w:line="288" w:lineRule="auto"/>
      <w:ind w:firstLine="0"/>
      <w:jc w:val="left"/>
    </w:pPr>
    <w:rPr>
      <w:rFonts w:ascii="Arial Unicode MS" w:hAnsi="Arial Unicode MS" w:eastAsia="宋体"/>
      <w:color w:val="303030"/>
      <w:kern w:val="0"/>
      <w:sz w:val="18"/>
      <w:szCs w:val="18"/>
    </w:rPr>
  </w:style>
  <w:style w:type="paragraph" w:customStyle="1" w:styleId="885">
    <w:name w:val="A004"/>
    <w:basedOn w:val="478"/>
    <w:qFormat/>
    <w:uiPriority w:val="0"/>
    <w:pPr>
      <w:numPr>
        <w:ilvl w:val="0"/>
        <w:numId w:val="14"/>
      </w:numPr>
      <w:outlineLvl w:val="4"/>
    </w:pPr>
    <w:rPr>
      <w:rFonts w:ascii="楷体_GB2312"/>
      <w:sz w:val="28"/>
    </w:rPr>
  </w:style>
  <w:style w:type="paragraph" w:customStyle="1" w:styleId="886">
    <w:name w:val="样式 短简表 + 黑色"/>
    <w:basedOn w:val="729"/>
    <w:semiHidden/>
    <w:uiPriority w:val="0"/>
    <w:rPr>
      <w:color w:val="000000"/>
    </w:rPr>
  </w:style>
  <w:style w:type="paragraph" w:customStyle="1" w:styleId="887">
    <w:name w:val="font14"/>
    <w:basedOn w:val="1"/>
    <w:semiHidden/>
    <w:uiPriority w:val="0"/>
    <w:pPr>
      <w:widowControl/>
      <w:spacing w:before="100" w:beforeAutospacing="1" w:after="100" w:afterAutospacing="1" w:line="440" w:lineRule="exact"/>
      <w:ind w:firstLine="0"/>
      <w:jc w:val="left"/>
    </w:pPr>
    <w:rPr>
      <w:rFonts w:ascii="Arial" w:hAnsi="Arial" w:eastAsia="Arial Unicode MS" w:cs="Arial"/>
      <w:kern w:val="0"/>
      <w:sz w:val="20"/>
    </w:rPr>
  </w:style>
  <w:style w:type="paragraph" w:customStyle="1" w:styleId="888">
    <w:name w:val="white"/>
    <w:basedOn w:val="1"/>
    <w:semiHidden/>
    <w:qFormat/>
    <w:uiPriority w:val="0"/>
    <w:pPr>
      <w:widowControl/>
      <w:spacing w:before="100" w:beforeAutospacing="1" w:after="100" w:afterAutospacing="1" w:line="288" w:lineRule="auto"/>
      <w:ind w:firstLine="0"/>
      <w:jc w:val="left"/>
    </w:pPr>
    <w:rPr>
      <w:rFonts w:ascii="Arial Unicode MS" w:hAnsi="Arial Unicode MS" w:eastAsia="宋体"/>
      <w:b/>
      <w:bCs/>
      <w:color w:val="FFFFFF"/>
      <w:kern w:val="0"/>
      <w:sz w:val="34"/>
      <w:szCs w:val="21"/>
    </w:rPr>
  </w:style>
  <w:style w:type="paragraph" w:customStyle="1" w:styleId="889">
    <w:name w:val="样式 正文首行缩进 2 + 首行缩进:  2 字符"/>
    <w:basedOn w:val="1"/>
    <w:semiHidden/>
    <w:qFormat/>
    <w:uiPriority w:val="0"/>
    <w:pPr>
      <w:adjustRightInd w:val="0"/>
      <w:snapToGrid w:val="0"/>
      <w:spacing w:after="120" w:line="360" w:lineRule="auto"/>
      <w:ind w:firstLine="480"/>
    </w:pPr>
    <w:rPr>
      <w:rFonts w:ascii="宋体" w:eastAsia="宋体"/>
      <w:kern w:val="0"/>
      <w:sz w:val="24"/>
    </w:rPr>
  </w:style>
  <w:style w:type="paragraph" w:customStyle="1" w:styleId="890">
    <w:name w:val=" Char"/>
    <w:basedOn w:val="1"/>
    <w:semiHidden/>
    <w:qFormat/>
    <w:uiPriority w:val="0"/>
    <w:pPr>
      <w:spacing w:line="240" w:lineRule="auto"/>
      <w:ind w:firstLine="0"/>
    </w:pPr>
    <w:rPr>
      <w:rFonts w:ascii="宋体" w:eastAsia="宋体"/>
      <w:kern w:val="0"/>
      <w:sz w:val="34"/>
    </w:rPr>
  </w:style>
  <w:style w:type="paragraph" w:customStyle="1" w:styleId="891">
    <w:name w:val="样式 标题 5 + 段前: 0.5 行 段后: 0.5 行"/>
    <w:basedOn w:val="9"/>
    <w:semiHidden/>
    <w:qFormat/>
    <w:uiPriority w:val="0"/>
    <w:pPr>
      <w:keepNext w:val="0"/>
      <w:keepLines w:val="0"/>
      <w:tabs>
        <w:tab w:val="left" w:pos="927"/>
      </w:tabs>
      <w:adjustRightInd w:val="0"/>
      <w:snapToGrid w:val="0"/>
      <w:spacing w:before="0" w:after="0" w:line="360" w:lineRule="auto"/>
      <w:ind w:left="918" w:hanging="408"/>
    </w:pPr>
    <w:rPr>
      <w:rFonts w:ascii="宋体"/>
      <w:bCs w:val="0"/>
      <w:kern w:val="0"/>
      <w:sz w:val="24"/>
      <w:szCs w:val="20"/>
    </w:rPr>
  </w:style>
  <w:style w:type="paragraph" w:customStyle="1" w:styleId="892">
    <w:name w:val="z正文"/>
    <w:basedOn w:val="25"/>
    <w:semiHidden/>
    <w:qFormat/>
    <w:uiPriority w:val="0"/>
    <w:pPr>
      <w:autoSpaceDE w:val="0"/>
      <w:autoSpaceDN w:val="0"/>
      <w:adjustRightInd w:val="0"/>
      <w:spacing w:line="360" w:lineRule="auto"/>
      <w:ind w:firstLine="200"/>
      <w:textAlignment w:val="baseline"/>
    </w:pPr>
    <w:rPr>
      <w:rFonts w:ascii="宋体"/>
      <w:kern w:val="0"/>
    </w:rPr>
  </w:style>
  <w:style w:type="paragraph" w:customStyle="1" w:styleId="893">
    <w:name w:val="_Style 896"/>
    <w:basedOn w:val="5"/>
    <w:next w:val="1"/>
    <w:qFormat/>
    <w:uiPriority w:val="39"/>
    <w:pPr>
      <w:widowControl/>
      <w:spacing w:before="240" w:after="0" w:line="259" w:lineRule="auto"/>
      <w:ind w:firstLine="0"/>
      <w:jc w:val="left"/>
      <w:outlineLvl w:val="9"/>
    </w:pPr>
    <w:rPr>
      <w:rFonts w:ascii="等线 Light" w:hAnsi="等线 Light" w:eastAsia="等线 Light" w:cs="Times New Roman"/>
      <w:b w:val="0"/>
      <w:color w:val="2F5496"/>
      <w:kern w:val="0"/>
      <w:sz w:val="32"/>
      <w:szCs w:val="32"/>
    </w:rPr>
  </w:style>
  <w:style w:type="paragraph" w:customStyle="1" w:styleId="894">
    <w:name w:val="Section Subtitle"/>
    <w:basedOn w:val="726"/>
    <w:next w:val="1"/>
    <w:semiHidden/>
    <w:uiPriority w:val="0"/>
    <w:pPr>
      <w:pBdr>
        <w:top w:val="none" w:color="auto" w:sz="0" w:space="0"/>
      </w:pBdr>
    </w:pPr>
    <w:rPr>
      <w:b w:val="0"/>
      <w:spacing w:val="0"/>
      <w:position w:val="6"/>
    </w:rPr>
  </w:style>
  <w:style w:type="paragraph" w:customStyle="1" w:styleId="895">
    <w:name w:val="xl71"/>
    <w:basedOn w:val="1"/>
    <w:semiHidden/>
    <w:qFormat/>
    <w:uiPriority w:val="0"/>
    <w:pPr>
      <w:widowControl/>
      <w:pBdr>
        <w:top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left"/>
    </w:pPr>
    <w:rPr>
      <w:rFonts w:ascii="宋体" w:hAnsi="宋体" w:eastAsia="宋体"/>
      <w:kern w:val="0"/>
      <w:sz w:val="24"/>
    </w:rPr>
  </w:style>
  <w:style w:type="paragraph" w:customStyle="1" w:styleId="896">
    <w:name w:val="连续正文文字"/>
    <w:basedOn w:val="27"/>
    <w:semiHidden/>
    <w:uiPriority w:val="0"/>
    <w:pPr>
      <w:keepNext/>
      <w:widowControl/>
      <w:spacing w:after="220" w:line="180" w:lineRule="atLeast"/>
    </w:pPr>
    <w:rPr>
      <w:rFonts w:hint="eastAsia" w:ascii="Arial" w:hAnsi="Arial" w:cs="宋体"/>
      <w:spacing w:val="-5"/>
      <w:kern w:val="0"/>
      <w:sz w:val="22"/>
      <w:szCs w:val="22"/>
    </w:rPr>
  </w:style>
  <w:style w:type="paragraph" w:customStyle="1" w:styleId="897">
    <w:name w:val="样式29"/>
    <w:basedOn w:val="23"/>
    <w:qFormat/>
    <w:uiPriority w:val="0"/>
    <w:pPr>
      <w:tabs>
        <w:tab w:val="left" w:pos="709"/>
      </w:tabs>
      <w:adjustRightInd w:val="0"/>
      <w:snapToGrid w:val="0"/>
      <w:spacing w:beforeLines="50" w:line="360" w:lineRule="auto"/>
      <w:ind w:left="709" w:hanging="709"/>
      <w:jc w:val="left"/>
      <w:textAlignment w:val="baseline"/>
    </w:pPr>
    <w:rPr>
      <w:rFonts w:ascii="黑体" w:hAnsi="宋体" w:eastAsia="黑体"/>
      <w:szCs w:val="28"/>
    </w:rPr>
  </w:style>
  <w:style w:type="paragraph" w:customStyle="1" w:styleId="898">
    <w:name w:val="xl106"/>
    <w:basedOn w:val="1"/>
    <w:semiHidden/>
    <w:qFormat/>
    <w:uiPriority w:val="0"/>
    <w:pPr>
      <w:widowControl/>
      <w:pBdr>
        <w:top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Arial Unicode MS" w:hAnsi="Arial Unicode MS" w:eastAsia="Arial Unicode MS" w:cs="Arial Unicode MS"/>
      <w:color w:val="000000"/>
      <w:kern w:val="0"/>
      <w:sz w:val="20"/>
    </w:rPr>
  </w:style>
  <w:style w:type="paragraph" w:customStyle="1" w:styleId="899">
    <w:name w:val="【表格】"/>
    <w:next w:val="26"/>
    <w:qFormat/>
    <w:uiPriority w:val="0"/>
    <w:pPr>
      <w:jc w:val="center"/>
    </w:pPr>
    <w:rPr>
      <w:rFonts w:ascii="Times New Roman" w:hAnsi="Times New Roman" w:eastAsia="宋体" w:cs="Times New Roman"/>
      <w:sz w:val="21"/>
      <w:szCs w:val="24"/>
      <w:lang w:val="en-US" w:eastAsia="zh-CN" w:bidi="ar-SA"/>
    </w:rPr>
  </w:style>
  <w:style w:type="paragraph" w:customStyle="1" w:styleId="900">
    <w:name w:val="xl114"/>
    <w:basedOn w:val="1"/>
    <w:semiHidden/>
    <w:uiPriority w:val="0"/>
    <w:pPr>
      <w:widowControl/>
      <w:pBdr>
        <w:top w:val="single" w:color="auto" w:sz="4" w:space="0"/>
        <w:bottom w:val="single" w:color="auto" w:sz="4" w:space="0"/>
        <w:right w:val="single" w:color="auto" w:sz="4" w:space="0"/>
      </w:pBdr>
      <w:shd w:val="clear" w:color="auto" w:fill="FFFFFF"/>
      <w:spacing w:before="100" w:beforeAutospacing="1" w:after="100" w:afterAutospacing="1" w:line="440" w:lineRule="exact"/>
      <w:ind w:firstLine="0"/>
      <w:jc w:val="right"/>
    </w:pPr>
    <w:rPr>
      <w:rFonts w:ascii="Arial Unicode MS" w:hAnsi="Arial Unicode MS" w:eastAsia="Arial Unicode MS" w:cs="Arial Unicode MS"/>
      <w:color w:val="000000"/>
      <w:kern w:val="0"/>
      <w:sz w:val="20"/>
    </w:rPr>
  </w:style>
  <w:style w:type="paragraph" w:customStyle="1" w:styleId="901">
    <w:name w:val="表号"/>
    <w:basedOn w:val="423"/>
    <w:next w:val="423"/>
    <w:semiHidden/>
    <w:qFormat/>
    <w:uiPriority w:val="0"/>
    <w:pPr>
      <w:widowControl/>
      <w:tabs>
        <w:tab w:val="left" w:pos="360"/>
      </w:tabs>
      <w:adjustRightInd/>
      <w:snapToGrid/>
      <w:spacing w:before="120" w:after="120" w:line="240" w:lineRule="atLeast"/>
      <w:ind w:left="284" w:hanging="284"/>
      <w:jc w:val="center"/>
    </w:pPr>
    <w:rPr>
      <w:rFonts w:ascii="黑体" w:hAnsi="Times New Roman" w:eastAsia="黑体"/>
      <w:b/>
      <w:kern w:val="0"/>
      <w:sz w:val="24"/>
      <w:szCs w:val="20"/>
    </w:rPr>
  </w:style>
  <w:style w:type="paragraph" w:customStyle="1" w:styleId="902">
    <w:name w:val="font9"/>
    <w:basedOn w:val="1"/>
    <w:semiHidden/>
    <w:uiPriority w:val="0"/>
    <w:pPr>
      <w:widowControl/>
      <w:spacing w:before="100" w:beforeAutospacing="1" w:after="100" w:afterAutospacing="1" w:line="440" w:lineRule="exact"/>
      <w:ind w:firstLine="0"/>
      <w:jc w:val="left"/>
    </w:pPr>
    <w:rPr>
      <w:rFonts w:hint="eastAsia" w:ascii="宋体" w:hAnsi="宋体" w:eastAsia="宋体" w:cs="Arial Unicode MS"/>
      <w:color w:val="FF0000"/>
      <w:kern w:val="0"/>
      <w:sz w:val="20"/>
    </w:rPr>
  </w:style>
  <w:style w:type="table" w:customStyle="1" w:styleId="903">
    <w:name w:val="典雅型1"/>
    <w:basedOn w:val="90"/>
    <w:semiHidden/>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904">
    <w:name w:val="简明型 11"/>
    <w:basedOn w:val="90"/>
    <w:semiHidden/>
    <w:qFormat/>
    <w:uiPriority w:val="0"/>
    <w:pPr>
      <w:widowControl w:val="0"/>
      <w:jc w:val="both"/>
    </w:pPr>
    <w:tblPr>
      <w:tblBorders>
        <w:top w:val="single" w:color="008000" w:sz="12" w:space="0"/>
        <w:bottom w:val="single" w:color="008000" w:sz="12" w:space="0"/>
      </w:tblBorders>
    </w:tblPr>
    <w:tblStylePr w:type="firstRow">
      <w:tcPr>
        <w:tcBorders>
          <w:top w:val="nil"/>
          <w:left w:val="single" w:color="008000" w:sz="6" w:space="0"/>
          <w:bottom w:val="nil"/>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table" w:customStyle="1" w:styleId="905">
    <w:name w:val="网格型 51"/>
    <w:basedOn w:val="90"/>
    <w:semiHidden/>
    <w:uiPriority w:val="0"/>
    <w:pPr>
      <w:widowControl w:val="0"/>
      <w:adjustRightInd w:val="0"/>
      <w:textAlignment w:val="baseline"/>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2" Type="http://schemas.openxmlformats.org/officeDocument/2006/relationships/fontTable" Target="fontTable.xml"/><Relationship Id="rId81" Type="http://schemas.openxmlformats.org/officeDocument/2006/relationships/numbering" Target="numbering.xml"/><Relationship Id="rId80" Type="http://schemas.openxmlformats.org/officeDocument/2006/relationships/customXml" Target="../customXml/item1.xml"/><Relationship Id="rId8" Type="http://schemas.openxmlformats.org/officeDocument/2006/relationships/footer" Target="footer4.xml"/><Relationship Id="rId79" Type="http://schemas.openxmlformats.org/officeDocument/2006/relationships/image" Target="media/image46.png"/><Relationship Id="rId78" Type="http://schemas.openxmlformats.org/officeDocument/2006/relationships/image" Target="media/image45.png"/><Relationship Id="rId77" Type="http://schemas.openxmlformats.org/officeDocument/2006/relationships/image" Target="media/image44.png"/><Relationship Id="rId76" Type="http://schemas.openxmlformats.org/officeDocument/2006/relationships/image" Target="media/image43.png"/><Relationship Id="rId75" Type="http://schemas.openxmlformats.org/officeDocument/2006/relationships/image" Target="media/image42.jpeg"/><Relationship Id="rId74" Type="http://schemas.openxmlformats.org/officeDocument/2006/relationships/image" Target="media/image41.png"/><Relationship Id="rId73" Type="http://schemas.openxmlformats.org/officeDocument/2006/relationships/image" Target="media/image40.jpeg"/><Relationship Id="rId72" Type="http://schemas.openxmlformats.org/officeDocument/2006/relationships/image" Target="media/image39.emf"/><Relationship Id="rId71" Type="http://schemas.openxmlformats.org/officeDocument/2006/relationships/oleObject" Target="embeddings/oleObject2.bin"/><Relationship Id="rId70" Type="http://schemas.openxmlformats.org/officeDocument/2006/relationships/image" Target="media/image38.jpeg"/><Relationship Id="rId7" Type="http://schemas.openxmlformats.org/officeDocument/2006/relationships/header" Target="header2.xml"/><Relationship Id="rId69" Type="http://schemas.openxmlformats.org/officeDocument/2006/relationships/image" Target="media/image37.jpeg"/><Relationship Id="rId68" Type="http://schemas.openxmlformats.org/officeDocument/2006/relationships/image" Target="media/image36.png"/><Relationship Id="rId67" Type="http://schemas.openxmlformats.org/officeDocument/2006/relationships/image" Target="media/image35.png"/><Relationship Id="rId66" Type="http://schemas.openxmlformats.org/officeDocument/2006/relationships/image" Target="media/image34.png"/><Relationship Id="rId65" Type="http://schemas.openxmlformats.org/officeDocument/2006/relationships/image" Target="media/image33.wmf"/><Relationship Id="rId64" Type="http://schemas.openxmlformats.org/officeDocument/2006/relationships/oleObject" Target="embeddings/oleObject1.bin"/><Relationship Id="rId63" Type="http://schemas.openxmlformats.org/officeDocument/2006/relationships/image" Target="media/image32.png"/><Relationship Id="rId62" Type="http://schemas.openxmlformats.org/officeDocument/2006/relationships/image" Target="media/image31.png"/><Relationship Id="rId61" Type="http://schemas.openxmlformats.org/officeDocument/2006/relationships/image" Target="media/image30.jpeg"/><Relationship Id="rId60" Type="http://schemas.openxmlformats.org/officeDocument/2006/relationships/image" Target="media/image29.png"/><Relationship Id="rId6" Type="http://schemas.openxmlformats.org/officeDocument/2006/relationships/footer" Target="footer3.xml"/><Relationship Id="rId59" Type="http://schemas.openxmlformats.org/officeDocument/2006/relationships/image" Target="media/image28.emf"/><Relationship Id="rId58" Type="http://schemas.openxmlformats.org/officeDocument/2006/relationships/image" Target="media/image27.png"/><Relationship Id="rId57" Type="http://schemas.openxmlformats.org/officeDocument/2006/relationships/image" Target="media/image26.jpeg"/><Relationship Id="rId56" Type="http://schemas.openxmlformats.org/officeDocument/2006/relationships/image" Target="media/image25.png"/><Relationship Id="rId55" Type="http://schemas.openxmlformats.org/officeDocument/2006/relationships/image" Target="media/image24.png"/><Relationship Id="rId54" Type="http://schemas.openxmlformats.org/officeDocument/2006/relationships/image" Target="media/image23.wmf"/><Relationship Id="rId53" Type="http://schemas.openxmlformats.org/officeDocument/2006/relationships/image" Target="media/image22.wmf"/><Relationship Id="rId52" Type="http://schemas.openxmlformats.org/officeDocument/2006/relationships/image" Target="media/image21.jpeg"/><Relationship Id="rId51" Type="http://schemas.openxmlformats.org/officeDocument/2006/relationships/image" Target="media/image20.jpeg"/><Relationship Id="rId50" Type="http://schemas.openxmlformats.org/officeDocument/2006/relationships/image" Target="media/image19.jpeg"/><Relationship Id="rId5" Type="http://schemas.openxmlformats.org/officeDocument/2006/relationships/header" Target="header1.xml"/><Relationship Id="rId49" Type="http://schemas.openxmlformats.org/officeDocument/2006/relationships/image" Target="media/image18.jpeg"/><Relationship Id="rId48" Type="http://schemas.openxmlformats.org/officeDocument/2006/relationships/image" Target="media/image17.jpeg"/><Relationship Id="rId47" Type="http://schemas.openxmlformats.org/officeDocument/2006/relationships/image" Target="media/image16.jpeg"/><Relationship Id="rId46" Type="http://schemas.openxmlformats.org/officeDocument/2006/relationships/image" Target="media/image15.jpeg"/><Relationship Id="rId45" Type="http://schemas.openxmlformats.org/officeDocument/2006/relationships/image" Target="media/image14.png"/><Relationship Id="rId44" Type="http://schemas.openxmlformats.org/officeDocument/2006/relationships/image" Target="media/image13.jpeg"/><Relationship Id="rId43" Type="http://schemas.openxmlformats.org/officeDocument/2006/relationships/image" Target="media/image12.jpeg"/><Relationship Id="rId42" Type="http://schemas.openxmlformats.org/officeDocument/2006/relationships/image" Target="media/image11.jpeg"/><Relationship Id="rId41" Type="http://schemas.openxmlformats.org/officeDocument/2006/relationships/image" Target="media/image10.jpeg"/><Relationship Id="rId40" Type="http://schemas.openxmlformats.org/officeDocument/2006/relationships/image" Target="media/image9.jpeg"/><Relationship Id="rId4" Type="http://schemas.openxmlformats.org/officeDocument/2006/relationships/footer" Target="footer2.xml"/><Relationship Id="rId39" Type="http://schemas.openxmlformats.org/officeDocument/2006/relationships/image" Target="media/image8.png"/><Relationship Id="rId38" Type="http://schemas.openxmlformats.org/officeDocument/2006/relationships/image" Target="media/image7.png"/><Relationship Id="rId37" Type="http://schemas.openxmlformats.org/officeDocument/2006/relationships/image" Target="media/image6.jpeg"/><Relationship Id="rId36" Type="http://schemas.openxmlformats.org/officeDocument/2006/relationships/image" Target="media/image5.png"/><Relationship Id="rId35" Type="http://schemas.openxmlformats.org/officeDocument/2006/relationships/image" Target="media/image4.jpeg"/><Relationship Id="rId34" Type="http://schemas.openxmlformats.org/officeDocument/2006/relationships/image" Target="media/image3.jpeg"/><Relationship Id="rId33" Type="http://schemas.openxmlformats.org/officeDocument/2006/relationships/image" Target="media/image2.jpeg"/><Relationship Id="rId32" Type="http://schemas.openxmlformats.org/officeDocument/2006/relationships/image" Target="media/image1.jpeg"/><Relationship Id="rId31" Type="http://schemas.openxmlformats.org/officeDocument/2006/relationships/theme" Target="theme/theme1.xml"/><Relationship Id="rId30" Type="http://schemas.openxmlformats.org/officeDocument/2006/relationships/footer" Target="footer15.xml"/><Relationship Id="rId3" Type="http://schemas.openxmlformats.org/officeDocument/2006/relationships/footer" Target="footer1.xml"/><Relationship Id="rId29" Type="http://schemas.openxmlformats.org/officeDocument/2006/relationships/footer" Target="footer14.xml"/><Relationship Id="rId28" Type="http://schemas.openxmlformats.org/officeDocument/2006/relationships/footer" Target="footer13.xml"/><Relationship Id="rId27" Type="http://schemas.openxmlformats.org/officeDocument/2006/relationships/header" Target="header13.xml"/><Relationship Id="rId26" Type="http://schemas.openxmlformats.org/officeDocument/2006/relationships/header" Target="header12.xml"/><Relationship Id="rId25" Type="http://schemas.openxmlformats.org/officeDocument/2006/relationships/header" Target="header11.xml"/><Relationship Id="rId24" Type="http://schemas.openxmlformats.org/officeDocument/2006/relationships/header" Target="header10.xml"/><Relationship Id="rId23" Type="http://schemas.openxmlformats.org/officeDocument/2006/relationships/header" Target="header9.xml"/><Relationship Id="rId22" Type="http://schemas.openxmlformats.org/officeDocument/2006/relationships/footer" Target="footer12.xml"/><Relationship Id="rId21" Type="http://schemas.openxmlformats.org/officeDocument/2006/relationships/header" Target="header8.xml"/><Relationship Id="rId20" Type="http://schemas.openxmlformats.org/officeDocument/2006/relationships/footer" Target="footer11.xml"/><Relationship Id="rId2" Type="http://schemas.openxmlformats.org/officeDocument/2006/relationships/settings" Target="settings.xml"/><Relationship Id="rId19" Type="http://schemas.openxmlformats.org/officeDocument/2006/relationships/footer" Target="footer10.xml"/><Relationship Id="rId18" Type="http://schemas.openxmlformats.org/officeDocument/2006/relationships/header" Target="header7.xml"/><Relationship Id="rId17" Type="http://schemas.openxmlformats.org/officeDocument/2006/relationships/header" Target="header6.xml"/><Relationship Id="rId16" Type="http://schemas.openxmlformats.org/officeDocument/2006/relationships/footer" Target="footer9.xml"/><Relationship Id="rId15" Type="http://schemas.openxmlformats.org/officeDocument/2006/relationships/footer" Target="footer8.xml"/><Relationship Id="rId14" Type="http://schemas.openxmlformats.org/officeDocument/2006/relationships/header" Target="header5.xml"/><Relationship Id="rId13" Type="http://schemas.openxmlformats.org/officeDocument/2006/relationships/header" Target="header4.xml"/><Relationship Id="rId12" Type="http://schemas.openxmlformats.org/officeDocument/2006/relationships/footer" Target="footer7.xml"/><Relationship Id="rId11" Type="http://schemas.openxmlformats.org/officeDocument/2006/relationships/header" Target="header3.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6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省环保科研所</Company>
  <Pages>275</Pages>
  <Words>30230</Words>
  <Characters>172312</Characters>
  <Lines>1435</Lines>
  <Paragraphs>404</Paragraphs>
  <TotalTime>1</TotalTime>
  <ScaleCrop>false</ScaleCrop>
  <LinksUpToDate>false</LinksUpToDate>
  <CharactersWithSpaces>202138</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2021-06-19T14:53:00Z</dcterms:created>
  <dc:creator>张文雄</dc:creator>
  <cp:lastModifiedBy>NTKO</cp:lastModifiedBy>
  <cp:lastPrinted>2021-12-10T02:11:00Z</cp:lastPrinted>
  <dcterms:modified xsi:type="dcterms:W3CDTF">2025-04-28T04:43:04Z</dcterms:modified>
  <dc:title>第十一章  总量控制</dc:title>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20F822C3EECE428DBA4A1E28F0E4E611</vt:lpwstr>
  </property>
</Properties>
</file>