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6CC336">
      <w:pPr>
        <w:ind w:firstLine="480"/>
        <w:rPr>
          <w:rFonts w:hint="default" w:ascii="Times New Roman" w:hAnsi="Times New Roman" w:eastAsia="宋体" w:cs="Times New Roman"/>
          <w:color w:val="auto"/>
          <w:lang w:eastAsia="zh-CN"/>
        </w:rPr>
      </w:pPr>
      <w:r>
        <w:rPr>
          <w:color w:val="auto"/>
        </w:rPr>
        <w:drawing>
          <wp:anchor distT="0" distB="0" distL="114300" distR="114300" simplePos="0" relativeHeight="251681792" behindDoc="0" locked="0" layoutInCell="1" allowOverlap="1">
            <wp:simplePos x="0" y="0"/>
            <wp:positionH relativeFrom="column">
              <wp:posOffset>-180975</wp:posOffset>
            </wp:positionH>
            <wp:positionV relativeFrom="paragraph">
              <wp:posOffset>28575</wp:posOffset>
            </wp:positionV>
            <wp:extent cx="6028690" cy="8743315"/>
            <wp:effectExtent l="0" t="0" r="10160" b="635"/>
            <wp:wrapNone/>
            <wp:docPr id="4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15"/>
                    <pic:cNvPicPr>
                      <a:picLocks noChangeAspect="1"/>
                    </pic:cNvPicPr>
                  </pic:nvPicPr>
                  <pic:blipFill>
                    <a:blip r:embed="rId24"/>
                    <a:stretch>
                      <a:fillRect/>
                    </a:stretch>
                  </pic:blipFill>
                  <pic:spPr>
                    <a:xfrm>
                      <a:off x="0" y="0"/>
                      <a:ext cx="6028690" cy="8743315"/>
                    </a:xfrm>
                    <a:prstGeom prst="rect">
                      <a:avLst/>
                    </a:prstGeom>
                    <a:noFill/>
                    <a:ln>
                      <a:noFill/>
                    </a:ln>
                  </pic:spPr>
                </pic:pic>
              </a:graphicData>
            </a:graphic>
          </wp:anchor>
        </w:drawing>
      </w:r>
    </w:p>
    <w:p w14:paraId="1BB73922">
      <w:pPr>
        <w:ind w:firstLine="480"/>
        <w:rPr>
          <w:rFonts w:hint="default" w:ascii="Times New Roman" w:hAnsi="Times New Roman" w:eastAsia="宋体" w:cs="Times New Roman"/>
          <w:color w:val="auto"/>
        </w:rPr>
      </w:pPr>
    </w:p>
    <w:p w14:paraId="4BEAEBC0">
      <w:pPr>
        <w:ind w:firstLine="480"/>
        <w:rPr>
          <w:rFonts w:hint="default" w:ascii="Times New Roman" w:hAnsi="Times New Roman" w:eastAsia="宋体" w:cs="Times New Roman"/>
          <w:color w:val="auto"/>
        </w:rPr>
      </w:pPr>
    </w:p>
    <w:p w14:paraId="615CB5BF">
      <w:pPr>
        <w:ind w:firstLine="480"/>
        <w:rPr>
          <w:rFonts w:hint="default" w:ascii="Times New Roman" w:hAnsi="Times New Roman" w:eastAsia="宋体" w:cs="Times New Roman"/>
          <w:color w:val="auto"/>
        </w:rPr>
      </w:pPr>
    </w:p>
    <w:p w14:paraId="75982F42">
      <w:pPr>
        <w:ind w:firstLine="480"/>
        <w:rPr>
          <w:rFonts w:hint="default" w:ascii="Times New Roman" w:hAnsi="Times New Roman" w:eastAsia="宋体" w:cs="Times New Roman"/>
          <w:color w:val="auto"/>
        </w:rPr>
      </w:pPr>
    </w:p>
    <w:p w14:paraId="2FFFE689">
      <w:pPr>
        <w:adjustRightInd w:val="0"/>
        <w:snapToGrid w:val="0"/>
        <w:ind w:firstLine="0" w:firstLineChars="0"/>
        <w:jc w:val="center"/>
        <w:outlineLvl w:val="0"/>
        <w:rPr>
          <w:rFonts w:hint="default" w:ascii="Times New Roman" w:hAnsi="Times New Roman" w:eastAsia="宋体" w:cs="Times New Roman"/>
          <w:bCs/>
          <w:color w:val="auto"/>
          <w:sz w:val="72"/>
          <w:szCs w:val="72"/>
        </w:rPr>
      </w:pPr>
      <w:r>
        <w:rPr>
          <w:rFonts w:hint="default" w:ascii="Times New Roman" w:hAnsi="Times New Roman" w:eastAsia="宋体" w:cs="Times New Roman"/>
          <w:bCs/>
          <w:color w:val="auto"/>
          <w:sz w:val="72"/>
          <w:szCs w:val="72"/>
        </w:rPr>
        <w:t>建设项目环境影响报告表</w:t>
      </w:r>
    </w:p>
    <w:p w14:paraId="49A66A30">
      <w:pPr>
        <w:adjustRightInd w:val="0"/>
        <w:snapToGrid w:val="0"/>
        <w:spacing w:before="192" w:beforeLines="80"/>
        <w:ind w:firstLine="196" w:firstLineChars="41"/>
        <w:jc w:val="center"/>
        <w:rPr>
          <w:rFonts w:hint="default" w:ascii="Times New Roman" w:hAnsi="Times New Roman" w:eastAsia="宋体" w:cs="Times New Roman"/>
          <w:bCs/>
          <w:color w:val="auto"/>
          <w:sz w:val="48"/>
          <w:szCs w:val="48"/>
        </w:rPr>
      </w:pPr>
      <w:r>
        <w:rPr>
          <w:rFonts w:hint="default" w:ascii="Times New Roman" w:hAnsi="Times New Roman" w:eastAsia="宋体" w:cs="Times New Roman"/>
          <w:bCs/>
          <w:color w:val="auto"/>
          <w:sz w:val="48"/>
          <w:szCs w:val="48"/>
        </w:rPr>
        <w:t>（污染影响类）</w:t>
      </w:r>
    </w:p>
    <w:p w14:paraId="5A555E45">
      <w:pPr>
        <w:ind w:firstLine="480"/>
        <w:rPr>
          <w:rFonts w:hint="default" w:ascii="Times New Roman" w:hAnsi="Times New Roman" w:eastAsia="宋体" w:cs="Times New Roman"/>
          <w:color w:val="auto"/>
        </w:rPr>
      </w:pPr>
    </w:p>
    <w:p w14:paraId="0E62364A">
      <w:pPr>
        <w:ind w:firstLine="1040"/>
        <w:jc w:val="center"/>
        <w:rPr>
          <w:rFonts w:hint="default" w:ascii="Times New Roman" w:hAnsi="Times New Roman" w:eastAsia="宋体" w:cs="Times New Roman"/>
          <w:color w:val="auto"/>
          <w:sz w:val="52"/>
          <w:szCs w:val="52"/>
        </w:rPr>
      </w:pPr>
    </w:p>
    <w:p w14:paraId="4D27ED78">
      <w:pPr>
        <w:ind w:firstLine="880"/>
        <w:rPr>
          <w:rFonts w:hint="default" w:ascii="Times New Roman" w:hAnsi="Times New Roman" w:eastAsia="宋体" w:cs="Times New Roman"/>
          <w:color w:val="auto"/>
          <w:sz w:val="44"/>
          <w:szCs w:val="44"/>
        </w:rPr>
      </w:pPr>
    </w:p>
    <w:p w14:paraId="64E72CA3">
      <w:pPr>
        <w:spacing w:line="480" w:lineRule="auto"/>
        <w:ind w:firstLine="880"/>
        <w:rPr>
          <w:rFonts w:hint="default" w:ascii="Times New Roman" w:hAnsi="Times New Roman" w:eastAsia="宋体" w:cs="Times New Roman"/>
          <w:color w:val="auto"/>
          <w:sz w:val="44"/>
          <w:szCs w:val="44"/>
        </w:rPr>
      </w:pPr>
    </w:p>
    <w:p w14:paraId="5EFBBA5C">
      <w:pPr>
        <w:adjustRightInd w:val="0"/>
        <w:snapToGrid w:val="0"/>
        <w:spacing w:line="360" w:lineRule="auto"/>
        <w:ind w:left="0" w:leftChars="0" w:firstLine="0" w:firstLineChars="0"/>
        <w:jc w:val="both"/>
        <w:rPr>
          <w:rFonts w:hint="default" w:ascii="Times New Roman" w:hAnsi="Times New Roman" w:eastAsia="宋体" w:cs="Times New Roman"/>
          <w:color w:val="auto"/>
          <w:sz w:val="36"/>
          <w:szCs w:val="36"/>
          <w:u w:val="single"/>
          <w:lang w:eastAsia="zh-CN"/>
        </w:rPr>
      </w:pPr>
      <w:r>
        <w:rPr>
          <w:rFonts w:hint="default" w:ascii="Times New Roman" w:hAnsi="Times New Roman" w:eastAsia="宋体" w:cs="Times New Roman"/>
          <w:color w:val="auto"/>
          <w:sz w:val="36"/>
          <w:szCs w:val="36"/>
        </w:rPr>
        <w:t xml:space="preserve">项目名称： </w:t>
      </w:r>
      <w:r>
        <w:rPr>
          <w:rFonts w:hint="default" w:ascii="Times New Roman" w:hAnsi="Times New Roman" w:eastAsia="宋体" w:cs="Times New Roman"/>
          <w:color w:val="auto"/>
          <w:sz w:val="36"/>
          <w:szCs w:val="36"/>
          <w:u w:val="single"/>
        </w:rPr>
        <w:t xml:space="preserve"> </w:t>
      </w:r>
      <w:r>
        <w:rPr>
          <w:rFonts w:hint="default" w:ascii="Times New Roman" w:hAnsi="Times New Roman" w:eastAsia="宋体" w:cs="Times New Roman"/>
          <w:color w:val="auto"/>
          <w:sz w:val="36"/>
          <w:szCs w:val="36"/>
          <w:u w:val="single"/>
          <w:lang w:val="en-US" w:eastAsia="zh-CN"/>
        </w:rPr>
        <w:t xml:space="preserve"> </w:t>
      </w:r>
      <w:r>
        <w:rPr>
          <w:rFonts w:hint="default" w:ascii="Times New Roman" w:hAnsi="Times New Roman" w:eastAsia="宋体" w:cs="Times New Roman"/>
          <w:color w:val="auto"/>
          <w:sz w:val="36"/>
          <w:szCs w:val="36"/>
          <w:u w:val="single"/>
          <w:lang w:eastAsia="zh-CN"/>
        </w:rPr>
        <w:t>密尔克卫（福建）危险化学品供应链</w:t>
      </w:r>
    </w:p>
    <w:p w14:paraId="752EBAB8">
      <w:pPr>
        <w:adjustRightInd w:val="0"/>
        <w:snapToGrid w:val="0"/>
        <w:spacing w:line="360" w:lineRule="auto"/>
        <w:ind w:firstLine="1800" w:firstLineChars="500"/>
        <w:jc w:val="both"/>
        <w:rPr>
          <w:rFonts w:hint="default" w:ascii="Times New Roman" w:hAnsi="Times New Roman" w:eastAsia="宋体" w:cs="Times New Roman"/>
          <w:color w:val="auto"/>
          <w:sz w:val="36"/>
          <w:szCs w:val="36"/>
          <w:u w:val="single"/>
          <w:lang w:val="en-US" w:eastAsia="zh-CN"/>
        </w:rPr>
      </w:pPr>
      <w:r>
        <w:rPr>
          <w:rFonts w:hint="default" w:ascii="Times New Roman" w:hAnsi="Times New Roman" w:eastAsia="宋体" w:cs="Times New Roman"/>
          <w:color w:val="auto"/>
          <w:sz w:val="36"/>
          <w:szCs w:val="36"/>
          <w:u w:val="none"/>
          <w:lang w:val="en-US" w:eastAsia="zh-CN"/>
        </w:rPr>
        <w:t xml:space="preserve"> </w:t>
      </w:r>
      <w:r>
        <w:rPr>
          <w:rFonts w:hint="default" w:ascii="Times New Roman" w:hAnsi="Times New Roman" w:eastAsia="宋体" w:cs="Times New Roman"/>
          <w:color w:val="auto"/>
          <w:sz w:val="36"/>
          <w:szCs w:val="36"/>
          <w:u w:val="single"/>
          <w:lang w:val="en-US" w:eastAsia="zh-CN"/>
        </w:rPr>
        <w:t xml:space="preserve">        </w:t>
      </w:r>
      <w:r>
        <w:rPr>
          <w:rFonts w:hint="default" w:ascii="Times New Roman" w:hAnsi="Times New Roman" w:eastAsia="宋体" w:cs="Times New Roman"/>
          <w:color w:val="auto"/>
          <w:sz w:val="36"/>
          <w:szCs w:val="36"/>
          <w:u w:val="single"/>
          <w:lang w:eastAsia="zh-CN"/>
        </w:rPr>
        <w:t>一体化基地项目</w:t>
      </w:r>
      <w:r>
        <w:rPr>
          <w:rFonts w:hint="default" w:ascii="Times New Roman" w:hAnsi="Times New Roman" w:eastAsia="宋体" w:cs="Times New Roman"/>
          <w:color w:val="auto"/>
          <w:sz w:val="36"/>
          <w:szCs w:val="36"/>
          <w:u w:val="single"/>
          <w:lang w:val="en-US" w:eastAsia="zh-CN"/>
        </w:rPr>
        <w:t xml:space="preserve">            </w:t>
      </w:r>
    </w:p>
    <w:p w14:paraId="68C61F50">
      <w:pPr>
        <w:adjustRightInd w:val="0"/>
        <w:snapToGrid w:val="0"/>
        <w:spacing w:line="360" w:lineRule="auto"/>
        <w:ind w:left="0" w:leftChars="0" w:firstLine="0" w:firstLineChars="0"/>
        <w:jc w:val="both"/>
        <w:rPr>
          <w:rFonts w:hint="default" w:ascii="Times New Roman" w:hAnsi="Times New Roman" w:eastAsia="宋体" w:cs="Times New Roman"/>
          <w:color w:val="auto"/>
          <w:sz w:val="36"/>
          <w:szCs w:val="36"/>
          <w:u w:val="single"/>
          <w:lang w:eastAsia="zh-CN"/>
        </w:rPr>
      </w:pPr>
      <w:r>
        <w:rPr>
          <w:rFonts w:hint="default" w:ascii="Times New Roman" w:hAnsi="Times New Roman" w:eastAsia="宋体" w:cs="Times New Roman"/>
          <w:color w:val="auto"/>
          <w:sz w:val="36"/>
          <w:szCs w:val="36"/>
        </w:rPr>
        <w:t>建设单位（盖章）：</w:t>
      </w:r>
      <w:r>
        <w:rPr>
          <w:rFonts w:hint="default" w:ascii="Times New Roman" w:hAnsi="Times New Roman" w:eastAsia="宋体" w:cs="Times New Roman"/>
          <w:color w:val="auto"/>
          <w:sz w:val="36"/>
          <w:szCs w:val="36"/>
          <w:u w:val="single"/>
          <w:lang w:eastAsia="zh-CN"/>
        </w:rPr>
        <w:t>福州密尔克卫供应链管理有限公司</w:t>
      </w:r>
    </w:p>
    <w:p w14:paraId="1BA4AF71">
      <w:pPr>
        <w:adjustRightInd w:val="0"/>
        <w:snapToGrid w:val="0"/>
        <w:spacing w:line="360" w:lineRule="auto"/>
        <w:ind w:left="0" w:leftChars="0" w:firstLine="0" w:firstLineChars="0"/>
        <w:jc w:val="both"/>
        <w:rPr>
          <w:rFonts w:hint="default" w:ascii="Times New Roman" w:hAnsi="Times New Roman" w:eastAsia="宋体" w:cs="Times New Roman"/>
          <w:color w:val="auto"/>
          <w:sz w:val="36"/>
          <w:szCs w:val="36"/>
          <w:u w:val="single"/>
          <w:lang w:val="en-US" w:eastAsia="zh-CN"/>
        </w:rPr>
      </w:pPr>
      <w:r>
        <w:rPr>
          <w:rFonts w:hint="default" w:ascii="Times New Roman" w:hAnsi="Times New Roman" w:eastAsia="宋体" w:cs="Times New Roman"/>
          <w:color w:val="auto"/>
          <w:sz w:val="36"/>
          <w:szCs w:val="36"/>
        </w:rPr>
        <w:t>编制日期：</w:t>
      </w:r>
      <w:r>
        <w:rPr>
          <w:rFonts w:hint="default" w:ascii="Times New Roman" w:hAnsi="Times New Roman" w:eastAsia="宋体" w:cs="Times New Roman"/>
          <w:color w:val="auto"/>
          <w:sz w:val="36"/>
          <w:szCs w:val="36"/>
          <w:u w:val="single"/>
        </w:rPr>
        <w:t xml:space="preserve">  </w:t>
      </w:r>
      <w:r>
        <w:rPr>
          <w:rFonts w:hint="default" w:ascii="Times New Roman" w:hAnsi="Times New Roman" w:eastAsia="宋体" w:cs="Times New Roman"/>
          <w:color w:val="auto"/>
          <w:sz w:val="36"/>
          <w:szCs w:val="36"/>
          <w:u w:val="single"/>
          <w:lang w:val="en-US" w:eastAsia="zh-CN"/>
        </w:rPr>
        <w:t xml:space="preserve">        </w:t>
      </w:r>
      <w:r>
        <w:rPr>
          <w:rFonts w:hint="default" w:ascii="Times New Roman" w:hAnsi="Times New Roman" w:eastAsia="宋体" w:cs="Times New Roman"/>
          <w:color w:val="auto"/>
          <w:sz w:val="36"/>
          <w:szCs w:val="36"/>
          <w:u w:val="single"/>
        </w:rPr>
        <w:t xml:space="preserve"> 202</w:t>
      </w:r>
      <w:r>
        <w:rPr>
          <w:rFonts w:hint="default" w:ascii="Times New Roman" w:hAnsi="Times New Roman" w:eastAsia="宋体" w:cs="Times New Roman"/>
          <w:color w:val="auto"/>
          <w:sz w:val="36"/>
          <w:szCs w:val="36"/>
          <w:u w:val="single"/>
          <w:lang w:val="en-US" w:eastAsia="zh-CN"/>
        </w:rPr>
        <w:t>4</w:t>
      </w:r>
      <w:r>
        <w:rPr>
          <w:rFonts w:hint="default" w:ascii="Times New Roman" w:hAnsi="Times New Roman" w:eastAsia="宋体" w:cs="Times New Roman"/>
          <w:color w:val="auto"/>
          <w:sz w:val="36"/>
          <w:szCs w:val="36"/>
          <w:u w:val="single"/>
        </w:rPr>
        <w:t>年</w:t>
      </w:r>
      <w:r>
        <w:rPr>
          <w:rFonts w:hint="default" w:ascii="Times New Roman" w:hAnsi="Times New Roman" w:eastAsia="宋体" w:cs="Times New Roman"/>
          <w:color w:val="auto"/>
          <w:sz w:val="36"/>
          <w:szCs w:val="36"/>
          <w:u w:val="single"/>
          <w:lang w:val="en-US" w:eastAsia="zh-CN"/>
        </w:rPr>
        <w:t>12</w:t>
      </w:r>
      <w:r>
        <w:rPr>
          <w:rFonts w:hint="default" w:ascii="Times New Roman" w:hAnsi="Times New Roman" w:eastAsia="宋体" w:cs="Times New Roman"/>
          <w:color w:val="auto"/>
          <w:sz w:val="36"/>
          <w:szCs w:val="36"/>
          <w:u w:val="single"/>
        </w:rPr>
        <w:t>月</w:t>
      </w:r>
      <w:r>
        <w:rPr>
          <w:rFonts w:hint="default" w:ascii="Times New Roman" w:hAnsi="Times New Roman" w:eastAsia="宋体" w:cs="Times New Roman"/>
          <w:color w:val="auto"/>
          <w:sz w:val="36"/>
          <w:szCs w:val="36"/>
          <w:u w:val="single"/>
          <w:lang w:val="en-US" w:eastAsia="zh-CN"/>
        </w:rPr>
        <w:t xml:space="preserve">                </w:t>
      </w:r>
    </w:p>
    <w:p w14:paraId="542A9273">
      <w:pPr>
        <w:adjustRightInd w:val="0"/>
        <w:snapToGrid w:val="0"/>
        <w:spacing w:line="288" w:lineRule="auto"/>
        <w:ind w:firstLine="720"/>
        <w:rPr>
          <w:rFonts w:hint="default" w:ascii="Times New Roman" w:hAnsi="Times New Roman" w:eastAsia="宋体" w:cs="Times New Roman"/>
          <w:color w:val="auto"/>
          <w:sz w:val="36"/>
          <w:szCs w:val="36"/>
          <w:u w:val="single"/>
        </w:rPr>
      </w:pPr>
      <w:bookmarkStart w:id="0" w:name="_Hlk57884087"/>
    </w:p>
    <w:p w14:paraId="5371716E">
      <w:pPr>
        <w:adjustRightInd w:val="0"/>
        <w:snapToGrid w:val="0"/>
        <w:spacing w:line="288" w:lineRule="auto"/>
        <w:ind w:firstLine="720"/>
        <w:rPr>
          <w:rFonts w:hint="default" w:ascii="Times New Roman" w:hAnsi="Times New Roman" w:eastAsia="宋体" w:cs="Times New Roman"/>
          <w:color w:val="auto"/>
          <w:sz w:val="36"/>
          <w:szCs w:val="36"/>
        </w:rPr>
      </w:pPr>
    </w:p>
    <w:p w14:paraId="5E5E227A">
      <w:pPr>
        <w:adjustRightInd w:val="0"/>
        <w:snapToGrid w:val="0"/>
        <w:spacing w:line="288" w:lineRule="auto"/>
        <w:ind w:firstLine="720"/>
        <w:rPr>
          <w:rFonts w:hint="default" w:ascii="Times New Roman" w:hAnsi="Times New Roman" w:eastAsia="宋体" w:cs="Times New Roman"/>
          <w:color w:val="auto"/>
          <w:sz w:val="36"/>
          <w:szCs w:val="36"/>
        </w:rPr>
      </w:pPr>
    </w:p>
    <w:p w14:paraId="10BB4397">
      <w:pPr>
        <w:adjustRightInd w:val="0"/>
        <w:snapToGrid w:val="0"/>
        <w:spacing w:line="288" w:lineRule="auto"/>
        <w:ind w:firstLine="720"/>
        <w:rPr>
          <w:rFonts w:hint="default" w:ascii="Times New Roman" w:hAnsi="Times New Roman" w:eastAsia="宋体" w:cs="Times New Roman"/>
          <w:color w:val="auto"/>
          <w:sz w:val="36"/>
          <w:szCs w:val="36"/>
        </w:rPr>
      </w:pPr>
    </w:p>
    <w:p w14:paraId="3791EA09">
      <w:pPr>
        <w:adjustRightInd w:val="0"/>
        <w:snapToGrid w:val="0"/>
        <w:spacing w:line="288" w:lineRule="auto"/>
        <w:ind w:firstLine="720"/>
        <w:rPr>
          <w:rFonts w:hint="default" w:ascii="Times New Roman" w:hAnsi="Times New Roman" w:eastAsia="宋体" w:cs="Times New Roman"/>
          <w:color w:val="auto"/>
          <w:sz w:val="36"/>
          <w:szCs w:val="36"/>
        </w:rPr>
      </w:pPr>
    </w:p>
    <w:bookmarkEnd w:id="0"/>
    <w:p w14:paraId="52071F8C">
      <w:pPr>
        <w:adjustRightInd w:val="0"/>
        <w:snapToGrid w:val="0"/>
        <w:spacing w:line="288" w:lineRule="auto"/>
        <w:ind w:firstLine="720"/>
        <w:jc w:val="center"/>
        <w:rPr>
          <w:rFonts w:hint="default" w:ascii="Times New Roman" w:hAnsi="Times New Roman" w:eastAsia="宋体" w:cs="Times New Roman"/>
          <w:color w:val="auto"/>
          <w:sz w:val="36"/>
          <w:szCs w:val="36"/>
        </w:rPr>
      </w:pPr>
      <w:r>
        <w:rPr>
          <w:rFonts w:hint="default" w:ascii="Times New Roman" w:hAnsi="Times New Roman" w:eastAsia="宋体" w:cs="Times New Roman"/>
          <w:color w:val="auto"/>
          <w:sz w:val="36"/>
          <w:szCs w:val="36"/>
        </w:rPr>
        <w:t>中华人民共和国生态环境部制</w:t>
      </w:r>
    </w:p>
    <w:p w14:paraId="55B8E1ED">
      <w:pPr>
        <w:spacing w:line="240" w:lineRule="auto"/>
        <w:ind w:firstLine="0" w:firstLineChars="0"/>
        <w:jc w:val="center"/>
        <w:rPr>
          <w:rFonts w:hint="default" w:ascii="Times New Roman" w:hAnsi="Times New Roman" w:eastAsia="宋体" w:cs="Times New Roman"/>
          <w:color w:val="auto"/>
          <w:sz w:val="36"/>
          <w:szCs w:val="36"/>
        </w:rPr>
        <w:sectPr>
          <w:headerReference r:id="rId7" w:type="first"/>
          <w:footerReference r:id="rId10" w:type="first"/>
          <w:headerReference r:id="rId5" w:type="default"/>
          <w:footerReference r:id="rId8" w:type="default"/>
          <w:headerReference r:id="rId6" w:type="even"/>
          <w:footerReference r:id="rId9" w:type="even"/>
          <w:pgSz w:w="11905" w:h="16838"/>
          <w:pgMar w:top="1418" w:right="1418" w:bottom="1418" w:left="1418" w:header="851" w:footer="851" w:gutter="0"/>
          <w:pgBorders>
            <w:top w:val="none" w:sz="0" w:space="0"/>
            <w:left w:val="none" w:sz="0" w:space="0"/>
            <w:bottom w:val="none" w:sz="0" w:space="0"/>
            <w:right w:val="none" w:sz="0" w:space="0"/>
          </w:pgBorders>
          <w:pgNumType w:fmt="decimal"/>
          <w:cols w:space="720" w:num="1"/>
          <w:titlePg/>
          <w:docGrid w:linePitch="326" w:charSpace="0"/>
        </w:sectPr>
      </w:pPr>
    </w:p>
    <w:p w14:paraId="6D81CCA4">
      <w:pPr>
        <w:pStyle w:val="5"/>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sectPr>
          <w:footerReference r:id="rId11" w:type="default"/>
          <w:pgSz w:w="11905" w:h="16838"/>
          <w:pgMar w:top="1418" w:right="1418" w:bottom="1418" w:left="1418" w:header="851" w:footer="851" w:gutter="0"/>
          <w:pgBorders>
            <w:top w:val="none" w:sz="0" w:space="0"/>
            <w:left w:val="none" w:sz="0" w:space="0"/>
            <w:bottom w:val="none" w:sz="0" w:space="0"/>
            <w:right w:val="none" w:sz="0" w:space="0"/>
          </w:pgBorders>
          <w:pgNumType w:fmt="decimal" w:start="1"/>
          <w:cols w:space="720" w:num="1"/>
          <w:docGrid w:linePitch="326" w:charSpace="0"/>
        </w:sectPr>
      </w:pPr>
      <w:r>
        <w:drawing>
          <wp:inline distT="0" distB="0" distL="114300" distR="114300">
            <wp:extent cx="5010150" cy="7381875"/>
            <wp:effectExtent l="0" t="0" r="0"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5"/>
                    <a:stretch>
                      <a:fillRect/>
                    </a:stretch>
                  </pic:blipFill>
                  <pic:spPr>
                    <a:xfrm>
                      <a:off x="0" y="0"/>
                      <a:ext cx="5010150" cy="7381875"/>
                    </a:xfrm>
                    <a:prstGeom prst="rect">
                      <a:avLst/>
                    </a:prstGeom>
                    <a:noFill/>
                    <a:ln>
                      <a:noFill/>
                    </a:ln>
                  </pic:spPr>
                </pic:pic>
              </a:graphicData>
            </a:graphic>
          </wp:inline>
        </w:drawing>
      </w:r>
    </w:p>
    <w:p w14:paraId="6DA24EC5">
      <w:pPr>
        <w:ind w:left="0" w:leftChars="0" w:firstLine="0" w:firstLineChars="0"/>
        <w:sectPr>
          <w:footerReference r:id="rId12" w:type="default"/>
          <w:pgSz w:w="11905" w:h="16838"/>
          <w:pgMar w:top="1418" w:right="1418" w:bottom="1418" w:left="1418" w:header="851" w:footer="851" w:gutter="0"/>
          <w:pgBorders>
            <w:top w:val="none" w:sz="0" w:space="0"/>
            <w:left w:val="none" w:sz="0" w:space="0"/>
            <w:bottom w:val="none" w:sz="0" w:space="0"/>
            <w:right w:val="none" w:sz="0" w:space="0"/>
          </w:pgBorders>
          <w:pgNumType w:fmt="decimal" w:start="1"/>
          <w:cols w:space="720" w:num="1"/>
          <w:docGrid w:linePitch="326" w:charSpace="0"/>
        </w:sectPr>
      </w:pPr>
      <w:r>
        <w:drawing>
          <wp:inline distT="0" distB="0" distL="114300" distR="114300">
            <wp:extent cx="4895850" cy="6638925"/>
            <wp:effectExtent l="0" t="0" r="0" b="9525"/>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26"/>
                    <a:stretch>
                      <a:fillRect/>
                    </a:stretch>
                  </pic:blipFill>
                  <pic:spPr>
                    <a:xfrm>
                      <a:off x="0" y="0"/>
                      <a:ext cx="4895850" cy="6638925"/>
                    </a:xfrm>
                    <a:prstGeom prst="rect">
                      <a:avLst/>
                    </a:prstGeom>
                    <a:noFill/>
                    <a:ln>
                      <a:noFill/>
                    </a:ln>
                  </pic:spPr>
                </pic:pic>
              </a:graphicData>
            </a:graphic>
          </wp:inline>
        </w:drawing>
      </w:r>
    </w:p>
    <w:p w14:paraId="783D6F29">
      <w:pPr>
        <w:rPr>
          <w:rFonts w:hint="default"/>
        </w:rPr>
        <w:sectPr>
          <w:pgSz w:w="11905" w:h="16838"/>
          <w:pgMar w:top="1418" w:right="1418" w:bottom="1418" w:left="1418" w:header="851" w:footer="851" w:gutter="0"/>
          <w:pgBorders>
            <w:top w:val="none" w:sz="0" w:space="0"/>
            <w:left w:val="none" w:sz="0" w:space="0"/>
            <w:bottom w:val="none" w:sz="0" w:space="0"/>
            <w:right w:val="none" w:sz="0" w:space="0"/>
          </w:pgBorders>
          <w:pgNumType w:fmt="decimal" w:start="1"/>
          <w:cols w:space="720" w:num="1"/>
          <w:docGrid w:linePitch="326" w:charSpace="0"/>
        </w:sectPr>
      </w:pPr>
      <w:r>
        <w:drawing>
          <wp:inline distT="0" distB="0" distL="114300" distR="114300">
            <wp:extent cx="5448300" cy="7648575"/>
            <wp:effectExtent l="0" t="0" r="0" b="9525"/>
            <wp:docPr id="4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14"/>
                    <pic:cNvPicPr>
                      <a:picLocks noChangeAspect="1"/>
                    </pic:cNvPicPr>
                  </pic:nvPicPr>
                  <pic:blipFill>
                    <a:blip r:embed="rId27"/>
                    <a:stretch>
                      <a:fillRect/>
                    </a:stretch>
                  </pic:blipFill>
                  <pic:spPr>
                    <a:xfrm>
                      <a:off x="0" y="0"/>
                      <a:ext cx="5448300" cy="7648575"/>
                    </a:xfrm>
                    <a:prstGeom prst="rect">
                      <a:avLst/>
                    </a:prstGeom>
                    <a:noFill/>
                    <a:ln>
                      <a:noFill/>
                    </a:ln>
                  </pic:spPr>
                </pic:pic>
              </a:graphicData>
            </a:graphic>
          </wp:inline>
        </w:drawing>
      </w:r>
      <w:r>
        <w:drawing>
          <wp:inline distT="0" distB="0" distL="114300" distR="114300">
            <wp:extent cx="5095875" cy="7391400"/>
            <wp:effectExtent l="0" t="0" r="9525" b="0"/>
            <wp:docPr id="4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15"/>
                    <pic:cNvPicPr>
                      <a:picLocks noChangeAspect="1"/>
                    </pic:cNvPicPr>
                  </pic:nvPicPr>
                  <pic:blipFill>
                    <a:blip r:embed="rId28"/>
                    <a:stretch>
                      <a:fillRect/>
                    </a:stretch>
                  </pic:blipFill>
                  <pic:spPr>
                    <a:xfrm>
                      <a:off x="0" y="0"/>
                      <a:ext cx="5095875" cy="7391400"/>
                    </a:xfrm>
                    <a:prstGeom prst="rect">
                      <a:avLst/>
                    </a:prstGeom>
                    <a:noFill/>
                    <a:ln>
                      <a:noFill/>
                    </a:ln>
                  </pic:spPr>
                </pic:pic>
              </a:graphicData>
            </a:graphic>
          </wp:inline>
        </w:drawing>
      </w:r>
      <w:r>
        <w:drawing>
          <wp:inline distT="0" distB="0" distL="114300" distR="114300">
            <wp:extent cx="5905500" cy="8173085"/>
            <wp:effectExtent l="0" t="0" r="0" b="18415"/>
            <wp:docPr id="4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17"/>
                    <pic:cNvPicPr>
                      <a:picLocks noChangeAspect="1"/>
                    </pic:cNvPicPr>
                  </pic:nvPicPr>
                  <pic:blipFill>
                    <a:blip r:embed="rId29"/>
                    <a:stretch>
                      <a:fillRect/>
                    </a:stretch>
                  </pic:blipFill>
                  <pic:spPr>
                    <a:xfrm>
                      <a:off x="0" y="0"/>
                      <a:ext cx="5905500" cy="8173085"/>
                    </a:xfrm>
                    <a:prstGeom prst="rect">
                      <a:avLst/>
                    </a:prstGeom>
                    <a:noFill/>
                    <a:ln>
                      <a:noFill/>
                    </a:ln>
                  </pic:spPr>
                </pic:pic>
              </a:graphicData>
            </a:graphic>
          </wp:inline>
        </w:drawing>
      </w:r>
      <w:r>
        <w:drawing>
          <wp:inline distT="0" distB="0" distL="114300" distR="114300">
            <wp:extent cx="4867275" cy="7334250"/>
            <wp:effectExtent l="0" t="0" r="9525" b="0"/>
            <wp:docPr id="4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18"/>
                    <pic:cNvPicPr>
                      <a:picLocks noChangeAspect="1"/>
                    </pic:cNvPicPr>
                  </pic:nvPicPr>
                  <pic:blipFill>
                    <a:blip r:embed="rId30"/>
                    <a:stretch>
                      <a:fillRect/>
                    </a:stretch>
                  </pic:blipFill>
                  <pic:spPr>
                    <a:xfrm>
                      <a:off x="0" y="0"/>
                      <a:ext cx="4867275" cy="7334250"/>
                    </a:xfrm>
                    <a:prstGeom prst="rect">
                      <a:avLst/>
                    </a:prstGeom>
                    <a:noFill/>
                    <a:ln>
                      <a:noFill/>
                    </a:ln>
                  </pic:spPr>
                </pic:pic>
              </a:graphicData>
            </a:graphic>
          </wp:inline>
        </w:drawing>
      </w:r>
      <w:r>
        <w:drawing>
          <wp:inline distT="0" distB="0" distL="114300" distR="114300">
            <wp:extent cx="5755640" cy="7630160"/>
            <wp:effectExtent l="0" t="0" r="16510" b="8890"/>
            <wp:docPr id="4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16"/>
                    <pic:cNvPicPr>
                      <a:picLocks noChangeAspect="1"/>
                    </pic:cNvPicPr>
                  </pic:nvPicPr>
                  <pic:blipFill>
                    <a:blip r:embed="rId31"/>
                    <a:stretch>
                      <a:fillRect/>
                    </a:stretch>
                  </pic:blipFill>
                  <pic:spPr>
                    <a:xfrm>
                      <a:off x="0" y="0"/>
                      <a:ext cx="5755640" cy="7630160"/>
                    </a:xfrm>
                    <a:prstGeom prst="rect">
                      <a:avLst/>
                    </a:prstGeom>
                    <a:noFill/>
                    <a:ln>
                      <a:noFill/>
                    </a:ln>
                  </pic:spPr>
                </pic:pic>
              </a:graphicData>
            </a:graphic>
          </wp:inline>
        </w:drawing>
      </w:r>
    </w:p>
    <w:p w14:paraId="473D0C91">
      <w:pPr>
        <w:pStyle w:val="5"/>
        <w:keepNext w:val="0"/>
        <w:keepLines w:val="0"/>
        <w:pageBreakBefore w:val="0"/>
        <w:widowControl w:val="0"/>
        <w:numPr>
          <w:ilvl w:val="0"/>
          <w:numId w:val="9"/>
        </w:numPr>
        <w:kinsoku/>
        <w:wordWrap/>
        <w:overflowPunct/>
        <w:topLinePunct w:val="0"/>
        <w:autoSpaceDE/>
        <w:autoSpaceDN/>
        <w:bidi w:val="0"/>
        <w:adjustRightInd/>
        <w:snapToGrid/>
        <w:ind w:left="0" w:leftChars="0" w:firstLineChars="0"/>
        <w:jc w:val="center"/>
        <w:textAlignment w:val="auto"/>
        <w:rPr>
          <w:rFonts w:hint="default" w:ascii="Times New Roman" w:hAnsi="Times New Roman" w:eastAsia="宋体" w:cs="Times New Roman"/>
          <w:snapToGrid w:val="0"/>
          <w:color w:val="auto"/>
          <w:sz w:val="28"/>
          <w:szCs w:val="28"/>
        </w:rPr>
      </w:pPr>
      <w:r>
        <w:rPr>
          <w:rFonts w:hint="eastAsia" w:cs="Times New Roman"/>
          <w:snapToGrid w:val="0"/>
          <w:color w:val="auto"/>
          <w:sz w:val="28"/>
          <w:szCs w:val="28"/>
          <w:lang w:val="en-US" w:eastAsia="zh-CN"/>
        </w:rPr>
        <w:t>建</w:t>
      </w:r>
      <w:r>
        <w:rPr>
          <w:rFonts w:hint="default" w:ascii="Times New Roman" w:hAnsi="Times New Roman" w:eastAsia="宋体" w:cs="Times New Roman"/>
          <w:snapToGrid w:val="0"/>
          <w:color w:val="auto"/>
          <w:sz w:val="28"/>
          <w:szCs w:val="28"/>
        </w:rPr>
        <w:t>设项目基本情况</w:t>
      </w:r>
    </w:p>
    <w:tbl>
      <w:tblPr>
        <w:tblStyle w:val="48"/>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23"/>
        <w:gridCol w:w="2538"/>
        <w:gridCol w:w="258"/>
        <w:gridCol w:w="1925"/>
        <w:gridCol w:w="77"/>
        <w:gridCol w:w="2849"/>
      </w:tblGrid>
      <w:tr w14:paraId="34CA3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3" w:type="dxa"/>
            <w:tcMar>
              <w:top w:w="16" w:type="dxa"/>
              <w:left w:w="16" w:type="dxa"/>
              <w:right w:w="16" w:type="dxa"/>
            </w:tcMar>
            <w:vAlign w:val="center"/>
          </w:tcPr>
          <w:p w14:paraId="2FD12807">
            <w:pPr>
              <w:pStyle w:val="11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7647" w:type="dxa"/>
            <w:gridSpan w:val="5"/>
            <w:vAlign w:val="center"/>
          </w:tcPr>
          <w:p w14:paraId="3F0D3318">
            <w:pPr>
              <w:pStyle w:val="11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密尔克卫（福建）危险化学品供应链一体化基地项目</w:t>
            </w:r>
          </w:p>
        </w:tc>
      </w:tr>
      <w:tr w14:paraId="073A6D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3" w:type="dxa"/>
            <w:tcMar>
              <w:top w:w="16" w:type="dxa"/>
              <w:left w:w="16" w:type="dxa"/>
              <w:right w:w="16" w:type="dxa"/>
            </w:tcMar>
            <w:vAlign w:val="center"/>
          </w:tcPr>
          <w:p w14:paraId="053ED3AD">
            <w:pPr>
              <w:pStyle w:val="11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7647" w:type="dxa"/>
            <w:gridSpan w:val="5"/>
            <w:vAlign w:val="center"/>
          </w:tcPr>
          <w:p w14:paraId="42D40E8D">
            <w:pPr>
              <w:keepNext w:val="0"/>
              <w:keepLines w:val="0"/>
              <w:suppressLineNumbers w:val="0"/>
              <w:spacing w:before="0" w:beforeAutospacing="0" w:after="0" w:afterAutospacing="0"/>
              <w:ind w:left="0" w:leftChars="0" w:right="0" w:rightChars="0" w:firstLine="480" w:firstLineChars="20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shd w:val="clear" w:color="auto" w:fill="auto"/>
                <w:lang w:val="en-US" w:eastAsia="zh-CN"/>
              </w:rPr>
              <w:t>***</w:t>
            </w:r>
          </w:p>
        </w:tc>
      </w:tr>
      <w:tr w14:paraId="5A3F40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3" w:type="dxa"/>
            <w:tcMar>
              <w:top w:w="16" w:type="dxa"/>
              <w:left w:w="16" w:type="dxa"/>
              <w:right w:w="16" w:type="dxa"/>
            </w:tcMar>
            <w:vAlign w:val="center"/>
          </w:tcPr>
          <w:p w14:paraId="00886CF9">
            <w:pPr>
              <w:pStyle w:val="11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建设单位联系人</w:t>
            </w:r>
          </w:p>
        </w:tc>
        <w:tc>
          <w:tcPr>
            <w:tcW w:w="2538" w:type="dxa"/>
            <w:vAlign w:val="center"/>
          </w:tcPr>
          <w:p w14:paraId="16DA2E2E">
            <w:pPr>
              <w:keepNext w:val="0"/>
              <w:keepLines w:val="0"/>
              <w:suppressLineNumbers w:val="0"/>
              <w:spacing w:before="0" w:beforeAutospacing="0" w:after="0" w:afterAutospacing="0"/>
              <w:ind w:left="0" w:leftChars="0" w:right="0" w:rightChars="0" w:firstLine="480" w:firstLineChars="200"/>
              <w:jc w:val="center"/>
              <w:rPr>
                <w:rFonts w:hint="default" w:ascii="Times New Roman" w:hAnsi="Times New Roman" w:eastAsia="宋体" w:cs="Times New Roman"/>
                <w:color w:val="auto"/>
                <w:sz w:val="24"/>
                <w:szCs w:val="24"/>
                <w:lang w:eastAsia="zh-CN"/>
              </w:rPr>
            </w:pPr>
            <w:r>
              <w:rPr>
                <w:rFonts w:hint="eastAsia" w:cs="Times New Roman"/>
                <w:color w:val="auto"/>
                <w:sz w:val="24"/>
                <w:szCs w:val="24"/>
                <w:shd w:val="clear" w:color="auto" w:fill="auto"/>
                <w:lang w:val="en-US" w:eastAsia="zh-CN"/>
              </w:rPr>
              <w:t>***</w:t>
            </w:r>
          </w:p>
        </w:tc>
        <w:tc>
          <w:tcPr>
            <w:tcW w:w="2260" w:type="dxa"/>
            <w:gridSpan w:val="3"/>
            <w:vAlign w:val="center"/>
          </w:tcPr>
          <w:p w14:paraId="07E0E974">
            <w:pPr>
              <w:keepNext w:val="0"/>
              <w:keepLines w:val="0"/>
              <w:suppressLineNumbers w:val="0"/>
              <w:spacing w:before="0" w:beforeAutospacing="0" w:after="0" w:afterAutospacing="0"/>
              <w:ind w:left="0" w:leftChars="0" w:right="0" w:rightChars="0" w:firstLine="480" w:firstLineChars="200"/>
              <w:jc w:val="center"/>
              <w:rPr>
                <w:rFonts w:hint="default" w:ascii="Times New Roman" w:hAnsi="Times New Roman" w:eastAsia="宋体" w:cs="Times New Roman"/>
                <w:color w:val="auto"/>
                <w:sz w:val="24"/>
                <w:szCs w:val="24"/>
              </w:rPr>
            </w:pPr>
            <w:r>
              <w:rPr>
                <w:rFonts w:hint="default"/>
                <w:color w:val="auto"/>
                <w:kern w:val="21"/>
                <w:sz w:val="24"/>
                <w:szCs w:val="24"/>
                <w:shd w:val="clear" w:color="auto" w:fill="auto"/>
              </w:rPr>
              <w:t>联系方式</w:t>
            </w:r>
          </w:p>
        </w:tc>
        <w:tc>
          <w:tcPr>
            <w:tcW w:w="2849" w:type="dxa"/>
            <w:vAlign w:val="center"/>
          </w:tcPr>
          <w:p w14:paraId="6B2D358F">
            <w:pPr>
              <w:keepNext w:val="0"/>
              <w:keepLines w:val="0"/>
              <w:suppressLineNumbers w:val="0"/>
              <w:spacing w:before="0" w:beforeAutospacing="0" w:after="0" w:afterAutospacing="0"/>
              <w:ind w:left="0" w:leftChars="0" w:right="0" w:rightChars="0" w:firstLine="480" w:firstLineChars="200"/>
              <w:jc w:val="center"/>
              <w:rPr>
                <w:rFonts w:hint="default" w:ascii="Times New Roman" w:hAnsi="Times New Roman" w:eastAsia="宋体" w:cs="Times New Roman"/>
                <w:color w:val="auto"/>
                <w:sz w:val="24"/>
                <w:szCs w:val="24"/>
                <w:lang w:eastAsia="zh-CN"/>
              </w:rPr>
            </w:pPr>
            <w:r>
              <w:rPr>
                <w:rFonts w:hint="eastAsia" w:cs="Times New Roman"/>
                <w:color w:val="auto"/>
                <w:sz w:val="24"/>
                <w:szCs w:val="24"/>
                <w:shd w:val="clear" w:color="auto" w:fill="auto"/>
                <w:lang w:val="en-US" w:eastAsia="zh-CN"/>
              </w:rPr>
              <w:t>***</w:t>
            </w:r>
          </w:p>
        </w:tc>
      </w:tr>
      <w:tr w14:paraId="2B8B60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3" w:type="dxa"/>
            <w:tcMar>
              <w:top w:w="16" w:type="dxa"/>
              <w:left w:w="16" w:type="dxa"/>
              <w:right w:w="16" w:type="dxa"/>
            </w:tcMar>
            <w:vAlign w:val="center"/>
          </w:tcPr>
          <w:p w14:paraId="655BBDEE">
            <w:pPr>
              <w:pStyle w:val="11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7647" w:type="dxa"/>
            <w:gridSpan w:val="5"/>
            <w:vAlign w:val="center"/>
          </w:tcPr>
          <w:p w14:paraId="2DD2DD99">
            <w:pPr>
              <w:pStyle w:val="112"/>
              <w:rPr>
                <w:rFonts w:hint="default" w:ascii="Times New Roman" w:hAnsi="Times New Roman" w:eastAsia="宋体" w:cs="Times New Roman"/>
                <w:color w:val="auto"/>
                <w:sz w:val="24"/>
                <w:szCs w:val="24"/>
                <w:lang w:eastAsia="zh-CN"/>
              </w:rPr>
            </w:pPr>
            <w:bookmarkStart w:id="1" w:name="OLE_LINK1"/>
            <w:r>
              <w:rPr>
                <w:rFonts w:hint="default" w:ascii="Times New Roman" w:hAnsi="Times New Roman" w:eastAsia="宋体" w:cs="Times New Roman"/>
                <w:color w:val="auto"/>
                <w:sz w:val="24"/>
                <w:szCs w:val="24"/>
                <w:lang w:eastAsia="zh-CN"/>
              </w:rPr>
              <w:t>福州市福清市江阴镇江阴港城经济区南部片区</w:t>
            </w:r>
          </w:p>
          <w:p w14:paraId="12E41375">
            <w:pPr>
              <w:pStyle w:val="11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（福州密尔克卫供应链管理有限公司厂区内）</w:t>
            </w:r>
            <w:bookmarkEnd w:id="1"/>
          </w:p>
        </w:tc>
      </w:tr>
      <w:tr w14:paraId="410D79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3" w:type="dxa"/>
            <w:tcMar>
              <w:top w:w="16" w:type="dxa"/>
              <w:left w:w="16" w:type="dxa"/>
              <w:right w:w="16" w:type="dxa"/>
            </w:tcMar>
            <w:vAlign w:val="center"/>
          </w:tcPr>
          <w:p w14:paraId="1C688005">
            <w:pPr>
              <w:pStyle w:val="11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地理坐标</w:t>
            </w:r>
          </w:p>
        </w:tc>
        <w:tc>
          <w:tcPr>
            <w:tcW w:w="7647" w:type="dxa"/>
            <w:gridSpan w:val="5"/>
            <w:vAlign w:val="center"/>
          </w:tcPr>
          <w:p w14:paraId="47540800">
            <w:pPr>
              <w:pStyle w:val="11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u w:val="single"/>
              </w:rPr>
              <w:t xml:space="preserve"> 119 </w:t>
            </w:r>
            <w:r>
              <w:rPr>
                <w:rFonts w:hint="default" w:ascii="Times New Roman" w:hAnsi="Times New Roman" w:eastAsia="宋体" w:cs="Times New Roman"/>
                <w:color w:val="auto"/>
                <w:sz w:val="24"/>
                <w:szCs w:val="24"/>
              </w:rPr>
              <w:t>度</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u w:val="single"/>
                <w:lang w:val="en-US" w:eastAsia="zh-CN"/>
              </w:rPr>
              <w:t>15</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分</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u w:val="single"/>
                <w:lang w:val="en-US" w:eastAsia="zh-CN"/>
              </w:rPr>
              <w:t>55.319</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秒，</w:t>
            </w:r>
            <w:r>
              <w:rPr>
                <w:rFonts w:hint="default" w:ascii="Times New Roman" w:hAnsi="Times New Roman" w:eastAsia="宋体" w:cs="Times New Roman"/>
                <w:color w:val="auto"/>
                <w:sz w:val="24"/>
                <w:szCs w:val="24"/>
                <w:u w:val="single"/>
              </w:rPr>
              <w:t xml:space="preserve"> 25</w:t>
            </w:r>
            <w:r>
              <w:rPr>
                <w:rFonts w:hint="default" w:ascii="Times New Roman" w:hAnsi="Times New Roman" w:eastAsia="宋体" w:cs="Times New Roman"/>
                <w:color w:val="auto"/>
                <w:sz w:val="24"/>
                <w:szCs w:val="24"/>
              </w:rPr>
              <w:t>度</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u w:val="single"/>
                <w:lang w:val="en-US" w:eastAsia="zh-CN"/>
              </w:rPr>
              <w:t>26</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分</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u w:val="single"/>
                <w:lang w:val="en-US" w:eastAsia="zh-CN"/>
              </w:rPr>
              <w:t>19.080</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秒）</w:t>
            </w:r>
          </w:p>
        </w:tc>
      </w:tr>
      <w:tr w14:paraId="4EDF55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223" w:type="dxa"/>
            <w:tcMar>
              <w:top w:w="16" w:type="dxa"/>
              <w:left w:w="16" w:type="dxa"/>
              <w:right w:w="16" w:type="dxa"/>
            </w:tcMar>
            <w:vAlign w:val="center"/>
          </w:tcPr>
          <w:p w14:paraId="46FBBE9F">
            <w:pPr>
              <w:pStyle w:val="11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14:paraId="468D0CA8">
            <w:pPr>
              <w:pStyle w:val="11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2796" w:type="dxa"/>
            <w:gridSpan w:val="2"/>
            <w:vAlign w:val="center"/>
          </w:tcPr>
          <w:p w14:paraId="7FAA6139">
            <w:pPr>
              <w:keepNext w:val="0"/>
              <w:keepLines w:val="0"/>
              <w:widowControl/>
              <w:suppressLineNumbers w:val="0"/>
              <w:spacing w:line="240" w:lineRule="auto"/>
              <w:ind w:left="0" w:leftChars="0" w:firstLine="0" w:firstLineChars="0"/>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G5942危险化学品仓储 </w:t>
            </w:r>
          </w:p>
          <w:p w14:paraId="6584B83D">
            <w:pPr>
              <w:keepNext w:val="0"/>
              <w:keepLines w:val="0"/>
              <w:widowControl/>
              <w:suppressLineNumbers w:val="0"/>
              <w:spacing w:line="240" w:lineRule="auto"/>
              <w:ind w:left="0" w:leftChars="0" w:firstLine="0" w:firstLineChars="0"/>
              <w:jc w:val="left"/>
              <w:rPr>
                <w:rFonts w:hint="default" w:ascii="Times New Roman" w:hAnsi="Times New Roman" w:eastAsia="宋体" w:cs="Times New Roman"/>
                <w:color w:val="auto"/>
                <w:sz w:val="24"/>
                <w:szCs w:val="24"/>
              </w:rPr>
            </w:pPr>
          </w:p>
        </w:tc>
        <w:tc>
          <w:tcPr>
            <w:tcW w:w="1925" w:type="dxa"/>
            <w:vAlign w:val="center"/>
          </w:tcPr>
          <w:p w14:paraId="030415C9">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kern w:val="0"/>
                <w:sz w:val="24"/>
                <w:szCs w:val="24"/>
                <w:lang w:val="en-US" w:eastAsia="zh-CN" w:bidi="ar"/>
              </w:rPr>
            </w:pPr>
            <w:bookmarkStart w:id="2" w:name="_Hlk49843745"/>
            <w:r>
              <w:rPr>
                <w:rFonts w:hint="default" w:ascii="Times New Roman" w:hAnsi="Times New Roman" w:eastAsia="宋体" w:cs="Times New Roman"/>
                <w:color w:val="auto"/>
                <w:kern w:val="0"/>
                <w:sz w:val="24"/>
                <w:szCs w:val="24"/>
                <w:lang w:val="en-US" w:eastAsia="zh-CN" w:bidi="ar"/>
              </w:rPr>
              <w:t>建设项目</w:t>
            </w:r>
          </w:p>
          <w:p w14:paraId="1E7BCF34">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行业类别</w:t>
            </w:r>
            <w:bookmarkEnd w:id="2"/>
          </w:p>
        </w:tc>
        <w:tc>
          <w:tcPr>
            <w:tcW w:w="2926" w:type="dxa"/>
            <w:gridSpan w:val="2"/>
            <w:vAlign w:val="center"/>
          </w:tcPr>
          <w:p w14:paraId="3C6FD404">
            <w:pPr>
              <w:keepNext w:val="0"/>
              <w:keepLines w:val="0"/>
              <w:widowControl/>
              <w:suppressLineNumbers w:val="0"/>
              <w:spacing w:line="240" w:lineRule="auto"/>
              <w:ind w:left="0" w:leftChars="0" w:firstLine="0" w:firstLineChars="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五十三、装卸搬运和仓储业59-149危险品仓储 594（不含加油站的油库；不含加气站的气库）中“其他（含有毒、有害、危险品的仓储；含液化天然气库）”</w:t>
            </w:r>
          </w:p>
        </w:tc>
      </w:tr>
      <w:tr w14:paraId="1570E4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223" w:type="dxa"/>
            <w:tcMar>
              <w:top w:w="16" w:type="dxa"/>
              <w:left w:w="16" w:type="dxa"/>
              <w:right w:w="16" w:type="dxa"/>
            </w:tcMar>
            <w:vAlign w:val="center"/>
          </w:tcPr>
          <w:p w14:paraId="232BCCFE">
            <w:pPr>
              <w:pStyle w:val="11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2796" w:type="dxa"/>
            <w:gridSpan w:val="2"/>
            <w:vAlign w:val="center"/>
          </w:tcPr>
          <w:p w14:paraId="6E9CCFC8">
            <w:pPr>
              <w:pStyle w:val="112"/>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√新建（迁建）</w:t>
            </w:r>
          </w:p>
          <w:p w14:paraId="0165B89F">
            <w:pPr>
              <w:pStyle w:val="112"/>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□改建</w:t>
            </w:r>
          </w:p>
          <w:p w14:paraId="2C63CC15">
            <w:pPr>
              <w:pStyle w:val="112"/>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□扩建</w:t>
            </w:r>
          </w:p>
          <w:p w14:paraId="44E8E956">
            <w:pPr>
              <w:pStyle w:val="112"/>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□技术改造</w:t>
            </w:r>
          </w:p>
        </w:tc>
        <w:tc>
          <w:tcPr>
            <w:tcW w:w="1925" w:type="dxa"/>
            <w:vAlign w:val="center"/>
          </w:tcPr>
          <w:p w14:paraId="47A401CC">
            <w:pPr>
              <w:pStyle w:val="11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14:paraId="3C6B9070">
            <w:pPr>
              <w:pStyle w:val="11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申报情形</w:t>
            </w:r>
          </w:p>
        </w:tc>
        <w:tc>
          <w:tcPr>
            <w:tcW w:w="2926" w:type="dxa"/>
            <w:gridSpan w:val="2"/>
            <w:vAlign w:val="center"/>
          </w:tcPr>
          <w:p w14:paraId="188CC50E">
            <w:pPr>
              <w:pStyle w:val="112"/>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√首次申报项目</w:t>
            </w:r>
          </w:p>
          <w:p w14:paraId="12B47322">
            <w:pPr>
              <w:pStyle w:val="112"/>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不予批准后再次申报项目</w:t>
            </w:r>
          </w:p>
          <w:p w14:paraId="751A83DA">
            <w:pPr>
              <w:pStyle w:val="112"/>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超五年重新审核项目</w:t>
            </w:r>
          </w:p>
          <w:p w14:paraId="0BCCF4B4">
            <w:pPr>
              <w:pStyle w:val="112"/>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重大变动重新报批项目</w:t>
            </w:r>
          </w:p>
        </w:tc>
      </w:tr>
      <w:tr w14:paraId="043201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223" w:type="dxa"/>
            <w:tcMar>
              <w:top w:w="16" w:type="dxa"/>
              <w:left w:w="16" w:type="dxa"/>
              <w:right w:w="16" w:type="dxa"/>
            </w:tcMar>
            <w:vAlign w:val="center"/>
          </w:tcPr>
          <w:p w14:paraId="3098FFD6">
            <w:pPr>
              <w:pStyle w:val="11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w:t>
            </w:r>
          </w:p>
          <w:p w14:paraId="0B5D3E6C">
            <w:pPr>
              <w:pStyle w:val="11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备案）部门（选填）</w:t>
            </w:r>
          </w:p>
        </w:tc>
        <w:tc>
          <w:tcPr>
            <w:tcW w:w="2796" w:type="dxa"/>
            <w:gridSpan w:val="2"/>
            <w:vAlign w:val="center"/>
          </w:tcPr>
          <w:p w14:paraId="519D47F4">
            <w:pPr>
              <w:pStyle w:val="11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福清市</w:t>
            </w:r>
            <w:r>
              <w:rPr>
                <w:rFonts w:hint="default" w:ascii="Times New Roman" w:hAnsi="Times New Roman" w:eastAsia="宋体" w:cs="Times New Roman"/>
                <w:color w:val="auto"/>
                <w:sz w:val="24"/>
                <w:szCs w:val="24"/>
                <w:lang w:eastAsia="zh-CN"/>
              </w:rPr>
              <w:t>发展和改革局</w:t>
            </w:r>
          </w:p>
        </w:tc>
        <w:tc>
          <w:tcPr>
            <w:tcW w:w="1925" w:type="dxa"/>
            <w:vAlign w:val="center"/>
          </w:tcPr>
          <w:p w14:paraId="612FEC8C">
            <w:pPr>
              <w:pStyle w:val="11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w:t>
            </w:r>
          </w:p>
          <w:p w14:paraId="37BDBA3A">
            <w:pPr>
              <w:pStyle w:val="11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备案）文号（选填）</w:t>
            </w:r>
          </w:p>
        </w:tc>
        <w:tc>
          <w:tcPr>
            <w:tcW w:w="2926" w:type="dxa"/>
            <w:gridSpan w:val="2"/>
            <w:vAlign w:val="center"/>
          </w:tcPr>
          <w:p w14:paraId="308D039C">
            <w:pPr>
              <w:pStyle w:val="11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闽</w:t>
            </w:r>
            <w:r>
              <w:rPr>
                <w:rFonts w:hint="default" w:ascii="Times New Roman" w:hAnsi="Times New Roman" w:eastAsia="宋体" w:cs="Times New Roman"/>
                <w:color w:val="auto"/>
                <w:sz w:val="24"/>
                <w:szCs w:val="24"/>
                <w:lang w:eastAsia="zh-CN"/>
              </w:rPr>
              <w:t>发改</w:t>
            </w:r>
            <w:r>
              <w:rPr>
                <w:rFonts w:hint="default" w:ascii="Times New Roman" w:hAnsi="Times New Roman" w:eastAsia="宋体" w:cs="Times New Roman"/>
                <w:color w:val="auto"/>
                <w:sz w:val="24"/>
                <w:szCs w:val="24"/>
              </w:rPr>
              <w:t>备【202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】A060</w:t>
            </w:r>
            <w:r>
              <w:rPr>
                <w:rFonts w:hint="default" w:ascii="Times New Roman" w:hAnsi="Times New Roman" w:eastAsia="宋体" w:cs="Times New Roman"/>
                <w:color w:val="auto"/>
                <w:sz w:val="24"/>
                <w:szCs w:val="24"/>
                <w:lang w:val="en-US" w:eastAsia="zh-CN"/>
              </w:rPr>
              <w:t>266</w:t>
            </w:r>
            <w:r>
              <w:rPr>
                <w:rFonts w:hint="default" w:ascii="Times New Roman" w:hAnsi="Times New Roman" w:eastAsia="宋体" w:cs="Times New Roman"/>
                <w:color w:val="auto"/>
                <w:sz w:val="24"/>
                <w:szCs w:val="24"/>
              </w:rPr>
              <w:t>号</w:t>
            </w:r>
          </w:p>
        </w:tc>
      </w:tr>
      <w:tr w14:paraId="294191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3" w:type="dxa"/>
            <w:tcMar>
              <w:top w:w="16" w:type="dxa"/>
              <w:left w:w="16" w:type="dxa"/>
              <w:right w:w="16" w:type="dxa"/>
            </w:tcMar>
            <w:vAlign w:val="center"/>
          </w:tcPr>
          <w:p w14:paraId="7D65730C">
            <w:pPr>
              <w:pStyle w:val="11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796" w:type="dxa"/>
            <w:gridSpan w:val="2"/>
            <w:vAlign w:val="center"/>
          </w:tcPr>
          <w:p w14:paraId="72DBEC68">
            <w:pPr>
              <w:pStyle w:val="112"/>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30000</w:t>
            </w:r>
          </w:p>
        </w:tc>
        <w:tc>
          <w:tcPr>
            <w:tcW w:w="1925" w:type="dxa"/>
            <w:tcMar>
              <w:top w:w="16" w:type="dxa"/>
              <w:left w:w="16" w:type="dxa"/>
              <w:right w:w="16" w:type="dxa"/>
            </w:tcMar>
            <w:vAlign w:val="center"/>
          </w:tcPr>
          <w:p w14:paraId="0EAA81EE">
            <w:pPr>
              <w:pStyle w:val="11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2926" w:type="dxa"/>
            <w:gridSpan w:val="2"/>
            <w:vAlign w:val="center"/>
          </w:tcPr>
          <w:p w14:paraId="71191C7C">
            <w:pPr>
              <w:pStyle w:val="112"/>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1335</w:t>
            </w:r>
          </w:p>
        </w:tc>
      </w:tr>
      <w:tr w14:paraId="449FC9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3" w:type="dxa"/>
            <w:tcMar>
              <w:top w:w="16" w:type="dxa"/>
              <w:left w:w="16" w:type="dxa"/>
              <w:right w:w="16" w:type="dxa"/>
            </w:tcMar>
            <w:vAlign w:val="center"/>
          </w:tcPr>
          <w:p w14:paraId="535A15D6">
            <w:pPr>
              <w:pStyle w:val="11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2796" w:type="dxa"/>
            <w:gridSpan w:val="2"/>
            <w:vAlign w:val="center"/>
          </w:tcPr>
          <w:p w14:paraId="6706E656">
            <w:pPr>
              <w:pStyle w:val="112"/>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4.45</w:t>
            </w:r>
          </w:p>
        </w:tc>
        <w:tc>
          <w:tcPr>
            <w:tcW w:w="1925" w:type="dxa"/>
            <w:tcMar>
              <w:top w:w="16" w:type="dxa"/>
              <w:left w:w="16" w:type="dxa"/>
              <w:right w:w="16" w:type="dxa"/>
            </w:tcMar>
            <w:vAlign w:val="center"/>
          </w:tcPr>
          <w:p w14:paraId="3BD52A25">
            <w:pPr>
              <w:pStyle w:val="11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2926" w:type="dxa"/>
            <w:gridSpan w:val="2"/>
            <w:vAlign w:val="center"/>
          </w:tcPr>
          <w:p w14:paraId="2343B307">
            <w:pPr>
              <w:pStyle w:val="112"/>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2025年1月-2025年12月，12个月</w:t>
            </w:r>
          </w:p>
        </w:tc>
      </w:tr>
      <w:tr w14:paraId="72EA5F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23" w:type="dxa"/>
            <w:tcMar>
              <w:top w:w="16" w:type="dxa"/>
              <w:left w:w="16" w:type="dxa"/>
              <w:right w:w="16" w:type="dxa"/>
            </w:tcMar>
            <w:vAlign w:val="center"/>
          </w:tcPr>
          <w:p w14:paraId="0C808AB2">
            <w:pPr>
              <w:pStyle w:val="11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是否开工建设</w:t>
            </w:r>
          </w:p>
        </w:tc>
        <w:tc>
          <w:tcPr>
            <w:tcW w:w="2796" w:type="dxa"/>
            <w:gridSpan w:val="2"/>
            <w:vAlign w:val="center"/>
          </w:tcPr>
          <w:p w14:paraId="33A91837">
            <w:pPr>
              <w:pStyle w:val="112"/>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p w14:paraId="39D9620B">
            <w:pPr>
              <w:pStyle w:val="112"/>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是：</w:t>
            </w:r>
            <w:r>
              <w:rPr>
                <w:rFonts w:hint="default" w:ascii="Times New Roman" w:hAnsi="Times New Roman" w:eastAsia="宋体" w:cs="Times New Roman"/>
                <w:color w:val="auto"/>
                <w:sz w:val="24"/>
                <w:szCs w:val="24"/>
                <w:u w:val="single"/>
              </w:rPr>
              <w:t xml:space="preserve">        </w:t>
            </w:r>
          </w:p>
        </w:tc>
        <w:tc>
          <w:tcPr>
            <w:tcW w:w="1925" w:type="dxa"/>
            <w:tcMar>
              <w:top w:w="16" w:type="dxa"/>
              <w:left w:w="16" w:type="dxa"/>
              <w:right w:w="16" w:type="dxa"/>
            </w:tcMar>
            <w:vAlign w:val="center"/>
          </w:tcPr>
          <w:p w14:paraId="4E20BCE3">
            <w:pPr>
              <w:pStyle w:val="112"/>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lang w:val="en-US" w:eastAsia="zh-CN"/>
              </w:rPr>
              <w:t>建筑</w:t>
            </w:r>
            <w:r>
              <w:rPr>
                <w:rFonts w:hint="default" w:ascii="Times New Roman" w:hAnsi="Times New Roman" w:eastAsia="宋体" w:cs="Times New Roman"/>
                <w:color w:val="auto"/>
                <w:spacing w:val="-6"/>
                <w:sz w:val="24"/>
                <w:szCs w:val="24"/>
              </w:rPr>
              <w:t>面积（m</w:t>
            </w:r>
            <w:r>
              <w:rPr>
                <w:rFonts w:hint="default" w:ascii="Times New Roman" w:hAnsi="Times New Roman" w:eastAsia="宋体" w:cs="Times New Roman"/>
                <w:color w:val="auto"/>
                <w:spacing w:val="-6"/>
                <w:sz w:val="24"/>
                <w:szCs w:val="24"/>
                <w:vertAlign w:val="superscript"/>
              </w:rPr>
              <w:t>2</w:t>
            </w:r>
            <w:r>
              <w:rPr>
                <w:rFonts w:hint="default" w:ascii="Times New Roman" w:hAnsi="Times New Roman" w:eastAsia="宋体" w:cs="Times New Roman"/>
                <w:color w:val="auto"/>
                <w:spacing w:val="-6"/>
                <w:sz w:val="24"/>
                <w:szCs w:val="24"/>
              </w:rPr>
              <w:t>）</w:t>
            </w:r>
          </w:p>
        </w:tc>
        <w:tc>
          <w:tcPr>
            <w:tcW w:w="2926" w:type="dxa"/>
            <w:gridSpan w:val="2"/>
            <w:vAlign w:val="center"/>
          </w:tcPr>
          <w:p w14:paraId="1DA3984F">
            <w:pPr>
              <w:pStyle w:val="11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33628.5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p>
        </w:tc>
      </w:tr>
      <w:tr w14:paraId="06E963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23" w:type="dxa"/>
            <w:vAlign w:val="center"/>
          </w:tcPr>
          <w:p w14:paraId="7909F5E1">
            <w:pPr>
              <w:pStyle w:val="112"/>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7647" w:type="dxa"/>
            <w:gridSpan w:val="5"/>
            <w:vAlign w:val="center"/>
          </w:tcPr>
          <w:p w14:paraId="1D0D7DD9">
            <w:pPr>
              <w:pStyle w:val="112"/>
              <w:spacing w:line="360" w:lineRule="auto"/>
              <w:jc w:val="left"/>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sz w:val="24"/>
                <w:szCs w:val="24"/>
                <w:highlight w:val="none"/>
              </w:rPr>
              <w:t>需设置环境风险专项评价，本项目库区危险物质存在量及其临界量比值Q＞100，属于有毒有害和易燃易爆危险物质存储量超过临界量的建设项目。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详见环境风险专项评价</w:t>
            </w:r>
            <w:r>
              <w:rPr>
                <w:rFonts w:hint="default" w:ascii="Times New Roman" w:hAnsi="Times New Roman" w:eastAsia="宋体" w:cs="Times New Roman"/>
                <w:color w:val="auto"/>
                <w:sz w:val="24"/>
                <w:szCs w:val="24"/>
                <w:highlight w:val="none"/>
                <w:lang w:eastAsia="zh-CN"/>
              </w:rPr>
              <w:t>）</w:t>
            </w:r>
          </w:p>
        </w:tc>
      </w:tr>
      <w:tr w14:paraId="1E952A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223" w:type="dxa"/>
            <w:vAlign w:val="center"/>
          </w:tcPr>
          <w:p w14:paraId="359B339C">
            <w:pPr>
              <w:pStyle w:val="112"/>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规划情况</w:t>
            </w:r>
          </w:p>
        </w:tc>
        <w:tc>
          <w:tcPr>
            <w:tcW w:w="7647" w:type="dxa"/>
            <w:gridSpan w:val="5"/>
            <w:vAlign w:val="center"/>
          </w:tcPr>
          <w:p w14:paraId="2E3941A3">
            <w:pPr>
              <w:pStyle w:val="572"/>
              <w:adjustRightInd w:val="0"/>
              <w:snapToGrid w:val="0"/>
              <w:spacing w:line="240" w:lineRule="auto"/>
              <w:ind w:firstLine="0" w:firstLineChars="0"/>
              <w:jc w:val="left"/>
              <w:rPr>
                <w:color w:val="auto"/>
                <w:lang w:val="en-US" w:eastAsia="zh-CN"/>
              </w:rPr>
            </w:pPr>
            <w:r>
              <w:rPr>
                <w:color w:val="auto"/>
                <w:lang w:val="en-US" w:eastAsia="zh-CN"/>
              </w:rPr>
              <w:t>规划名称：</w:t>
            </w:r>
          </w:p>
          <w:p w14:paraId="1CF885F1">
            <w:pPr>
              <w:pStyle w:val="572"/>
              <w:adjustRightInd w:val="0"/>
              <w:snapToGrid w:val="0"/>
              <w:spacing w:line="240" w:lineRule="auto"/>
              <w:ind w:firstLine="0" w:firstLineChars="0"/>
              <w:jc w:val="left"/>
              <w:rPr>
                <w:color w:val="auto"/>
                <w:lang w:val="en-US" w:eastAsia="zh-CN"/>
              </w:rPr>
            </w:pPr>
            <w:r>
              <w:rPr>
                <w:color w:val="auto"/>
                <w:lang w:val="en-US" w:eastAsia="zh-CN"/>
              </w:rPr>
              <w:t>1、</w:t>
            </w:r>
            <w:bookmarkStart w:id="3" w:name="OLE_LINK9"/>
            <w:r>
              <w:rPr>
                <w:color w:val="auto"/>
                <w:lang w:val="en-US" w:eastAsia="zh-CN"/>
              </w:rPr>
              <w:t>《福州港总体规划（修订）》</w:t>
            </w:r>
            <w:bookmarkEnd w:id="3"/>
          </w:p>
          <w:p w14:paraId="7423CAEA">
            <w:pPr>
              <w:pStyle w:val="572"/>
              <w:adjustRightInd w:val="0"/>
              <w:snapToGrid w:val="0"/>
              <w:spacing w:line="240" w:lineRule="auto"/>
              <w:ind w:firstLine="0" w:firstLineChars="0"/>
              <w:jc w:val="left"/>
              <w:rPr>
                <w:color w:val="auto"/>
                <w:lang w:val="en-US" w:eastAsia="zh-CN"/>
              </w:rPr>
            </w:pPr>
            <w:r>
              <w:rPr>
                <w:color w:val="auto"/>
                <w:lang w:val="en-US" w:eastAsia="zh-CN"/>
              </w:rPr>
              <w:t>2、《福州江阴港城总体规划（2018-2035年）》</w:t>
            </w:r>
          </w:p>
          <w:p w14:paraId="3874E0A8">
            <w:pPr>
              <w:pStyle w:val="82"/>
              <w:spacing w:line="240" w:lineRule="auto"/>
              <w:ind w:left="0" w:leftChars="0" w:firstLine="0" w:firstLineChars="0"/>
              <w:jc w:val="left"/>
              <w:rPr>
                <w:rFonts w:hint="default" w:ascii="Times New Roman" w:hAnsi="Times New Roman" w:eastAsia="宋体" w:cs="Times New Roman"/>
                <w:color w:val="auto"/>
                <w:kern w:val="0"/>
                <w:sz w:val="24"/>
                <w:szCs w:val="24"/>
              </w:rPr>
            </w:pPr>
          </w:p>
        </w:tc>
      </w:tr>
      <w:tr w14:paraId="59C51C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223" w:type="dxa"/>
            <w:vAlign w:val="center"/>
          </w:tcPr>
          <w:p w14:paraId="7E2EF869">
            <w:pPr>
              <w:pStyle w:val="112"/>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规划环境影响评价情况</w:t>
            </w:r>
          </w:p>
        </w:tc>
        <w:tc>
          <w:tcPr>
            <w:tcW w:w="7647" w:type="dxa"/>
            <w:gridSpan w:val="5"/>
            <w:vAlign w:val="center"/>
          </w:tcPr>
          <w:p w14:paraId="4E41769A">
            <w:pPr>
              <w:pStyle w:val="572"/>
              <w:adjustRightInd w:val="0"/>
              <w:snapToGrid w:val="0"/>
              <w:spacing w:line="240" w:lineRule="auto"/>
              <w:ind w:firstLine="0" w:firstLineChars="0"/>
              <w:rPr>
                <w:color w:val="auto"/>
                <w:lang w:val="en-US" w:eastAsia="zh-CN"/>
              </w:rPr>
            </w:pPr>
            <w:r>
              <w:rPr>
                <w:color w:val="auto"/>
                <w:lang w:val="en-US" w:eastAsia="zh-CN"/>
              </w:rPr>
              <w:t>规划环评名称：</w:t>
            </w:r>
          </w:p>
          <w:p w14:paraId="64C7951E">
            <w:pPr>
              <w:pStyle w:val="572"/>
              <w:adjustRightInd w:val="0"/>
              <w:snapToGrid w:val="0"/>
              <w:spacing w:line="240" w:lineRule="auto"/>
              <w:ind w:firstLine="0" w:firstLineChars="0"/>
              <w:rPr>
                <w:color w:val="auto"/>
                <w:lang w:val="en-US" w:eastAsia="zh-CN"/>
              </w:rPr>
            </w:pPr>
            <w:r>
              <w:rPr>
                <w:color w:val="auto"/>
                <w:lang w:val="en-US" w:eastAsia="zh-CN"/>
              </w:rPr>
              <w:t>1、《福州港总体规划（修订）环境影响报告书》</w:t>
            </w:r>
          </w:p>
          <w:p w14:paraId="4CCC40F0">
            <w:pPr>
              <w:pStyle w:val="572"/>
              <w:adjustRightInd w:val="0"/>
              <w:snapToGrid w:val="0"/>
              <w:spacing w:line="240" w:lineRule="auto"/>
              <w:ind w:firstLine="0" w:firstLineChars="0"/>
              <w:rPr>
                <w:color w:val="auto"/>
                <w:lang w:val="en-US" w:eastAsia="zh-CN"/>
              </w:rPr>
            </w:pPr>
            <w:r>
              <w:rPr>
                <w:color w:val="auto"/>
                <w:lang w:val="en-US" w:eastAsia="zh-CN"/>
              </w:rPr>
              <w:t>2、《福州江阴港城总体规划（2018-2035年）环境影响报告书》</w:t>
            </w:r>
          </w:p>
          <w:p w14:paraId="4EE01C07">
            <w:pPr>
              <w:pStyle w:val="572"/>
              <w:adjustRightInd w:val="0"/>
              <w:snapToGrid w:val="0"/>
              <w:spacing w:line="240" w:lineRule="auto"/>
              <w:ind w:firstLine="0" w:firstLineChars="0"/>
              <w:rPr>
                <w:color w:val="auto"/>
                <w:lang w:val="en-US" w:eastAsia="zh-CN"/>
              </w:rPr>
            </w:pPr>
            <w:r>
              <w:rPr>
                <w:color w:val="auto"/>
                <w:lang w:val="en-US" w:eastAsia="zh-CN"/>
              </w:rPr>
              <w:t>审批机关：</w:t>
            </w:r>
          </w:p>
          <w:p w14:paraId="5F2AA4CC">
            <w:pPr>
              <w:pStyle w:val="572"/>
              <w:adjustRightInd w:val="0"/>
              <w:snapToGrid w:val="0"/>
              <w:spacing w:line="240" w:lineRule="auto"/>
              <w:ind w:firstLine="0" w:firstLineChars="0"/>
              <w:rPr>
                <w:color w:val="auto"/>
                <w:lang w:val="en-US" w:eastAsia="zh-CN"/>
              </w:rPr>
            </w:pPr>
            <w:r>
              <w:rPr>
                <w:color w:val="auto"/>
                <w:lang w:val="en-US" w:eastAsia="zh-CN"/>
              </w:rPr>
              <w:t>1、交通运输部</w:t>
            </w:r>
          </w:p>
          <w:p w14:paraId="14D4713D">
            <w:pPr>
              <w:pStyle w:val="572"/>
              <w:adjustRightInd w:val="0"/>
              <w:snapToGrid w:val="0"/>
              <w:spacing w:line="240" w:lineRule="auto"/>
              <w:ind w:firstLine="0" w:firstLineChars="0"/>
              <w:rPr>
                <w:color w:val="auto"/>
                <w:lang w:val="en-US" w:eastAsia="zh-CN"/>
              </w:rPr>
            </w:pPr>
            <w:r>
              <w:rPr>
                <w:color w:val="auto"/>
                <w:lang w:val="en-US" w:eastAsia="zh-CN"/>
              </w:rPr>
              <w:t>2、福州市环保局</w:t>
            </w:r>
          </w:p>
          <w:p w14:paraId="7E15479B">
            <w:pPr>
              <w:autoSpaceDE w:val="0"/>
              <w:autoSpaceDN w:val="0"/>
              <w:adjustRightInd w:val="0"/>
              <w:spacing w:line="240" w:lineRule="auto"/>
              <w:ind w:left="0" w:leftChars="0" w:firstLine="0" w:firstLineChars="0"/>
              <w:jc w:val="left"/>
              <w:rPr>
                <w:rFonts w:hint="default" w:ascii="Times New Roman" w:hAnsi="Times New Roman" w:eastAsia="宋体" w:cs="Times New Roman"/>
                <w:color w:val="auto"/>
                <w:kern w:val="0"/>
                <w:sz w:val="24"/>
                <w:szCs w:val="24"/>
              </w:rPr>
            </w:pPr>
          </w:p>
        </w:tc>
      </w:tr>
      <w:tr w14:paraId="3F4CF0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1223" w:type="dxa"/>
            <w:vAlign w:val="center"/>
          </w:tcPr>
          <w:p w14:paraId="54722A88">
            <w:pPr>
              <w:pStyle w:val="112"/>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rPr>
              <w:t>规划及规划环境影响评价符合性分析</w:t>
            </w:r>
          </w:p>
        </w:tc>
        <w:tc>
          <w:tcPr>
            <w:tcW w:w="7647" w:type="dxa"/>
            <w:gridSpan w:val="5"/>
            <w:vAlign w:val="center"/>
          </w:tcPr>
          <w:p w14:paraId="6B11BDCD">
            <w:pPr>
              <w:pStyle w:val="8"/>
              <w:numPr>
                <w:ilvl w:val="0"/>
                <w:numId w:val="0"/>
              </w:numPr>
              <w:tabs>
                <w:tab w:val="left" w:pos="360"/>
                <w:tab w:val="clear" w:pos="5400"/>
              </w:tabs>
              <w:snapToGrid w:val="0"/>
              <w:rPr>
                <w:rFonts w:hint="default" w:ascii="Times New Roman" w:hAnsi="Times New Roman" w:eastAsia="宋体" w:cs="Times New Roman"/>
                <w:bCs w:val="0"/>
                <w:color w:val="auto"/>
                <w:szCs w:val="24"/>
                <w:lang w:val="en-US" w:eastAsia="zh-CN"/>
              </w:rPr>
            </w:pPr>
            <w:r>
              <w:rPr>
                <w:rFonts w:hint="default" w:ascii="Times New Roman" w:hAnsi="Times New Roman" w:eastAsia="宋体" w:cs="Times New Roman"/>
                <w:bCs w:val="0"/>
                <w:color w:val="auto"/>
                <w:szCs w:val="24"/>
              </w:rPr>
              <w:t>1</w:t>
            </w:r>
            <w:r>
              <w:rPr>
                <w:rFonts w:hint="default" w:ascii="Times New Roman" w:hAnsi="Times New Roman" w:eastAsia="宋体" w:cs="Times New Roman"/>
                <w:bCs w:val="0"/>
                <w:color w:val="auto"/>
                <w:szCs w:val="24"/>
                <w:lang w:val="en-US" w:eastAsia="zh-CN"/>
              </w:rPr>
              <w:t>.1规划符合性分析</w:t>
            </w:r>
          </w:p>
          <w:p w14:paraId="70BDBAEF">
            <w:pPr>
              <w:pStyle w:val="8"/>
              <w:numPr>
                <w:ilvl w:val="0"/>
                <w:numId w:val="0"/>
              </w:numPr>
              <w:tabs>
                <w:tab w:val="left" w:pos="360"/>
                <w:tab w:val="clear" w:pos="5400"/>
              </w:tabs>
              <w:snapToGrid w:val="0"/>
              <w:rPr>
                <w:rFonts w:hint="default" w:ascii="Times New Roman" w:hAnsi="Times New Roman" w:eastAsia="宋体" w:cs="Times New Roman"/>
                <w:bCs w:val="0"/>
                <w:color w:val="auto"/>
                <w:szCs w:val="24"/>
              </w:rPr>
            </w:pPr>
            <w:r>
              <w:rPr>
                <w:rFonts w:hint="default" w:ascii="Times New Roman" w:hAnsi="Times New Roman" w:eastAsia="宋体" w:cs="Times New Roman"/>
                <w:bCs w:val="0"/>
                <w:color w:val="auto"/>
                <w:szCs w:val="24"/>
                <w:lang w:val="en-US" w:eastAsia="zh-CN"/>
              </w:rPr>
              <w:t>1.1.1</w:t>
            </w:r>
            <w:r>
              <w:rPr>
                <w:rFonts w:hint="default" w:ascii="Times New Roman" w:hAnsi="Times New Roman" w:eastAsia="宋体" w:cs="Times New Roman"/>
                <w:bCs w:val="0"/>
                <w:color w:val="auto"/>
                <w:szCs w:val="24"/>
              </w:rPr>
              <w:t>与《福州港总体规划（2035年）》的符合性分析</w:t>
            </w:r>
          </w:p>
          <w:p w14:paraId="054774C5">
            <w:pPr>
              <w:pStyle w:val="8"/>
              <w:numPr>
                <w:ilvl w:val="0"/>
                <w:numId w:val="0"/>
              </w:numPr>
              <w:tabs>
                <w:tab w:val="left" w:pos="360"/>
                <w:tab w:val="clear" w:pos="5400"/>
              </w:tabs>
              <w:snapToGrid w:val="0"/>
              <w:rPr>
                <w:rFonts w:hint="default" w:ascii="Times New Roman" w:hAnsi="Times New Roman" w:eastAsia="宋体" w:cs="Times New Roman"/>
                <w:bCs w:val="0"/>
                <w:color w:val="auto"/>
                <w:szCs w:val="24"/>
                <w:highlight w:val="yellow"/>
              </w:rPr>
            </w:pPr>
            <w:r>
              <w:rPr>
                <w:rFonts w:hint="default" w:ascii="Times New Roman" w:hAnsi="Times New Roman" w:eastAsia="宋体" w:cs="Times New Roman"/>
                <w:bCs w:val="0"/>
                <w:color w:val="auto"/>
                <w:szCs w:val="24"/>
                <w:highlight w:val="none"/>
                <w:lang w:val="en-US" w:eastAsia="zh-CN"/>
              </w:rPr>
              <w:t>1.1.2</w:t>
            </w:r>
            <w:r>
              <w:rPr>
                <w:rFonts w:hint="default" w:ascii="Times New Roman" w:hAnsi="Times New Roman" w:eastAsia="宋体" w:cs="Times New Roman"/>
                <w:b/>
                <w:bCs/>
                <w:color w:val="auto"/>
                <w:sz w:val="24"/>
                <w:highlight w:val="none"/>
              </w:rPr>
              <w:t>与《福州江</w:t>
            </w:r>
            <w:r>
              <w:rPr>
                <w:rFonts w:hint="default" w:ascii="Times New Roman" w:hAnsi="Times New Roman" w:eastAsia="宋体" w:cs="Times New Roman"/>
                <w:b/>
                <w:bCs/>
                <w:color w:val="auto"/>
                <w:sz w:val="24"/>
              </w:rPr>
              <w:t>阴港城总体规划（2018-2035年）环境影响报告书》及其审查意见符合性分析</w:t>
            </w:r>
          </w:p>
          <w:p w14:paraId="49ED3C35">
            <w:pPr>
              <w:pStyle w:val="31"/>
              <w:pBdr>
                <w:top w:val="none" w:color="auto" w:sz="0" w:space="0"/>
                <w:left w:val="none" w:color="auto" w:sz="0" w:space="0"/>
                <w:bottom w:val="none" w:color="auto" w:sz="0" w:space="0"/>
                <w:right w:val="none" w:color="auto" w:sz="0" w:space="0"/>
              </w:pBd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（1）与规划环评的符合性分析</w:t>
            </w:r>
          </w:p>
          <w:p w14:paraId="78EA67F4">
            <w:pPr>
              <w:pStyle w:val="31"/>
              <w:pBdr>
                <w:top w:val="none" w:color="auto" w:sz="0" w:space="0"/>
                <w:left w:val="none" w:color="auto" w:sz="0" w:space="0"/>
                <w:bottom w:val="none" w:color="auto" w:sz="0" w:space="0"/>
                <w:right w:val="none" w:color="auto" w:sz="0" w:space="0"/>
              </w:pBdr>
              <w:spacing w:line="360" w:lineRule="auto"/>
              <w:ind w:firstLine="480" w:firstLineChars="20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优化园区发展，更有利于环境风险管控，园区规划环评提出环保隔离带优化调整建议，要求“环保隔离带内不得有居民集中区，现有居民住宅应全部实施搬迁。环保隔离带内除已批项目用地外，其余规划用地建议调整为绿地及市政公用设施用地，或者是对周边环境影响较小的一类工业用地等”。同时规划环评提出，入区项目必须符合福清市的环保要求，按照循环经济的原理，提高资源利用率、节能降耗和减少环境污染。</w:t>
            </w:r>
            <w:r>
              <w:rPr>
                <w:rFonts w:hint="eastAsia" w:cs="Times New Roman"/>
                <w:color w:val="auto"/>
                <w:sz w:val="24"/>
                <w:szCs w:val="24"/>
                <w:shd w:val="clear" w:color="auto" w:fill="auto"/>
                <w:lang w:val="en-US" w:eastAsia="zh-CN"/>
              </w:rPr>
              <w:t>***</w:t>
            </w:r>
          </w:p>
          <w:p w14:paraId="4D9CB130">
            <w:pPr>
              <w:pStyle w:val="31"/>
              <w:numPr>
                <w:ilvl w:val="0"/>
                <w:numId w:val="10"/>
              </w:numPr>
              <w:pBdr>
                <w:top w:val="none" w:color="auto" w:sz="0" w:space="0"/>
                <w:left w:val="none" w:color="auto" w:sz="0" w:space="0"/>
                <w:bottom w:val="none" w:color="auto" w:sz="0" w:space="0"/>
                <w:right w:val="none" w:color="auto" w:sz="0" w:space="0"/>
              </w:pBd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规划环评审查意见中相关要求符合性分析</w:t>
            </w:r>
          </w:p>
          <w:p w14:paraId="64E66C3D">
            <w:pPr>
              <w:pStyle w:val="31"/>
              <w:pBdr>
                <w:top w:val="none" w:color="auto" w:sz="0" w:space="0"/>
                <w:left w:val="none" w:color="auto" w:sz="0" w:space="0"/>
                <w:bottom w:val="none" w:color="auto" w:sz="0" w:space="0"/>
                <w:right w:val="none" w:color="auto" w:sz="0" w:space="0"/>
              </w:pBd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项目与《福州江阴港城总体规划（2018-2035年）环境影响报告书》审查意见（榕环保评[2018]55号）中相关要求符合性分析见下表。</w:t>
            </w:r>
          </w:p>
          <w:p w14:paraId="574F3F39">
            <w:pPr>
              <w:pStyle w:val="57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表1.1-</w:t>
            </w: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 xml:space="preserve"> 与规划环评相关要求符合性一览表</w:t>
            </w:r>
          </w:p>
          <w:p w14:paraId="53A4AC05">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w:t>
            </w:r>
          </w:p>
          <w:p w14:paraId="65DAFA41">
            <w:pPr>
              <w:pStyle w:val="112"/>
              <w:spacing w:line="360" w:lineRule="auto"/>
              <w:ind w:firstLine="480" w:firstLineChars="200"/>
              <w:jc w:val="both"/>
              <w:rPr>
                <w:rFonts w:hint="default" w:ascii="Times New Roman" w:hAnsi="Times New Roman" w:eastAsia="宋体" w:cs="Times New Roman"/>
                <w:color w:val="auto"/>
                <w:sz w:val="24"/>
              </w:rPr>
            </w:pPr>
          </w:p>
          <w:p w14:paraId="7EA1C612">
            <w:pPr>
              <w:pStyle w:val="112"/>
              <w:spacing w:line="360" w:lineRule="auto"/>
              <w:ind w:firstLine="480" w:firstLineChars="200"/>
              <w:jc w:val="both"/>
              <w:rPr>
                <w:rFonts w:hint="default" w:ascii="Times New Roman" w:hAnsi="Times New Roman" w:eastAsia="宋体" w:cs="Times New Roman"/>
                <w:b/>
                <w:bCs w:val="0"/>
                <w:color w:val="auto"/>
                <w:kern w:val="2"/>
                <w:sz w:val="24"/>
                <w:szCs w:val="24"/>
                <w:lang w:val="en-US" w:eastAsia="zh-CN" w:bidi="ar-SA"/>
              </w:rPr>
            </w:pPr>
            <w:r>
              <w:rPr>
                <w:rFonts w:hint="default" w:ascii="Times New Roman" w:hAnsi="Times New Roman" w:eastAsia="宋体" w:cs="Times New Roman"/>
                <w:color w:val="auto"/>
                <w:sz w:val="24"/>
              </w:rPr>
              <w:t>根据上表分析可知，项目的建设符合《福州江阴港城总体规划（2018-2035年）环境影响报告书》审查意见（榕环保评[2018]55号）中相关要求。</w:t>
            </w:r>
          </w:p>
          <w:p w14:paraId="4AF15ED2">
            <w:pPr>
              <w:pStyle w:val="569"/>
              <w:numPr>
                <w:ilvl w:val="3"/>
                <w:numId w:val="0"/>
              </w:numPr>
              <w:adjustRightInd w:val="0"/>
              <w:snapToGrid w:val="0"/>
              <w:spacing w:line="240" w:lineRule="auto"/>
              <w:ind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图1.1-</w:t>
            </w:r>
            <w:r>
              <w:rPr>
                <w:rFonts w:hint="default" w:ascii="Times New Roman" w:hAnsi="Times New Roman" w:eastAsia="宋体" w:cs="Times New Roman"/>
                <w:color w:val="auto"/>
                <w:lang w:val="en-US" w:eastAsia="zh-CN"/>
              </w:rPr>
              <w:t>1与</w:t>
            </w:r>
            <w:r>
              <w:rPr>
                <w:rFonts w:hint="default" w:ascii="Times New Roman" w:hAnsi="Times New Roman" w:eastAsia="宋体" w:cs="Times New Roman"/>
                <w:color w:val="auto"/>
              </w:rPr>
              <w:t>《福州江阴港城总体规划（2018-2035 年）》</w:t>
            </w:r>
            <w:r>
              <w:rPr>
                <w:rFonts w:hint="default" w:ascii="Times New Roman" w:hAnsi="Times New Roman" w:eastAsia="宋体" w:cs="Times New Roman"/>
                <w:color w:val="auto"/>
                <w:lang w:val="en-US" w:eastAsia="zh-CN"/>
              </w:rPr>
              <w:t>位置关系</w:t>
            </w:r>
          </w:p>
          <w:p w14:paraId="1EDD7A4D">
            <w:pPr>
              <w:pStyle w:val="569"/>
              <w:numPr>
                <w:ilvl w:val="3"/>
                <w:numId w:val="0"/>
              </w:numPr>
              <w:adjustRightInd w:val="0"/>
              <w:snapToGrid w:val="0"/>
              <w:spacing w:line="240" w:lineRule="auto"/>
              <w:ind w:right="0"/>
              <w:jc w:val="center"/>
              <w:rPr>
                <w:rFonts w:hint="default" w:ascii="Times New Roman" w:hAnsi="Times New Roman" w:eastAsia="宋体" w:cs="Times New Roman"/>
                <w:color w:val="auto"/>
                <w:lang w:val="en-US" w:eastAsia="zh-CN"/>
              </w:rPr>
            </w:pPr>
          </w:p>
          <w:p w14:paraId="1400ECB1">
            <w:pPr>
              <w:pStyle w:val="112"/>
              <w:spacing w:line="360" w:lineRule="auto"/>
              <w:jc w:val="both"/>
              <w:rPr>
                <w:rFonts w:hint="default" w:ascii="Times New Roman" w:hAnsi="Times New Roman" w:eastAsia="宋体" w:cs="Times New Roman"/>
                <w:b/>
                <w:bCs w:val="0"/>
                <w:color w:val="auto"/>
                <w:kern w:val="2"/>
                <w:sz w:val="24"/>
                <w:szCs w:val="24"/>
                <w:lang w:val="en-US" w:eastAsia="zh-CN" w:bidi="ar-SA"/>
              </w:rPr>
            </w:pPr>
            <w:r>
              <w:rPr>
                <w:rFonts w:hint="default" w:ascii="Times New Roman" w:hAnsi="Times New Roman" w:eastAsia="宋体" w:cs="Times New Roman"/>
                <w:b/>
                <w:bCs w:val="0"/>
                <w:color w:val="auto"/>
                <w:kern w:val="2"/>
                <w:sz w:val="24"/>
                <w:szCs w:val="24"/>
                <w:lang w:val="en-US" w:eastAsia="zh-CN" w:bidi="ar-SA"/>
              </w:rPr>
              <w:t>1.1.3《福州江阴港城经济区350181-48-C基本单元控制性详细规划》分析（2022年8月15日）</w:t>
            </w:r>
          </w:p>
          <w:p w14:paraId="7ECF654B">
            <w:pPr>
              <w:pStyle w:val="112"/>
              <w:numPr>
                <w:ilvl w:val="0"/>
                <w:numId w:val="11"/>
              </w:numPr>
              <w:spacing w:line="360" w:lineRule="auto"/>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区位与规划范围</w:t>
            </w:r>
          </w:p>
          <w:p w14:paraId="35EB7F6E">
            <w:pPr>
              <w:pStyle w:val="2"/>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次规划区位于福州江阴港城经济区最南部，是福州港壁头作业区的重要组成部分，货运铁路横穿规划区北部并设有货运站点，规划区南侧为国际货运港口码头，规划区局里福厦高速江阴出口约6公里，距离福清市中心城区约46公里，规划区作为陆海货运枢纽，交通便捷。</w:t>
            </w:r>
          </w:p>
          <w:p w14:paraId="79B7DE58">
            <w:pPr>
              <w:pStyle w:val="2"/>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规划范围：规划区北接江阴临港工业区，北至国盛大道、港前大道，东、南、西三面临海，规划总面积713.4公顷。</w:t>
            </w:r>
          </w:p>
          <w:p w14:paraId="10CE5DF8">
            <w:pPr>
              <w:pStyle w:val="3"/>
              <w:ind w:left="0" w:leftChars="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本项目属于</w:t>
            </w:r>
            <w:r>
              <w:rPr>
                <w:rFonts w:hint="default" w:ascii="Times New Roman" w:hAnsi="Times New Roman" w:eastAsia="宋体" w:cs="Times New Roman"/>
                <w:color w:val="auto"/>
                <w:sz w:val="24"/>
                <w:szCs w:val="24"/>
                <w:lang w:eastAsia="zh-CN"/>
              </w:rPr>
              <w:t>福州市福清市江阴镇江阴港城经济区南部片区，</w:t>
            </w:r>
            <w:r>
              <w:rPr>
                <w:rFonts w:hint="default" w:ascii="Times New Roman" w:hAnsi="Times New Roman" w:eastAsia="宋体" w:cs="Times New Roman"/>
                <w:color w:val="auto"/>
                <w:sz w:val="24"/>
                <w:szCs w:val="24"/>
                <w:lang w:val="en-US" w:eastAsia="zh-CN"/>
              </w:rPr>
              <w:t>位于福州江阴港城经济区最南部，符合区位与规范范围定位。</w:t>
            </w:r>
          </w:p>
          <w:p w14:paraId="046B36A9">
            <w:pPr>
              <w:pStyle w:val="112"/>
              <w:numPr>
                <w:ilvl w:val="0"/>
                <w:numId w:val="12"/>
              </w:numPr>
              <w:spacing w:line="360" w:lineRule="auto"/>
              <w:jc w:val="both"/>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用地布局分析</w:t>
            </w:r>
          </w:p>
          <w:p w14:paraId="09A47EA4">
            <w:pPr>
              <w:pStyle w:val="2"/>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区规划建设用地主要分为：物流仓储用地、工业用地、公共管理与公共服务设施用地、道路与交通设施、绿地与广场用地、商业用地、公用设施用地、港口用地等八类用地。其中物流仓储用地面积157.59公顷，占城市建设用地的46.1%；二类工业用地面积27.7公顷，占城市建设用地的8.1%；行政办公用地面积为3.82公顷，主要为现状保留福州海关用地，占城市建设用地比例为1.1%；规划城市道路与交通设施用地111.9公顷，占城市建设用地面积的32.8%，主要为城镇市政道路和交通枢纽用地，其中交通枢纽用地面积为54.14公顷，为货运铁路站；公用设施用地面积为1.35公顷，占城市建设用地面积的0.4%，主要为水陆两栖特勤消防站；规划绿地与广场用地面积为37.17公顷，占城市用地比例为10.9%；港口用地面积为169.6公顷，占城乡建设用地比例为51.8%。</w:t>
            </w:r>
          </w:p>
          <w:p w14:paraId="5FDB6FBC">
            <w:pPr>
              <w:pStyle w:val="2"/>
              <w:spacing w:line="360" w:lineRule="auto"/>
              <w:ind w:firstLine="48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w:t>
            </w:r>
            <w:r>
              <w:rPr>
                <w:rFonts w:hint="default" w:ascii="Times New Roman" w:hAnsi="Times New Roman" w:eastAsia="宋体" w:cs="Times New Roman"/>
                <w:color w:val="auto"/>
                <w:kern w:val="2"/>
                <w:sz w:val="24"/>
                <w:szCs w:val="24"/>
                <w:lang w:val="en-US" w:eastAsia="zh-CN" w:bidi="ar-SA"/>
              </w:rPr>
              <w:t>目年仓储危化品180000吨/年，主要从事物流仓储</w:t>
            </w:r>
            <w:r>
              <w:rPr>
                <w:rFonts w:hint="default" w:ascii="Times New Roman" w:hAnsi="Times New Roman" w:eastAsia="宋体" w:cs="Times New Roman"/>
                <w:color w:val="auto"/>
                <w:sz w:val="24"/>
                <w:szCs w:val="24"/>
                <w:lang w:val="en-US" w:eastAsia="zh-CN"/>
              </w:rPr>
              <w:t>项目，符合本区规划建设用地要求。</w:t>
            </w:r>
          </w:p>
          <w:p w14:paraId="1EF6996E">
            <w:pPr>
              <w:pStyle w:val="2"/>
              <w:spacing w:line="360" w:lineRule="auto"/>
              <w:ind w:left="0" w:leftChars="0" w:firstLine="0" w:firstLineChars="0"/>
              <w:jc w:val="center"/>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bCs/>
                <w:color w:val="auto"/>
                <w:sz w:val="24"/>
                <w:szCs w:val="24"/>
              </w:rPr>
              <w:t>图1.1-</w:t>
            </w:r>
            <w:r>
              <w:rPr>
                <w:rFonts w:hint="default" w:ascii="Times New Roman" w:hAnsi="Times New Roman" w:eastAsia="宋体" w:cs="Times New Roman"/>
                <w:b/>
                <w:bCs/>
                <w:color w:val="auto"/>
                <w:sz w:val="24"/>
                <w:szCs w:val="24"/>
                <w:lang w:val="en-US" w:eastAsia="zh-CN"/>
              </w:rPr>
              <w:t>2 与</w:t>
            </w:r>
            <w:r>
              <w:rPr>
                <w:rFonts w:hint="default" w:ascii="Times New Roman" w:hAnsi="Times New Roman" w:eastAsia="宋体" w:cs="Times New Roman"/>
                <w:b/>
                <w:bCs/>
                <w:color w:val="auto"/>
                <w:sz w:val="24"/>
                <w:szCs w:val="24"/>
              </w:rPr>
              <w:t>《福州江阴港城</w:t>
            </w:r>
            <w:r>
              <w:rPr>
                <w:rFonts w:hint="default" w:ascii="Times New Roman" w:hAnsi="Times New Roman" w:eastAsia="宋体" w:cs="Times New Roman"/>
                <w:b/>
                <w:bCs/>
                <w:color w:val="auto"/>
                <w:sz w:val="24"/>
                <w:szCs w:val="24"/>
                <w:lang w:val="en-US" w:eastAsia="zh-CN"/>
              </w:rPr>
              <w:t>经济区</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位置关系图</w:t>
            </w:r>
          </w:p>
        </w:tc>
      </w:tr>
    </w:tbl>
    <w:p w14:paraId="26AB8AD0">
      <w:pPr>
        <w:pStyle w:val="112"/>
        <w:rPr>
          <w:rFonts w:hint="default" w:ascii="Times New Roman" w:hAnsi="Times New Roman" w:eastAsia="宋体" w:cs="Times New Roman"/>
          <w:color w:val="auto"/>
          <w:kern w:val="0"/>
          <w:sz w:val="24"/>
          <w:szCs w:val="24"/>
        </w:rPr>
        <w:sectPr>
          <w:footerReference r:id="rId13" w:type="default"/>
          <w:pgSz w:w="11905" w:h="16838"/>
          <w:pgMar w:top="1418" w:right="1418" w:bottom="1418" w:left="1418" w:header="851" w:footer="851" w:gutter="0"/>
          <w:pgBorders>
            <w:top w:val="none" w:sz="0" w:space="0"/>
            <w:left w:val="none" w:sz="0" w:space="0"/>
            <w:bottom w:val="none" w:sz="0" w:space="0"/>
            <w:right w:val="none" w:sz="0" w:space="0"/>
          </w:pgBorders>
          <w:pgNumType w:fmt="decimal" w:start="1"/>
          <w:cols w:space="720" w:num="1"/>
          <w:docGrid w:linePitch="326" w:charSpace="0"/>
        </w:sectPr>
      </w:pPr>
    </w:p>
    <w:tbl>
      <w:tblPr>
        <w:tblStyle w:val="48"/>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8164"/>
      </w:tblGrid>
      <w:tr w14:paraId="64DE17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49" w:hRule="atLeast"/>
          <w:jc w:val="center"/>
        </w:trPr>
        <w:tc>
          <w:tcPr>
            <w:tcW w:w="1208" w:type="dxa"/>
            <w:vAlign w:val="center"/>
          </w:tcPr>
          <w:p w14:paraId="0281BDBD">
            <w:pPr>
              <w:pStyle w:val="112"/>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其他符合性分析</w:t>
            </w:r>
          </w:p>
        </w:tc>
        <w:tc>
          <w:tcPr>
            <w:tcW w:w="7662" w:type="dxa"/>
            <w:vAlign w:val="center"/>
          </w:tcPr>
          <w:p w14:paraId="1B8AEB4D">
            <w:pPr>
              <w:pStyle w:val="112"/>
              <w:spacing w:line="360" w:lineRule="auto"/>
              <w:jc w:val="both"/>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rPr>
              <w:t>1.2</w:t>
            </w:r>
            <w:r>
              <w:rPr>
                <w:rFonts w:hint="default" w:ascii="Times New Roman" w:hAnsi="Times New Roman" w:eastAsia="宋体" w:cs="Times New Roman"/>
                <w:b/>
                <w:color w:val="auto"/>
                <w:sz w:val="24"/>
                <w:szCs w:val="24"/>
                <w:lang w:eastAsia="zh-CN"/>
              </w:rPr>
              <w:t>其他</w:t>
            </w:r>
            <w:r>
              <w:rPr>
                <w:rFonts w:hint="default" w:ascii="Times New Roman" w:hAnsi="Times New Roman" w:eastAsia="宋体" w:cs="Times New Roman"/>
                <w:b/>
                <w:color w:val="auto"/>
                <w:sz w:val="24"/>
                <w:szCs w:val="24"/>
              </w:rPr>
              <w:t>符合性</w:t>
            </w:r>
            <w:r>
              <w:rPr>
                <w:rFonts w:hint="default" w:ascii="Times New Roman" w:hAnsi="Times New Roman" w:eastAsia="宋体" w:cs="Times New Roman"/>
                <w:b/>
                <w:color w:val="auto"/>
                <w:sz w:val="24"/>
                <w:szCs w:val="24"/>
                <w:lang w:eastAsia="zh-CN"/>
              </w:rPr>
              <w:t>分析</w:t>
            </w:r>
          </w:p>
          <w:p w14:paraId="7FD7178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1.2.1 与</w:t>
            </w:r>
            <w:r>
              <w:rPr>
                <w:rFonts w:hint="default" w:ascii="Times New Roman" w:hAnsi="Times New Roman" w:eastAsia="宋体" w:cs="Times New Roman"/>
                <w:b/>
                <w:bCs/>
                <w:color w:val="auto"/>
                <w:sz w:val="24"/>
                <w:lang w:eastAsia="zh-CN"/>
              </w:rPr>
              <w:t>产业政策</w:t>
            </w:r>
            <w:r>
              <w:rPr>
                <w:rFonts w:hint="default" w:ascii="Times New Roman" w:hAnsi="Times New Roman" w:eastAsia="宋体" w:cs="Times New Roman"/>
                <w:b/>
                <w:bCs/>
                <w:color w:val="auto"/>
                <w:sz w:val="24"/>
              </w:rPr>
              <w:t>符合性分析</w:t>
            </w:r>
          </w:p>
          <w:p w14:paraId="26245F45">
            <w:pPr>
              <w:adjustRightInd w:val="0"/>
              <w:spacing w:line="360" w:lineRule="auto"/>
              <w:ind w:firstLine="480" w:firstLineChars="200"/>
              <w:contextualSpacing/>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本项目选址于</w:t>
            </w:r>
            <w:r>
              <w:rPr>
                <w:rFonts w:hint="default" w:ascii="Times New Roman" w:hAnsi="Times New Roman" w:eastAsia="宋体" w:cs="Times New Roman"/>
                <w:color w:val="auto"/>
                <w:kern w:val="0"/>
                <w:lang w:eastAsia="zh-CN"/>
              </w:rPr>
              <w:t>福州市福清市江阴镇江阴港城经济区南部片区（福州密尔克卫供应链管理有限公司厂区内）</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rPr>
              <w:t>主要从事危险化学品仓储，对照《产业结构调整指导目录（20</w:t>
            </w:r>
            <w:r>
              <w:rPr>
                <w:rFonts w:hint="default" w:ascii="Times New Roman" w:hAnsi="Times New Roman" w:eastAsia="宋体" w:cs="Times New Roman"/>
                <w:color w:val="auto"/>
                <w:lang w:val="en-US" w:eastAsia="zh-CN"/>
              </w:rPr>
              <w:t>24</w:t>
            </w:r>
            <w:r>
              <w:rPr>
                <w:rFonts w:hint="default" w:ascii="Times New Roman" w:hAnsi="Times New Roman" w:eastAsia="宋体" w:cs="Times New Roman"/>
                <w:color w:val="auto"/>
              </w:rPr>
              <w:t>年本）》，项目生产的产品、规模、生产设备、生产工艺等均不属于该目录中限制或淘汰之列；同时项目已取得了福清市发展和改革局的备案（闽发改备[202</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]A060</w:t>
            </w:r>
            <w:r>
              <w:rPr>
                <w:rFonts w:hint="default" w:ascii="Times New Roman" w:hAnsi="Times New Roman" w:eastAsia="宋体" w:cs="Times New Roman"/>
                <w:color w:val="auto"/>
                <w:lang w:val="en-US" w:eastAsia="zh-CN"/>
              </w:rPr>
              <w:t>26</w:t>
            </w:r>
            <w:r>
              <w:rPr>
                <w:rFonts w:hint="default" w:ascii="Times New Roman" w:hAnsi="Times New Roman" w:eastAsia="宋体" w:cs="Times New Roman"/>
                <w:color w:val="auto"/>
              </w:rPr>
              <w:t>6号），详见附件</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。因此，本项目的建设符合国家当前的产业政策和环保政策。</w:t>
            </w:r>
          </w:p>
          <w:p w14:paraId="12883C8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1.2.2 用地用房</w:t>
            </w:r>
            <w:r>
              <w:rPr>
                <w:rFonts w:hint="default" w:ascii="Times New Roman" w:hAnsi="Times New Roman" w:eastAsia="宋体" w:cs="Times New Roman"/>
                <w:b/>
                <w:bCs/>
                <w:color w:val="auto"/>
                <w:sz w:val="24"/>
              </w:rPr>
              <w:t>符合性分析</w:t>
            </w:r>
          </w:p>
          <w:p w14:paraId="4E2B3F06">
            <w:pPr>
              <w:pStyle w:val="112"/>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本项目位于</w:t>
            </w:r>
            <w:r>
              <w:rPr>
                <w:rFonts w:hint="default" w:ascii="Times New Roman" w:hAnsi="Times New Roman" w:eastAsia="宋体" w:cs="Times New Roman"/>
                <w:color w:val="auto"/>
                <w:kern w:val="0"/>
                <w:sz w:val="24"/>
                <w:szCs w:val="24"/>
                <w:lang w:eastAsia="zh-CN"/>
              </w:rPr>
              <w:t>福州市福清市江阴镇江阴港城经济区南部片区（福州密尔克卫供应链管理有限公司厂区内）</w:t>
            </w:r>
            <w:r>
              <w:rPr>
                <w:rFonts w:hint="default" w:ascii="Times New Roman" w:hAnsi="Times New Roman" w:eastAsia="宋体" w:cs="Times New Roman"/>
                <w:color w:val="auto"/>
                <w:sz w:val="24"/>
                <w:szCs w:val="24"/>
              </w:rPr>
              <w:t>，依据</w:t>
            </w:r>
            <w:r>
              <w:rPr>
                <w:rFonts w:hint="default" w:ascii="Times New Roman" w:hAnsi="Times New Roman" w:eastAsia="宋体" w:cs="Times New Roman"/>
                <w:color w:val="auto"/>
                <w:sz w:val="24"/>
                <w:szCs w:val="24"/>
                <w:lang w:val="en-US" w:eastAsia="zh-CN"/>
              </w:rPr>
              <w:t>国有建设用地使用权出让合同、福清市自然资源和规划局</w:t>
            </w:r>
            <w:r>
              <w:rPr>
                <w:rFonts w:hint="default" w:ascii="Times New Roman" w:hAnsi="Times New Roman" w:eastAsia="宋体" w:cs="Times New Roman"/>
                <w:color w:val="auto"/>
                <w:sz w:val="24"/>
                <w:szCs w:val="24"/>
              </w:rPr>
              <w:t>（详见附件</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），项目用地性质为</w:t>
            </w:r>
            <w:r>
              <w:rPr>
                <w:rFonts w:hint="default" w:ascii="Times New Roman" w:hAnsi="Times New Roman" w:eastAsia="宋体" w:cs="Times New Roman"/>
                <w:color w:val="auto"/>
                <w:sz w:val="24"/>
                <w:szCs w:val="24"/>
                <w:lang w:val="en-US" w:eastAsia="zh-CN"/>
              </w:rPr>
              <w:t>仓储用地</w:t>
            </w:r>
            <w:r>
              <w:rPr>
                <w:rFonts w:hint="default" w:ascii="Times New Roman" w:hAnsi="Times New Roman" w:eastAsia="宋体" w:cs="Times New Roman"/>
                <w:color w:val="auto"/>
                <w:sz w:val="24"/>
                <w:szCs w:val="24"/>
              </w:rPr>
              <w:t>，符合其地块用途要求；对照《限制用地项目目录（2012年本）》和《禁止用地项目目录（2012年本）》，项目不属于其中的限制、禁止用地项目范围。</w:t>
            </w:r>
          </w:p>
          <w:p w14:paraId="1515F60B">
            <w:pPr>
              <w:pStyle w:val="8"/>
              <w:numPr>
                <w:ilvl w:val="0"/>
                <w:numId w:val="0"/>
              </w:numPr>
              <w:tabs>
                <w:tab w:val="left" w:pos="360"/>
                <w:tab w:val="clear" w:pos="5400"/>
              </w:tabs>
              <w:snapToGrid w:val="0"/>
              <w:rPr>
                <w:rFonts w:hint="default" w:ascii="Times New Roman" w:hAnsi="Times New Roman" w:eastAsia="宋体" w:cs="Times New Roman"/>
                <w:bCs w:val="0"/>
                <w:color w:val="auto"/>
                <w:szCs w:val="24"/>
                <w:lang w:val="en-US" w:eastAsia="zh-CN"/>
              </w:rPr>
            </w:pPr>
            <w:r>
              <w:rPr>
                <w:rFonts w:hint="default" w:ascii="Times New Roman" w:hAnsi="Times New Roman" w:eastAsia="宋体" w:cs="Times New Roman"/>
                <w:bCs w:val="0"/>
                <w:color w:val="auto"/>
                <w:szCs w:val="24"/>
                <w:lang w:val="en-US" w:eastAsia="zh-CN"/>
              </w:rPr>
              <w:t>1.3“分区管控”要求符合性分析</w:t>
            </w:r>
          </w:p>
          <w:p w14:paraId="61441D80">
            <w:pPr>
              <w:numPr>
                <w:ilvl w:val="0"/>
                <w:numId w:val="0"/>
              </w:numPr>
              <w:spacing w:line="360" w:lineRule="auto"/>
              <w:ind w:firstLine="480" w:firstLineChars="200"/>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根据</w:t>
            </w:r>
            <w:r>
              <w:rPr>
                <w:rFonts w:hint="default" w:ascii="Times New Roman" w:hAnsi="Times New Roman" w:eastAsia="宋体" w:cs="Times New Roman"/>
                <w:color w:val="auto"/>
                <w:sz w:val="24"/>
                <w:szCs w:val="24"/>
                <w:highlight w:val="none"/>
              </w:rPr>
              <w:t>《福州市生态环境分区管控方案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2023年更新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相关内容</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项目与福州市</w:t>
            </w:r>
            <w:r>
              <w:rPr>
                <w:rFonts w:hint="default" w:ascii="Times New Roman" w:hAnsi="Times New Roman" w:eastAsia="宋体" w:cs="Times New Roman"/>
                <w:color w:val="auto"/>
                <w:sz w:val="24"/>
                <w:szCs w:val="24"/>
                <w:highlight w:val="none"/>
              </w:rPr>
              <w:t>生态环境分区管控</w:t>
            </w:r>
            <w:r>
              <w:rPr>
                <w:rFonts w:hint="default" w:ascii="Times New Roman" w:hAnsi="Times New Roman" w:eastAsia="宋体" w:cs="Times New Roman"/>
                <w:color w:val="auto"/>
                <w:sz w:val="24"/>
                <w:szCs w:val="24"/>
                <w:highlight w:val="none"/>
                <w:lang w:val="en-US" w:eastAsia="zh-CN"/>
              </w:rPr>
              <w:t>的符合性分析如下：</w:t>
            </w:r>
          </w:p>
          <w:p w14:paraId="031532DF">
            <w:pPr>
              <w:numPr>
                <w:ilvl w:val="0"/>
                <w:numId w:val="0"/>
              </w:num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val="en-US" w:eastAsia="zh-CN"/>
              </w:rPr>
              <w:t>1</w:t>
            </w:r>
            <w:r>
              <w:rPr>
                <w:rFonts w:hint="default" w:ascii="Times New Roman" w:hAnsi="Times New Roman" w:eastAsia="宋体" w:cs="Times New Roman"/>
                <w:color w:val="auto"/>
                <w:spacing w:val="0"/>
                <w:sz w:val="24"/>
                <w:szCs w:val="24"/>
                <w:highlight w:val="none"/>
                <w:lang w:eastAsia="zh-CN"/>
              </w:rPr>
              <w:t>）与生态保护红线的符合性分析</w:t>
            </w:r>
          </w:p>
          <w:p w14:paraId="011789A2">
            <w:pPr>
              <w:numPr>
                <w:ilvl w:val="0"/>
                <w:numId w:val="0"/>
              </w:num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完整利用福建省“三区三线”生态保护红线划定成果，福州市生态保护红线划定面积为5082.05平方千米，其中陆域面积为 2410.32平方千米，海域面积为2671.73 平方千米。生态保护红线最终面积以省政府发布结果为准。</w:t>
            </w:r>
          </w:p>
          <w:p w14:paraId="650C0409">
            <w:pPr>
              <w:pStyle w:val="112"/>
              <w:spacing w:line="360" w:lineRule="auto"/>
              <w:ind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本项目位于</w:t>
            </w:r>
            <w:r>
              <w:rPr>
                <w:rFonts w:hint="default" w:ascii="Times New Roman" w:hAnsi="Times New Roman" w:eastAsia="宋体" w:cs="Times New Roman"/>
                <w:color w:val="auto"/>
                <w:kern w:val="0"/>
                <w:sz w:val="24"/>
                <w:szCs w:val="24"/>
                <w:lang w:eastAsia="zh-CN"/>
              </w:rPr>
              <w:t>福州市福清市江阴镇江阴港城经济区南部片区（福州密尔克卫供应链管理有限公司厂区内）</w:t>
            </w:r>
            <w:r>
              <w:rPr>
                <w:rFonts w:hint="default" w:ascii="Times New Roman" w:hAnsi="Times New Roman" w:eastAsia="宋体" w:cs="Times New Roman"/>
                <w:color w:val="auto"/>
                <w:kern w:val="0"/>
                <w:sz w:val="24"/>
                <w:szCs w:val="24"/>
              </w:rPr>
              <w:t>，从事</w:t>
            </w:r>
            <w:r>
              <w:rPr>
                <w:rFonts w:hint="default" w:ascii="Times New Roman" w:hAnsi="Times New Roman" w:eastAsia="宋体" w:cs="Times New Roman"/>
                <w:color w:val="auto"/>
                <w:kern w:val="0"/>
                <w:sz w:val="24"/>
                <w:szCs w:val="24"/>
                <w:lang w:val="en-US" w:eastAsia="zh-CN"/>
              </w:rPr>
              <w:t>仓储化学品</w:t>
            </w:r>
            <w:r>
              <w:rPr>
                <w:rFonts w:hint="default" w:ascii="Times New Roman" w:hAnsi="Times New Roman" w:eastAsia="宋体" w:cs="Times New Roman"/>
                <w:color w:val="auto"/>
                <w:kern w:val="0"/>
                <w:sz w:val="24"/>
                <w:szCs w:val="24"/>
              </w:rPr>
              <w:t>。项目用地性质为</w:t>
            </w:r>
            <w:r>
              <w:rPr>
                <w:rFonts w:hint="default" w:ascii="Times New Roman" w:hAnsi="Times New Roman" w:eastAsia="宋体" w:cs="Times New Roman"/>
                <w:color w:val="auto"/>
                <w:kern w:val="0"/>
                <w:sz w:val="24"/>
                <w:szCs w:val="24"/>
                <w:lang w:val="en-US" w:eastAsia="zh-CN"/>
              </w:rPr>
              <w:t>仓储用地</w:t>
            </w:r>
            <w:r>
              <w:rPr>
                <w:rFonts w:hint="default" w:ascii="Times New Roman" w:hAnsi="Times New Roman" w:eastAsia="宋体" w:cs="Times New Roman"/>
                <w:color w:val="auto"/>
                <w:kern w:val="0"/>
                <w:sz w:val="24"/>
                <w:szCs w:val="24"/>
              </w:rPr>
              <w:t>。与此同时，本项目</w:t>
            </w:r>
            <w:r>
              <w:rPr>
                <w:rFonts w:hint="default" w:ascii="Times New Roman" w:hAnsi="Times New Roman" w:eastAsia="宋体" w:cs="Times New Roman"/>
                <w:color w:val="auto"/>
                <w:kern w:val="0"/>
                <w:sz w:val="24"/>
                <w:szCs w:val="24"/>
                <w:lang w:val="en-US" w:eastAsia="zh-CN"/>
              </w:rPr>
              <w:t>所在地</w:t>
            </w:r>
            <w:r>
              <w:rPr>
                <w:rFonts w:hint="default" w:ascii="Times New Roman" w:hAnsi="Times New Roman" w:eastAsia="宋体" w:cs="Times New Roman"/>
                <w:color w:val="auto"/>
                <w:kern w:val="0"/>
                <w:sz w:val="24"/>
                <w:szCs w:val="24"/>
              </w:rPr>
              <w:t>不涉及重点生态功能区、生态敏感区、生态脆弱区、生物多样性保护优先区、自然保护区和饮用水源保护区，与生态红线划定的相关要求不冲突。</w:t>
            </w:r>
          </w:p>
          <w:p w14:paraId="57219FE7">
            <w:pPr>
              <w:pStyle w:val="112"/>
              <w:spacing w:line="360" w:lineRule="auto"/>
              <w:ind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（2）环境质量底线</w:t>
            </w:r>
          </w:p>
          <w:p w14:paraId="723B5CA4">
            <w:pPr>
              <w:ind w:firstLine="48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①地表水环境质量底线</w:t>
            </w:r>
          </w:p>
          <w:p w14:paraId="5287BA07">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到2025年，国省控断面水质优良(达到或优于I类)比例总体达97.2%以上;县级以上集中式饮用水水源水质达标率达 100%。</w:t>
            </w:r>
          </w:p>
          <w:p w14:paraId="429B5718">
            <w:pPr>
              <w:keepNext w:val="0"/>
              <w:keepLines w:val="0"/>
              <w:widowControl/>
              <w:suppressLineNumbers w:val="0"/>
              <w:ind w:firstLine="480" w:firstLineChars="20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到2035年，国省控断面水质优良(达到或优于I类)比例总体达到100%；生态系统实现良性循环。</w:t>
            </w:r>
          </w:p>
          <w:p w14:paraId="579511ED">
            <w:pPr>
              <w:ind w:firstLine="48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②大气环境质量底线</w:t>
            </w:r>
          </w:p>
          <w:p w14:paraId="10B3F5DB">
            <w:pPr>
              <w:ind w:firstLine="48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到2025年，环境空气质量持续改善，细颗粒物（PM</w:t>
            </w:r>
            <w:r>
              <w:rPr>
                <w:rFonts w:hint="default" w:ascii="Times New Roman" w:hAnsi="Times New Roman" w:eastAsia="宋体" w:cs="Times New Roman"/>
                <w:color w:val="auto"/>
                <w:kern w:val="0"/>
                <w:sz w:val="15"/>
                <w:szCs w:val="15"/>
                <w:highlight w:val="none"/>
                <w:lang w:val="en-US" w:eastAsia="zh-CN" w:bidi="ar"/>
              </w:rPr>
              <w:t>2.5</w:t>
            </w:r>
            <w:r>
              <w:rPr>
                <w:rFonts w:hint="default" w:ascii="Times New Roman" w:hAnsi="Times New Roman" w:eastAsia="宋体" w:cs="Times New Roman"/>
                <w:color w:val="auto"/>
                <w:kern w:val="0"/>
                <w:sz w:val="24"/>
                <w:szCs w:val="24"/>
                <w:highlight w:val="none"/>
                <w:lang w:val="en-US" w:eastAsia="zh-CN" w:bidi="ar"/>
              </w:rPr>
              <w:t>）年平均浓度降至18.6μg/m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。到2035年，县级城市细颗粒物（PM</w:t>
            </w:r>
            <w:r>
              <w:rPr>
                <w:rFonts w:hint="default" w:ascii="Times New Roman" w:hAnsi="Times New Roman" w:eastAsia="宋体" w:cs="Times New Roman"/>
                <w:color w:val="auto"/>
                <w:kern w:val="0"/>
                <w:sz w:val="15"/>
                <w:szCs w:val="15"/>
                <w:highlight w:val="none"/>
                <w:lang w:val="en-US" w:eastAsia="zh-CN" w:bidi="ar"/>
              </w:rPr>
              <w:t>2.5</w:t>
            </w:r>
            <w:r>
              <w:rPr>
                <w:rFonts w:hint="default" w:ascii="Times New Roman" w:hAnsi="Times New Roman" w:eastAsia="宋体" w:cs="Times New Roman"/>
                <w:color w:val="auto"/>
                <w:kern w:val="0"/>
                <w:sz w:val="24"/>
                <w:szCs w:val="24"/>
                <w:highlight w:val="none"/>
                <w:lang w:val="en-US" w:eastAsia="zh-CN" w:bidi="ar"/>
              </w:rPr>
              <w:t>）年平均浓度小于15μg/m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，最终指标值以省下达指标为准。</w:t>
            </w:r>
          </w:p>
          <w:p w14:paraId="10307B7F">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③土壤环境风险防控底线</w:t>
            </w:r>
          </w:p>
          <w:p w14:paraId="2762E8EB">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到2025年，受污染耕地安全利用率达到95%(含)以上，重点建设用地安全利用率得到有效保障，重点行业企业用地优先管控名录地块风险管控率达到95%(含)以上，开垦耕地土壤污染调查覆盖率达90%以上，畜禽粪污综合利用率预期达95%(含)以上。到2035年，全市土壤环境质量稳中向好，农用地和建设用地土壤环境得到有效保障，土壤环境风险得到全面管控。</w:t>
            </w:r>
          </w:p>
          <w:p w14:paraId="6CB85C51">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所在区域的环境质量底线为：环境空气质量目标为《环境空气质量标准》（GB3095-2012）二级标准；FJD01026点位pH、COD、石油类、DO、无机氮浓度均能满足《海水水质标准》（GB3097-1997）第三类标准；活性磷酸盐超过第三类海水水质标准要求，可能与城镇生活污水、周边海域养殖废水直接排入近岸海域有关；地下水环境质量目标为《地下水质量标准》（GB/T14848-2017）基本能达到Ⅳ类标准，由于项目处于滨海区域，周边为填海造地形成，受海水浸渍影响，导致地下水中溶解性总固体、氯化物指标浓度较高。</w:t>
            </w:r>
            <w:r>
              <w:rPr>
                <w:rFonts w:hint="default" w:ascii="Times New Roman" w:hAnsi="Times New Roman" w:eastAsia="宋体" w:cs="Times New Roman"/>
                <w:color w:val="auto"/>
                <w:kern w:val="0"/>
              </w:rPr>
              <w:t>甲醇、二氯乙烷未检出。</w:t>
            </w:r>
            <w:r>
              <w:rPr>
                <w:rFonts w:hint="default" w:ascii="Times New Roman" w:hAnsi="Times New Roman" w:eastAsia="宋体" w:cs="Times New Roman"/>
                <w:color w:val="auto"/>
              </w:rPr>
              <w:t>区域声环境质量目标为《声环境质量标准》（GB3096-2008）3类标准；区域土壤中污染因子均低于《土壤环境质量建设用地土壤污染风险管控标准（试行）》（GB36600-2018）第二类用地筛选值标准。</w:t>
            </w:r>
          </w:p>
          <w:p w14:paraId="1D5028EB">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本项目生活污水</w:t>
            </w:r>
            <w:r>
              <w:rPr>
                <w:rFonts w:hint="default" w:ascii="Times New Roman" w:hAnsi="Times New Roman" w:eastAsia="宋体" w:cs="Times New Roman"/>
                <w:color w:val="auto"/>
                <w:lang w:val="en-US" w:eastAsia="zh-CN"/>
              </w:rPr>
              <w:t>经厂区地埋式三级化粪池处理</w:t>
            </w:r>
            <w:r>
              <w:rPr>
                <w:rFonts w:hint="default" w:ascii="Times New Roman" w:hAnsi="Times New Roman" w:eastAsia="宋体" w:cs="Times New Roman"/>
                <w:color w:val="auto"/>
              </w:rPr>
              <w:t>达到江阴工业集中区污水处理厂纳管标准后，排入江阴工业集中区污水处理厂进一步处理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highlight w:val="none"/>
              </w:rPr>
              <w:t>初期雨水、地面冲洗废水</w:t>
            </w:r>
            <w:r>
              <w:rPr>
                <w:rFonts w:hint="default" w:ascii="Times New Roman" w:hAnsi="Times New Roman" w:eastAsia="宋体" w:cs="Times New Roman"/>
                <w:color w:val="auto"/>
                <w:highlight w:val="none"/>
                <w:lang w:val="en-US" w:eastAsia="zh-CN"/>
              </w:rPr>
              <w:t>与设备外部清洗废水经厂区污水处理设施治理</w:t>
            </w:r>
            <w:r>
              <w:rPr>
                <w:rFonts w:hint="default" w:ascii="Times New Roman" w:hAnsi="Times New Roman" w:eastAsia="宋体" w:cs="Times New Roman"/>
                <w:color w:val="auto"/>
                <w:highlight w:val="none"/>
              </w:rPr>
              <w:t>达到江阴工业集中区污水处理厂纳管标准后，排入江阴工业集中区污水处理厂进一步处理，不影响兴化湾环境功能。各项废气采取防治措施后均可实现达标排放，各项固体废物均可得到妥善处置。采取相关环保措施后，项目污染物排放不会对区域环境质量底线造成冲击。</w:t>
            </w:r>
          </w:p>
          <w:p w14:paraId="7F43785B">
            <w:pPr>
              <w:pStyle w:val="112"/>
              <w:spacing w:line="360" w:lineRule="auto"/>
              <w:ind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（3）资源利用上线</w:t>
            </w:r>
          </w:p>
          <w:p w14:paraId="5B8815E7">
            <w:pPr>
              <w:pStyle w:val="112"/>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①水资源利用上线</w:t>
            </w:r>
          </w:p>
          <w:p w14:paraId="31C19669">
            <w:pPr>
              <w:keepNext w:val="0"/>
              <w:keepLines w:val="0"/>
              <w:widowControl/>
              <w:suppressLineNumbers w:val="0"/>
              <w:ind w:firstLine="480" w:firstLineChars="20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到2025年，全市总用水量目标值为28亿立方米，万元工业增加值用水量达到12立方米、万元GDP用水量达到19立方米、农田灌溉有效利用系数达到0.586。2035年指标以省人民政府下达为准。</w:t>
            </w:r>
          </w:p>
          <w:p w14:paraId="12B318B2">
            <w:pPr>
              <w:keepNext w:val="0"/>
              <w:keepLines w:val="0"/>
              <w:widowControl/>
              <w:suppressLineNumbers w:val="0"/>
              <w:ind w:firstLine="480" w:firstLineChars="20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②土地资源利用上线</w:t>
            </w:r>
          </w:p>
          <w:p w14:paraId="6104A286">
            <w:pPr>
              <w:keepNext w:val="0"/>
              <w:keepLines w:val="0"/>
              <w:widowControl/>
              <w:suppressLineNumbers w:val="0"/>
              <w:ind w:firstLine="480" w:firstLineChars="20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到2025年，耕地保有量达到947.53平方千米，基本农田保护面积达到844.82平方千米。2035年指标与2025年保持一致。</w:t>
            </w:r>
          </w:p>
          <w:p w14:paraId="0C4458CD">
            <w:pPr>
              <w:keepNext w:val="0"/>
              <w:keepLines w:val="0"/>
              <w:widowControl/>
              <w:suppressLineNumbers w:val="0"/>
              <w:ind w:firstLine="480" w:firstLineChars="20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③能源资源利用上线</w:t>
            </w:r>
          </w:p>
          <w:p w14:paraId="06ED8472">
            <w:pPr>
              <w:keepNext w:val="0"/>
              <w:keepLines w:val="0"/>
              <w:widowControl/>
              <w:suppressLineNumbers w:val="0"/>
              <w:ind w:firstLine="480" w:firstLineChars="2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到2025年，单位地区生产总值二氧化碳排放降低率达到19.5%，单位地区生产总值能源消耗降低率达到14%，非化石能源占一次能源消费比例达到32%。2035年指标以省人民政府下达为准。</w:t>
            </w:r>
          </w:p>
          <w:p w14:paraId="0ABFF512">
            <w:pPr>
              <w:pStyle w:val="112"/>
              <w:spacing w:line="360" w:lineRule="auto"/>
              <w:ind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建成运行后通过内部管理、设备选择、原辅材料的选用和管理、废物回收利用、污染治理等多方面采取合理可行的防治措施，以“节能、降耗、减污”为目标，有效地控制污染。项目的水、电等资源利用不会突破区域的资源利用上线。</w:t>
            </w:r>
          </w:p>
          <w:p w14:paraId="06F3944E">
            <w:pPr>
              <w:pStyle w:val="112"/>
              <w:spacing w:line="360" w:lineRule="auto"/>
              <w:ind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w:t>
            </w:r>
            <w:r>
              <w:rPr>
                <w:rFonts w:hint="default" w:ascii="Times New Roman" w:hAnsi="Times New Roman" w:eastAsia="宋体" w:cs="Times New Roman"/>
                <w:color w:val="auto"/>
                <w:kern w:val="0"/>
                <w:sz w:val="24"/>
                <w:szCs w:val="24"/>
                <w:lang w:val="en-US" w:eastAsia="zh-CN"/>
              </w:rPr>
              <w:t>生态环境准入</w:t>
            </w:r>
            <w:r>
              <w:rPr>
                <w:rFonts w:hint="default" w:ascii="Times New Roman" w:hAnsi="Times New Roman" w:eastAsia="宋体" w:cs="Times New Roman"/>
                <w:color w:val="auto"/>
                <w:kern w:val="0"/>
                <w:sz w:val="24"/>
                <w:szCs w:val="24"/>
              </w:rPr>
              <w:t>清单</w:t>
            </w:r>
          </w:p>
          <w:p w14:paraId="152FF9A6">
            <w:pPr>
              <w:widowControl w:val="0"/>
              <w:bidi w:val="0"/>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本项目未列入《福建省第一批国家重点生态功能区县（市）产业准入负面清单（试行）》，未列入《市场准入负面清单（202</w:t>
            </w:r>
            <w:r>
              <w:rPr>
                <w:rFonts w:hint="eastAsia"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年版）》禁止准入类。</w:t>
            </w:r>
          </w:p>
          <w:p w14:paraId="07AC4C1A">
            <w:pPr>
              <w:widowControl w:val="0"/>
              <w:bidi w:val="0"/>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①与《福建省人民政府关于实施“三线一单”生态环境分区管控的通知》符合性分析</w:t>
            </w:r>
          </w:p>
          <w:p w14:paraId="6BCDA349">
            <w:pPr>
              <w:widowControl w:val="0"/>
              <w:bidi w:val="0"/>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福建省人民政府关于实施“三线一单”生态环境分区管控的通知》（闽政[2020]12号）相关要求分析，项目所在位置属于福建省陆域区域。因此，项目对照全省生态环境总体准入要求中“全省陆域”部分，具体见表1.3-1。</w:t>
            </w:r>
          </w:p>
          <w:p w14:paraId="02304234">
            <w:pPr>
              <w:pStyle w:val="587"/>
              <w:bidi w:val="0"/>
              <w:rPr>
                <w:rFonts w:hint="default" w:ascii="Times New Roman" w:hAnsi="Times New Roman" w:eastAsia="宋体" w:cs="Times New Roman"/>
                <w:color w:val="auto"/>
                <w:lang w:val="en-US" w:eastAsia="zh-CN"/>
              </w:rPr>
            </w:pPr>
          </w:p>
          <w:p w14:paraId="0633012A">
            <w:pPr>
              <w:pStyle w:val="587"/>
              <w:bidi w:val="0"/>
              <w:rPr>
                <w:rFonts w:hint="default" w:ascii="Times New Roman" w:hAnsi="Times New Roman" w:eastAsia="宋体" w:cs="Times New Roman"/>
                <w:color w:val="auto"/>
                <w:lang w:val="en-US" w:eastAsia="zh-CN"/>
              </w:rPr>
            </w:pPr>
          </w:p>
          <w:p w14:paraId="50ACDC9B">
            <w:pPr>
              <w:pStyle w:val="587"/>
              <w:bidi w:val="0"/>
              <w:rPr>
                <w:rFonts w:hint="default" w:ascii="Times New Roman" w:hAnsi="Times New Roman" w:eastAsia="宋体" w:cs="Times New Roman"/>
                <w:color w:val="auto"/>
                <w:lang w:val="en-US" w:eastAsia="zh-CN"/>
              </w:rPr>
            </w:pPr>
          </w:p>
          <w:p w14:paraId="31FCDF3C">
            <w:pPr>
              <w:pStyle w:val="58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表1.3-1 与全省生态环境总体准入要求的符合性分析</w:t>
            </w:r>
          </w:p>
          <w:p w14:paraId="0578061D">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w:t>
            </w:r>
          </w:p>
          <w:p w14:paraId="261A4CC0">
            <w:pPr>
              <w:pStyle w:val="112"/>
              <w:spacing w:line="360" w:lineRule="auto"/>
              <w:ind w:firstLine="480" w:firstLineChars="200"/>
              <w:jc w:val="both"/>
              <w:rPr>
                <w:rFonts w:hint="default" w:ascii="Times New Roman" w:hAnsi="Times New Roman" w:eastAsia="宋体" w:cs="Times New Roman"/>
                <w:color w:val="auto"/>
                <w:sz w:val="24"/>
              </w:rPr>
            </w:pPr>
          </w:p>
          <w:p w14:paraId="786E31C3">
            <w:pPr>
              <w:pStyle w:val="176"/>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根据上述分析，本项目符合《福建省人民政府关于实施“三线一单”生态环境分区管控的通知》（闽政[2020]12号）中的相关规定。</w:t>
            </w:r>
          </w:p>
          <w:p w14:paraId="62CFF025">
            <w:pPr>
              <w:pStyle w:val="176"/>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②与《福州市生态环境分区管控方案（2023年更新）》符合性分析</w:t>
            </w:r>
          </w:p>
          <w:p w14:paraId="332B4332">
            <w:pPr>
              <w:pStyle w:val="176"/>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根据《福州市人民政府办公厅关于印发&lt;福州市生态环境分区管控方案（2023年更新）&gt;的通知》（榕政办规〔2024〕20号）相关要求分析，本项目位于福州市福清市江阴镇江阴港城经济区南部片区，</w:t>
            </w:r>
            <w:r>
              <w:rPr>
                <w:rFonts w:hint="eastAsia" w:cs="Times New Roman"/>
                <w:color w:val="auto"/>
                <w:lang w:val="en-US" w:eastAsia="zh-CN"/>
              </w:rPr>
              <w:t>经查询，</w:t>
            </w:r>
            <w:r>
              <w:rPr>
                <w:rFonts w:hint="default" w:ascii="Times New Roman" w:hAnsi="Times New Roman" w:eastAsia="宋体" w:cs="Times New Roman"/>
                <w:color w:val="auto"/>
                <w:lang w:val="en-US" w:eastAsia="zh-CN"/>
              </w:rPr>
              <w:t>属于</w:t>
            </w:r>
            <w:r>
              <w:rPr>
                <w:rFonts w:hint="eastAsia" w:cs="Times New Roman"/>
                <w:color w:val="auto"/>
                <w:lang w:val="en-US" w:eastAsia="zh-CN"/>
              </w:rPr>
              <w:t>福清市</w:t>
            </w:r>
            <w:r>
              <w:rPr>
                <w:rFonts w:hint="default" w:ascii="Times New Roman" w:hAnsi="Times New Roman" w:eastAsia="宋体" w:cs="Times New Roman"/>
                <w:color w:val="auto"/>
                <w:lang w:val="en-US" w:eastAsia="zh-CN"/>
              </w:rPr>
              <w:t>重点管控单元</w:t>
            </w:r>
            <w:r>
              <w:rPr>
                <w:rFonts w:hint="eastAsia" w:cs="Times New Roman"/>
                <w:color w:val="auto"/>
                <w:lang w:val="en-US" w:eastAsia="zh-CN"/>
              </w:rPr>
              <w:t>2（ZH35018120009）</w:t>
            </w:r>
            <w:r>
              <w:rPr>
                <w:rFonts w:hint="default" w:ascii="Times New Roman" w:hAnsi="Times New Roman" w:eastAsia="宋体" w:cs="Times New Roman"/>
                <w:color w:val="auto"/>
                <w:lang w:val="en-US" w:eastAsia="zh-CN"/>
              </w:rPr>
              <w:t>。本项目与福州市生态环境分区管控符合性分析具体见表1.3-2、1.3-3。</w:t>
            </w:r>
          </w:p>
          <w:p w14:paraId="483CE799">
            <w:pPr>
              <w:pStyle w:val="587"/>
              <w:bidi w:val="0"/>
              <w:rPr>
                <w:rFonts w:hint="default" w:ascii="Times New Roman" w:hAnsi="Times New Roman" w:eastAsia="宋体" w:cs="Times New Roman"/>
                <w:color w:val="auto"/>
                <w:lang w:val="en-US" w:eastAsia="zh-CN"/>
              </w:rPr>
            </w:pPr>
          </w:p>
          <w:p w14:paraId="25C13C55">
            <w:pPr>
              <w:pStyle w:val="58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表1.3-2本项目与</w:t>
            </w:r>
            <w:r>
              <w:rPr>
                <w:rFonts w:hint="eastAsia" w:cs="Times New Roman"/>
                <w:color w:val="auto"/>
                <w:lang w:val="en-US" w:eastAsia="zh-CN"/>
              </w:rPr>
              <w:t>福州市</w:t>
            </w:r>
            <w:r>
              <w:rPr>
                <w:rFonts w:hint="default" w:ascii="Times New Roman" w:hAnsi="Times New Roman" w:eastAsia="宋体" w:cs="Times New Roman"/>
                <w:color w:val="auto"/>
                <w:lang w:val="en-US" w:eastAsia="zh-CN"/>
              </w:rPr>
              <w:t>总体准入要求符合性分析</w:t>
            </w:r>
          </w:p>
          <w:p w14:paraId="7702F9CC">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w:t>
            </w:r>
          </w:p>
          <w:p w14:paraId="0C50EB99">
            <w:pPr>
              <w:pStyle w:val="112"/>
              <w:spacing w:line="360" w:lineRule="auto"/>
              <w:ind w:firstLine="480" w:firstLineChars="200"/>
              <w:jc w:val="both"/>
              <w:rPr>
                <w:rFonts w:hint="default" w:ascii="Times New Roman" w:hAnsi="Times New Roman" w:eastAsia="宋体" w:cs="Times New Roman"/>
                <w:color w:val="auto"/>
                <w:sz w:val="24"/>
              </w:rPr>
            </w:pPr>
          </w:p>
          <w:p w14:paraId="5DE9BD5D">
            <w:pPr>
              <w:pStyle w:val="587"/>
              <w:bidi w:val="0"/>
              <w:rPr>
                <w:rFonts w:hint="default" w:ascii="Times New Roman" w:hAnsi="Times New Roman" w:eastAsia="宋体" w:cs="Times New Roman"/>
                <w:color w:val="auto"/>
                <w:lang w:val="en-US" w:eastAsia="zh-CN"/>
              </w:rPr>
            </w:pPr>
          </w:p>
          <w:p w14:paraId="7F90F901">
            <w:pPr>
              <w:pStyle w:val="587"/>
              <w:bidi w:val="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lang w:val="en-US" w:eastAsia="zh-CN"/>
              </w:rPr>
              <w:t>表1.3-3本项目与福清市重点管控单元2生态环境准入清单符合性分析</w:t>
            </w:r>
          </w:p>
          <w:p w14:paraId="23FF4B5C">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w:t>
            </w:r>
          </w:p>
          <w:p w14:paraId="61620CB2">
            <w:pPr>
              <w:pStyle w:val="112"/>
              <w:spacing w:line="360" w:lineRule="auto"/>
              <w:ind w:firstLine="480" w:firstLineChars="200"/>
              <w:jc w:val="both"/>
              <w:rPr>
                <w:rFonts w:hint="default" w:ascii="Times New Roman" w:hAnsi="Times New Roman" w:eastAsia="宋体" w:cs="Times New Roman"/>
                <w:color w:val="auto"/>
                <w:sz w:val="24"/>
              </w:rPr>
            </w:pPr>
          </w:p>
          <w:p w14:paraId="68229759">
            <w:pPr>
              <w:pStyle w:val="8"/>
              <w:numPr>
                <w:ilvl w:val="0"/>
                <w:numId w:val="0"/>
              </w:numPr>
              <w:tabs>
                <w:tab w:val="left" w:pos="360"/>
                <w:tab w:val="clear" w:pos="5400"/>
              </w:tabs>
              <w:snapToGrid w:val="0"/>
              <w:rPr>
                <w:rFonts w:hint="default" w:ascii="Times New Roman" w:hAnsi="Times New Roman" w:eastAsia="宋体" w:cs="Times New Roman"/>
                <w:bCs w:val="0"/>
                <w:color w:val="auto"/>
                <w:szCs w:val="24"/>
                <w:lang w:val="en-US" w:eastAsia="zh-CN"/>
              </w:rPr>
            </w:pPr>
            <w:r>
              <w:rPr>
                <w:rFonts w:hint="default" w:ascii="Times New Roman" w:hAnsi="Times New Roman" w:eastAsia="宋体" w:cs="Times New Roman"/>
                <w:bCs w:val="0"/>
                <w:color w:val="auto"/>
                <w:szCs w:val="24"/>
                <w:lang w:val="en-US" w:eastAsia="zh-CN"/>
              </w:rPr>
              <w:t>1.4与挥发性有机物污染防治相关政策符合性分析</w:t>
            </w:r>
          </w:p>
          <w:p w14:paraId="5802FD5C">
            <w:pPr>
              <w:pageBreakBefore w:val="0"/>
              <w:widowControl w:val="0"/>
              <w:kinsoku/>
              <w:topLinePunct w:val="0"/>
              <w:autoSpaceDE/>
              <w:autoSpaceDN/>
              <w:bidi w:val="0"/>
              <w:spacing w:beforeLines="0" w:afterLines="0" w:line="240" w:lineRule="auto"/>
              <w:ind w:firstLine="0" w:firstLineChars="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1.4.1与《重点行业挥发性有机物综合治理方案》（环大气[2019]53号）的符合性分析</w:t>
            </w:r>
          </w:p>
          <w:p w14:paraId="0B86BB2A">
            <w:pPr>
              <w:pStyle w:val="587"/>
              <w:pageBreakBefore w:val="0"/>
              <w:widowControl w:val="0"/>
              <w:kinsoku/>
              <w:topLinePunct w:val="0"/>
              <w:autoSpaceDE/>
              <w:autoSpaceDN/>
              <w:bidi w:val="0"/>
              <w:spacing w:before="0" w:beforeLines="0" w:after="0" w:afterLines="0" w:line="240" w:lineRule="auto"/>
              <w:ind w:firstLine="0" w:firstLineChars="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表1.4-1本项目与《重点行业挥发性有机物综合治理方案》（环大气[2019]53号）的符合性分析</w:t>
            </w:r>
          </w:p>
          <w:p w14:paraId="5F654657">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w:t>
            </w:r>
          </w:p>
          <w:p w14:paraId="1272ADF1">
            <w:pPr>
              <w:pStyle w:val="112"/>
              <w:spacing w:line="360" w:lineRule="auto"/>
              <w:ind w:firstLine="480" w:firstLineChars="200"/>
              <w:jc w:val="both"/>
              <w:rPr>
                <w:rFonts w:hint="default" w:ascii="Times New Roman" w:hAnsi="Times New Roman" w:eastAsia="宋体" w:cs="Times New Roman"/>
                <w:color w:val="auto"/>
                <w:sz w:val="24"/>
              </w:rPr>
            </w:pPr>
          </w:p>
          <w:p w14:paraId="33F1C193">
            <w:pPr>
              <w:pageBreakBefore w:val="0"/>
              <w:widowControl w:val="0"/>
              <w:kinsoku/>
              <w:topLinePunct w:val="0"/>
              <w:autoSpaceDE/>
              <w:autoSpaceDN/>
              <w:bidi w:val="0"/>
              <w:spacing w:beforeLines="0" w:afterLines="0" w:line="240" w:lineRule="auto"/>
              <w:ind w:firstLine="0" w:firstLineChars="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1.4.2与《福建省2020年挥发性有机污染物治理攻坚实施方案》重点任务表符合性分析</w:t>
            </w:r>
          </w:p>
          <w:p w14:paraId="7FDB2432">
            <w:pPr>
              <w:pStyle w:val="587"/>
              <w:pageBreakBefore w:val="0"/>
              <w:widowControl w:val="0"/>
              <w:kinsoku/>
              <w:topLinePunct w:val="0"/>
              <w:autoSpaceDE/>
              <w:autoSpaceDN/>
              <w:bidi w:val="0"/>
              <w:spacing w:before="0" w:beforeLines="0" w:after="0" w:afterLines="0" w:line="240" w:lineRule="auto"/>
              <w:ind w:firstLine="0" w:firstLineChars="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表1.4-2本项目与《福建省2020年挥发性有机污染物治理攻坚实施方案》重点任务表符合性分析</w:t>
            </w:r>
          </w:p>
          <w:p w14:paraId="7CAE0A7F">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w:t>
            </w:r>
          </w:p>
          <w:p w14:paraId="0DBC2CBC">
            <w:pPr>
              <w:pStyle w:val="112"/>
              <w:spacing w:line="360" w:lineRule="auto"/>
              <w:ind w:firstLine="480" w:firstLineChars="200"/>
              <w:jc w:val="both"/>
              <w:rPr>
                <w:rFonts w:hint="default" w:ascii="Times New Roman" w:hAnsi="Times New Roman" w:eastAsia="宋体" w:cs="Times New Roman"/>
                <w:color w:val="auto"/>
                <w:sz w:val="24"/>
              </w:rPr>
            </w:pPr>
          </w:p>
          <w:p w14:paraId="78370F42">
            <w:pPr>
              <w:pageBreakBefore w:val="0"/>
              <w:widowControl w:val="0"/>
              <w:kinsoku/>
              <w:topLinePunct w:val="0"/>
              <w:autoSpaceDE/>
              <w:autoSpaceDN/>
              <w:bidi w:val="0"/>
              <w:spacing w:beforeLines="0" w:afterLines="0" w:line="240" w:lineRule="auto"/>
              <w:ind w:firstLine="0" w:firstLineChars="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1.4.3《福建省重点行业挥发性有机物污染防治工作方案》（闽环保大气〔2017〕6号）符合性分析</w:t>
            </w:r>
          </w:p>
          <w:p w14:paraId="571C52D5">
            <w:pPr>
              <w:pStyle w:val="587"/>
              <w:pageBreakBefore w:val="0"/>
              <w:widowControl w:val="0"/>
              <w:kinsoku/>
              <w:topLinePunct w:val="0"/>
              <w:autoSpaceDE/>
              <w:autoSpaceDN/>
              <w:bidi w:val="0"/>
              <w:spacing w:before="0" w:beforeLines="0" w:after="0" w:afterLines="0" w:line="240" w:lineRule="auto"/>
              <w:ind w:firstLine="0" w:firstLineChars="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表1.4-</w:t>
            </w:r>
            <w:r>
              <w:rPr>
                <w:rFonts w:hint="eastAsia" w:cs="Times New Roman"/>
                <w:color w:val="auto"/>
                <w:lang w:val="en-US" w:eastAsia="zh-CN"/>
              </w:rPr>
              <w:t xml:space="preserve">3 </w:t>
            </w:r>
            <w:r>
              <w:rPr>
                <w:rFonts w:hint="default" w:ascii="Times New Roman" w:hAnsi="Times New Roman" w:eastAsia="宋体" w:cs="Times New Roman"/>
                <w:color w:val="auto"/>
                <w:lang w:val="en-US" w:eastAsia="zh-CN"/>
              </w:rPr>
              <w:t>与《福建省重点行业挥发性有机物污染防治工作方案》（闽环保大气〔2017〕6号）符合性分析</w:t>
            </w:r>
          </w:p>
          <w:p w14:paraId="1EF3BD57">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w:t>
            </w:r>
          </w:p>
          <w:p w14:paraId="0ACF44ED">
            <w:pPr>
              <w:pStyle w:val="112"/>
              <w:spacing w:line="360" w:lineRule="auto"/>
              <w:ind w:firstLine="480" w:firstLineChars="200"/>
              <w:jc w:val="both"/>
              <w:rPr>
                <w:rFonts w:hint="default" w:ascii="Times New Roman" w:hAnsi="Times New Roman" w:eastAsia="宋体" w:cs="Times New Roman"/>
                <w:color w:val="auto"/>
                <w:sz w:val="24"/>
              </w:rPr>
            </w:pPr>
          </w:p>
          <w:p w14:paraId="794907BA">
            <w:pPr>
              <w:pageBreakBefore w:val="0"/>
              <w:widowControl w:val="0"/>
              <w:kinsoku/>
              <w:topLinePunct w:val="0"/>
              <w:autoSpaceDE/>
              <w:autoSpaceDN/>
              <w:bidi w:val="0"/>
              <w:spacing w:beforeLines="0" w:afterLines="0" w:line="240" w:lineRule="auto"/>
              <w:ind w:firstLine="0" w:firstLineChars="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1.4.</w:t>
            </w:r>
            <w:r>
              <w:rPr>
                <w:rFonts w:hint="eastAsia" w:cs="Times New Roman"/>
                <w:color w:val="auto"/>
                <w:lang w:val="en-US" w:eastAsia="zh-CN"/>
              </w:rPr>
              <w:t>4</w:t>
            </w:r>
            <w:r>
              <w:rPr>
                <w:rFonts w:hint="default" w:ascii="Times New Roman" w:hAnsi="Times New Roman" w:eastAsia="宋体" w:cs="Times New Roman"/>
                <w:color w:val="auto"/>
                <w:lang w:val="en-US" w:eastAsia="zh-CN"/>
              </w:rPr>
              <w:t>与《福州市挥发性有机物污染整治工作方案》（榕政办〔2017〕169号）符合性分析</w:t>
            </w:r>
          </w:p>
          <w:p w14:paraId="702B96A7">
            <w:pPr>
              <w:pStyle w:val="587"/>
              <w:pageBreakBefore w:val="0"/>
              <w:widowControl w:val="0"/>
              <w:kinsoku/>
              <w:topLinePunct w:val="0"/>
              <w:autoSpaceDE/>
              <w:autoSpaceDN/>
              <w:bidi w:val="0"/>
              <w:spacing w:before="0" w:beforeLines="0" w:after="0" w:afterLines="0" w:line="240" w:lineRule="auto"/>
              <w:ind w:firstLine="0" w:firstLineChars="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表1.4-</w:t>
            </w:r>
            <w:r>
              <w:rPr>
                <w:rFonts w:hint="eastAsia" w:cs="Times New Roman"/>
                <w:color w:val="auto"/>
                <w:lang w:val="en-US" w:eastAsia="zh-CN"/>
              </w:rPr>
              <w:t>4</w:t>
            </w:r>
            <w:r>
              <w:rPr>
                <w:rFonts w:hint="default" w:ascii="Times New Roman" w:hAnsi="Times New Roman" w:eastAsia="宋体" w:cs="Times New Roman"/>
                <w:color w:val="auto"/>
                <w:lang w:val="en-US" w:eastAsia="zh-CN"/>
              </w:rPr>
              <w:t>与《福州市挥发性有机物污染整治工作方案》（榕政办〔2017〕169号）符合性分析</w:t>
            </w:r>
          </w:p>
          <w:p w14:paraId="6E11874D">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w:t>
            </w:r>
          </w:p>
          <w:p w14:paraId="0D771A3E">
            <w:pPr>
              <w:pStyle w:val="112"/>
              <w:spacing w:line="360" w:lineRule="auto"/>
              <w:ind w:firstLine="480" w:firstLineChars="200"/>
              <w:jc w:val="both"/>
              <w:rPr>
                <w:rFonts w:hint="default" w:ascii="Times New Roman" w:hAnsi="Times New Roman" w:eastAsia="宋体" w:cs="Times New Roman"/>
                <w:color w:val="auto"/>
                <w:sz w:val="24"/>
              </w:rPr>
            </w:pPr>
          </w:p>
          <w:p w14:paraId="61E163BE">
            <w:pPr>
              <w:pageBreakBefore w:val="0"/>
              <w:widowControl w:val="0"/>
              <w:kinsoku/>
              <w:topLinePunct w:val="0"/>
              <w:autoSpaceDE/>
              <w:autoSpaceDN/>
              <w:bidi w:val="0"/>
              <w:spacing w:beforeLines="0" w:afterLines="0" w:line="240" w:lineRule="auto"/>
              <w:ind w:firstLine="0" w:firstLineChars="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1.4.</w:t>
            </w:r>
            <w:r>
              <w:rPr>
                <w:rFonts w:hint="eastAsia" w:cs="Times New Roman"/>
                <w:color w:val="auto"/>
                <w:lang w:val="en-US" w:eastAsia="zh-CN"/>
              </w:rPr>
              <w:t>5</w:t>
            </w:r>
            <w:r>
              <w:rPr>
                <w:rFonts w:hint="default" w:ascii="Times New Roman" w:hAnsi="Times New Roman" w:eastAsia="宋体" w:cs="Times New Roman"/>
                <w:color w:val="auto"/>
                <w:lang w:val="en-US" w:eastAsia="zh-CN"/>
              </w:rPr>
              <w:t>与《2021年福州市提升空气质量行动计划》的通知（榕环委办〔2021〕23号）</w:t>
            </w:r>
          </w:p>
          <w:p w14:paraId="6437E200">
            <w:pPr>
              <w:pStyle w:val="587"/>
              <w:pageBreakBefore w:val="0"/>
              <w:widowControl w:val="0"/>
              <w:kinsoku/>
              <w:topLinePunct w:val="0"/>
              <w:autoSpaceDE/>
              <w:autoSpaceDN/>
              <w:bidi w:val="0"/>
              <w:spacing w:before="0" w:beforeLines="0" w:after="0" w:afterLines="0" w:line="240" w:lineRule="auto"/>
              <w:ind w:firstLine="0" w:firstLineChars="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表1.4-</w:t>
            </w:r>
            <w:r>
              <w:rPr>
                <w:rFonts w:hint="eastAsia" w:cs="Times New Roman"/>
                <w:color w:val="auto"/>
                <w:lang w:val="en-US" w:eastAsia="zh-CN"/>
              </w:rPr>
              <w:t>5</w:t>
            </w:r>
            <w:r>
              <w:rPr>
                <w:rFonts w:hint="default" w:ascii="Times New Roman" w:hAnsi="Times New Roman" w:eastAsia="宋体" w:cs="Times New Roman"/>
                <w:color w:val="auto"/>
                <w:lang w:val="en-US" w:eastAsia="zh-CN"/>
              </w:rPr>
              <w:t>与《2021年福州市提升空气质量行动计划》符合性分析</w:t>
            </w:r>
          </w:p>
          <w:p w14:paraId="7236E7FF">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w:t>
            </w:r>
          </w:p>
          <w:p w14:paraId="0D5B8648">
            <w:pPr>
              <w:pStyle w:val="112"/>
              <w:spacing w:line="360" w:lineRule="auto"/>
              <w:ind w:firstLine="480" w:firstLineChars="200"/>
              <w:jc w:val="both"/>
              <w:rPr>
                <w:rFonts w:hint="default" w:ascii="Times New Roman" w:hAnsi="Times New Roman" w:eastAsia="宋体" w:cs="Times New Roman"/>
                <w:color w:val="auto"/>
                <w:sz w:val="24"/>
              </w:rPr>
            </w:pPr>
          </w:p>
          <w:p w14:paraId="5CEC42E5">
            <w:pPr>
              <w:keepNext/>
              <w:keepLines/>
              <w:pageBreakBefore w:val="0"/>
              <w:widowControl w:val="0"/>
              <w:kinsoku/>
              <w:topLinePunct w:val="0"/>
              <w:autoSpaceDE/>
              <w:autoSpaceDN/>
              <w:bidi w:val="0"/>
              <w:spacing w:beforeAutospacing="0" w:afterAutospacing="0" w:line="240" w:lineRule="auto"/>
              <w:ind w:firstLine="0" w:firstLineChars="0"/>
              <w:jc w:val="left"/>
              <w:textAlignment w:val="auto"/>
              <w:outlineLvl w:val="9"/>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1.4.</w:t>
            </w:r>
            <w:r>
              <w:rPr>
                <w:rFonts w:hint="eastAsia" w:cs="Times New Roman"/>
                <w:b/>
                <w:color w:val="auto"/>
                <w:kern w:val="2"/>
                <w:sz w:val="24"/>
                <w:szCs w:val="24"/>
                <w:lang w:val="en-US" w:eastAsia="zh-CN" w:bidi="ar-SA"/>
              </w:rPr>
              <w:t>6</w:t>
            </w:r>
            <w:r>
              <w:rPr>
                <w:rFonts w:hint="default" w:ascii="Times New Roman" w:hAnsi="Times New Roman" w:eastAsia="宋体" w:cs="Times New Roman"/>
                <w:b/>
                <w:color w:val="auto"/>
                <w:kern w:val="2"/>
                <w:sz w:val="24"/>
                <w:szCs w:val="24"/>
                <w:lang w:val="en-US" w:eastAsia="zh-CN" w:bidi="ar-SA"/>
              </w:rPr>
              <w:t>与《2022年度福州市蓝天保卫战行动计划》符合性分析</w:t>
            </w:r>
          </w:p>
          <w:p w14:paraId="1DBB4D8B">
            <w:pPr>
              <w:pageBreakBefore w:val="0"/>
              <w:widowControl w:val="0"/>
              <w:kinsoku/>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color w:val="auto"/>
                <w:kern w:val="0"/>
                <w:sz w:val="24"/>
                <w:szCs w:val="20"/>
                <w:lang w:val="en-US" w:eastAsia="zh-CN" w:bidi="ar-SA"/>
              </w:rPr>
            </w:pPr>
            <w:r>
              <w:rPr>
                <w:rFonts w:hint="default" w:ascii="Times New Roman" w:hAnsi="Times New Roman" w:eastAsia="宋体" w:cs="Times New Roman"/>
                <w:b/>
                <w:color w:val="auto"/>
                <w:kern w:val="0"/>
                <w:sz w:val="24"/>
                <w:szCs w:val="20"/>
                <w:lang w:val="en-US" w:eastAsia="zh-CN" w:bidi="ar-SA"/>
              </w:rPr>
              <w:t>表1.4-</w:t>
            </w:r>
            <w:r>
              <w:rPr>
                <w:rFonts w:hint="eastAsia" w:cs="Times New Roman"/>
                <w:b/>
                <w:color w:val="auto"/>
                <w:kern w:val="0"/>
                <w:sz w:val="24"/>
                <w:szCs w:val="20"/>
                <w:lang w:val="en-US" w:eastAsia="zh-CN" w:bidi="ar-SA"/>
              </w:rPr>
              <w:t>6</w:t>
            </w:r>
            <w:r>
              <w:rPr>
                <w:rFonts w:hint="default" w:ascii="Times New Roman" w:hAnsi="Times New Roman" w:eastAsia="宋体" w:cs="Times New Roman"/>
                <w:b/>
                <w:color w:val="auto"/>
                <w:kern w:val="0"/>
                <w:sz w:val="24"/>
                <w:szCs w:val="20"/>
                <w:lang w:val="en-US" w:eastAsia="zh-CN" w:bidi="ar-SA"/>
              </w:rPr>
              <w:t>与《2022年度福州市蓝天保卫战行动计划》符合性分析</w:t>
            </w:r>
          </w:p>
          <w:p w14:paraId="7BF888CF">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w:t>
            </w:r>
          </w:p>
          <w:p w14:paraId="7DA32B8F">
            <w:pPr>
              <w:pStyle w:val="112"/>
              <w:spacing w:line="360" w:lineRule="auto"/>
              <w:ind w:firstLine="480" w:firstLineChars="200"/>
              <w:jc w:val="both"/>
              <w:rPr>
                <w:rFonts w:hint="default" w:ascii="Times New Roman" w:hAnsi="Times New Roman" w:eastAsia="宋体" w:cs="Times New Roman"/>
                <w:color w:val="auto"/>
                <w:sz w:val="24"/>
              </w:rPr>
            </w:pPr>
          </w:p>
          <w:p w14:paraId="7EDC3E8A">
            <w:pPr>
              <w:pageBreakBefore w:val="0"/>
              <w:widowControl w:val="0"/>
              <w:kinsoku/>
              <w:topLinePunct w:val="0"/>
              <w:autoSpaceDE/>
              <w:autoSpaceDN/>
              <w:bidi w:val="0"/>
              <w:spacing w:line="240" w:lineRule="auto"/>
              <w:ind w:firstLine="480" w:firstLineChars="200"/>
              <w:textAlignment w:val="auto"/>
              <w:outlineLvl w:val="9"/>
              <w:rPr>
                <w:rFonts w:hint="default" w:ascii="Times New Roman" w:hAnsi="Times New Roman" w:eastAsia="宋体" w:cs="Times New Roman"/>
                <w:color w:val="auto"/>
                <w:lang w:val="en-US" w:eastAsia="zh-CN"/>
              </w:rPr>
            </w:pPr>
          </w:p>
          <w:p w14:paraId="26CF8DC0">
            <w:pPr>
              <w:pStyle w:val="176"/>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综上所述，本项目通过有效的污染防治措施后，挥发性有机物能够得到合理的控制，符合挥发性有机物污染防治的相关政策的要求。</w:t>
            </w:r>
          </w:p>
          <w:p w14:paraId="6E2354D0">
            <w:pPr>
              <w:pStyle w:val="543"/>
              <w:rPr>
                <w:rFonts w:hint="default" w:ascii="Times New Roman" w:hAnsi="Times New Roman" w:eastAsia="宋体" w:cs="Times New Roman"/>
                <w:b w:val="0"/>
                <w:bCs w:val="0"/>
                <w:color w:val="auto"/>
                <w:highlight w:val="none"/>
              </w:rPr>
            </w:pPr>
          </w:p>
        </w:tc>
      </w:tr>
    </w:tbl>
    <w:p w14:paraId="3323916D">
      <w:pPr>
        <w:ind w:firstLine="0" w:firstLineChars="0"/>
        <w:jc w:val="center"/>
        <w:rPr>
          <w:rFonts w:hint="default" w:ascii="Times New Roman" w:hAnsi="Times New Roman" w:eastAsia="宋体" w:cs="Times New Roman"/>
          <w:b/>
          <w:color w:val="auto"/>
          <w:sz w:val="30"/>
          <w:szCs w:val="30"/>
        </w:rPr>
        <w:sectPr>
          <w:footerReference r:id="rId14" w:type="default"/>
          <w:pgSz w:w="11905"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26" w:charSpace="0"/>
        </w:sectPr>
      </w:pPr>
    </w:p>
    <w:p w14:paraId="69C08D70">
      <w:pPr>
        <w:pStyle w:val="5"/>
        <w:keepNext w:val="0"/>
        <w:keepLines w:val="0"/>
        <w:pageBreakBefore w:val="0"/>
        <w:widowControl w:val="0"/>
        <w:numPr>
          <w:ilvl w:val="0"/>
          <w:numId w:val="9"/>
        </w:numPr>
        <w:kinsoku/>
        <w:wordWrap/>
        <w:overflowPunct/>
        <w:topLinePunct w:val="0"/>
        <w:autoSpaceDE/>
        <w:autoSpaceDN/>
        <w:bidi w:val="0"/>
        <w:adjustRightInd/>
        <w:snapToGrid/>
        <w:ind w:left="0" w:leftChars="0" w:firstLineChars="0"/>
        <w:jc w:val="center"/>
        <w:textAlignment w:val="auto"/>
        <w:rPr>
          <w:rFonts w:hint="default" w:ascii="Times New Roman" w:hAnsi="Times New Roman" w:eastAsia="宋体" w:cs="Times New Roman"/>
          <w:snapToGrid w:val="0"/>
          <w:color w:val="auto"/>
          <w:sz w:val="28"/>
          <w:szCs w:val="28"/>
        </w:rPr>
      </w:pPr>
      <w:r>
        <w:rPr>
          <w:rFonts w:hint="default" w:ascii="Times New Roman" w:hAnsi="Times New Roman" w:eastAsia="宋体" w:cs="Times New Roman"/>
          <w:snapToGrid w:val="0"/>
          <w:color w:val="auto"/>
          <w:sz w:val="28"/>
          <w:szCs w:val="28"/>
        </w:rPr>
        <w:t>建设项目工程分析</w:t>
      </w:r>
    </w:p>
    <w:tbl>
      <w:tblPr>
        <w:tblStyle w:val="48"/>
        <w:tblW w:w="90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24"/>
      </w:tblGrid>
      <w:tr w14:paraId="2CB5F2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71" w:hRule="atLeast"/>
          <w:jc w:val="center"/>
        </w:trPr>
        <w:tc>
          <w:tcPr>
            <w:tcW w:w="426" w:type="dxa"/>
            <w:vAlign w:val="center"/>
          </w:tcPr>
          <w:p w14:paraId="02FF8860">
            <w:pPr>
              <w:pStyle w:val="112"/>
              <w:rPr>
                <w:rFonts w:hint="default" w:ascii="Times New Roman" w:hAnsi="Times New Roman" w:eastAsia="宋体" w:cs="Times New Roman"/>
                <w:color w:val="auto"/>
              </w:rPr>
            </w:pPr>
            <w:r>
              <w:rPr>
                <w:rFonts w:hint="default" w:ascii="Times New Roman" w:hAnsi="Times New Roman" w:eastAsia="宋体" w:cs="Times New Roman"/>
                <w:color w:val="auto"/>
              </w:rPr>
              <w:t>建设内容</w:t>
            </w:r>
          </w:p>
        </w:tc>
        <w:tc>
          <w:tcPr>
            <w:tcW w:w="8624" w:type="dxa"/>
            <w:vAlign w:val="center"/>
          </w:tcPr>
          <w:p w14:paraId="3E41E566">
            <w:pPr>
              <w:pStyle w:val="6"/>
              <w:spacing w:before="120" w:after="120"/>
              <w:rPr>
                <w:rFonts w:hint="default" w:ascii="Times New Roman" w:hAnsi="Times New Roman" w:eastAsia="宋体" w:cs="Times New Roman"/>
                <w:bCs w:val="0"/>
                <w:color w:val="auto"/>
                <w:kern w:val="2"/>
                <w:sz w:val="28"/>
                <w:szCs w:val="30"/>
              </w:rPr>
            </w:pPr>
            <w:r>
              <w:rPr>
                <w:rFonts w:hint="default" w:ascii="Times New Roman" w:hAnsi="Times New Roman" w:eastAsia="宋体" w:cs="Times New Roman"/>
                <w:bCs w:val="0"/>
                <w:color w:val="auto"/>
                <w:kern w:val="2"/>
                <w:sz w:val="28"/>
                <w:szCs w:val="30"/>
              </w:rPr>
              <w:t>2.1项目基本情况</w:t>
            </w:r>
          </w:p>
          <w:p w14:paraId="32D3DAB1">
            <w:pPr>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（1）项目名称：</w:t>
            </w:r>
            <w:r>
              <w:rPr>
                <w:rFonts w:hint="default" w:ascii="Times New Roman" w:hAnsi="Times New Roman" w:eastAsia="宋体" w:cs="Times New Roman"/>
                <w:color w:val="auto"/>
                <w:lang w:eastAsia="zh-CN"/>
              </w:rPr>
              <w:t>密尔克卫（福建）危险化学品供应链一体化基地项目</w:t>
            </w:r>
          </w:p>
          <w:p w14:paraId="2119778A">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（2）建设性质：新建</w:t>
            </w:r>
          </w:p>
          <w:p w14:paraId="60EAD828">
            <w:pPr>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（3）建设单位：</w:t>
            </w:r>
            <w:r>
              <w:rPr>
                <w:rFonts w:hint="default" w:ascii="Times New Roman" w:hAnsi="Times New Roman" w:eastAsia="宋体" w:cs="Times New Roman"/>
                <w:color w:val="auto"/>
                <w:lang w:eastAsia="zh-CN"/>
              </w:rPr>
              <w:t>福州密尔克卫供应链管理有限公司</w:t>
            </w:r>
          </w:p>
          <w:p w14:paraId="16F45959">
            <w:pPr>
              <w:ind w:firstLine="480"/>
              <w:rPr>
                <w:rFonts w:hint="default" w:ascii="Times New Roman" w:hAnsi="Times New Roman" w:eastAsia="宋体" w:cs="Times New Roman"/>
                <w:color w:val="auto"/>
                <w:kern w:val="0"/>
                <w:lang w:eastAsia="zh-CN"/>
              </w:rPr>
            </w:pPr>
            <w:r>
              <w:rPr>
                <w:rFonts w:hint="default" w:ascii="Times New Roman" w:hAnsi="Times New Roman" w:eastAsia="宋体" w:cs="Times New Roman"/>
                <w:color w:val="auto"/>
              </w:rPr>
              <w:t>（4）建设地点：</w:t>
            </w:r>
            <w:r>
              <w:rPr>
                <w:rFonts w:hint="default" w:ascii="Times New Roman" w:hAnsi="Times New Roman" w:eastAsia="宋体" w:cs="Times New Roman"/>
                <w:color w:val="auto"/>
                <w:kern w:val="0"/>
                <w:lang w:eastAsia="zh-CN"/>
              </w:rPr>
              <w:t>福州市福清市江阴镇江阴港城经济区南部片区（福州密尔克卫供应链管理有限公司厂区内）</w:t>
            </w:r>
          </w:p>
          <w:p w14:paraId="5AE5E5CD">
            <w:pPr>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（5）投资额：总投资</w:t>
            </w:r>
            <w:r>
              <w:rPr>
                <w:rFonts w:hint="default" w:ascii="Times New Roman" w:hAnsi="Times New Roman" w:eastAsia="宋体" w:cs="Times New Roman"/>
                <w:color w:val="auto"/>
                <w:lang w:val="en-US" w:eastAsia="zh-CN"/>
              </w:rPr>
              <w:t>30000</w:t>
            </w:r>
            <w:r>
              <w:rPr>
                <w:rFonts w:hint="default" w:ascii="Times New Roman" w:hAnsi="Times New Roman" w:eastAsia="宋体" w:cs="Times New Roman"/>
                <w:color w:val="auto"/>
                <w:lang w:eastAsia="zh-CN"/>
              </w:rPr>
              <w:t>万元</w:t>
            </w:r>
          </w:p>
          <w:p w14:paraId="5173B1EC">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（6）面积：</w:t>
            </w:r>
            <w:r>
              <w:rPr>
                <w:rFonts w:hint="default" w:ascii="Times New Roman" w:hAnsi="Times New Roman" w:eastAsia="宋体" w:cs="Times New Roman"/>
                <w:color w:val="auto"/>
                <w:lang w:val="en-US" w:eastAsia="zh-CN"/>
              </w:rPr>
              <w:t>占地面积66667</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lang w:val="en-US" w:eastAsia="zh-CN"/>
              </w:rPr>
              <w:t>；总建筑</w:t>
            </w:r>
            <w:r>
              <w:rPr>
                <w:rFonts w:hint="default" w:ascii="Times New Roman" w:hAnsi="Times New Roman" w:eastAsia="宋体" w:cs="Times New Roman"/>
                <w:color w:val="auto"/>
                <w:lang w:eastAsia="zh-CN"/>
              </w:rPr>
              <w:t>面积</w:t>
            </w:r>
            <w:r>
              <w:rPr>
                <w:rFonts w:hint="default" w:ascii="Times New Roman" w:hAnsi="Times New Roman" w:eastAsia="宋体" w:cs="Times New Roman"/>
                <w:color w:val="auto"/>
                <w:lang w:val="en-US" w:eastAsia="zh-CN"/>
              </w:rPr>
              <w:t>33628.5</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p w14:paraId="1F47A713">
            <w:pPr>
              <w:ind w:firstLine="480"/>
              <w:rPr>
                <w:rFonts w:hint="default" w:ascii="Times New Roman" w:hAnsi="Times New Roman" w:eastAsia="宋体" w:cs="Times New Roman"/>
                <w:color w:val="auto"/>
                <w:kern w:val="0"/>
                <w:lang w:eastAsia="zh-CN"/>
              </w:rPr>
            </w:pPr>
            <w:r>
              <w:rPr>
                <w:rFonts w:hint="default" w:ascii="Times New Roman" w:hAnsi="Times New Roman" w:eastAsia="宋体" w:cs="Times New Roman"/>
                <w:color w:val="auto"/>
              </w:rPr>
              <w:t>（7）建</w:t>
            </w:r>
            <w:r>
              <w:rPr>
                <w:rFonts w:hint="default" w:ascii="Times New Roman" w:hAnsi="Times New Roman" w:eastAsia="宋体" w:cs="Times New Roman"/>
                <w:color w:val="auto"/>
                <w:kern w:val="0"/>
                <w:lang w:eastAsia="zh-CN"/>
              </w:rPr>
              <w:t>设规模：年</w:t>
            </w:r>
            <w:r>
              <w:rPr>
                <w:rFonts w:hint="default" w:ascii="Times New Roman" w:hAnsi="Times New Roman" w:eastAsia="宋体" w:cs="Times New Roman"/>
                <w:color w:val="auto"/>
                <w:kern w:val="0"/>
                <w:lang w:val="en-US" w:eastAsia="zh-CN"/>
              </w:rPr>
              <w:t>仓储危化品180000吨</w:t>
            </w:r>
          </w:p>
          <w:p w14:paraId="53AEC584">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（8）职工人数：</w:t>
            </w:r>
            <w:r>
              <w:rPr>
                <w:rFonts w:hint="default" w:ascii="Times New Roman" w:hAnsi="Times New Roman" w:eastAsia="宋体" w:cs="Times New Roman"/>
                <w:color w:val="auto"/>
                <w:highlight w:val="none"/>
                <w:lang w:val="en-US" w:eastAsia="zh-CN"/>
              </w:rPr>
              <w:t>50</w:t>
            </w:r>
            <w:r>
              <w:rPr>
                <w:rFonts w:hint="default" w:ascii="Times New Roman" w:hAnsi="Times New Roman" w:eastAsia="宋体" w:cs="Times New Roman"/>
                <w:color w:val="auto"/>
                <w:highlight w:val="none"/>
              </w:rPr>
              <w:t>人（</w:t>
            </w:r>
            <w:r>
              <w:rPr>
                <w:rFonts w:hint="default" w:ascii="Times New Roman" w:hAnsi="Times New Roman" w:eastAsia="宋体" w:cs="Times New Roman"/>
                <w:color w:val="auto"/>
                <w:highlight w:val="none"/>
                <w:lang w:val="en-US" w:eastAsia="zh-CN"/>
              </w:rPr>
              <w:t>均</w:t>
            </w:r>
            <w:r>
              <w:rPr>
                <w:rFonts w:hint="default" w:ascii="Times New Roman" w:hAnsi="Times New Roman" w:eastAsia="宋体" w:cs="Times New Roman"/>
                <w:color w:val="auto"/>
                <w:highlight w:val="none"/>
              </w:rPr>
              <w:t>不住厂）</w:t>
            </w:r>
          </w:p>
          <w:p w14:paraId="5F0DA81D">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（9）工作制度：年工作日3</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0天，</w:t>
            </w:r>
            <w:r>
              <w:rPr>
                <w:rFonts w:hint="default" w:ascii="Times New Roman" w:hAnsi="Times New Roman" w:eastAsia="宋体" w:cs="Times New Roman"/>
                <w:color w:val="auto"/>
                <w:highlight w:val="none"/>
                <w:lang w:val="en-US" w:eastAsia="zh-CN"/>
              </w:rPr>
              <w:t>实行三</w:t>
            </w:r>
            <w:r>
              <w:rPr>
                <w:rFonts w:hint="default" w:ascii="Times New Roman" w:hAnsi="Times New Roman" w:eastAsia="宋体" w:cs="Times New Roman"/>
                <w:color w:val="auto"/>
                <w:highlight w:val="none"/>
              </w:rPr>
              <w:t>班制生产，每</w:t>
            </w:r>
            <w:r>
              <w:rPr>
                <w:rFonts w:hint="default" w:ascii="Times New Roman" w:hAnsi="Times New Roman" w:eastAsia="宋体" w:cs="Times New Roman"/>
                <w:color w:val="auto"/>
                <w:highlight w:val="none"/>
                <w:lang w:val="en-US" w:eastAsia="zh-CN"/>
              </w:rPr>
              <w:t>班</w:t>
            </w:r>
            <w:r>
              <w:rPr>
                <w:rFonts w:hint="default" w:ascii="Times New Roman" w:hAnsi="Times New Roman" w:eastAsia="宋体" w:cs="Times New Roman"/>
                <w:color w:val="auto"/>
                <w:highlight w:val="none"/>
              </w:rPr>
              <w:t>工作8小时</w:t>
            </w:r>
          </w:p>
          <w:p w14:paraId="550C6A66">
            <w:pPr>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sz w:val="28"/>
                <w:szCs w:val="30"/>
                <w:highlight w:val="none"/>
              </w:rPr>
              <w:t>2.2项目建设内容</w:t>
            </w:r>
          </w:p>
          <w:p w14:paraId="7AE9D168">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本项目位于</w:t>
            </w:r>
            <w:r>
              <w:rPr>
                <w:rFonts w:hint="default" w:ascii="Times New Roman" w:hAnsi="Times New Roman" w:eastAsia="宋体" w:cs="Times New Roman"/>
                <w:color w:val="auto"/>
                <w:highlight w:val="none"/>
                <w:lang w:eastAsia="zh-CN"/>
              </w:rPr>
              <w:t>福州市福清市江阴镇江阴港城经济区南部片区（福州密尔克卫供应链管理有限公司厂区内）</w:t>
            </w:r>
            <w:r>
              <w:rPr>
                <w:rFonts w:hint="default" w:ascii="Times New Roman" w:hAnsi="Times New Roman" w:eastAsia="宋体" w:cs="Times New Roman"/>
                <w:color w:val="auto"/>
                <w:highlight w:val="none"/>
              </w:rPr>
              <w:t>，项目建设内容见表2.2-1。</w:t>
            </w:r>
          </w:p>
          <w:p w14:paraId="339CDD22">
            <w:pPr>
              <w:pStyle w:val="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表2.2-1项目建设内容情况一览表</w:t>
            </w:r>
          </w:p>
          <w:p w14:paraId="047D1A55">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w:t>
            </w:r>
          </w:p>
          <w:p w14:paraId="7BC58257">
            <w:pPr>
              <w:pStyle w:val="112"/>
              <w:spacing w:line="360" w:lineRule="auto"/>
              <w:ind w:firstLine="480" w:firstLineChars="200"/>
              <w:jc w:val="both"/>
              <w:rPr>
                <w:rFonts w:hint="default" w:ascii="Times New Roman" w:hAnsi="Times New Roman" w:eastAsia="宋体" w:cs="Times New Roman"/>
                <w:color w:val="auto"/>
                <w:sz w:val="24"/>
              </w:rPr>
            </w:pPr>
          </w:p>
          <w:p w14:paraId="18017040">
            <w:pPr>
              <w:pStyle w:val="6"/>
              <w:spacing w:before="120" w:after="120"/>
              <w:rPr>
                <w:rFonts w:hint="default" w:ascii="Times New Roman" w:hAnsi="Times New Roman" w:eastAsia="宋体" w:cs="Times New Roman"/>
                <w:color w:val="auto"/>
              </w:rPr>
            </w:pPr>
            <w:r>
              <w:rPr>
                <w:rFonts w:hint="default" w:ascii="Times New Roman" w:hAnsi="Times New Roman" w:eastAsia="宋体" w:cs="Times New Roman"/>
                <w:color w:val="auto"/>
              </w:rPr>
              <w:t>2.3产品方案</w:t>
            </w:r>
          </w:p>
          <w:p w14:paraId="44FB4473">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本项目主要</w:t>
            </w:r>
            <w:r>
              <w:rPr>
                <w:rFonts w:hint="default" w:ascii="Times New Roman" w:hAnsi="Times New Roman" w:eastAsia="宋体" w:cs="Times New Roman"/>
                <w:color w:val="auto"/>
                <w:lang w:val="en-US" w:eastAsia="zh-CN"/>
              </w:rPr>
              <w:t>为仓储/运出危化品项目</w:t>
            </w:r>
            <w:r>
              <w:rPr>
                <w:rFonts w:hint="default" w:ascii="Times New Roman" w:hAnsi="Times New Roman" w:eastAsia="宋体" w:cs="Times New Roman"/>
                <w:color w:val="auto"/>
              </w:rPr>
              <w:t>，项目产品方案见表2.3-1。</w:t>
            </w:r>
          </w:p>
          <w:p w14:paraId="75AD906E">
            <w:pPr>
              <w:pStyle w:val="118"/>
              <w:rPr>
                <w:rFonts w:hint="default" w:ascii="Times New Roman" w:hAnsi="Times New Roman" w:eastAsia="宋体" w:cs="Times New Roman"/>
                <w:color w:val="auto"/>
              </w:rPr>
            </w:pPr>
          </w:p>
          <w:p w14:paraId="683F3750">
            <w:pPr>
              <w:pStyle w:val="118"/>
              <w:rPr>
                <w:rFonts w:hint="default" w:ascii="Times New Roman" w:hAnsi="Times New Roman" w:eastAsia="宋体" w:cs="Times New Roman"/>
                <w:color w:val="auto"/>
              </w:rPr>
            </w:pPr>
          </w:p>
          <w:p w14:paraId="76B7A7E5">
            <w:pPr>
              <w:pStyle w:val="118"/>
              <w:rPr>
                <w:rFonts w:hint="default" w:ascii="Times New Roman" w:hAnsi="Times New Roman" w:eastAsia="宋体" w:cs="Times New Roman"/>
                <w:color w:val="auto"/>
              </w:rPr>
            </w:pPr>
          </w:p>
          <w:p w14:paraId="36AD61CB">
            <w:pPr>
              <w:pStyle w:val="118"/>
              <w:rPr>
                <w:rFonts w:hint="default" w:ascii="Times New Roman" w:hAnsi="Times New Roman" w:eastAsia="宋体" w:cs="Times New Roman"/>
                <w:color w:val="auto"/>
              </w:rPr>
            </w:pPr>
          </w:p>
          <w:p w14:paraId="6800376E">
            <w:pPr>
              <w:pStyle w:val="118"/>
              <w:rPr>
                <w:rFonts w:hint="default" w:ascii="Times New Roman" w:hAnsi="Times New Roman" w:eastAsia="宋体" w:cs="Times New Roman"/>
                <w:color w:val="auto"/>
              </w:rPr>
            </w:pPr>
            <w:r>
              <w:rPr>
                <w:rFonts w:hint="default" w:ascii="Times New Roman" w:hAnsi="Times New Roman" w:eastAsia="宋体" w:cs="Times New Roman"/>
                <w:color w:val="auto"/>
              </w:rPr>
              <w:t>表2.3-1</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本项目产品方案</w:t>
            </w:r>
          </w:p>
          <w:p w14:paraId="776146B9">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w:t>
            </w:r>
          </w:p>
          <w:p w14:paraId="3F48CCEA">
            <w:pPr>
              <w:pStyle w:val="112"/>
              <w:spacing w:line="360" w:lineRule="auto"/>
              <w:ind w:firstLine="480" w:firstLineChars="200"/>
              <w:jc w:val="both"/>
              <w:rPr>
                <w:rFonts w:hint="default" w:ascii="Times New Roman" w:hAnsi="Times New Roman" w:eastAsia="宋体" w:cs="Times New Roman"/>
                <w:color w:val="auto"/>
                <w:sz w:val="24"/>
              </w:rPr>
            </w:pPr>
          </w:p>
          <w:p w14:paraId="70DAE113">
            <w:pPr>
              <w:pStyle w:val="6"/>
              <w:spacing w:before="120" w:after="1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4危化品储存方案</w:t>
            </w:r>
          </w:p>
          <w:p w14:paraId="4B671F0F">
            <w:pPr>
              <w:widowControl/>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本项目货物由专用危险化学品运输车辆或槽车运输。厂内运输由厂内机动车辆短驳运输出入库搬运装卸。进入爆炸危险区域内的叉车为防爆型。</w:t>
            </w:r>
          </w:p>
          <w:p w14:paraId="687CF706">
            <w:pPr>
              <w:ind w:firstLine="480"/>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2"/>
                <w:sz w:val="24"/>
                <w:szCs w:val="24"/>
              </w:rPr>
              <w:t>拟建项目危</w:t>
            </w:r>
            <w:r>
              <w:rPr>
                <w:rFonts w:hint="default" w:ascii="Times New Roman" w:hAnsi="Times New Roman" w:eastAsia="宋体" w:cs="Times New Roman"/>
                <w:color w:val="auto"/>
                <w:spacing w:val="-2"/>
                <w:sz w:val="24"/>
                <w:szCs w:val="24"/>
                <w:highlight w:val="none"/>
              </w:rPr>
              <w:t>险化学品</w:t>
            </w:r>
            <w:r>
              <w:rPr>
                <w:rFonts w:hint="default" w:ascii="Times New Roman" w:hAnsi="Times New Roman" w:eastAsia="宋体" w:cs="Times New Roman"/>
                <w:color w:val="auto"/>
                <w:spacing w:val="-2"/>
                <w:sz w:val="24"/>
                <w:szCs w:val="24"/>
                <w:highlight w:val="none"/>
                <w:lang w:val="en-US" w:eastAsia="zh-CN"/>
              </w:rPr>
              <w:t>主要来源于国内，采用汽运方式，储存条件均为常温。</w:t>
            </w:r>
            <w:r>
              <w:rPr>
                <w:rFonts w:hint="default" w:ascii="Times New Roman" w:hAnsi="Times New Roman" w:eastAsia="宋体" w:cs="Times New Roman"/>
                <w:color w:val="auto"/>
                <w:spacing w:val="-2"/>
                <w:sz w:val="24"/>
                <w:szCs w:val="24"/>
                <w:highlight w:val="none"/>
              </w:rPr>
              <w:t>仓库分区及储存物质见下表</w:t>
            </w:r>
            <w:r>
              <w:rPr>
                <w:rFonts w:hint="default" w:ascii="Times New Roman" w:hAnsi="Times New Roman" w:eastAsia="宋体" w:cs="Times New Roman"/>
                <w:color w:val="auto"/>
                <w:spacing w:val="-1"/>
                <w:sz w:val="24"/>
                <w:szCs w:val="24"/>
                <w:highlight w:val="none"/>
              </w:rPr>
              <w:t>。</w:t>
            </w:r>
          </w:p>
          <w:p w14:paraId="12624C29">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w:t>
            </w:r>
          </w:p>
          <w:p w14:paraId="64A99304">
            <w:pPr>
              <w:pStyle w:val="112"/>
              <w:spacing w:line="360" w:lineRule="auto"/>
              <w:ind w:firstLine="480" w:firstLineChars="200"/>
              <w:jc w:val="both"/>
              <w:rPr>
                <w:rFonts w:hint="default" w:ascii="Times New Roman" w:hAnsi="Times New Roman" w:eastAsia="宋体" w:cs="Times New Roman"/>
                <w:color w:val="auto"/>
                <w:sz w:val="24"/>
              </w:rPr>
            </w:pPr>
          </w:p>
          <w:p w14:paraId="0A76C9CB">
            <w:pPr>
              <w:spacing w:line="360" w:lineRule="auto"/>
              <w:ind w:firstLine="482" w:firstLineChars="200"/>
              <w:outlineLvl w:val="2"/>
              <w:rPr>
                <w:rFonts w:hint="default" w:ascii="Times New Roman" w:hAnsi="Times New Roman" w:eastAsia="宋体" w:cs="Times New Roman"/>
                <w:b/>
                <w:color w:val="auto"/>
                <w:sz w:val="24"/>
                <w:szCs w:val="24"/>
              </w:rPr>
            </w:pPr>
          </w:p>
          <w:p w14:paraId="7BCAA934">
            <w:pPr>
              <w:spacing w:line="360" w:lineRule="auto"/>
              <w:ind w:firstLine="482" w:firstLineChars="200"/>
              <w:outlineLvl w:val="2"/>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w:t>
            </w:r>
            <w:r>
              <w:rPr>
                <w:rFonts w:hint="default"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rPr>
              <w:t>.4其他设备</w:t>
            </w:r>
          </w:p>
          <w:p w14:paraId="6F17D569">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其他设备</w:t>
            </w:r>
            <w:r>
              <w:rPr>
                <w:rFonts w:hint="default" w:ascii="Times New Roman" w:hAnsi="Times New Roman" w:eastAsia="宋体" w:cs="Times New Roman"/>
                <w:color w:val="auto"/>
                <w:sz w:val="24"/>
                <w:szCs w:val="24"/>
              </w:rPr>
              <w:t>详见下表：</w:t>
            </w:r>
          </w:p>
          <w:p w14:paraId="7F7AD022">
            <w:pPr>
              <w:widowControl w:val="0"/>
              <w:spacing w:after="0"/>
              <w:jc w:val="center"/>
              <w:rPr>
                <w:rFonts w:hint="default" w:ascii="Times New Roman" w:hAnsi="Times New Roman" w:eastAsia="宋体" w:cs="Times New Roman"/>
                <w:b/>
                <w:color w:val="auto"/>
                <w:kern w:val="2"/>
                <w:sz w:val="24"/>
                <w:szCs w:val="21"/>
                <w:highlight w:val="none"/>
                <w:lang w:val="en-US" w:eastAsia="zh-CN" w:bidi="ar-SA"/>
              </w:rPr>
            </w:pPr>
            <w:r>
              <w:rPr>
                <w:rFonts w:hint="default" w:ascii="Times New Roman" w:hAnsi="Times New Roman" w:eastAsia="宋体" w:cs="Times New Roman"/>
                <w:b/>
                <w:color w:val="auto"/>
                <w:kern w:val="2"/>
                <w:sz w:val="24"/>
                <w:szCs w:val="21"/>
                <w:highlight w:val="none"/>
                <w:lang w:val="en-US" w:eastAsia="zh-CN" w:bidi="ar-SA"/>
              </w:rPr>
              <w:t>表2.5-4 其他设备一览表</w:t>
            </w:r>
          </w:p>
          <w:p w14:paraId="072299F2">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w:t>
            </w:r>
          </w:p>
          <w:p w14:paraId="3003E41C">
            <w:pPr>
              <w:pStyle w:val="112"/>
              <w:spacing w:line="360" w:lineRule="auto"/>
              <w:ind w:firstLine="480" w:firstLineChars="200"/>
              <w:jc w:val="both"/>
              <w:rPr>
                <w:rFonts w:hint="default" w:ascii="Times New Roman" w:hAnsi="Times New Roman" w:eastAsia="宋体" w:cs="Times New Roman"/>
                <w:color w:val="auto"/>
                <w:sz w:val="24"/>
              </w:rPr>
            </w:pPr>
          </w:p>
          <w:p w14:paraId="391692E0">
            <w:pPr>
              <w:pStyle w:val="6"/>
              <w:spacing w:before="120" w:after="12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 xml:space="preserve">2.6公用配套工程 </w:t>
            </w:r>
          </w:p>
          <w:p w14:paraId="1E23C8F3">
            <w:pPr>
              <w:keepNext w:val="0"/>
              <w:keepLines w:val="0"/>
              <w:widowControl/>
              <w:suppressLineNumbers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（1）供水工程 </w:t>
            </w:r>
          </w:p>
          <w:p w14:paraId="6E01258F">
            <w:pPr>
              <w:keepNext w:val="0"/>
              <w:keepLines w:val="0"/>
              <w:widowControl/>
              <w:suppressLineNumbers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本项目用水环节为员工生活用水，生产用水，由开发区自来水公司供给。 </w:t>
            </w:r>
          </w:p>
          <w:p w14:paraId="3A989594">
            <w:pPr>
              <w:pStyle w:val="44"/>
              <w:widowControl w:val="0"/>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生活用水：</w:t>
            </w:r>
            <w:r>
              <w:rPr>
                <w:rFonts w:hint="default" w:ascii="Times New Roman" w:hAnsi="Times New Roman" w:eastAsia="宋体" w:cs="Times New Roman"/>
                <w:color w:val="auto"/>
                <w:highlight w:val="none"/>
              </w:rPr>
              <w:t>根据业主提供的资料，项目职工人数</w:t>
            </w:r>
            <w:r>
              <w:rPr>
                <w:rFonts w:hint="default" w:ascii="Times New Roman" w:hAnsi="Times New Roman" w:eastAsia="宋体" w:cs="Times New Roman"/>
                <w:color w:val="auto"/>
                <w:highlight w:val="none"/>
                <w:lang w:val="en-US" w:eastAsia="zh-CN"/>
              </w:rPr>
              <w:t>50</w:t>
            </w:r>
            <w:r>
              <w:rPr>
                <w:rFonts w:hint="default" w:ascii="Times New Roman" w:hAnsi="Times New Roman" w:eastAsia="宋体" w:cs="Times New Roman"/>
                <w:color w:val="auto"/>
                <w:highlight w:val="none"/>
              </w:rPr>
              <w:t>人（不住厂），年工作3</w:t>
            </w:r>
            <w:r>
              <w:rPr>
                <w:rFonts w:hint="default" w:ascii="Times New Roman" w:hAnsi="Times New Roman" w:eastAsia="宋体" w:cs="Times New Roman"/>
                <w:color w:val="auto"/>
                <w:highlight w:val="none"/>
                <w:lang w:val="en-US" w:eastAsia="zh-CN"/>
              </w:rPr>
              <w:t>30</w:t>
            </w:r>
            <w:r>
              <w:rPr>
                <w:rFonts w:hint="default" w:ascii="Times New Roman" w:hAnsi="Times New Roman" w:eastAsia="宋体" w:cs="Times New Roman"/>
                <w:color w:val="auto"/>
                <w:highlight w:val="none"/>
              </w:rPr>
              <w:t>天</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szCs w:val="18"/>
                <w:highlight w:val="none"/>
              </w:rPr>
              <w:t>采用三班制，每班8小时，连续作业，参照《建设给排水设计规范》（GB50015-201</w:t>
            </w:r>
            <w:r>
              <w:rPr>
                <w:rFonts w:hint="eastAsia" w:ascii="Times New Roman" w:hAnsi="Times New Roman" w:cs="Times New Roman"/>
                <w:color w:val="auto"/>
                <w:szCs w:val="18"/>
                <w:highlight w:val="none"/>
                <w:lang w:val="en-US" w:eastAsia="zh-CN"/>
              </w:rPr>
              <w:t>9</w:t>
            </w:r>
            <w:r>
              <w:rPr>
                <w:rFonts w:hint="default" w:ascii="Times New Roman" w:hAnsi="Times New Roman" w:eastAsia="宋体" w:cs="Times New Roman"/>
                <w:color w:val="auto"/>
                <w:szCs w:val="18"/>
                <w:highlight w:val="none"/>
              </w:rPr>
              <w:t>），人均生活用水量以80L/d计，</w:t>
            </w:r>
            <w:r>
              <w:rPr>
                <w:rFonts w:hint="default" w:ascii="Times New Roman" w:hAnsi="Times New Roman" w:eastAsia="宋体" w:cs="Times New Roman"/>
                <w:color w:val="auto"/>
                <w:highlight w:val="none"/>
              </w:rPr>
              <w:t>则项目生活用水量为</w:t>
            </w:r>
            <w:r>
              <w:rPr>
                <w:rFonts w:hint="default" w:ascii="Times New Roman" w:hAnsi="Times New Roman" w:eastAsia="宋体" w:cs="Times New Roman"/>
                <w:color w:val="auto"/>
                <w:highlight w:val="none"/>
                <w:lang w:val="en-US" w:eastAsia="zh-CN"/>
              </w:rPr>
              <w:t>1320</w:t>
            </w:r>
            <w:r>
              <w:rPr>
                <w:rFonts w:hint="default" w:ascii="Times New Roman" w:hAnsi="Times New Roman" w:eastAsia="宋体" w:cs="Times New Roman"/>
                <w:color w:val="auto"/>
                <w:highlight w:val="none"/>
              </w:rPr>
              <w:t>t/a</w:t>
            </w:r>
            <w:bookmarkStart w:id="4" w:name="_Toc27155"/>
            <w:bookmarkStart w:id="5" w:name="_Toc18576"/>
            <w:bookmarkStart w:id="6" w:name="_Toc10342"/>
            <w:r>
              <w:rPr>
                <w:rFonts w:hint="default" w:ascii="Times New Roman" w:hAnsi="Times New Roman" w:eastAsia="宋体" w:cs="Times New Roman"/>
                <w:color w:val="auto"/>
                <w:highlight w:val="none"/>
                <w:lang w:eastAsia="zh-CN"/>
              </w:rPr>
              <w:t>。</w:t>
            </w:r>
          </w:p>
          <w:bookmarkEnd w:id="4"/>
          <w:bookmarkEnd w:id="5"/>
          <w:bookmarkEnd w:id="6"/>
          <w:p w14:paraId="4B560100">
            <w:pPr>
              <w:pStyle w:val="44"/>
              <w:widowControl w:val="0"/>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生产用水：包括</w:t>
            </w:r>
            <w:r>
              <w:rPr>
                <w:rFonts w:hint="default" w:ascii="Times New Roman" w:hAnsi="Times New Roman" w:eastAsia="宋体" w:cs="Times New Roman"/>
                <w:color w:val="auto"/>
                <w:highlight w:val="none"/>
              </w:rPr>
              <w:t>车间</w:t>
            </w:r>
            <w:r>
              <w:rPr>
                <w:rFonts w:hint="default" w:ascii="Times New Roman" w:hAnsi="Times New Roman" w:eastAsia="宋体" w:cs="Times New Roman"/>
                <w:color w:val="auto"/>
                <w:highlight w:val="none"/>
                <w:lang w:val="en-US" w:eastAsia="zh-CN"/>
              </w:rPr>
              <w:t>地面清洗</w:t>
            </w:r>
            <w:r>
              <w:rPr>
                <w:rFonts w:hint="default" w:ascii="Times New Roman" w:hAnsi="Times New Roman" w:eastAsia="宋体" w:cs="Times New Roman"/>
                <w:color w:val="auto"/>
                <w:highlight w:val="none"/>
              </w:rPr>
              <w:t>水、</w:t>
            </w:r>
            <w:r>
              <w:rPr>
                <w:rFonts w:hint="default" w:ascii="Times New Roman" w:hAnsi="Times New Roman" w:eastAsia="宋体" w:cs="Times New Roman"/>
                <w:color w:val="auto"/>
                <w:highlight w:val="none"/>
                <w:lang w:val="en-US" w:eastAsia="zh-CN"/>
              </w:rPr>
              <w:t>车辆外部清洗</w:t>
            </w:r>
            <w:r>
              <w:rPr>
                <w:rFonts w:hint="default" w:ascii="Times New Roman" w:hAnsi="Times New Roman" w:eastAsia="宋体" w:cs="Times New Roman"/>
                <w:color w:val="auto"/>
                <w:highlight w:val="none"/>
              </w:rPr>
              <w:t>水、洗罐（箱）</w:t>
            </w:r>
            <w:r>
              <w:rPr>
                <w:rFonts w:hint="default" w:ascii="Times New Roman" w:hAnsi="Times New Roman" w:eastAsia="宋体" w:cs="Times New Roman"/>
                <w:color w:val="auto"/>
                <w:highlight w:val="none"/>
                <w:lang w:val="en-US" w:eastAsia="zh-CN"/>
              </w:rPr>
              <w:t>清洗水</w:t>
            </w:r>
            <w:r>
              <w:rPr>
                <w:rFonts w:hint="default" w:ascii="Times New Roman" w:hAnsi="Times New Roman" w:eastAsia="宋体" w:cs="Times New Roman"/>
                <w:color w:val="auto"/>
                <w:highlight w:val="none"/>
              </w:rPr>
              <w:t>、设备清洗</w:t>
            </w:r>
            <w:r>
              <w:rPr>
                <w:rFonts w:hint="default" w:ascii="Times New Roman" w:hAnsi="Times New Roman" w:eastAsia="宋体" w:cs="Times New Roman"/>
                <w:color w:val="auto"/>
                <w:highlight w:val="none"/>
                <w:lang w:val="en-US" w:eastAsia="zh-CN"/>
              </w:rPr>
              <w:t>用</w:t>
            </w:r>
            <w:r>
              <w:rPr>
                <w:rFonts w:hint="default" w:ascii="Times New Roman" w:hAnsi="Times New Roman" w:eastAsia="宋体" w:cs="Times New Roman"/>
                <w:color w:val="auto"/>
                <w:highlight w:val="none"/>
              </w:rPr>
              <w:t>水</w:t>
            </w:r>
            <w:r>
              <w:rPr>
                <w:rFonts w:hint="default" w:ascii="Times New Roman" w:hAnsi="Times New Roman" w:eastAsia="宋体" w:cs="Times New Roman"/>
                <w:color w:val="auto"/>
                <w:kern w:val="0"/>
                <w:sz w:val="24"/>
                <w:szCs w:val="24"/>
                <w:highlight w:val="none"/>
                <w:lang w:val="en-US" w:eastAsia="zh-CN" w:bidi="ar"/>
              </w:rPr>
              <w:t>。根据企业提供的资料，项目地面清洗水用水量年用水量为250t/a；车辆外部清洗水为600t/a；洗罐（箱）清洗用水为660t/a；其他设备清洗用水为250t/a。</w:t>
            </w:r>
          </w:p>
          <w:p w14:paraId="7AED1C32">
            <w:pPr>
              <w:pStyle w:val="44"/>
              <w:widowControl w:val="0"/>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（2）排水工程 </w:t>
            </w:r>
          </w:p>
          <w:p w14:paraId="018EB761">
            <w:pPr>
              <w:pStyle w:val="44"/>
              <w:widowControl w:val="0"/>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本项目生活污水</w:t>
            </w:r>
            <w:r>
              <w:rPr>
                <w:rFonts w:hint="default" w:ascii="Times New Roman" w:hAnsi="Times New Roman" w:eastAsia="宋体" w:cs="Times New Roman"/>
                <w:color w:val="auto"/>
                <w:highlight w:val="none"/>
              </w:rPr>
              <w:t>排水量按用水量的80%计，则排水量为</w:t>
            </w:r>
            <w:r>
              <w:rPr>
                <w:rFonts w:hint="default" w:ascii="Times New Roman" w:hAnsi="Times New Roman" w:eastAsia="宋体" w:cs="Times New Roman"/>
                <w:color w:val="auto"/>
                <w:highlight w:val="none"/>
                <w:lang w:val="en-US" w:eastAsia="zh-CN"/>
              </w:rPr>
              <w:t>1056</w:t>
            </w:r>
            <w:r>
              <w:rPr>
                <w:rFonts w:hint="default" w:ascii="Times New Roman" w:hAnsi="Times New Roman" w:eastAsia="宋体" w:cs="Times New Roman"/>
                <w:color w:val="auto"/>
                <w:highlight w:val="none"/>
              </w:rPr>
              <w:t>t/a。生活污水经厂区</w:t>
            </w:r>
            <w:r>
              <w:rPr>
                <w:rFonts w:hint="default" w:ascii="Times New Roman" w:hAnsi="Times New Roman" w:eastAsia="宋体" w:cs="Times New Roman"/>
                <w:color w:val="auto"/>
                <w:highlight w:val="none"/>
                <w:lang w:val="en-US" w:eastAsia="zh-CN"/>
              </w:rPr>
              <w:t>地埋式三级</w:t>
            </w:r>
            <w:r>
              <w:rPr>
                <w:rFonts w:hint="default" w:ascii="Times New Roman" w:hAnsi="Times New Roman" w:eastAsia="宋体" w:cs="Times New Roman"/>
                <w:color w:val="auto"/>
                <w:highlight w:val="none"/>
              </w:rPr>
              <w:t>化粪池处理后接入</w:t>
            </w:r>
            <w:r>
              <w:rPr>
                <w:rFonts w:hint="default" w:ascii="Times New Roman" w:hAnsi="Times New Roman" w:eastAsia="宋体" w:cs="Times New Roman"/>
                <w:color w:val="auto"/>
                <w:highlight w:val="none"/>
                <w:lang w:eastAsia="zh-CN"/>
              </w:rPr>
              <w:t>江阴污水处理厂</w:t>
            </w:r>
            <w:r>
              <w:rPr>
                <w:rFonts w:hint="default" w:ascii="Times New Roman" w:hAnsi="Times New Roman" w:eastAsia="宋体" w:cs="Times New Roman"/>
                <w:color w:val="auto"/>
                <w:highlight w:val="none"/>
              </w:rPr>
              <w:t>进行深度处理。</w:t>
            </w:r>
          </w:p>
          <w:p w14:paraId="5B761EEC">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highlight w:val="none"/>
                <w:lang w:val="en-US" w:eastAsia="zh-CN"/>
              </w:rPr>
              <w:t>生产废水为</w:t>
            </w:r>
            <w:r>
              <w:rPr>
                <w:rFonts w:hint="default" w:ascii="Times New Roman" w:hAnsi="Times New Roman" w:eastAsia="宋体" w:cs="Times New Roman"/>
                <w:color w:val="auto"/>
                <w:highlight w:val="none"/>
              </w:rPr>
              <w:t>车间</w:t>
            </w:r>
            <w:r>
              <w:rPr>
                <w:rFonts w:hint="default" w:ascii="Times New Roman" w:hAnsi="Times New Roman" w:eastAsia="宋体" w:cs="Times New Roman"/>
                <w:color w:val="auto"/>
                <w:highlight w:val="none"/>
                <w:lang w:val="en-US" w:eastAsia="zh-CN"/>
              </w:rPr>
              <w:t>地面清洗废</w:t>
            </w:r>
            <w:r>
              <w:rPr>
                <w:rFonts w:hint="default" w:ascii="Times New Roman" w:hAnsi="Times New Roman" w:eastAsia="宋体" w:cs="Times New Roman"/>
                <w:color w:val="auto"/>
                <w:highlight w:val="none"/>
              </w:rPr>
              <w:t>水、</w:t>
            </w:r>
            <w:r>
              <w:rPr>
                <w:rFonts w:hint="default" w:ascii="Times New Roman" w:hAnsi="Times New Roman" w:eastAsia="宋体" w:cs="Times New Roman"/>
                <w:color w:val="auto"/>
                <w:highlight w:val="none"/>
                <w:lang w:val="en-US" w:eastAsia="zh-CN"/>
              </w:rPr>
              <w:t>车辆外部清洗废</w:t>
            </w:r>
            <w:r>
              <w:rPr>
                <w:rFonts w:hint="default" w:ascii="Times New Roman" w:hAnsi="Times New Roman" w:eastAsia="宋体" w:cs="Times New Roman"/>
                <w:color w:val="auto"/>
                <w:highlight w:val="none"/>
              </w:rPr>
              <w:t>水、洗罐（箱）</w:t>
            </w:r>
            <w:r>
              <w:rPr>
                <w:rFonts w:hint="default" w:ascii="Times New Roman" w:hAnsi="Times New Roman" w:eastAsia="宋体" w:cs="Times New Roman"/>
                <w:color w:val="auto"/>
                <w:highlight w:val="none"/>
                <w:lang w:val="en-US" w:eastAsia="zh-CN"/>
              </w:rPr>
              <w:t>清洗废</w:t>
            </w:r>
            <w:r>
              <w:rPr>
                <w:rFonts w:hint="default" w:ascii="Times New Roman" w:hAnsi="Times New Roman" w:eastAsia="宋体" w:cs="Times New Roman"/>
                <w:color w:val="auto"/>
                <w:highlight w:val="none"/>
              </w:rPr>
              <w:t>水、设备清洗</w:t>
            </w:r>
            <w:r>
              <w:rPr>
                <w:rFonts w:hint="default" w:ascii="Times New Roman" w:hAnsi="Times New Roman" w:eastAsia="宋体" w:cs="Times New Roman"/>
                <w:color w:val="auto"/>
                <w:highlight w:val="none"/>
                <w:lang w:val="en-US" w:eastAsia="zh-CN"/>
              </w:rPr>
              <w:t>废</w:t>
            </w:r>
            <w:r>
              <w:rPr>
                <w:rFonts w:hint="default" w:ascii="Times New Roman" w:hAnsi="Times New Roman" w:eastAsia="宋体" w:cs="Times New Roman"/>
                <w:color w:val="auto"/>
                <w:highlight w:val="none"/>
              </w:rPr>
              <w:t>水</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kern w:val="0"/>
                <w:sz w:val="24"/>
                <w:szCs w:val="24"/>
                <w:highlight w:val="none"/>
                <w:lang w:val="en-US" w:eastAsia="zh-CN" w:bidi="ar"/>
              </w:rPr>
              <w:t>生产废水经厂区污水处理站处理，预处理达标后的生活污水与生产废水一起经市政污水管网排至江阴污水处理厂集中处理。</w:t>
            </w:r>
          </w:p>
          <w:p w14:paraId="243A713B">
            <w:pPr>
              <w:keepNext w:val="0"/>
              <w:keepLines w:val="0"/>
              <w:widowControl/>
              <w:suppressLineNumbers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其中，本项目产生的</w:t>
            </w:r>
            <w:r>
              <w:rPr>
                <w:rFonts w:hint="default" w:ascii="Times New Roman" w:hAnsi="Times New Roman" w:eastAsia="宋体" w:cs="Times New Roman"/>
                <w:color w:val="auto"/>
                <w:highlight w:val="none"/>
              </w:rPr>
              <w:t>洗罐（箱）</w:t>
            </w:r>
            <w:r>
              <w:rPr>
                <w:rFonts w:hint="default" w:ascii="Times New Roman" w:hAnsi="Times New Roman" w:eastAsia="宋体" w:cs="Times New Roman"/>
                <w:color w:val="auto"/>
                <w:highlight w:val="none"/>
                <w:lang w:val="en-US" w:eastAsia="zh-CN"/>
              </w:rPr>
              <w:t>清洗废</w:t>
            </w:r>
            <w:r>
              <w:rPr>
                <w:rFonts w:hint="default" w:ascii="Times New Roman" w:hAnsi="Times New Roman" w:eastAsia="宋体" w:cs="Times New Roman"/>
                <w:color w:val="auto"/>
                <w:highlight w:val="none"/>
              </w:rPr>
              <w:t>水</w:t>
            </w:r>
            <w:r>
              <w:rPr>
                <w:rFonts w:hint="default" w:ascii="Times New Roman" w:hAnsi="Times New Roman" w:eastAsia="宋体" w:cs="Times New Roman"/>
                <w:color w:val="auto"/>
                <w:kern w:val="0"/>
                <w:sz w:val="24"/>
                <w:szCs w:val="24"/>
                <w:highlight w:val="none"/>
                <w:lang w:val="en-US" w:eastAsia="zh-CN" w:bidi="ar"/>
              </w:rPr>
              <w:t xml:space="preserve">主要分为高压水枪清洗罐体内壁而产生的高浓度废水和低压水枪冲洗罐内外壁而产生的低浓度废水。 </w:t>
            </w:r>
          </w:p>
          <w:p w14:paraId="786E146D">
            <w:pPr>
              <w:keepNext w:val="0"/>
              <w:keepLines w:val="0"/>
              <w:widowControl/>
              <w:suppressLineNumbers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高浓度废水：通常内壁清洗旨在通过高压水雾喷刷壁面，剥落粘附在内壁上微量物料小液珠。通常情况下须射流清洗1-2min，用水较少；特殊情况（如客户方对于清晰程度要求严苛或是罐内残夜附着力强）需要延时清洗，用水较多，根据技术人员经验：平均约为25-30L/罐，年清洗量为2000只集装箱罐，则高压清洗用水最大量约60t</w:t>
            </w:r>
            <w:r>
              <w:rPr>
                <w:rFonts w:hint="default" w:ascii="Times New Roman" w:hAnsi="Times New Roman" w:eastAsia="宋体" w:cs="Times New Roman"/>
                <w:color w:val="auto"/>
                <w:kern w:val="0"/>
                <w:sz w:val="16"/>
                <w:szCs w:val="16"/>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/a，作为危险废物，经专桶收集、避雨暂存后委托有资质单位处置。 </w:t>
            </w:r>
          </w:p>
          <w:p w14:paraId="09D220FD">
            <w:pPr>
              <w:keepNext w:val="0"/>
              <w:keepLines w:val="0"/>
              <w:widowControl/>
              <w:suppressLineNumbers w:val="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 xml:space="preserve">低浓度废水：为进一步去除罐内化工残液，因此还需对罐内外进行二次清洗，过程中操作人员使用低压水枪冲洗内壁。根据技术人员经验：平均约为200-300L/罐，年清洗量为2000只集装箱罐，则高压清洗用水最大量约600t/a。 </w:t>
            </w:r>
          </w:p>
          <w:p w14:paraId="0A596603">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项目水平衡如下图所示。</w:t>
            </w:r>
          </w:p>
          <w:p w14:paraId="3B498BB4">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5E354110">
            <w:pPr>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rPr>
              <w:t>图2.</w:t>
            </w:r>
            <w:r>
              <w:rPr>
                <w:rFonts w:hint="default" w:ascii="Times New Roman" w:hAnsi="Times New Roman" w:eastAsia="宋体" w:cs="Times New Roman"/>
                <w:b/>
                <w:bCs/>
                <w:color w:val="auto"/>
                <w:sz w:val="24"/>
                <w:highlight w:val="none"/>
                <w:lang w:val="en-US" w:eastAsia="zh-CN"/>
              </w:rPr>
              <w:t xml:space="preserve">6-1 </w:t>
            </w:r>
            <w:r>
              <w:rPr>
                <w:rFonts w:hint="default" w:ascii="Times New Roman" w:hAnsi="Times New Roman" w:eastAsia="宋体" w:cs="Times New Roman"/>
                <w:b/>
                <w:bCs/>
                <w:color w:val="auto"/>
                <w:sz w:val="24"/>
                <w:highlight w:val="none"/>
              </w:rPr>
              <w:t>项目水平衡图 单位：</w:t>
            </w:r>
            <w:r>
              <w:rPr>
                <w:rFonts w:hint="default" w:ascii="Times New Roman" w:hAnsi="Times New Roman" w:eastAsia="宋体" w:cs="Times New Roman"/>
                <w:b/>
                <w:bCs/>
                <w:color w:val="auto"/>
                <w:sz w:val="24"/>
                <w:highlight w:val="none"/>
                <w:lang w:val="en-US" w:eastAsia="zh-CN"/>
              </w:rPr>
              <w:t>t</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a</w:t>
            </w:r>
          </w:p>
          <w:p w14:paraId="781BF173">
            <w:pPr>
              <w:pStyle w:val="44"/>
              <w:widowControl w:val="0"/>
              <w:numPr>
                <w:ilvl w:val="0"/>
                <w:numId w:val="13"/>
              </w:numPr>
              <w:tabs>
                <w:tab w:val="center" w:pos="3972"/>
              </w:tabs>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废气收集系统</w:t>
            </w:r>
          </w:p>
          <w:p w14:paraId="5662EC1C">
            <w:pPr>
              <w:spacing w:line="312"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项目废气主要废气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包括甲类集装箱</w:t>
            </w:r>
            <w:r>
              <w:rPr>
                <w:rFonts w:hint="default" w:ascii="Times New Roman" w:hAnsi="Times New Roman" w:eastAsia="宋体" w:cs="Times New Roman"/>
                <w:color w:val="auto"/>
                <w:sz w:val="24"/>
                <w:szCs w:val="24"/>
                <w:highlight w:val="none"/>
              </w:rPr>
              <w:t>堆场及</w:t>
            </w:r>
            <w:r>
              <w:rPr>
                <w:rFonts w:hint="default" w:ascii="Times New Roman" w:hAnsi="Times New Roman" w:eastAsia="宋体" w:cs="Times New Roman"/>
                <w:color w:val="auto"/>
                <w:sz w:val="24"/>
                <w:szCs w:val="24"/>
                <w:highlight w:val="none"/>
                <w:lang w:val="en-US" w:eastAsia="zh-CN"/>
              </w:rPr>
              <w:t>各类危化品</w:t>
            </w:r>
            <w:r>
              <w:rPr>
                <w:rFonts w:hint="default" w:ascii="Times New Roman" w:hAnsi="Times New Roman" w:eastAsia="宋体" w:cs="Times New Roman"/>
                <w:color w:val="auto"/>
                <w:sz w:val="24"/>
                <w:szCs w:val="24"/>
                <w:highlight w:val="none"/>
              </w:rPr>
              <w:t>仓库</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灌装车间废气</w:t>
            </w:r>
            <w:r>
              <w:rPr>
                <w:rFonts w:hint="default" w:ascii="Times New Roman" w:hAnsi="Times New Roman" w:eastAsia="宋体" w:cs="Times New Roman"/>
                <w:color w:val="auto"/>
                <w:sz w:val="24"/>
                <w:szCs w:val="24"/>
                <w:highlight w:val="none"/>
              </w:rPr>
              <w:t>等。</w:t>
            </w:r>
            <w:r>
              <w:rPr>
                <w:rFonts w:hint="default" w:ascii="Times New Roman" w:hAnsi="Times New Roman" w:eastAsia="宋体" w:cs="Times New Roman"/>
                <w:color w:val="auto"/>
                <w:sz w:val="24"/>
                <w:szCs w:val="24"/>
                <w:highlight w:val="none"/>
                <w:lang w:val="en-US" w:eastAsia="zh-CN"/>
              </w:rPr>
              <w:t>灌装车间</w:t>
            </w:r>
            <w:r>
              <w:rPr>
                <w:rFonts w:hint="default" w:ascii="Times New Roman" w:hAnsi="Times New Roman" w:eastAsia="宋体" w:cs="Times New Roman"/>
                <w:color w:val="auto"/>
                <w:sz w:val="24"/>
                <w:szCs w:val="24"/>
                <w:highlight w:val="none"/>
              </w:rPr>
              <w:t>废气拟采用“</w:t>
            </w:r>
            <w:r>
              <w:rPr>
                <w:rFonts w:hint="default" w:ascii="Times New Roman" w:hAnsi="Times New Roman" w:eastAsia="宋体" w:cs="Times New Roman"/>
                <w:color w:val="auto"/>
                <w:sz w:val="24"/>
                <w:szCs w:val="24"/>
                <w:highlight w:val="none"/>
                <w:lang w:eastAsia="zh-CN"/>
              </w:rPr>
              <w:t>除雾+过滤棉+</w:t>
            </w:r>
            <w:r>
              <w:rPr>
                <w:rFonts w:hint="default" w:ascii="Times New Roman" w:hAnsi="Times New Roman" w:eastAsia="宋体" w:cs="Times New Roman"/>
                <w:color w:val="auto"/>
                <w:sz w:val="24"/>
                <w:szCs w:val="24"/>
                <w:highlight w:val="none"/>
                <w:lang w:val="en-US" w:eastAsia="zh-CN"/>
              </w:rPr>
              <w:t>二级</w:t>
            </w:r>
            <w:r>
              <w:rPr>
                <w:rFonts w:hint="default" w:ascii="Times New Roman" w:hAnsi="Times New Roman" w:eastAsia="宋体" w:cs="Times New Roman"/>
                <w:color w:val="auto"/>
                <w:sz w:val="24"/>
                <w:szCs w:val="24"/>
                <w:highlight w:val="none"/>
                <w:lang w:eastAsia="zh-CN"/>
              </w:rPr>
              <w:t>活性炭吸附装置</w:t>
            </w:r>
            <w:r>
              <w:rPr>
                <w:rFonts w:hint="default" w:ascii="Times New Roman" w:hAnsi="Times New Roman" w:eastAsia="宋体" w:cs="Times New Roman"/>
                <w:color w:val="auto"/>
                <w:sz w:val="24"/>
                <w:szCs w:val="24"/>
                <w:highlight w:val="none"/>
              </w:rPr>
              <w:t>”进行处理，处理</w:t>
            </w:r>
            <w:r>
              <w:rPr>
                <w:rFonts w:hint="default" w:ascii="Times New Roman" w:hAnsi="Times New Roman" w:eastAsia="宋体" w:cs="Times New Roman"/>
                <w:color w:val="auto"/>
                <w:sz w:val="24"/>
                <w:szCs w:val="24"/>
                <w:highlight w:val="none"/>
                <w:lang w:val="en-US" w:eastAsia="zh-CN"/>
              </w:rPr>
              <w:t>达标</w:t>
            </w:r>
            <w:r>
              <w:rPr>
                <w:rFonts w:hint="default" w:ascii="Times New Roman" w:hAnsi="Times New Roman" w:eastAsia="宋体" w:cs="Times New Roman"/>
                <w:color w:val="auto"/>
                <w:sz w:val="24"/>
                <w:szCs w:val="24"/>
                <w:highlight w:val="none"/>
              </w:rPr>
              <w:t>后通过15m排气筒高空排放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DA001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危废间废气收集后采用活性炭吸附处理后，</w:t>
            </w:r>
            <w:r>
              <w:rPr>
                <w:rFonts w:hint="default" w:ascii="Times New Roman" w:hAnsi="Times New Roman" w:eastAsia="宋体" w:cs="Times New Roman"/>
                <w:color w:val="auto"/>
                <w:sz w:val="24"/>
                <w:szCs w:val="24"/>
                <w:highlight w:val="none"/>
              </w:rPr>
              <w:t>通过15m排气筒高空排放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DA002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污水处理站处理废气经过生物除臭后由15m高排气筒排放（DA003）</w:t>
            </w:r>
            <w:r>
              <w:rPr>
                <w:rFonts w:hint="default" w:ascii="Times New Roman" w:hAnsi="Times New Roman" w:eastAsia="宋体" w:cs="Times New Roman"/>
                <w:color w:val="auto"/>
                <w:sz w:val="24"/>
                <w:szCs w:val="24"/>
                <w:highlight w:val="none"/>
              </w:rPr>
              <w:t>。</w:t>
            </w:r>
          </w:p>
          <w:p w14:paraId="00D1C899">
            <w:pPr>
              <w:pStyle w:val="44"/>
              <w:widowControl w:val="0"/>
              <w:numPr>
                <w:ilvl w:val="0"/>
                <w:numId w:val="13"/>
              </w:numPr>
              <w:tabs>
                <w:tab w:val="center" w:pos="3972"/>
              </w:tabs>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防渗系统</w:t>
            </w:r>
          </w:p>
          <w:p w14:paraId="2738CFFF">
            <w:pPr>
              <w:keepNext w:val="0"/>
              <w:keepLines w:val="0"/>
              <w:widowControl/>
              <w:suppressLineNumbers w:val="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危化品仓库、危废暂存间严格按照要求进行防渗，均设有与事故水池相连的导排地沟。</w:t>
            </w:r>
          </w:p>
          <w:p w14:paraId="03C8691B">
            <w:pPr>
              <w:pStyle w:val="44"/>
              <w:widowControl w:val="0"/>
              <w:numPr>
                <w:ilvl w:val="0"/>
                <w:numId w:val="13"/>
              </w:numPr>
              <w:tabs>
                <w:tab w:val="center" w:pos="3972"/>
              </w:tabs>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供电系统</w:t>
            </w:r>
          </w:p>
          <w:p w14:paraId="7A305988">
            <w:pPr>
              <w:keepNext w:val="0"/>
              <w:keepLines w:val="0"/>
              <w:widowControl/>
              <w:suppressLineNumbers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本项目的电源引自市政电网，年用电量190万千瓦时。</w:t>
            </w:r>
          </w:p>
          <w:p w14:paraId="07DD7501">
            <w:pPr>
              <w:pStyle w:val="44"/>
              <w:widowControl w:val="0"/>
              <w:numPr>
                <w:ilvl w:val="0"/>
                <w:numId w:val="13"/>
              </w:numPr>
              <w:tabs>
                <w:tab w:val="center" w:pos="3972"/>
              </w:tabs>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采暖、通风系统</w:t>
            </w:r>
          </w:p>
          <w:p w14:paraId="01CF0C6F">
            <w:pPr>
              <w:keepNext w:val="0"/>
              <w:keepLines w:val="0"/>
              <w:widowControl/>
              <w:suppressLineNumbers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本项目办公区采用公调供暖。仓库及生产车间采取强制通风措施。 </w:t>
            </w:r>
          </w:p>
          <w:p w14:paraId="72CF3815">
            <w:pPr>
              <w:pStyle w:val="44"/>
              <w:widowControl w:val="0"/>
              <w:numPr>
                <w:ilvl w:val="0"/>
                <w:numId w:val="13"/>
              </w:numPr>
              <w:tabs>
                <w:tab w:val="center" w:pos="3972"/>
              </w:tabs>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报警系统</w:t>
            </w:r>
          </w:p>
          <w:p w14:paraId="3B12D5FE">
            <w:pPr>
              <w:keepNext w:val="0"/>
              <w:keepLines w:val="0"/>
              <w:widowControl/>
              <w:suppressLineNumbers w:val="0"/>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highlight w:val="none"/>
                <w:lang w:val="en-US" w:eastAsia="zh-CN" w:bidi="ar"/>
              </w:rPr>
              <w:t>本项目各危化品仓库内均设有视频监控、可燃气体检测报警仪、烟感火灾自动报警器并配有室内消火栓、干粉灭火器等</w:t>
            </w:r>
            <w:r>
              <w:rPr>
                <w:rFonts w:hint="default" w:ascii="Times New Roman" w:hAnsi="Times New Roman" w:eastAsia="宋体" w:cs="Times New Roman"/>
                <w:color w:val="auto"/>
                <w:kern w:val="0"/>
                <w:sz w:val="24"/>
                <w:szCs w:val="24"/>
                <w:lang w:val="en-US" w:eastAsia="zh-CN" w:bidi="ar"/>
              </w:rPr>
              <w:t xml:space="preserve">。 </w:t>
            </w:r>
          </w:p>
          <w:p w14:paraId="2183137F">
            <w:pPr>
              <w:pStyle w:val="6"/>
              <w:spacing w:before="120" w:after="120"/>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厂区总平面布置</w:t>
            </w:r>
          </w:p>
          <w:p w14:paraId="5F90B9CE">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福州密尔克卫供应链管理有限公司</w:t>
            </w:r>
            <w:r>
              <w:rPr>
                <w:rFonts w:hint="default" w:ascii="Times New Roman" w:hAnsi="Times New Roman" w:eastAsia="宋体" w:cs="Times New Roman"/>
                <w:color w:val="auto"/>
                <w:lang w:val="en-US" w:eastAsia="zh-CN"/>
              </w:rPr>
              <w:t>位于</w:t>
            </w:r>
            <w:r>
              <w:rPr>
                <w:rFonts w:hint="default" w:ascii="Times New Roman" w:hAnsi="Times New Roman" w:eastAsia="宋体" w:cs="Times New Roman"/>
                <w:color w:val="auto"/>
                <w:kern w:val="0"/>
                <w:lang w:eastAsia="zh-CN"/>
              </w:rPr>
              <w:t>福州市福清市江阴镇江阴港城经济区南部片区（福州密尔克卫供应链管理有限公司厂区内）</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占地</w:t>
            </w:r>
            <w:r>
              <w:rPr>
                <w:rFonts w:hint="default" w:ascii="Times New Roman" w:hAnsi="Times New Roman" w:eastAsia="宋体" w:cs="Times New Roman"/>
                <w:color w:val="auto"/>
              </w:rPr>
              <w:t>面积为</w:t>
            </w:r>
            <w:r>
              <w:rPr>
                <w:rFonts w:hint="default" w:ascii="Times New Roman" w:hAnsi="Times New Roman" w:eastAsia="宋体" w:cs="Times New Roman"/>
                <w:color w:val="auto"/>
                <w:lang w:val="en-US" w:eastAsia="zh-CN"/>
              </w:rPr>
              <w:t>66667</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总建筑面积33628.5</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建设门卫室、综合楼、甲类储罐区、甲类、丙类灌装/分装车间、甲类仓库、乙类仓库、多层丙类仓库、危废间</w:t>
            </w:r>
            <w:r>
              <w:rPr>
                <w:rFonts w:hint="default" w:ascii="Times New Roman" w:hAnsi="Times New Roman" w:eastAsia="宋体" w:cs="Times New Roman"/>
                <w:color w:val="auto"/>
              </w:rPr>
              <w:t>等。</w:t>
            </w:r>
          </w:p>
          <w:p w14:paraId="166D1CBD">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厂区平面布</w:t>
            </w:r>
            <w:r>
              <w:rPr>
                <w:rFonts w:hint="default" w:ascii="Times New Roman" w:hAnsi="Times New Roman" w:eastAsia="宋体" w:cs="Times New Roman"/>
                <w:color w:val="auto"/>
                <w:spacing w:val="1"/>
                <w:sz w:val="24"/>
                <w:szCs w:val="24"/>
              </w:rPr>
              <w:t>置较为合理，办公区、生产区划分明确，厂区的整体布局满足生产工</w:t>
            </w:r>
            <w:r>
              <w:rPr>
                <w:rFonts w:hint="default" w:ascii="Times New Roman" w:hAnsi="Times New Roman" w:eastAsia="宋体" w:cs="Times New Roman"/>
                <w:color w:val="auto"/>
                <w:sz w:val="24"/>
                <w:szCs w:val="24"/>
              </w:rPr>
              <w:t>艺流程和物料搬运的要</w:t>
            </w:r>
            <w:r>
              <w:rPr>
                <w:rFonts w:hint="default" w:ascii="Times New Roman" w:hAnsi="Times New Roman" w:eastAsia="宋体" w:cs="Times New Roman"/>
                <w:color w:val="auto"/>
                <w:spacing w:val="1"/>
                <w:sz w:val="24"/>
                <w:szCs w:val="24"/>
              </w:rPr>
              <w:t>求，方便整个生产流程罐箱的转移、以及危化品的分拣和仓储，生产</w:t>
            </w:r>
            <w:r>
              <w:rPr>
                <w:rFonts w:hint="default" w:ascii="Times New Roman" w:hAnsi="Times New Roman" w:eastAsia="宋体" w:cs="Times New Roman"/>
                <w:color w:val="auto"/>
                <w:sz w:val="24"/>
                <w:szCs w:val="24"/>
              </w:rPr>
              <w:t>区各仓库联系紧密，以</w:t>
            </w:r>
            <w:r>
              <w:rPr>
                <w:rFonts w:hint="default" w:ascii="Times New Roman" w:hAnsi="Times New Roman" w:eastAsia="宋体" w:cs="Times New Roman"/>
                <w:color w:val="auto"/>
                <w:spacing w:val="1"/>
                <w:sz w:val="24"/>
                <w:szCs w:val="24"/>
              </w:rPr>
              <w:t>减少占地面积、缩短物流运送距离、方便生产管理。项目生产均在室</w:t>
            </w:r>
            <w:r>
              <w:rPr>
                <w:rFonts w:hint="default" w:ascii="Times New Roman" w:hAnsi="Times New Roman" w:eastAsia="宋体" w:cs="Times New Roman"/>
                <w:color w:val="auto"/>
                <w:sz w:val="24"/>
                <w:szCs w:val="24"/>
              </w:rPr>
              <w:t>内进行，办公区及周围</w:t>
            </w:r>
            <w:r>
              <w:rPr>
                <w:rFonts w:hint="default" w:ascii="Times New Roman" w:hAnsi="Times New Roman" w:eastAsia="宋体" w:cs="Times New Roman"/>
                <w:color w:val="auto"/>
                <w:spacing w:val="1"/>
                <w:sz w:val="24"/>
                <w:szCs w:val="24"/>
              </w:rPr>
              <w:t>敏感点相对项目的位置不在主导风向的下风向，且高噪声设备尽量</w:t>
            </w:r>
            <w:r>
              <w:rPr>
                <w:rFonts w:hint="default" w:ascii="Times New Roman" w:hAnsi="Times New Roman" w:eastAsia="宋体" w:cs="Times New Roman"/>
                <w:color w:val="auto"/>
                <w:sz w:val="24"/>
                <w:szCs w:val="24"/>
              </w:rPr>
              <w:t>布置在远离厂界的区域，</w:t>
            </w:r>
            <w:r>
              <w:rPr>
                <w:rFonts w:hint="default" w:ascii="Times New Roman" w:hAnsi="Times New Roman" w:eastAsia="宋体" w:cs="Times New Roman"/>
                <w:color w:val="auto"/>
                <w:spacing w:val="1"/>
                <w:sz w:val="24"/>
                <w:szCs w:val="24"/>
              </w:rPr>
              <w:t>减少项目噪声对周边的影响。综上所述，本项目厂区平面布置基本合</w:t>
            </w:r>
            <w:r>
              <w:rPr>
                <w:rFonts w:hint="default" w:ascii="Times New Roman" w:hAnsi="Times New Roman" w:eastAsia="宋体" w:cs="Times New Roman"/>
                <w:color w:val="auto"/>
                <w:sz w:val="24"/>
                <w:szCs w:val="24"/>
              </w:rPr>
              <w:t>理。项目平面布置示意</w:t>
            </w:r>
            <w:r>
              <w:rPr>
                <w:rFonts w:hint="default" w:ascii="Times New Roman" w:hAnsi="Times New Roman" w:eastAsia="宋体" w:cs="Times New Roman"/>
                <w:color w:val="auto"/>
                <w:spacing w:val="-14"/>
                <w:sz w:val="24"/>
                <w:szCs w:val="24"/>
              </w:rPr>
              <w:t>图</w:t>
            </w:r>
            <w:r>
              <w:rPr>
                <w:rFonts w:hint="default" w:ascii="Times New Roman" w:hAnsi="Times New Roman" w:eastAsia="宋体" w:cs="Times New Roman"/>
                <w:color w:val="auto"/>
                <w:spacing w:val="-9"/>
                <w:sz w:val="24"/>
                <w:szCs w:val="24"/>
              </w:rPr>
              <w:t>见附图</w:t>
            </w:r>
            <w:r>
              <w:rPr>
                <w:rFonts w:hint="default" w:ascii="Times New Roman" w:hAnsi="Times New Roman" w:eastAsia="宋体" w:cs="Times New Roman"/>
                <w:color w:val="auto"/>
                <w:spacing w:val="-9"/>
                <w:sz w:val="24"/>
                <w:szCs w:val="24"/>
                <w:lang w:val="en-US" w:eastAsia="zh-CN"/>
              </w:rPr>
              <w:t>5</w:t>
            </w:r>
            <w:r>
              <w:rPr>
                <w:rFonts w:hint="default" w:ascii="Times New Roman" w:hAnsi="Times New Roman" w:eastAsia="宋体" w:cs="Times New Roman"/>
                <w:color w:val="auto"/>
                <w:spacing w:val="-9"/>
                <w:sz w:val="24"/>
                <w:szCs w:val="24"/>
              </w:rPr>
              <w:t>。</w:t>
            </w:r>
          </w:p>
        </w:tc>
      </w:tr>
      <w:tr w14:paraId="1F646B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38" w:hRule="atLeast"/>
          <w:jc w:val="center"/>
        </w:trPr>
        <w:tc>
          <w:tcPr>
            <w:tcW w:w="426" w:type="dxa"/>
            <w:vAlign w:val="center"/>
          </w:tcPr>
          <w:p w14:paraId="5FC156CE">
            <w:pPr>
              <w:pStyle w:val="112"/>
              <w:rPr>
                <w:rFonts w:hint="default" w:ascii="Times New Roman" w:hAnsi="Times New Roman" w:eastAsia="宋体" w:cs="Times New Roman"/>
                <w:color w:val="auto"/>
              </w:rPr>
            </w:pPr>
          </w:p>
          <w:p w14:paraId="0DE6357F">
            <w:pPr>
              <w:pStyle w:val="112"/>
              <w:rPr>
                <w:rFonts w:hint="default" w:ascii="Times New Roman" w:hAnsi="Times New Roman" w:eastAsia="宋体" w:cs="Times New Roman"/>
                <w:color w:val="auto"/>
              </w:rPr>
            </w:pPr>
          </w:p>
          <w:p w14:paraId="1D6242EC">
            <w:pPr>
              <w:pStyle w:val="112"/>
              <w:rPr>
                <w:rFonts w:hint="default" w:ascii="Times New Roman" w:hAnsi="Times New Roman" w:eastAsia="宋体" w:cs="Times New Roman"/>
                <w:color w:val="auto"/>
              </w:rPr>
            </w:pPr>
          </w:p>
          <w:p w14:paraId="77E2D76D">
            <w:pPr>
              <w:pStyle w:val="112"/>
              <w:rPr>
                <w:rFonts w:hint="default" w:ascii="Times New Roman" w:hAnsi="Times New Roman" w:eastAsia="宋体" w:cs="Times New Roman"/>
                <w:color w:val="auto"/>
              </w:rPr>
            </w:pPr>
          </w:p>
          <w:p w14:paraId="536CE72B">
            <w:pPr>
              <w:pStyle w:val="112"/>
              <w:rPr>
                <w:rFonts w:hint="default" w:ascii="Times New Roman" w:hAnsi="Times New Roman" w:eastAsia="宋体" w:cs="Times New Roman"/>
                <w:color w:val="auto"/>
              </w:rPr>
            </w:pPr>
          </w:p>
          <w:p w14:paraId="7B5FECFC">
            <w:pPr>
              <w:pStyle w:val="112"/>
              <w:rPr>
                <w:rFonts w:hint="default" w:ascii="Times New Roman" w:hAnsi="Times New Roman" w:eastAsia="宋体" w:cs="Times New Roman"/>
                <w:color w:val="auto"/>
              </w:rPr>
            </w:pPr>
          </w:p>
          <w:p w14:paraId="7474ABDE">
            <w:pPr>
              <w:pStyle w:val="112"/>
              <w:rPr>
                <w:rFonts w:hint="default" w:ascii="Times New Roman" w:hAnsi="Times New Roman" w:eastAsia="宋体" w:cs="Times New Roman"/>
                <w:color w:val="auto"/>
              </w:rPr>
            </w:pPr>
          </w:p>
          <w:p w14:paraId="660B2571">
            <w:pPr>
              <w:pStyle w:val="112"/>
              <w:rPr>
                <w:rFonts w:hint="default" w:ascii="Times New Roman" w:hAnsi="Times New Roman" w:eastAsia="宋体" w:cs="Times New Roman"/>
                <w:color w:val="auto"/>
              </w:rPr>
            </w:pPr>
          </w:p>
          <w:p w14:paraId="609C5F85">
            <w:pPr>
              <w:pStyle w:val="112"/>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工艺流程及</w:t>
            </w:r>
            <w:r>
              <w:rPr>
                <w:rFonts w:hint="default" w:ascii="Times New Roman" w:hAnsi="Times New Roman" w:eastAsia="宋体" w:cs="Times New Roman"/>
                <w:color w:val="auto"/>
              </w:rPr>
              <w:t>产排污环节</w:t>
            </w:r>
          </w:p>
        </w:tc>
        <w:tc>
          <w:tcPr>
            <w:tcW w:w="8624" w:type="dxa"/>
            <w:vAlign w:val="center"/>
          </w:tcPr>
          <w:p w14:paraId="543E10ED">
            <w:pPr>
              <w:pStyle w:val="6"/>
              <w:spacing w:before="120" w:after="120"/>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8工艺流程及</w:t>
            </w:r>
            <w:r>
              <w:rPr>
                <w:rFonts w:hint="default" w:ascii="Times New Roman" w:hAnsi="Times New Roman" w:eastAsia="宋体" w:cs="Times New Roman"/>
                <w:color w:val="auto"/>
              </w:rPr>
              <w:t>产污排污环节</w:t>
            </w:r>
          </w:p>
          <w:p w14:paraId="369E1232">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本项目主要从事危险化学品仓储服务。</w:t>
            </w:r>
          </w:p>
          <w:p w14:paraId="0847E68E">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5ADD89CF">
            <w:pPr>
              <w:pStyle w:val="9"/>
              <w:spacing w:line="360" w:lineRule="auto"/>
              <w:ind w:firstLine="480" w:firstLineChars="200"/>
              <w:jc w:val="both"/>
              <w:rPr>
                <w:rFonts w:hint="default" w:ascii="Times New Roman" w:hAnsi="Times New Roman" w:eastAsia="宋体" w:cs="Times New Roman"/>
                <w:b w:val="0"/>
                <w:color w:val="auto"/>
              </w:rPr>
            </w:pPr>
            <w:r>
              <w:rPr>
                <w:rFonts w:hint="default" w:ascii="Times New Roman" w:hAnsi="Times New Roman" w:eastAsia="宋体" w:cs="Times New Roman"/>
                <w:b w:val="0"/>
                <w:color w:val="auto"/>
              </w:rPr>
              <w:t>本项目产污环节见表2.</w:t>
            </w:r>
            <w:r>
              <w:rPr>
                <w:rFonts w:hint="default" w:ascii="Times New Roman" w:hAnsi="Times New Roman" w:eastAsia="宋体" w:cs="Times New Roman"/>
                <w:b w:val="0"/>
                <w:color w:val="auto"/>
                <w:lang w:val="en-US" w:eastAsia="zh-CN"/>
              </w:rPr>
              <w:t>8</w:t>
            </w:r>
            <w:r>
              <w:rPr>
                <w:rFonts w:hint="default" w:ascii="Times New Roman" w:hAnsi="Times New Roman" w:eastAsia="宋体" w:cs="Times New Roman"/>
                <w:b w:val="0"/>
                <w:color w:val="auto"/>
              </w:rPr>
              <w:t>-1。</w:t>
            </w:r>
          </w:p>
          <w:p w14:paraId="49D55A03">
            <w:pPr>
              <w:pStyle w:val="9"/>
              <w:rPr>
                <w:rFonts w:hint="default" w:ascii="Times New Roman" w:hAnsi="Times New Roman" w:eastAsia="宋体" w:cs="Times New Roman"/>
                <w:color w:val="auto"/>
              </w:rPr>
            </w:pPr>
            <w:r>
              <w:rPr>
                <w:rFonts w:hint="default" w:ascii="Times New Roman" w:hAnsi="Times New Roman" w:eastAsia="宋体" w:cs="Times New Roman"/>
                <w:color w:val="auto"/>
              </w:rPr>
              <w:t>表2.</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-1 项目产排污环节一览表</w:t>
            </w:r>
          </w:p>
          <w:p w14:paraId="625F1080">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2C52D181">
            <w:pPr>
              <w:ind w:firstLine="0" w:firstLineChars="0"/>
              <w:rPr>
                <w:rFonts w:hint="default" w:ascii="Times New Roman" w:hAnsi="Times New Roman" w:eastAsia="宋体" w:cs="Times New Roman"/>
                <w:color w:val="auto"/>
                <w:kern w:val="2"/>
                <w:sz w:val="24"/>
                <w:lang w:val="en-US" w:eastAsia="zh-CN" w:bidi="ar-SA"/>
              </w:rPr>
            </w:pPr>
          </w:p>
        </w:tc>
      </w:tr>
      <w:tr w14:paraId="0BB52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5" w:hRule="atLeast"/>
          <w:jc w:val="center"/>
        </w:trPr>
        <w:tc>
          <w:tcPr>
            <w:tcW w:w="426" w:type="dxa"/>
            <w:vAlign w:val="center"/>
          </w:tcPr>
          <w:p w14:paraId="0BF8739F">
            <w:pPr>
              <w:pStyle w:val="112"/>
              <w:rPr>
                <w:rFonts w:hint="default" w:ascii="Times New Roman" w:hAnsi="Times New Roman" w:eastAsia="宋体" w:cs="Times New Roman"/>
                <w:color w:val="auto"/>
              </w:rPr>
            </w:pPr>
            <w:r>
              <w:rPr>
                <w:rFonts w:hint="default" w:ascii="Times New Roman" w:hAnsi="Times New Roman" w:eastAsia="宋体" w:cs="Times New Roman"/>
                <w:bCs/>
                <w:color w:val="auto"/>
              </w:rPr>
              <w:t>与项目有关的原有环境污染问题</w:t>
            </w:r>
          </w:p>
        </w:tc>
        <w:tc>
          <w:tcPr>
            <w:tcW w:w="8624" w:type="dxa"/>
            <w:vAlign w:val="center"/>
          </w:tcPr>
          <w:p w14:paraId="3AF6F22E">
            <w:pPr>
              <w:ind w:firstLine="480"/>
              <w:rPr>
                <w:rFonts w:hint="default" w:ascii="Times New Roman" w:hAnsi="Times New Roman" w:eastAsia="宋体" w:cs="Times New Roman"/>
                <w:color w:val="auto"/>
              </w:rPr>
            </w:pPr>
          </w:p>
          <w:p w14:paraId="53AB3C45">
            <w:pPr>
              <w:pStyle w:val="3"/>
              <w:rPr>
                <w:rFonts w:hint="default" w:ascii="Times New Roman" w:hAnsi="Times New Roman" w:eastAsia="宋体" w:cs="Times New Roman"/>
                <w:color w:val="auto"/>
              </w:rPr>
            </w:pPr>
          </w:p>
          <w:p w14:paraId="47407FCB">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szCs w:val="24"/>
              </w:rPr>
              <w:t>项目为新建项目，不存在与本项目有关的原有环境污染问题。</w:t>
            </w:r>
          </w:p>
          <w:p w14:paraId="008EEB4C">
            <w:pPr>
              <w:ind w:firstLine="480"/>
              <w:rPr>
                <w:rFonts w:hint="default" w:ascii="Times New Roman" w:hAnsi="Times New Roman" w:eastAsia="宋体" w:cs="Times New Roman"/>
                <w:color w:val="auto"/>
              </w:rPr>
            </w:pPr>
          </w:p>
          <w:p w14:paraId="4ACA211C">
            <w:pPr>
              <w:ind w:firstLine="480"/>
              <w:rPr>
                <w:rFonts w:hint="default" w:ascii="Times New Roman" w:hAnsi="Times New Roman" w:eastAsia="宋体" w:cs="Times New Roman"/>
                <w:color w:val="auto"/>
              </w:rPr>
            </w:pPr>
          </w:p>
          <w:p w14:paraId="5520D44C">
            <w:pPr>
              <w:ind w:firstLine="480"/>
              <w:rPr>
                <w:rFonts w:hint="default" w:ascii="Times New Roman" w:hAnsi="Times New Roman" w:eastAsia="宋体" w:cs="Times New Roman"/>
                <w:color w:val="auto"/>
              </w:rPr>
            </w:pPr>
          </w:p>
          <w:p w14:paraId="68A0524A">
            <w:pPr>
              <w:ind w:firstLine="0" w:firstLineChars="0"/>
              <w:rPr>
                <w:rFonts w:hint="default" w:ascii="Times New Roman" w:hAnsi="Times New Roman" w:eastAsia="宋体" w:cs="Times New Roman"/>
                <w:color w:val="auto"/>
              </w:rPr>
            </w:pPr>
          </w:p>
        </w:tc>
      </w:tr>
    </w:tbl>
    <w:p w14:paraId="00BDE2DC">
      <w:pPr>
        <w:ind w:firstLine="480"/>
        <w:rPr>
          <w:rFonts w:hint="default" w:ascii="Times New Roman" w:hAnsi="Times New Roman" w:eastAsia="宋体" w:cs="Times New Roman"/>
          <w:snapToGrid w:val="0"/>
          <w:color w:val="auto"/>
        </w:rPr>
        <w:sectPr>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26" w:charSpace="0"/>
        </w:sectPr>
      </w:pPr>
    </w:p>
    <w:p w14:paraId="36319DA8">
      <w:pPr>
        <w:pStyle w:val="5"/>
        <w:keepNext w:val="0"/>
        <w:keepLines w:val="0"/>
        <w:pageBreakBefore w:val="0"/>
        <w:widowControl w:val="0"/>
        <w:numPr>
          <w:ilvl w:val="0"/>
          <w:numId w:val="9"/>
        </w:numPr>
        <w:kinsoku/>
        <w:wordWrap/>
        <w:overflowPunct/>
        <w:topLinePunct w:val="0"/>
        <w:autoSpaceDE/>
        <w:autoSpaceDN/>
        <w:bidi w:val="0"/>
        <w:adjustRightInd/>
        <w:snapToGrid/>
        <w:ind w:left="0" w:leftChars="0" w:firstLineChars="0"/>
        <w:jc w:val="center"/>
        <w:textAlignment w:val="auto"/>
        <w:rPr>
          <w:rFonts w:hint="default" w:ascii="Times New Roman" w:hAnsi="Times New Roman" w:eastAsia="宋体" w:cs="Times New Roman"/>
          <w:snapToGrid w:val="0"/>
          <w:color w:val="auto"/>
          <w:sz w:val="28"/>
          <w:szCs w:val="28"/>
        </w:rPr>
      </w:pPr>
      <w:r>
        <w:rPr>
          <w:rFonts w:hint="default" w:ascii="Times New Roman" w:hAnsi="Times New Roman" w:eastAsia="宋体" w:cs="Times New Roman"/>
          <w:snapToGrid w:val="0"/>
          <w:color w:val="auto"/>
          <w:sz w:val="28"/>
          <w:szCs w:val="28"/>
        </w:rPr>
        <w:t>区域环境质量现状、环境保护目标及评价标准</w:t>
      </w:r>
    </w:p>
    <w:tbl>
      <w:tblPr>
        <w:tblStyle w:val="4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8499"/>
      </w:tblGrid>
      <w:tr w14:paraId="6E60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24" w:type="pct"/>
            <w:noWrap w:val="0"/>
            <w:vAlign w:val="center"/>
          </w:tcPr>
          <w:p w14:paraId="6A1312DC">
            <w:pPr>
              <w:pStyle w:val="210"/>
              <w:rPr>
                <w:rFonts w:hint="default" w:ascii="Times New Roman" w:hAnsi="Times New Roman" w:eastAsia="宋体" w:cs="Times New Roman"/>
                <w:color w:val="auto"/>
                <w:kern w:val="2"/>
                <w:szCs w:val="24"/>
                <w:lang w:val="en-US" w:eastAsia="zh-CN"/>
              </w:rPr>
            </w:pPr>
            <w:r>
              <w:rPr>
                <w:rFonts w:hint="default" w:ascii="Times New Roman" w:hAnsi="Times New Roman" w:eastAsia="宋体" w:cs="Times New Roman"/>
                <w:color w:val="auto"/>
                <w:kern w:val="2"/>
                <w:szCs w:val="24"/>
                <w:lang w:val="en-US" w:eastAsia="zh-CN"/>
              </w:rPr>
              <w:t>区域</w:t>
            </w:r>
          </w:p>
          <w:p w14:paraId="1938D86C">
            <w:pPr>
              <w:pStyle w:val="210"/>
              <w:rPr>
                <w:rFonts w:hint="default" w:ascii="Times New Roman" w:hAnsi="Times New Roman" w:eastAsia="宋体" w:cs="Times New Roman"/>
                <w:color w:val="auto"/>
                <w:kern w:val="2"/>
                <w:szCs w:val="24"/>
                <w:lang w:val="en-US" w:eastAsia="zh-CN"/>
              </w:rPr>
            </w:pPr>
            <w:r>
              <w:rPr>
                <w:rFonts w:hint="default" w:ascii="Times New Roman" w:hAnsi="Times New Roman" w:eastAsia="宋体" w:cs="Times New Roman"/>
                <w:color w:val="auto"/>
                <w:kern w:val="2"/>
                <w:szCs w:val="24"/>
                <w:lang w:val="en-US" w:eastAsia="zh-CN"/>
              </w:rPr>
              <w:t>环境</w:t>
            </w:r>
          </w:p>
          <w:p w14:paraId="6E8969CA">
            <w:pPr>
              <w:pStyle w:val="210"/>
              <w:rPr>
                <w:rFonts w:hint="default" w:ascii="Times New Roman" w:hAnsi="Times New Roman" w:eastAsia="宋体" w:cs="Times New Roman"/>
                <w:color w:val="auto"/>
                <w:kern w:val="2"/>
                <w:szCs w:val="24"/>
                <w:lang w:val="en-US" w:eastAsia="zh-CN"/>
              </w:rPr>
            </w:pPr>
            <w:r>
              <w:rPr>
                <w:rFonts w:hint="default" w:ascii="Times New Roman" w:hAnsi="Times New Roman" w:eastAsia="宋体" w:cs="Times New Roman"/>
                <w:color w:val="auto"/>
                <w:kern w:val="2"/>
                <w:szCs w:val="24"/>
                <w:lang w:val="en-US" w:eastAsia="zh-CN"/>
              </w:rPr>
              <w:t>质量</w:t>
            </w:r>
          </w:p>
          <w:p w14:paraId="2D1CD9C2">
            <w:pPr>
              <w:pStyle w:val="210"/>
              <w:rPr>
                <w:rFonts w:hint="default" w:ascii="Times New Roman" w:hAnsi="Times New Roman" w:eastAsia="宋体" w:cs="Times New Roman"/>
                <w:color w:val="auto"/>
                <w:kern w:val="2"/>
                <w:szCs w:val="24"/>
                <w:lang w:val="en-US" w:eastAsia="zh-CN"/>
              </w:rPr>
            </w:pPr>
            <w:r>
              <w:rPr>
                <w:rFonts w:hint="default" w:ascii="Times New Roman" w:hAnsi="Times New Roman" w:eastAsia="宋体" w:cs="Times New Roman"/>
                <w:color w:val="auto"/>
                <w:kern w:val="2"/>
                <w:szCs w:val="24"/>
                <w:lang w:val="en-US" w:eastAsia="zh-CN"/>
              </w:rPr>
              <w:t>现状</w:t>
            </w:r>
          </w:p>
        </w:tc>
        <w:tc>
          <w:tcPr>
            <w:tcW w:w="4575" w:type="pct"/>
            <w:noWrap w:val="0"/>
            <w:vAlign w:val="center"/>
          </w:tcPr>
          <w:p w14:paraId="676FA796">
            <w:pPr>
              <w:pStyle w:val="585"/>
              <w:snapToGrid w:val="0"/>
              <w:spacing w:before="120" w:beforeLines="50" w:after="120" w:afterLines="50" w:line="360" w:lineRule="auto"/>
              <w:ind w:left="0" w:leftChars="0" w:firstLine="0" w:firstLineChars="0"/>
              <w:outlineLvl w:val="1"/>
              <w:rPr>
                <w:rFonts w:hint="default" w:ascii="Times New Roman" w:hAnsi="Times New Roman" w:eastAsia="宋体" w:cs="Times New Roman"/>
                <w:b/>
                <w:color w:val="auto"/>
                <w:spacing w:val="8"/>
                <w:kern w:val="2"/>
                <w:szCs w:val="28"/>
                <w:lang w:val="en-US" w:eastAsia="zh-CN"/>
              </w:rPr>
            </w:pPr>
            <w:bookmarkStart w:id="7" w:name="_Toc32631"/>
            <w:r>
              <w:rPr>
                <w:rFonts w:hint="default" w:ascii="Times New Roman" w:hAnsi="Times New Roman" w:eastAsia="宋体" w:cs="Times New Roman"/>
                <w:b/>
                <w:color w:val="auto"/>
                <w:spacing w:val="8"/>
                <w:kern w:val="2"/>
                <w:szCs w:val="28"/>
                <w:lang w:val="en-US" w:eastAsia="zh-CN"/>
              </w:rPr>
              <w:t>3.1环境质量标准</w:t>
            </w:r>
          </w:p>
          <w:p w14:paraId="42D60AE3">
            <w:pPr>
              <w:adjustRightInd w:val="0"/>
              <w:snapToGrid w:val="0"/>
              <w:ind w:firstLine="0" w:firstLineChars="0"/>
              <w:outlineLvl w:val="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3.1.1</w:t>
            </w:r>
            <w:r>
              <w:rPr>
                <w:rFonts w:hint="default" w:ascii="Times New Roman" w:hAnsi="Times New Roman" w:eastAsia="宋体" w:cs="Times New Roman"/>
                <w:b/>
                <w:color w:val="auto"/>
              </w:rPr>
              <w:t>大气环境</w:t>
            </w:r>
          </w:p>
          <w:p w14:paraId="4EF75915">
            <w:pPr>
              <w:ind w:firstLine="480"/>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项目所在区域划为二类环境空气质量功能区，环境空气质量评价采用《环境空气质量标准》（GB3095-2012）中的二级标准；《环境空气质量标准》（GB3095-2012）中未要求的项目：甲苯、二甲苯、总挥发性有机物（TVOC）；非甲烷总烃参照《大气污染物综合排放标准详解》中Cm取值规定作为质量标准参考值</w:t>
            </w:r>
            <w:r>
              <w:rPr>
                <w:rFonts w:hint="default" w:ascii="Times New Roman" w:hAnsi="Times New Roman" w:eastAsia="宋体" w:cs="Times New Roman"/>
                <w:color w:val="auto"/>
                <w:szCs w:val="22"/>
                <w:lang w:val="en-US" w:eastAsia="zh-CN"/>
              </w:rPr>
              <w:t>等</w:t>
            </w:r>
            <w:r>
              <w:rPr>
                <w:rFonts w:hint="default" w:ascii="Times New Roman" w:hAnsi="Times New Roman" w:eastAsia="宋体" w:cs="Times New Roman"/>
                <w:color w:val="auto"/>
                <w:szCs w:val="22"/>
              </w:rPr>
              <w:t>；环境空气质量执行标准详见表3.1-1。</w:t>
            </w:r>
          </w:p>
          <w:p w14:paraId="0A6CC800">
            <w:pPr>
              <w:spacing w:line="240" w:lineRule="auto"/>
              <w:ind w:firstLine="0" w:firstLineChars="0"/>
              <w:jc w:val="center"/>
              <w:rPr>
                <w:rFonts w:hint="default" w:ascii="Times New Roman" w:hAnsi="Times New Roman" w:eastAsia="宋体" w:cs="Times New Roman"/>
                <w:b/>
                <w:color w:val="auto"/>
                <w:szCs w:val="20"/>
              </w:rPr>
            </w:pPr>
            <w:r>
              <w:rPr>
                <w:rFonts w:hint="default" w:ascii="Times New Roman" w:hAnsi="Times New Roman" w:eastAsia="宋体" w:cs="Times New Roman"/>
                <w:b/>
                <w:color w:val="auto"/>
                <w:szCs w:val="20"/>
              </w:rPr>
              <w:t>表3.1-1  环境空气质量执行标准（摘录）</w:t>
            </w:r>
          </w:p>
          <w:tbl>
            <w:tblPr>
              <w:tblStyle w:val="4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741"/>
              <w:gridCol w:w="877"/>
              <w:gridCol w:w="1139"/>
              <w:gridCol w:w="2975"/>
            </w:tblGrid>
            <w:tr w14:paraId="57095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noWrap w:val="0"/>
                  <w:vAlign w:val="center"/>
                </w:tcPr>
                <w:p w14:paraId="0BB12BF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1741" w:type="dxa"/>
                  <w:noWrap w:val="0"/>
                  <w:vAlign w:val="center"/>
                </w:tcPr>
                <w:p w14:paraId="50BB6FF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取值时间</w:t>
                  </w:r>
                </w:p>
              </w:tc>
              <w:tc>
                <w:tcPr>
                  <w:tcW w:w="877" w:type="dxa"/>
                  <w:noWrap w:val="0"/>
                  <w:vAlign w:val="center"/>
                </w:tcPr>
                <w:p w14:paraId="350B06A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浓度限值</w:t>
                  </w:r>
                </w:p>
              </w:tc>
              <w:tc>
                <w:tcPr>
                  <w:tcW w:w="1139" w:type="dxa"/>
                  <w:noWrap w:val="0"/>
                  <w:vAlign w:val="center"/>
                </w:tcPr>
                <w:p w14:paraId="6203037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2975" w:type="dxa"/>
                  <w:noWrap w:val="0"/>
                  <w:vAlign w:val="center"/>
                </w:tcPr>
                <w:p w14:paraId="68A44C1B">
                  <w:pPr>
                    <w:adjustRightInd w:val="0"/>
                    <w:snapToGrid w:val="0"/>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标准来源</w:t>
                  </w:r>
                </w:p>
              </w:tc>
            </w:tr>
            <w:tr w14:paraId="6E2F99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vMerge w:val="restart"/>
                  <w:noWrap w:val="0"/>
                  <w:vAlign w:val="center"/>
                </w:tcPr>
                <w:p w14:paraId="5CC5A8E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741" w:type="dxa"/>
                  <w:noWrap w:val="0"/>
                  <w:vAlign w:val="center"/>
                </w:tcPr>
                <w:p w14:paraId="17C36AC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877" w:type="dxa"/>
                  <w:noWrap w:val="0"/>
                  <w:vAlign w:val="center"/>
                </w:tcPr>
                <w:p w14:paraId="48EA670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139" w:type="dxa"/>
                  <w:noWrap w:val="0"/>
                  <w:vAlign w:val="center"/>
                </w:tcPr>
                <w:p w14:paraId="4F85E06A">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ug/</w:t>
                  </w:r>
                  <w:r>
                    <w:rPr>
                      <w:rFonts w:hint="default" w:ascii="Times New Roman" w:hAnsi="Times New Roman" w:eastAsia="宋体" w:cs="Times New Roman"/>
                      <w:color w:val="auto"/>
                      <w:sz w:val="21"/>
                      <w:szCs w:val="21"/>
                      <w:lang w:eastAsia="zh-CN"/>
                    </w:rPr>
                    <w:t>m³</w:t>
                  </w:r>
                </w:p>
              </w:tc>
              <w:tc>
                <w:tcPr>
                  <w:tcW w:w="2975" w:type="dxa"/>
                  <w:vMerge w:val="restart"/>
                  <w:noWrap w:val="0"/>
                  <w:vAlign w:val="center"/>
                </w:tcPr>
                <w:p w14:paraId="7783D9B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w:t>
                  </w:r>
                </w:p>
                <w:p w14:paraId="0BC7CA5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（GB3095-2012）二级标准</w:t>
                  </w:r>
                </w:p>
              </w:tc>
            </w:tr>
            <w:tr w14:paraId="4C6AC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vMerge w:val="continue"/>
                  <w:noWrap w:val="0"/>
                  <w:vAlign w:val="center"/>
                </w:tcPr>
                <w:p w14:paraId="3840F67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741" w:type="dxa"/>
                  <w:noWrap w:val="0"/>
                  <w:vAlign w:val="center"/>
                </w:tcPr>
                <w:p w14:paraId="4D08C4E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日平均</w:t>
                  </w:r>
                </w:p>
              </w:tc>
              <w:tc>
                <w:tcPr>
                  <w:tcW w:w="877" w:type="dxa"/>
                  <w:noWrap w:val="0"/>
                  <w:vAlign w:val="center"/>
                </w:tcPr>
                <w:p w14:paraId="6787809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1139" w:type="dxa"/>
                  <w:noWrap w:val="0"/>
                  <w:vAlign w:val="center"/>
                </w:tcPr>
                <w:p w14:paraId="5C6E3A2A">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ug/</w:t>
                  </w:r>
                  <w:r>
                    <w:rPr>
                      <w:rFonts w:hint="default" w:ascii="Times New Roman" w:hAnsi="Times New Roman" w:eastAsia="宋体" w:cs="Times New Roman"/>
                      <w:color w:val="auto"/>
                      <w:sz w:val="21"/>
                      <w:szCs w:val="21"/>
                      <w:lang w:eastAsia="zh-CN"/>
                    </w:rPr>
                    <w:t>m³</w:t>
                  </w:r>
                </w:p>
              </w:tc>
              <w:tc>
                <w:tcPr>
                  <w:tcW w:w="2975" w:type="dxa"/>
                  <w:vMerge w:val="continue"/>
                  <w:noWrap w:val="0"/>
                  <w:vAlign w:val="center"/>
                </w:tcPr>
                <w:p w14:paraId="13BAF2E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5034AD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vMerge w:val="continue"/>
                  <w:noWrap w:val="0"/>
                  <w:vAlign w:val="center"/>
                </w:tcPr>
                <w:p w14:paraId="540D0B9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741" w:type="dxa"/>
                  <w:noWrap w:val="0"/>
                  <w:vAlign w:val="center"/>
                </w:tcPr>
                <w:p w14:paraId="7CA4B58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877" w:type="dxa"/>
                  <w:noWrap w:val="0"/>
                  <w:vAlign w:val="center"/>
                </w:tcPr>
                <w:p w14:paraId="33E0FBA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1139" w:type="dxa"/>
                  <w:noWrap w:val="0"/>
                  <w:vAlign w:val="center"/>
                </w:tcPr>
                <w:p w14:paraId="1FCEB4DB">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ug/</w:t>
                  </w:r>
                  <w:r>
                    <w:rPr>
                      <w:rFonts w:hint="default" w:ascii="Times New Roman" w:hAnsi="Times New Roman" w:eastAsia="宋体" w:cs="Times New Roman"/>
                      <w:color w:val="auto"/>
                      <w:sz w:val="21"/>
                      <w:szCs w:val="21"/>
                      <w:lang w:eastAsia="zh-CN"/>
                    </w:rPr>
                    <w:t>m³</w:t>
                  </w:r>
                </w:p>
              </w:tc>
              <w:tc>
                <w:tcPr>
                  <w:tcW w:w="2975" w:type="dxa"/>
                  <w:vMerge w:val="continue"/>
                  <w:noWrap w:val="0"/>
                  <w:vAlign w:val="center"/>
                </w:tcPr>
                <w:p w14:paraId="3A4C1D5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5BCBF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vMerge w:val="restart"/>
                  <w:noWrap w:val="0"/>
                  <w:vAlign w:val="center"/>
                </w:tcPr>
                <w:p w14:paraId="27291D8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1741" w:type="dxa"/>
                  <w:noWrap w:val="0"/>
                  <w:vAlign w:val="center"/>
                </w:tcPr>
                <w:p w14:paraId="4A784EE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877" w:type="dxa"/>
                  <w:noWrap w:val="0"/>
                  <w:vAlign w:val="center"/>
                </w:tcPr>
                <w:p w14:paraId="37FDEEE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139" w:type="dxa"/>
                  <w:noWrap w:val="0"/>
                  <w:vAlign w:val="center"/>
                </w:tcPr>
                <w:p w14:paraId="67C55CEB">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ug/</w:t>
                  </w:r>
                  <w:r>
                    <w:rPr>
                      <w:rFonts w:hint="default" w:ascii="Times New Roman" w:hAnsi="Times New Roman" w:eastAsia="宋体" w:cs="Times New Roman"/>
                      <w:color w:val="auto"/>
                      <w:sz w:val="21"/>
                      <w:szCs w:val="21"/>
                      <w:lang w:eastAsia="zh-CN"/>
                    </w:rPr>
                    <w:t>m³</w:t>
                  </w:r>
                </w:p>
              </w:tc>
              <w:tc>
                <w:tcPr>
                  <w:tcW w:w="2975" w:type="dxa"/>
                  <w:vMerge w:val="continue"/>
                  <w:noWrap w:val="0"/>
                  <w:vAlign w:val="center"/>
                </w:tcPr>
                <w:p w14:paraId="293E4C3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3B5B68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vMerge w:val="continue"/>
                  <w:noWrap w:val="0"/>
                  <w:vAlign w:val="center"/>
                </w:tcPr>
                <w:p w14:paraId="2F7B2DD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741" w:type="dxa"/>
                  <w:noWrap w:val="0"/>
                  <w:vAlign w:val="center"/>
                </w:tcPr>
                <w:p w14:paraId="35195CB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日平均</w:t>
                  </w:r>
                </w:p>
              </w:tc>
              <w:tc>
                <w:tcPr>
                  <w:tcW w:w="877" w:type="dxa"/>
                  <w:noWrap w:val="0"/>
                  <w:vAlign w:val="center"/>
                </w:tcPr>
                <w:p w14:paraId="6B502E2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1139" w:type="dxa"/>
                  <w:noWrap w:val="0"/>
                  <w:vAlign w:val="center"/>
                </w:tcPr>
                <w:p w14:paraId="6F4F2DEB">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ug/</w:t>
                  </w:r>
                  <w:r>
                    <w:rPr>
                      <w:rFonts w:hint="default" w:ascii="Times New Roman" w:hAnsi="Times New Roman" w:eastAsia="宋体" w:cs="Times New Roman"/>
                      <w:color w:val="auto"/>
                      <w:sz w:val="21"/>
                      <w:szCs w:val="21"/>
                      <w:lang w:eastAsia="zh-CN"/>
                    </w:rPr>
                    <w:t>m³</w:t>
                  </w:r>
                </w:p>
              </w:tc>
              <w:tc>
                <w:tcPr>
                  <w:tcW w:w="2975" w:type="dxa"/>
                  <w:vMerge w:val="continue"/>
                  <w:noWrap w:val="0"/>
                  <w:vAlign w:val="center"/>
                </w:tcPr>
                <w:p w14:paraId="1C23121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011F7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vMerge w:val="continue"/>
                  <w:noWrap w:val="0"/>
                  <w:vAlign w:val="center"/>
                </w:tcPr>
                <w:p w14:paraId="1E47670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741" w:type="dxa"/>
                  <w:noWrap w:val="0"/>
                  <w:vAlign w:val="center"/>
                </w:tcPr>
                <w:p w14:paraId="53C5461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877" w:type="dxa"/>
                  <w:noWrap w:val="0"/>
                  <w:vAlign w:val="center"/>
                </w:tcPr>
                <w:p w14:paraId="31763CB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1139" w:type="dxa"/>
                  <w:noWrap w:val="0"/>
                  <w:vAlign w:val="center"/>
                </w:tcPr>
                <w:p w14:paraId="475AEAC3">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ug/</w:t>
                  </w:r>
                  <w:r>
                    <w:rPr>
                      <w:rFonts w:hint="default" w:ascii="Times New Roman" w:hAnsi="Times New Roman" w:eastAsia="宋体" w:cs="Times New Roman"/>
                      <w:color w:val="auto"/>
                      <w:sz w:val="21"/>
                      <w:szCs w:val="21"/>
                      <w:lang w:eastAsia="zh-CN"/>
                    </w:rPr>
                    <w:t>m³</w:t>
                  </w:r>
                </w:p>
              </w:tc>
              <w:tc>
                <w:tcPr>
                  <w:tcW w:w="2975" w:type="dxa"/>
                  <w:vMerge w:val="continue"/>
                  <w:noWrap w:val="0"/>
                  <w:vAlign w:val="center"/>
                </w:tcPr>
                <w:p w14:paraId="7D72E38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702A2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vMerge w:val="restart"/>
                  <w:noWrap w:val="0"/>
                  <w:vAlign w:val="center"/>
                </w:tcPr>
                <w:p w14:paraId="54D4DBD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TSP</w:t>
                  </w:r>
                </w:p>
              </w:tc>
              <w:tc>
                <w:tcPr>
                  <w:tcW w:w="1741" w:type="dxa"/>
                  <w:noWrap w:val="0"/>
                  <w:vAlign w:val="center"/>
                </w:tcPr>
                <w:p w14:paraId="5D658C2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877" w:type="dxa"/>
                  <w:noWrap w:val="0"/>
                  <w:vAlign w:val="center"/>
                </w:tcPr>
                <w:p w14:paraId="717CB84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1139" w:type="dxa"/>
                  <w:noWrap w:val="0"/>
                  <w:vAlign w:val="center"/>
                </w:tcPr>
                <w:p w14:paraId="51720C5B">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ug/</w:t>
                  </w:r>
                  <w:r>
                    <w:rPr>
                      <w:rFonts w:hint="default" w:ascii="Times New Roman" w:hAnsi="Times New Roman" w:eastAsia="宋体" w:cs="Times New Roman"/>
                      <w:color w:val="auto"/>
                      <w:sz w:val="21"/>
                      <w:szCs w:val="21"/>
                      <w:lang w:eastAsia="zh-CN"/>
                    </w:rPr>
                    <w:t>m³</w:t>
                  </w:r>
                </w:p>
              </w:tc>
              <w:tc>
                <w:tcPr>
                  <w:tcW w:w="2975" w:type="dxa"/>
                  <w:vMerge w:val="continue"/>
                  <w:noWrap w:val="0"/>
                  <w:vAlign w:val="center"/>
                </w:tcPr>
                <w:p w14:paraId="37E6319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0F0CB1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vMerge w:val="continue"/>
                  <w:noWrap w:val="0"/>
                  <w:vAlign w:val="center"/>
                </w:tcPr>
                <w:p w14:paraId="4EFCDED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741" w:type="dxa"/>
                  <w:noWrap w:val="0"/>
                  <w:vAlign w:val="center"/>
                </w:tcPr>
                <w:p w14:paraId="0B3A612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日平均</w:t>
                  </w:r>
                </w:p>
              </w:tc>
              <w:tc>
                <w:tcPr>
                  <w:tcW w:w="877" w:type="dxa"/>
                  <w:noWrap w:val="0"/>
                  <w:vAlign w:val="center"/>
                </w:tcPr>
                <w:p w14:paraId="59CC4F9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1139" w:type="dxa"/>
                  <w:noWrap w:val="0"/>
                  <w:vAlign w:val="center"/>
                </w:tcPr>
                <w:p w14:paraId="4A1AB12E">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ug/</w:t>
                  </w:r>
                  <w:r>
                    <w:rPr>
                      <w:rFonts w:hint="default" w:ascii="Times New Roman" w:hAnsi="Times New Roman" w:eastAsia="宋体" w:cs="Times New Roman"/>
                      <w:color w:val="auto"/>
                      <w:sz w:val="21"/>
                      <w:szCs w:val="21"/>
                      <w:lang w:eastAsia="zh-CN"/>
                    </w:rPr>
                    <w:t>m³</w:t>
                  </w:r>
                </w:p>
              </w:tc>
              <w:tc>
                <w:tcPr>
                  <w:tcW w:w="2975" w:type="dxa"/>
                  <w:vMerge w:val="continue"/>
                  <w:noWrap w:val="0"/>
                  <w:vAlign w:val="center"/>
                </w:tcPr>
                <w:p w14:paraId="4BDA645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43C555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vMerge w:val="restart"/>
                  <w:noWrap w:val="0"/>
                  <w:vAlign w:val="center"/>
                </w:tcPr>
                <w:p w14:paraId="5D6FB7F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PM10</w:t>
                  </w:r>
                </w:p>
              </w:tc>
              <w:tc>
                <w:tcPr>
                  <w:tcW w:w="1741" w:type="dxa"/>
                  <w:noWrap w:val="0"/>
                  <w:vAlign w:val="center"/>
                </w:tcPr>
                <w:p w14:paraId="25C50AF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877" w:type="dxa"/>
                  <w:noWrap w:val="0"/>
                  <w:vAlign w:val="center"/>
                </w:tcPr>
                <w:p w14:paraId="27C911F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1139" w:type="dxa"/>
                  <w:noWrap w:val="0"/>
                  <w:vAlign w:val="center"/>
                </w:tcPr>
                <w:p w14:paraId="1F93D804">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ug/</w:t>
                  </w:r>
                  <w:r>
                    <w:rPr>
                      <w:rFonts w:hint="default" w:ascii="Times New Roman" w:hAnsi="Times New Roman" w:eastAsia="宋体" w:cs="Times New Roman"/>
                      <w:color w:val="auto"/>
                      <w:sz w:val="21"/>
                      <w:szCs w:val="21"/>
                      <w:lang w:eastAsia="zh-CN"/>
                    </w:rPr>
                    <w:t>m³</w:t>
                  </w:r>
                </w:p>
              </w:tc>
              <w:tc>
                <w:tcPr>
                  <w:tcW w:w="2975" w:type="dxa"/>
                  <w:vMerge w:val="continue"/>
                  <w:noWrap w:val="0"/>
                  <w:vAlign w:val="center"/>
                </w:tcPr>
                <w:p w14:paraId="7DB1105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2A4735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vMerge w:val="continue"/>
                  <w:noWrap w:val="0"/>
                  <w:vAlign w:val="center"/>
                </w:tcPr>
                <w:p w14:paraId="0B39164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741" w:type="dxa"/>
                  <w:noWrap w:val="0"/>
                  <w:vAlign w:val="center"/>
                </w:tcPr>
                <w:p w14:paraId="6F7A4F2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日平均</w:t>
                  </w:r>
                </w:p>
              </w:tc>
              <w:tc>
                <w:tcPr>
                  <w:tcW w:w="877" w:type="dxa"/>
                  <w:noWrap w:val="0"/>
                  <w:vAlign w:val="center"/>
                </w:tcPr>
                <w:p w14:paraId="7B21E13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1139" w:type="dxa"/>
                  <w:noWrap w:val="0"/>
                  <w:vAlign w:val="center"/>
                </w:tcPr>
                <w:p w14:paraId="14AB5A21">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ug/</w:t>
                  </w:r>
                  <w:r>
                    <w:rPr>
                      <w:rFonts w:hint="default" w:ascii="Times New Roman" w:hAnsi="Times New Roman" w:eastAsia="宋体" w:cs="Times New Roman"/>
                      <w:color w:val="auto"/>
                      <w:sz w:val="21"/>
                      <w:szCs w:val="21"/>
                      <w:lang w:eastAsia="zh-CN"/>
                    </w:rPr>
                    <w:t>m³</w:t>
                  </w:r>
                </w:p>
              </w:tc>
              <w:tc>
                <w:tcPr>
                  <w:tcW w:w="2975" w:type="dxa"/>
                  <w:vMerge w:val="continue"/>
                  <w:noWrap w:val="0"/>
                  <w:vAlign w:val="center"/>
                </w:tcPr>
                <w:p w14:paraId="5597AF3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7EEF9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vMerge w:val="restart"/>
                  <w:noWrap w:val="0"/>
                  <w:vAlign w:val="center"/>
                </w:tcPr>
                <w:p w14:paraId="032EEA4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1741" w:type="dxa"/>
                  <w:noWrap w:val="0"/>
                  <w:vAlign w:val="center"/>
                </w:tcPr>
                <w:p w14:paraId="1840B80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877" w:type="dxa"/>
                  <w:noWrap w:val="0"/>
                  <w:vAlign w:val="center"/>
                </w:tcPr>
                <w:p w14:paraId="0D0C6B1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139" w:type="dxa"/>
                  <w:noWrap w:val="0"/>
                  <w:vAlign w:val="center"/>
                </w:tcPr>
                <w:p w14:paraId="311077F2">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ug/</w:t>
                  </w:r>
                  <w:r>
                    <w:rPr>
                      <w:rFonts w:hint="default" w:ascii="Times New Roman" w:hAnsi="Times New Roman" w:eastAsia="宋体" w:cs="Times New Roman"/>
                      <w:color w:val="auto"/>
                      <w:sz w:val="21"/>
                      <w:szCs w:val="21"/>
                      <w:lang w:eastAsia="zh-CN"/>
                    </w:rPr>
                    <w:t>m³</w:t>
                  </w:r>
                </w:p>
              </w:tc>
              <w:tc>
                <w:tcPr>
                  <w:tcW w:w="2975" w:type="dxa"/>
                  <w:vMerge w:val="continue"/>
                  <w:noWrap w:val="0"/>
                  <w:vAlign w:val="center"/>
                </w:tcPr>
                <w:p w14:paraId="5D1A6FB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2DF83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vMerge w:val="continue"/>
                  <w:noWrap w:val="0"/>
                  <w:vAlign w:val="center"/>
                </w:tcPr>
                <w:p w14:paraId="6481329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741" w:type="dxa"/>
                  <w:noWrap w:val="0"/>
                  <w:vAlign w:val="center"/>
                </w:tcPr>
                <w:p w14:paraId="6049DFF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日平均</w:t>
                  </w:r>
                </w:p>
              </w:tc>
              <w:tc>
                <w:tcPr>
                  <w:tcW w:w="877" w:type="dxa"/>
                  <w:noWrap w:val="0"/>
                  <w:vAlign w:val="center"/>
                </w:tcPr>
                <w:p w14:paraId="3C8A547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1139" w:type="dxa"/>
                  <w:noWrap w:val="0"/>
                  <w:vAlign w:val="center"/>
                </w:tcPr>
                <w:p w14:paraId="689615A5">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ug/</w:t>
                  </w:r>
                  <w:r>
                    <w:rPr>
                      <w:rFonts w:hint="default" w:ascii="Times New Roman" w:hAnsi="Times New Roman" w:eastAsia="宋体" w:cs="Times New Roman"/>
                      <w:color w:val="auto"/>
                      <w:sz w:val="21"/>
                      <w:szCs w:val="21"/>
                      <w:lang w:eastAsia="zh-CN"/>
                    </w:rPr>
                    <w:t>m³</w:t>
                  </w:r>
                </w:p>
              </w:tc>
              <w:tc>
                <w:tcPr>
                  <w:tcW w:w="2975" w:type="dxa"/>
                  <w:vMerge w:val="continue"/>
                  <w:noWrap w:val="0"/>
                  <w:vAlign w:val="center"/>
                </w:tcPr>
                <w:p w14:paraId="64F2B9F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54BC4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vMerge w:val="restart"/>
                  <w:noWrap w:val="0"/>
                  <w:vAlign w:val="center"/>
                </w:tcPr>
                <w:p w14:paraId="61151F9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p>
              </w:tc>
              <w:tc>
                <w:tcPr>
                  <w:tcW w:w="1741" w:type="dxa"/>
                  <w:noWrap w:val="0"/>
                  <w:vAlign w:val="center"/>
                </w:tcPr>
                <w:p w14:paraId="154E962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日平均</w:t>
                  </w:r>
                </w:p>
              </w:tc>
              <w:tc>
                <w:tcPr>
                  <w:tcW w:w="877" w:type="dxa"/>
                  <w:noWrap w:val="0"/>
                  <w:vAlign w:val="center"/>
                </w:tcPr>
                <w:p w14:paraId="0B7C230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139" w:type="dxa"/>
                  <w:noWrap w:val="0"/>
                  <w:vAlign w:val="center"/>
                </w:tcPr>
                <w:p w14:paraId="36908358">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z w:val="21"/>
                      <w:szCs w:val="21"/>
                      <w:lang w:eastAsia="zh-CN"/>
                    </w:rPr>
                    <w:t>m³</w:t>
                  </w:r>
                </w:p>
              </w:tc>
              <w:tc>
                <w:tcPr>
                  <w:tcW w:w="2975" w:type="dxa"/>
                  <w:vMerge w:val="continue"/>
                  <w:noWrap w:val="0"/>
                  <w:vAlign w:val="center"/>
                </w:tcPr>
                <w:p w14:paraId="6088FC2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7359A1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vMerge w:val="continue"/>
                  <w:noWrap w:val="0"/>
                  <w:vAlign w:val="center"/>
                </w:tcPr>
                <w:p w14:paraId="6AD03E3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741" w:type="dxa"/>
                  <w:noWrap w:val="0"/>
                  <w:vAlign w:val="center"/>
                </w:tcPr>
                <w:p w14:paraId="004EE4D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877" w:type="dxa"/>
                  <w:noWrap w:val="0"/>
                  <w:vAlign w:val="center"/>
                </w:tcPr>
                <w:p w14:paraId="7D4718A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139" w:type="dxa"/>
                  <w:noWrap w:val="0"/>
                  <w:vAlign w:val="center"/>
                </w:tcPr>
                <w:p w14:paraId="7E992D83">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z w:val="21"/>
                      <w:szCs w:val="21"/>
                      <w:lang w:eastAsia="zh-CN"/>
                    </w:rPr>
                    <w:t>m³</w:t>
                  </w:r>
                </w:p>
              </w:tc>
              <w:tc>
                <w:tcPr>
                  <w:tcW w:w="2975" w:type="dxa"/>
                  <w:vMerge w:val="continue"/>
                  <w:noWrap w:val="0"/>
                  <w:vAlign w:val="center"/>
                </w:tcPr>
                <w:p w14:paraId="3236D9E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70AAC3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vMerge w:val="restart"/>
                  <w:noWrap w:val="0"/>
                  <w:vAlign w:val="center"/>
                </w:tcPr>
                <w:p w14:paraId="53D789D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p>
              </w:tc>
              <w:tc>
                <w:tcPr>
                  <w:tcW w:w="1741" w:type="dxa"/>
                  <w:noWrap w:val="0"/>
                  <w:vAlign w:val="center"/>
                </w:tcPr>
                <w:p w14:paraId="5890B3D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日最大8小时平均</w:t>
                  </w:r>
                </w:p>
              </w:tc>
              <w:tc>
                <w:tcPr>
                  <w:tcW w:w="877" w:type="dxa"/>
                  <w:noWrap w:val="0"/>
                  <w:vAlign w:val="center"/>
                </w:tcPr>
                <w:p w14:paraId="128BC4E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w:t>
                  </w:r>
                </w:p>
              </w:tc>
              <w:tc>
                <w:tcPr>
                  <w:tcW w:w="1139" w:type="dxa"/>
                  <w:noWrap w:val="0"/>
                  <w:vAlign w:val="center"/>
                </w:tcPr>
                <w:p w14:paraId="2AA0F830">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ug/</w:t>
                  </w:r>
                  <w:r>
                    <w:rPr>
                      <w:rFonts w:hint="default" w:ascii="Times New Roman" w:hAnsi="Times New Roman" w:eastAsia="宋体" w:cs="Times New Roman"/>
                      <w:color w:val="auto"/>
                      <w:sz w:val="21"/>
                      <w:szCs w:val="21"/>
                      <w:lang w:eastAsia="zh-CN"/>
                    </w:rPr>
                    <w:t>m³</w:t>
                  </w:r>
                </w:p>
              </w:tc>
              <w:tc>
                <w:tcPr>
                  <w:tcW w:w="2975" w:type="dxa"/>
                  <w:vMerge w:val="continue"/>
                  <w:noWrap w:val="0"/>
                  <w:vAlign w:val="center"/>
                </w:tcPr>
                <w:p w14:paraId="4D35831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33FE5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vMerge w:val="continue"/>
                  <w:noWrap w:val="0"/>
                  <w:vAlign w:val="center"/>
                </w:tcPr>
                <w:p w14:paraId="2643D9E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741" w:type="dxa"/>
                  <w:noWrap w:val="0"/>
                  <w:vAlign w:val="center"/>
                </w:tcPr>
                <w:p w14:paraId="347C5BF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877" w:type="dxa"/>
                  <w:noWrap w:val="0"/>
                  <w:vAlign w:val="center"/>
                </w:tcPr>
                <w:p w14:paraId="0BF22A3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1139" w:type="dxa"/>
                  <w:noWrap w:val="0"/>
                  <w:vAlign w:val="center"/>
                </w:tcPr>
                <w:p w14:paraId="50FFF96B">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ug/</w:t>
                  </w:r>
                  <w:r>
                    <w:rPr>
                      <w:rFonts w:hint="default" w:ascii="Times New Roman" w:hAnsi="Times New Roman" w:eastAsia="宋体" w:cs="Times New Roman"/>
                      <w:color w:val="auto"/>
                      <w:sz w:val="21"/>
                      <w:szCs w:val="21"/>
                      <w:lang w:eastAsia="zh-CN"/>
                    </w:rPr>
                    <w:t>m³</w:t>
                  </w:r>
                </w:p>
              </w:tc>
              <w:tc>
                <w:tcPr>
                  <w:tcW w:w="2975" w:type="dxa"/>
                  <w:vMerge w:val="continue"/>
                  <w:noWrap w:val="0"/>
                  <w:vAlign w:val="center"/>
                </w:tcPr>
                <w:p w14:paraId="73B45ED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2A51C1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noWrap w:val="0"/>
                  <w:vAlign w:val="center"/>
                </w:tcPr>
                <w:p w14:paraId="640EDE21">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甲醇</w:t>
                  </w:r>
                </w:p>
              </w:tc>
              <w:tc>
                <w:tcPr>
                  <w:tcW w:w="1741" w:type="dxa"/>
                  <w:noWrap w:val="0"/>
                  <w:vAlign w:val="center"/>
                </w:tcPr>
                <w:p w14:paraId="33D3EEE9">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877" w:type="dxa"/>
                  <w:noWrap w:val="0"/>
                  <w:vAlign w:val="center"/>
                </w:tcPr>
                <w:p w14:paraId="01B04E54">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3000</w:t>
                  </w:r>
                </w:p>
              </w:tc>
              <w:tc>
                <w:tcPr>
                  <w:tcW w:w="1139" w:type="dxa"/>
                  <w:noWrap w:val="0"/>
                  <w:vAlign w:val="center"/>
                </w:tcPr>
                <w:p w14:paraId="6F3171E6">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μg/</w:t>
                  </w:r>
                  <w:r>
                    <w:rPr>
                      <w:rFonts w:hint="default" w:ascii="Times New Roman" w:hAnsi="Times New Roman" w:eastAsia="宋体" w:cs="Times New Roman"/>
                      <w:color w:val="auto"/>
                      <w:sz w:val="21"/>
                      <w:szCs w:val="21"/>
                      <w:highlight w:val="none"/>
                      <w:lang w:eastAsia="zh-CN"/>
                    </w:rPr>
                    <w:t>m³</w:t>
                  </w:r>
                </w:p>
              </w:tc>
              <w:tc>
                <w:tcPr>
                  <w:tcW w:w="2975" w:type="dxa"/>
                  <w:vMerge w:val="restart"/>
                  <w:noWrap w:val="0"/>
                  <w:vAlign w:val="center"/>
                </w:tcPr>
                <w:p w14:paraId="2DC792B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《环境影响评价技术导则 大气环境》（HJ2.2-2018）附录D</w:t>
                  </w:r>
                </w:p>
              </w:tc>
            </w:tr>
            <w:tr w14:paraId="5CD7F3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noWrap w:val="0"/>
                  <w:vAlign w:val="center"/>
                </w:tcPr>
                <w:p w14:paraId="70A16A58">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二甲苯</w:t>
                  </w:r>
                </w:p>
              </w:tc>
              <w:tc>
                <w:tcPr>
                  <w:tcW w:w="1741" w:type="dxa"/>
                  <w:noWrap w:val="0"/>
                  <w:vAlign w:val="center"/>
                </w:tcPr>
                <w:p w14:paraId="54940C8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877" w:type="dxa"/>
                  <w:noWrap w:val="0"/>
                  <w:vAlign w:val="center"/>
                </w:tcPr>
                <w:p w14:paraId="45B27D8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1139" w:type="dxa"/>
                  <w:noWrap w:val="0"/>
                  <w:vAlign w:val="center"/>
                </w:tcPr>
                <w:p w14:paraId="0DE7016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w:t>
                  </w:r>
                  <w:r>
                    <w:rPr>
                      <w:rFonts w:hint="default" w:ascii="Times New Roman" w:hAnsi="Times New Roman" w:eastAsia="宋体" w:cs="Times New Roman"/>
                      <w:color w:val="auto"/>
                      <w:sz w:val="21"/>
                      <w:szCs w:val="21"/>
                      <w:lang w:eastAsia="zh-CN"/>
                    </w:rPr>
                    <w:t>m³</w:t>
                  </w:r>
                </w:p>
              </w:tc>
              <w:tc>
                <w:tcPr>
                  <w:tcW w:w="2975" w:type="dxa"/>
                  <w:vMerge w:val="continue"/>
                  <w:noWrap w:val="0"/>
                  <w:vAlign w:val="center"/>
                </w:tcPr>
                <w:p w14:paraId="7FE112C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4CDE6A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noWrap w:val="0"/>
                  <w:vAlign w:val="center"/>
                </w:tcPr>
                <w:p w14:paraId="67FBBBA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甲苯</w:t>
                  </w:r>
                </w:p>
              </w:tc>
              <w:tc>
                <w:tcPr>
                  <w:tcW w:w="1741" w:type="dxa"/>
                  <w:noWrap w:val="0"/>
                  <w:vAlign w:val="center"/>
                </w:tcPr>
                <w:p w14:paraId="64C073F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877" w:type="dxa"/>
                  <w:noWrap w:val="0"/>
                  <w:vAlign w:val="center"/>
                </w:tcPr>
                <w:p w14:paraId="709A42E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1139" w:type="dxa"/>
                  <w:noWrap w:val="0"/>
                  <w:vAlign w:val="center"/>
                </w:tcPr>
                <w:p w14:paraId="3769B257">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μg/</w:t>
                  </w:r>
                  <w:r>
                    <w:rPr>
                      <w:rFonts w:hint="default" w:ascii="Times New Roman" w:hAnsi="Times New Roman" w:eastAsia="宋体" w:cs="Times New Roman"/>
                      <w:color w:val="auto"/>
                      <w:sz w:val="21"/>
                      <w:szCs w:val="21"/>
                      <w:lang w:eastAsia="zh-CN"/>
                    </w:rPr>
                    <w:t>m³</w:t>
                  </w:r>
                </w:p>
              </w:tc>
              <w:tc>
                <w:tcPr>
                  <w:tcW w:w="2975" w:type="dxa"/>
                  <w:vMerge w:val="continue"/>
                  <w:noWrap w:val="0"/>
                  <w:vAlign w:val="center"/>
                </w:tcPr>
                <w:p w14:paraId="59BB4C2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2B5D49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noWrap w:val="0"/>
                  <w:vAlign w:val="center"/>
                </w:tcPr>
                <w:p w14:paraId="6042C9E1">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总挥发性有机物（TVOC）</w:t>
                  </w:r>
                </w:p>
              </w:tc>
              <w:tc>
                <w:tcPr>
                  <w:tcW w:w="1741" w:type="dxa"/>
                  <w:noWrap w:val="0"/>
                  <w:vAlign w:val="center"/>
                </w:tcPr>
                <w:p w14:paraId="4B34F7B7">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8小时浓度</w:t>
                  </w:r>
                </w:p>
              </w:tc>
              <w:tc>
                <w:tcPr>
                  <w:tcW w:w="877" w:type="dxa"/>
                  <w:noWrap w:val="0"/>
                  <w:vAlign w:val="center"/>
                </w:tcPr>
                <w:p w14:paraId="43628E28">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600</w:t>
                  </w:r>
                </w:p>
              </w:tc>
              <w:tc>
                <w:tcPr>
                  <w:tcW w:w="1139" w:type="dxa"/>
                  <w:noWrap w:val="0"/>
                  <w:vAlign w:val="center"/>
                </w:tcPr>
                <w:p w14:paraId="7789D15A">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μg/</w:t>
                  </w:r>
                  <w:r>
                    <w:rPr>
                      <w:rFonts w:hint="default" w:ascii="Times New Roman" w:hAnsi="Times New Roman" w:eastAsia="宋体" w:cs="Times New Roman"/>
                      <w:color w:val="auto"/>
                      <w:sz w:val="21"/>
                      <w:szCs w:val="21"/>
                      <w:highlight w:val="none"/>
                      <w:lang w:eastAsia="zh-CN"/>
                    </w:rPr>
                    <w:t>m³</w:t>
                  </w:r>
                </w:p>
              </w:tc>
              <w:tc>
                <w:tcPr>
                  <w:tcW w:w="2975" w:type="dxa"/>
                  <w:vMerge w:val="continue"/>
                  <w:noWrap w:val="0"/>
                  <w:vAlign w:val="center"/>
                </w:tcPr>
                <w:p w14:paraId="44D17D7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34CE2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noWrap w:val="0"/>
                  <w:vAlign w:val="center"/>
                </w:tcPr>
                <w:p w14:paraId="73DD15D8">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1741" w:type="dxa"/>
                  <w:noWrap w:val="0"/>
                  <w:vAlign w:val="center"/>
                </w:tcPr>
                <w:p w14:paraId="05289A62">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877" w:type="dxa"/>
                  <w:noWrap w:val="0"/>
                  <w:vAlign w:val="center"/>
                </w:tcPr>
                <w:p w14:paraId="3F288A11">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1139" w:type="dxa"/>
                  <w:noWrap w:val="0"/>
                  <w:vAlign w:val="center"/>
                </w:tcPr>
                <w:p w14:paraId="36EAD89D">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z w:val="21"/>
                      <w:szCs w:val="21"/>
                      <w:highlight w:val="none"/>
                      <w:lang w:eastAsia="zh-CN"/>
                    </w:rPr>
                    <w:t>m³</w:t>
                  </w:r>
                </w:p>
              </w:tc>
              <w:tc>
                <w:tcPr>
                  <w:tcW w:w="2975" w:type="dxa"/>
                  <w:noWrap w:val="0"/>
                  <w:vAlign w:val="center"/>
                </w:tcPr>
                <w:p w14:paraId="21A161F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《大气污染物综合排放标准详解》</w:t>
                  </w:r>
                </w:p>
              </w:tc>
            </w:tr>
            <w:tr w14:paraId="6DEC3D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noWrap w:val="0"/>
                  <w:vAlign w:val="center"/>
                </w:tcPr>
                <w:p w14:paraId="4429E94F">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1,2-二氯乙烷</w:t>
                  </w:r>
                </w:p>
              </w:tc>
              <w:tc>
                <w:tcPr>
                  <w:tcW w:w="1741" w:type="dxa"/>
                  <w:noWrap w:val="0"/>
                  <w:vAlign w:val="center"/>
                </w:tcPr>
                <w:p w14:paraId="722BECA5">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877" w:type="dxa"/>
                  <w:noWrap w:val="0"/>
                  <w:vAlign w:val="center"/>
                </w:tcPr>
                <w:p w14:paraId="177E11B6">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215</w:t>
                  </w:r>
                </w:p>
              </w:tc>
              <w:tc>
                <w:tcPr>
                  <w:tcW w:w="1139" w:type="dxa"/>
                  <w:noWrap w:val="0"/>
                  <w:vAlign w:val="center"/>
                </w:tcPr>
                <w:p w14:paraId="273DAF71">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μg/</w:t>
                  </w:r>
                  <w:r>
                    <w:rPr>
                      <w:rFonts w:hint="default" w:ascii="Times New Roman" w:hAnsi="Times New Roman" w:eastAsia="宋体" w:cs="Times New Roman"/>
                      <w:color w:val="auto"/>
                      <w:sz w:val="21"/>
                      <w:szCs w:val="21"/>
                      <w:highlight w:val="none"/>
                      <w:lang w:eastAsia="zh-CN"/>
                    </w:rPr>
                    <w:t>m³</w:t>
                  </w:r>
                </w:p>
              </w:tc>
              <w:tc>
                <w:tcPr>
                  <w:tcW w:w="2975" w:type="dxa"/>
                  <w:vMerge w:val="restart"/>
                  <w:noWrap w:val="0"/>
                  <w:vAlign w:val="center"/>
                </w:tcPr>
                <w:p w14:paraId="267BBDC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《前苏联居民区大气中有害物质的最大允许浓度》（CH245-71）中的相关限值</w:t>
                  </w:r>
                </w:p>
              </w:tc>
            </w:tr>
            <w:tr w14:paraId="522E6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noWrap w:val="0"/>
                  <w:vAlign w:val="center"/>
                </w:tcPr>
                <w:p w14:paraId="74CF2037">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DMF</w:t>
                  </w:r>
                </w:p>
              </w:tc>
              <w:tc>
                <w:tcPr>
                  <w:tcW w:w="1741" w:type="dxa"/>
                  <w:noWrap w:val="0"/>
                  <w:vAlign w:val="center"/>
                </w:tcPr>
                <w:p w14:paraId="54299E76">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一次最大浓度限值</w:t>
                  </w:r>
                </w:p>
              </w:tc>
              <w:tc>
                <w:tcPr>
                  <w:tcW w:w="877" w:type="dxa"/>
                  <w:noWrap w:val="0"/>
                  <w:vAlign w:val="center"/>
                </w:tcPr>
                <w:p w14:paraId="1602979A">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w:t>
                  </w:r>
                </w:p>
              </w:tc>
              <w:tc>
                <w:tcPr>
                  <w:tcW w:w="1139" w:type="dxa"/>
                  <w:noWrap w:val="0"/>
                  <w:vAlign w:val="center"/>
                </w:tcPr>
                <w:p w14:paraId="76D1C19E">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z w:val="21"/>
                      <w:szCs w:val="21"/>
                      <w:highlight w:val="none"/>
                      <w:lang w:eastAsia="zh-CN"/>
                    </w:rPr>
                    <w:t>m³</w:t>
                  </w:r>
                </w:p>
              </w:tc>
              <w:tc>
                <w:tcPr>
                  <w:tcW w:w="2975" w:type="dxa"/>
                  <w:vMerge w:val="continue"/>
                  <w:noWrap w:val="0"/>
                  <w:vAlign w:val="center"/>
                </w:tcPr>
                <w:p w14:paraId="6EDDA5F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5AC54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2" w:type="dxa"/>
                  <w:noWrap w:val="0"/>
                  <w:vAlign w:val="center"/>
                </w:tcPr>
                <w:p w14:paraId="238A332B">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环已烷</w:t>
                  </w:r>
                </w:p>
              </w:tc>
              <w:tc>
                <w:tcPr>
                  <w:tcW w:w="1741" w:type="dxa"/>
                  <w:noWrap w:val="0"/>
                  <w:vAlign w:val="center"/>
                </w:tcPr>
                <w:p w14:paraId="11F13389">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一次最大浓度限值</w:t>
                  </w:r>
                </w:p>
              </w:tc>
              <w:tc>
                <w:tcPr>
                  <w:tcW w:w="877" w:type="dxa"/>
                  <w:noWrap w:val="0"/>
                  <w:vAlign w:val="center"/>
                </w:tcPr>
                <w:p w14:paraId="5F094847">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1139" w:type="dxa"/>
                  <w:noWrap w:val="0"/>
                  <w:vAlign w:val="center"/>
                </w:tcPr>
                <w:p w14:paraId="25138B06">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z w:val="21"/>
                      <w:szCs w:val="21"/>
                      <w:highlight w:val="none"/>
                      <w:lang w:eastAsia="zh-CN"/>
                    </w:rPr>
                    <w:t>m³</w:t>
                  </w:r>
                </w:p>
              </w:tc>
              <w:tc>
                <w:tcPr>
                  <w:tcW w:w="2975" w:type="dxa"/>
                  <w:vMerge w:val="continue"/>
                  <w:noWrap w:val="0"/>
                  <w:vAlign w:val="center"/>
                </w:tcPr>
                <w:p w14:paraId="584F814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bl>
          <w:p w14:paraId="64D21764">
            <w:pPr>
              <w:adjustRightInd w:val="0"/>
              <w:snapToGrid w:val="0"/>
              <w:ind w:firstLine="0" w:firstLineChars="0"/>
              <w:outlineLvl w:val="2"/>
              <w:rPr>
                <w:rFonts w:hint="default" w:ascii="Times New Roman" w:hAnsi="Times New Roman" w:eastAsia="宋体" w:cs="Times New Roman"/>
                <w:b/>
                <w:color w:val="auto"/>
              </w:rPr>
            </w:pPr>
            <w:r>
              <w:rPr>
                <w:rFonts w:hint="default" w:ascii="Times New Roman" w:hAnsi="Times New Roman" w:eastAsia="宋体" w:cs="Times New Roman"/>
                <w:b/>
                <w:bCs/>
                <w:color w:val="auto"/>
              </w:rPr>
              <w:t>3.1.2</w:t>
            </w:r>
            <w:r>
              <w:rPr>
                <w:rFonts w:hint="default" w:ascii="Times New Roman" w:hAnsi="Times New Roman" w:eastAsia="宋体" w:cs="Times New Roman"/>
                <w:b/>
                <w:color w:val="auto"/>
              </w:rPr>
              <w:t>海域水环境</w:t>
            </w:r>
          </w:p>
          <w:p w14:paraId="49C09EA0">
            <w:pPr>
              <w:ind w:firstLine="480"/>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根据《福建省近岸海域环境功能区划（2011~2020）》，兴化湾主体海域为二类区，海水水质执行《海水水质标准》（GB3097-1997）中的第二类标准；江阴岛近岸海域为四类区，海水水质执行第三类海水水质标准，见表3.1-2。</w:t>
            </w:r>
          </w:p>
          <w:p w14:paraId="3FFFA2E6">
            <w:pPr>
              <w:spacing w:line="240" w:lineRule="auto"/>
              <w:ind w:firstLine="0" w:firstLineChars="0"/>
              <w:jc w:val="center"/>
              <w:rPr>
                <w:rFonts w:hint="default" w:ascii="Times New Roman" w:hAnsi="Times New Roman" w:eastAsia="宋体" w:cs="Times New Roman"/>
                <w:b/>
                <w:color w:val="auto"/>
                <w:szCs w:val="20"/>
              </w:rPr>
            </w:pPr>
            <w:r>
              <w:rPr>
                <w:rFonts w:hint="default" w:ascii="Times New Roman" w:hAnsi="Times New Roman" w:eastAsia="宋体" w:cs="Times New Roman"/>
                <w:b/>
                <w:color w:val="auto"/>
                <w:szCs w:val="20"/>
              </w:rPr>
              <w:t>表3.1-2  海水水质标准（摘录）  单位:mg/L</w:t>
            </w:r>
          </w:p>
          <w:tbl>
            <w:tblPr>
              <w:tblStyle w:val="48"/>
              <w:tblW w:w="492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73"/>
              <w:gridCol w:w="1652"/>
              <w:gridCol w:w="1543"/>
              <w:gridCol w:w="1543"/>
              <w:gridCol w:w="1543"/>
            </w:tblGrid>
            <w:tr w14:paraId="649EA0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149" w:type="pct"/>
                  <w:noWrap w:val="0"/>
                  <w:vAlign w:val="top"/>
                </w:tcPr>
                <w:p w14:paraId="01851EA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标准项目</w:t>
                  </w:r>
                </w:p>
              </w:tc>
              <w:tc>
                <w:tcPr>
                  <w:tcW w:w="1013" w:type="pct"/>
                  <w:noWrap w:val="0"/>
                  <w:vAlign w:val="center"/>
                </w:tcPr>
                <w:p w14:paraId="283B60E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第一类</w:t>
                  </w:r>
                </w:p>
              </w:tc>
              <w:tc>
                <w:tcPr>
                  <w:tcW w:w="946" w:type="pct"/>
                  <w:noWrap w:val="0"/>
                  <w:vAlign w:val="center"/>
                </w:tcPr>
                <w:p w14:paraId="15CE4A0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第二类</w:t>
                  </w:r>
                </w:p>
              </w:tc>
              <w:tc>
                <w:tcPr>
                  <w:tcW w:w="946" w:type="pct"/>
                  <w:noWrap w:val="0"/>
                  <w:vAlign w:val="center"/>
                </w:tcPr>
                <w:p w14:paraId="6A30584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第三类</w:t>
                  </w:r>
                </w:p>
              </w:tc>
              <w:tc>
                <w:tcPr>
                  <w:tcW w:w="946" w:type="pct"/>
                  <w:noWrap w:val="0"/>
                  <w:vAlign w:val="center"/>
                </w:tcPr>
                <w:p w14:paraId="39F907F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第四类</w:t>
                  </w:r>
                </w:p>
              </w:tc>
            </w:tr>
            <w:tr w14:paraId="12AA4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149" w:type="pct"/>
                  <w:shd w:val="clear" w:color="auto" w:fill="auto"/>
                  <w:noWrap w:val="0"/>
                  <w:vAlign w:val="top"/>
                </w:tcPr>
                <w:p w14:paraId="01995A5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1959" w:type="pct"/>
                  <w:gridSpan w:val="2"/>
                  <w:shd w:val="clear" w:color="auto" w:fill="BFBFBF"/>
                  <w:noWrap w:val="0"/>
                  <w:vAlign w:val="center"/>
                </w:tcPr>
                <w:p w14:paraId="16A565D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7.8-8.5</w:t>
                  </w:r>
                </w:p>
              </w:tc>
              <w:tc>
                <w:tcPr>
                  <w:tcW w:w="1891" w:type="pct"/>
                  <w:gridSpan w:val="2"/>
                  <w:shd w:val="clear" w:color="auto" w:fill="BFBFBF"/>
                  <w:noWrap w:val="0"/>
                  <w:vAlign w:val="center"/>
                </w:tcPr>
                <w:p w14:paraId="6AC2A3A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6.8-8.8</w:t>
                  </w:r>
                </w:p>
              </w:tc>
            </w:tr>
            <w:tr w14:paraId="21E785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6019B02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DO＞</w:t>
                  </w:r>
                </w:p>
              </w:tc>
              <w:tc>
                <w:tcPr>
                  <w:tcW w:w="1013" w:type="pct"/>
                  <w:shd w:val="clear" w:color="auto" w:fill="auto"/>
                  <w:noWrap w:val="0"/>
                  <w:vAlign w:val="center"/>
                </w:tcPr>
                <w:p w14:paraId="43EF00C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946" w:type="pct"/>
                  <w:shd w:val="clear" w:color="auto" w:fill="BFBFBF"/>
                  <w:noWrap w:val="0"/>
                  <w:vAlign w:val="center"/>
                </w:tcPr>
                <w:p w14:paraId="71AF8C1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946" w:type="pct"/>
                  <w:shd w:val="clear" w:color="auto" w:fill="BFBFBF"/>
                  <w:noWrap w:val="0"/>
                  <w:vAlign w:val="center"/>
                </w:tcPr>
                <w:p w14:paraId="36047D1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946" w:type="pct"/>
                  <w:noWrap w:val="0"/>
                  <w:vAlign w:val="center"/>
                </w:tcPr>
                <w:p w14:paraId="18A542B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r>
            <w:tr w14:paraId="0110D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5D346F0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013" w:type="pct"/>
                  <w:shd w:val="clear" w:color="auto" w:fill="auto"/>
                  <w:noWrap w:val="0"/>
                  <w:vAlign w:val="center"/>
                </w:tcPr>
                <w:p w14:paraId="45D5DF5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946" w:type="pct"/>
                  <w:shd w:val="clear" w:color="auto" w:fill="BFBFBF"/>
                  <w:noWrap w:val="0"/>
                  <w:vAlign w:val="center"/>
                </w:tcPr>
                <w:p w14:paraId="1D4144E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946" w:type="pct"/>
                  <w:shd w:val="clear" w:color="auto" w:fill="BFBFBF"/>
                  <w:noWrap w:val="0"/>
                  <w:vAlign w:val="center"/>
                </w:tcPr>
                <w:p w14:paraId="6D1F5D0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946" w:type="pct"/>
                  <w:noWrap w:val="0"/>
                  <w:vAlign w:val="center"/>
                </w:tcPr>
                <w:p w14:paraId="3531BB2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r>
            <w:tr w14:paraId="397290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47B50D0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BOD5≤</w:t>
                  </w:r>
                </w:p>
              </w:tc>
              <w:tc>
                <w:tcPr>
                  <w:tcW w:w="1013" w:type="pct"/>
                  <w:shd w:val="clear" w:color="auto" w:fill="auto"/>
                  <w:noWrap w:val="0"/>
                  <w:vAlign w:val="center"/>
                </w:tcPr>
                <w:p w14:paraId="4CD0C2C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46" w:type="pct"/>
                  <w:shd w:val="clear" w:color="auto" w:fill="BFBFBF"/>
                  <w:noWrap w:val="0"/>
                  <w:vAlign w:val="center"/>
                </w:tcPr>
                <w:p w14:paraId="713C611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946" w:type="pct"/>
                  <w:shd w:val="clear" w:color="auto" w:fill="BFBFBF"/>
                  <w:noWrap w:val="0"/>
                  <w:vAlign w:val="center"/>
                </w:tcPr>
                <w:p w14:paraId="305991A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946" w:type="pct"/>
                  <w:noWrap w:val="0"/>
                  <w:vAlign w:val="center"/>
                </w:tcPr>
                <w:p w14:paraId="43BF6E7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r>
            <w:tr w14:paraId="7883D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6B0C1CA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无机氮≤</w:t>
                  </w:r>
                </w:p>
              </w:tc>
              <w:tc>
                <w:tcPr>
                  <w:tcW w:w="1013" w:type="pct"/>
                  <w:shd w:val="clear" w:color="auto" w:fill="auto"/>
                  <w:noWrap w:val="0"/>
                  <w:vAlign w:val="center"/>
                </w:tcPr>
                <w:p w14:paraId="73CB77B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946" w:type="pct"/>
                  <w:shd w:val="clear" w:color="auto" w:fill="BFBFBF"/>
                  <w:noWrap w:val="0"/>
                  <w:vAlign w:val="center"/>
                </w:tcPr>
                <w:p w14:paraId="374E250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0.30</w:t>
                  </w:r>
                </w:p>
              </w:tc>
              <w:tc>
                <w:tcPr>
                  <w:tcW w:w="946" w:type="pct"/>
                  <w:shd w:val="clear" w:color="auto" w:fill="BFBFBF"/>
                  <w:noWrap w:val="0"/>
                  <w:vAlign w:val="center"/>
                </w:tcPr>
                <w:p w14:paraId="0E02454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0.40</w:t>
                  </w:r>
                </w:p>
              </w:tc>
              <w:tc>
                <w:tcPr>
                  <w:tcW w:w="946" w:type="pct"/>
                  <w:noWrap w:val="0"/>
                  <w:vAlign w:val="center"/>
                </w:tcPr>
                <w:p w14:paraId="7BEA882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r>
            <w:tr w14:paraId="021DBF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7C50D58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非离子氨≤</w:t>
                  </w:r>
                </w:p>
              </w:tc>
              <w:tc>
                <w:tcPr>
                  <w:tcW w:w="3851" w:type="pct"/>
                  <w:gridSpan w:val="4"/>
                  <w:shd w:val="clear" w:color="auto" w:fill="BFBFBF"/>
                  <w:noWrap w:val="0"/>
                  <w:vAlign w:val="center"/>
                </w:tcPr>
                <w:p w14:paraId="63CAC20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0.020</w:t>
                  </w:r>
                </w:p>
              </w:tc>
            </w:tr>
            <w:tr w14:paraId="279492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149" w:type="pct"/>
                  <w:shd w:val="clear" w:color="auto" w:fill="auto"/>
                  <w:noWrap w:val="0"/>
                  <w:vAlign w:val="top"/>
                </w:tcPr>
                <w:p w14:paraId="46808C8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活性磷酸盐≤</w:t>
                  </w:r>
                </w:p>
              </w:tc>
              <w:tc>
                <w:tcPr>
                  <w:tcW w:w="1013" w:type="pct"/>
                  <w:shd w:val="clear" w:color="auto" w:fill="auto"/>
                  <w:noWrap w:val="0"/>
                  <w:vAlign w:val="center"/>
                </w:tcPr>
                <w:p w14:paraId="7F2AFBB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0.015</w:t>
                  </w:r>
                </w:p>
              </w:tc>
              <w:tc>
                <w:tcPr>
                  <w:tcW w:w="946" w:type="pct"/>
                  <w:shd w:val="clear" w:color="auto" w:fill="BFBFBF"/>
                  <w:noWrap w:val="0"/>
                  <w:vAlign w:val="center"/>
                </w:tcPr>
                <w:p w14:paraId="6634FF9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w:t>
                  </w:r>
                </w:p>
              </w:tc>
              <w:tc>
                <w:tcPr>
                  <w:tcW w:w="946" w:type="pct"/>
                  <w:shd w:val="clear" w:color="auto" w:fill="BFBFBF"/>
                  <w:noWrap w:val="0"/>
                  <w:vAlign w:val="center"/>
                </w:tcPr>
                <w:p w14:paraId="63ACA51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w:t>
                  </w:r>
                </w:p>
              </w:tc>
              <w:tc>
                <w:tcPr>
                  <w:tcW w:w="946" w:type="pct"/>
                  <w:noWrap w:val="0"/>
                  <w:vAlign w:val="center"/>
                </w:tcPr>
                <w:p w14:paraId="55DA802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0.045</w:t>
                  </w:r>
                </w:p>
              </w:tc>
            </w:tr>
            <w:tr w14:paraId="7027AE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58BD215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氰化物≤</w:t>
                  </w:r>
                </w:p>
              </w:tc>
              <w:tc>
                <w:tcPr>
                  <w:tcW w:w="1959" w:type="pct"/>
                  <w:gridSpan w:val="2"/>
                  <w:shd w:val="clear" w:color="auto" w:fill="BFBFBF"/>
                  <w:noWrap w:val="0"/>
                  <w:vAlign w:val="center"/>
                </w:tcPr>
                <w:p w14:paraId="7355C52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946" w:type="pct"/>
                  <w:shd w:val="clear" w:color="auto" w:fill="BFBFBF"/>
                  <w:noWrap w:val="0"/>
                  <w:vAlign w:val="center"/>
                </w:tcPr>
                <w:p w14:paraId="4750FD0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w:t>
                  </w:r>
                </w:p>
              </w:tc>
              <w:tc>
                <w:tcPr>
                  <w:tcW w:w="946" w:type="pct"/>
                  <w:noWrap w:val="0"/>
                  <w:vAlign w:val="center"/>
                </w:tcPr>
                <w:p w14:paraId="1BE901F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r>
            <w:tr w14:paraId="794F65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50C4CE9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硫化物≤</w:t>
                  </w:r>
                </w:p>
              </w:tc>
              <w:tc>
                <w:tcPr>
                  <w:tcW w:w="1013" w:type="pct"/>
                  <w:shd w:val="clear" w:color="auto" w:fill="auto"/>
                  <w:noWrap w:val="0"/>
                  <w:vAlign w:val="center"/>
                </w:tcPr>
                <w:p w14:paraId="78D659C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c>
                <w:tcPr>
                  <w:tcW w:w="946" w:type="pct"/>
                  <w:shd w:val="clear" w:color="auto" w:fill="BFBFBF"/>
                  <w:noWrap w:val="0"/>
                  <w:vAlign w:val="center"/>
                </w:tcPr>
                <w:p w14:paraId="2F14334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946" w:type="pct"/>
                  <w:shd w:val="clear" w:color="auto" w:fill="BFBFBF"/>
                  <w:noWrap w:val="0"/>
                  <w:vAlign w:val="center"/>
                </w:tcPr>
                <w:p w14:paraId="2562372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w:t>
                  </w:r>
                </w:p>
              </w:tc>
              <w:tc>
                <w:tcPr>
                  <w:tcW w:w="946" w:type="pct"/>
                  <w:noWrap w:val="0"/>
                  <w:vAlign w:val="center"/>
                </w:tcPr>
                <w:p w14:paraId="5036C2A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w:t>
                  </w:r>
                </w:p>
              </w:tc>
            </w:tr>
            <w:tr w14:paraId="22969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67E93BB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挥发性酚≤</w:t>
                  </w:r>
                </w:p>
              </w:tc>
              <w:tc>
                <w:tcPr>
                  <w:tcW w:w="1959" w:type="pct"/>
                  <w:gridSpan w:val="2"/>
                  <w:shd w:val="clear" w:color="auto" w:fill="BFBFBF"/>
                  <w:noWrap w:val="0"/>
                  <w:vAlign w:val="center"/>
                </w:tcPr>
                <w:p w14:paraId="3EAD64F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946" w:type="pct"/>
                  <w:shd w:val="clear" w:color="auto" w:fill="BFBFBF"/>
                  <w:noWrap w:val="0"/>
                  <w:vAlign w:val="center"/>
                </w:tcPr>
                <w:p w14:paraId="2FC72CB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946" w:type="pct"/>
                  <w:noWrap w:val="0"/>
                  <w:vAlign w:val="center"/>
                </w:tcPr>
                <w:p w14:paraId="09230D3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0.050</w:t>
                  </w:r>
                </w:p>
              </w:tc>
            </w:tr>
            <w:tr w14:paraId="1BA124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463AE41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1959" w:type="pct"/>
                  <w:gridSpan w:val="2"/>
                  <w:shd w:val="clear" w:color="auto" w:fill="BFBFBF"/>
                  <w:noWrap w:val="0"/>
                  <w:vAlign w:val="center"/>
                </w:tcPr>
                <w:p w14:paraId="489FF52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946" w:type="pct"/>
                  <w:shd w:val="clear" w:color="auto" w:fill="BFBFBF"/>
                  <w:noWrap w:val="0"/>
                  <w:vAlign w:val="center"/>
                </w:tcPr>
                <w:p w14:paraId="083EFA1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0.30</w:t>
                  </w:r>
                </w:p>
              </w:tc>
              <w:tc>
                <w:tcPr>
                  <w:tcW w:w="946" w:type="pct"/>
                  <w:noWrap w:val="0"/>
                  <w:vAlign w:val="center"/>
                </w:tcPr>
                <w:p w14:paraId="1F5209A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r>
            <w:tr w14:paraId="57C0A9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30BD4BD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1013" w:type="pct"/>
                  <w:shd w:val="clear" w:color="auto" w:fill="auto"/>
                  <w:noWrap w:val="0"/>
                  <w:vAlign w:val="center"/>
                </w:tcPr>
                <w:p w14:paraId="483FBF5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0.00005</w:t>
                  </w:r>
                </w:p>
              </w:tc>
              <w:tc>
                <w:tcPr>
                  <w:tcW w:w="1891" w:type="pct"/>
                  <w:gridSpan w:val="2"/>
                  <w:shd w:val="clear" w:color="auto" w:fill="BFBFBF"/>
                  <w:noWrap w:val="0"/>
                  <w:vAlign w:val="center"/>
                </w:tcPr>
                <w:p w14:paraId="163CF6B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w:t>
                  </w:r>
                </w:p>
              </w:tc>
              <w:tc>
                <w:tcPr>
                  <w:tcW w:w="946" w:type="pct"/>
                  <w:noWrap w:val="0"/>
                  <w:vAlign w:val="center"/>
                </w:tcPr>
                <w:p w14:paraId="5F8AD36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0.0005</w:t>
                  </w:r>
                </w:p>
              </w:tc>
            </w:tr>
            <w:tr w14:paraId="05867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1C52BBA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1013" w:type="pct"/>
                  <w:shd w:val="clear" w:color="auto" w:fill="auto"/>
                  <w:noWrap w:val="0"/>
                  <w:vAlign w:val="center"/>
                </w:tcPr>
                <w:p w14:paraId="5D15FDF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946" w:type="pct"/>
                  <w:shd w:val="clear" w:color="auto" w:fill="BFBFBF"/>
                  <w:noWrap w:val="0"/>
                  <w:vAlign w:val="center"/>
                </w:tcPr>
                <w:p w14:paraId="6B7E5D7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891" w:type="pct"/>
                  <w:gridSpan w:val="2"/>
                  <w:shd w:val="clear" w:color="auto" w:fill="BFBFBF"/>
                  <w:noWrap w:val="0"/>
                  <w:vAlign w:val="center"/>
                </w:tcPr>
                <w:p w14:paraId="438E13C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r>
            <w:tr w14:paraId="00123F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13662D7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1013" w:type="pct"/>
                  <w:shd w:val="clear" w:color="auto" w:fill="auto"/>
                  <w:noWrap w:val="0"/>
                  <w:vAlign w:val="center"/>
                </w:tcPr>
                <w:p w14:paraId="30204EC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946" w:type="pct"/>
                  <w:shd w:val="clear" w:color="auto" w:fill="BFBFBF"/>
                  <w:noWrap w:val="0"/>
                  <w:vAlign w:val="center"/>
                </w:tcPr>
                <w:p w14:paraId="7A83F31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946" w:type="pct"/>
                  <w:shd w:val="clear" w:color="auto" w:fill="BFBFBF"/>
                  <w:noWrap w:val="0"/>
                  <w:vAlign w:val="center"/>
                </w:tcPr>
                <w:p w14:paraId="2707152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946" w:type="pct"/>
                  <w:noWrap w:val="0"/>
                  <w:vAlign w:val="center"/>
                </w:tcPr>
                <w:p w14:paraId="18F0D56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0.050</w:t>
                  </w:r>
                </w:p>
              </w:tc>
            </w:tr>
            <w:tr w14:paraId="500CC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7742A40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总铬</w:t>
                  </w:r>
                </w:p>
              </w:tc>
              <w:tc>
                <w:tcPr>
                  <w:tcW w:w="1013" w:type="pct"/>
                  <w:shd w:val="clear" w:color="auto" w:fill="auto"/>
                  <w:noWrap w:val="0"/>
                  <w:vAlign w:val="center"/>
                </w:tcPr>
                <w:p w14:paraId="2637FAB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946" w:type="pct"/>
                  <w:shd w:val="clear" w:color="auto" w:fill="BFBFBF"/>
                  <w:noWrap w:val="0"/>
                  <w:vAlign w:val="center"/>
                </w:tcPr>
                <w:p w14:paraId="2D36FEE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w:t>
                  </w:r>
                </w:p>
              </w:tc>
              <w:tc>
                <w:tcPr>
                  <w:tcW w:w="946" w:type="pct"/>
                  <w:shd w:val="clear" w:color="auto" w:fill="BFBFBF"/>
                  <w:noWrap w:val="0"/>
                  <w:vAlign w:val="center"/>
                </w:tcPr>
                <w:p w14:paraId="0750FEE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946" w:type="pct"/>
                  <w:noWrap w:val="0"/>
                  <w:vAlign w:val="center"/>
                </w:tcPr>
                <w:p w14:paraId="4653F10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r>
            <w:tr w14:paraId="26DF26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7BA8140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1013" w:type="pct"/>
                  <w:shd w:val="clear" w:color="auto" w:fill="auto"/>
                  <w:noWrap w:val="0"/>
                  <w:vAlign w:val="center"/>
                </w:tcPr>
                <w:p w14:paraId="4EA7722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0.020</w:t>
                  </w:r>
                </w:p>
              </w:tc>
              <w:tc>
                <w:tcPr>
                  <w:tcW w:w="946" w:type="pct"/>
                  <w:shd w:val="clear" w:color="auto" w:fill="BFBFBF"/>
                  <w:noWrap w:val="0"/>
                  <w:vAlign w:val="center"/>
                </w:tcPr>
                <w:p w14:paraId="6F0DA93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w:t>
                  </w:r>
                </w:p>
              </w:tc>
              <w:tc>
                <w:tcPr>
                  <w:tcW w:w="1891" w:type="pct"/>
                  <w:gridSpan w:val="2"/>
                  <w:shd w:val="clear" w:color="auto" w:fill="BFBFBF"/>
                  <w:noWrap w:val="0"/>
                  <w:vAlign w:val="center"/>
                </w:tcPr>
                <w:p w14:paraId="2A3A407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0.050</w:t>
                  </w:r>
                </w:p>
              </w:tc>
            </w:tr>
            <w:tr w14:paraId="3294D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4BA6B80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1013" w:type="pct"/>
                  <w:shd w:val="clear" w:color="auto" w:fill="auto"/>
                  <w:noWrap w:val="0"/>
                  <w:vAlign w:val="center"/>
                </w:tcPr>
                <w:p w14:paraId="63302B5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946" w:type="pct"/>
                  <w:shd w:val="clear" w:color="auto" w:fill="BFBFBF"/>
                  <w:noWrap w:val="0"/>
                  <w:vAlign w:val="center"/>
                </w:tcPr>
                <w:p w14:paraId="1F07CF9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891" w:type="pct"/>
                  <w:gridSpan w:val="2"/>
                  <w:shd w:val="clear" w:color="auto" w:fill="BFBFBF"/>
                  <w:noWrap w:val="0"/>
                  <w:vAlign w:val="center"/>
                </w:tcPr>
                <w:p w14:paraId="2B2D582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0.050</w:t>
                  </w:r>
                </w:p>
              </w:tc>
            </w:tr>
            <w:tr w14:paraId="1EFA8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11F47B8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锌</w:t>
                  </w:r>
                </w:p>
              </w:tc>
              <w:tc>
                <w:tcPr>
                  <w:tcW w:w="1013" w:type="pct"/>
                  <w:shd w:val="clear" w:color="auto" w:fill="auto"/>
                  <w:noWrap w:val="0"/>
                  <w:vAlign w:val="center"/>
                </w:tcPr>
                <w:p w14:paraId="60A92DF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0.020</w:t>
                  </w:r>
                </w:p>
              </w:tc>
              <w:tc>
                <w:tcPr>
                  <w:tcW w:w="946" w:type="pct"/>
                  <w:shd w:val="clear" w:color="auto" w:fill="BFBFBF"/>
                  <w:noWrap w:val="0"/>
                  <w:vAlign w:val="center"/>
                </w:tcPr>
                <w:p w14:paraId="4104716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0.050</w:t>
                  </w:r>
                </w:p>
              </w:tc>
              <w:tc>
                <w:tcPr>
                  <w:tcW w:w="946" w:type="pct"/>
                  <w:shd w:val="clear" w:color="auto" w:fill="BFBFBF"/>
                  <w:noWrap w:val="0"/>
                  <w:vAlign w:val="center"/>
                </w:tcPr>
                <w:p w14:paraId="1E63911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w:t>
                  </w:r>
                </w:p>
              </w:tc>
              <w:tc>
                <w:tcPr>
                  <w:tcW w:w="946" w:type="pct"/>
                  <w:noWrap w:val="0"/>
                  <w:vAlign w:val="center"/>
                </w:tcPr>
                <w:p w14:paraId="788979D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r>
            <w:tr w14:paraId="4D6C24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noWrap w:val="0"/>
                  <w:vAlign w:val="top"/>
                </w:tcPr>
                <w:p w14:paraId="748FCFD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镍</w:t>
                  </w:r>
                </w:p>
              </w:tc>
              <w:tc>
                <w:tcPr>
                  <w:tcW w:w="1013" w:type="pct"/>
                  <w:shd w:val="clear" w:color="auto" w:fill="auto"/>
                  <w:noWrap w:val="0"/>
                  <w:vAlign w:val="center"/>
                </w:tcPr>
                <w:p w14:paraId="455A350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946" w:type="pct"/>
                  <w:shd w:val="clear" w:color="auto" w:fill="BFBFBF"/>
                  <w:noWrap w:val="0"/>
                  <w:vAlign w:val="center"/>
                </w:tcPr>
                <w:p w14:paraId="338C322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946" w:type="pct"/>
                  <w:shd w:val="clear" w:color="auto" w:fill="BFBFBF"/>
                  <w:noWrap w:val="0"/>
                  <w:vAlign w:val="center"/>
                </w:tcPr>
                <w:p w14:paraId="038ABFA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0.020</w:t>
                  </w:r>
                </w:p>
              </w:tc>
              <w:tc>
                <w:tcPr>
                  <w:tcW w:w="946" w:type="pct"/>
                  <w:noWrap w:val="0"/>
                  <w:vAlign w:val="center"/>
                </w:tcPr>
                <w:p w14:paraId="1529F3D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0.050</w:t>
                  </w:r>
                </w:p>
              </w:tc>
            </w:tr>
          </w:tbl>
          <w:p w14:paraId="6F96AD28">
            <w:pPr>
              <w:pStyle w:val="81"/>
              <w:ind w:firstLine="480"/>
              <w:rPr>
                <w:rFonts w:hint="default" w:ascii="Times New Roman" w:hAnsi="Times New Roman" w:eastAsia="宋体" w:cs="Times New Roman"/>
                <w:color w:val="auto"/>
              </w:rPr>
            </w:pPr>
          </w:p>
          <w:p w14:paraId="08CA6AB7">
            <w:pPr>
              <w:adjustRightInd w:val="0"/>
              <w:snapToGrid w:val="0"/>
              <w:ind w:firstLine="0" w:firstLineChars="0"/>
              <w:outlineLvl w:val="2"/>
              <w:rPr>
                <w:rFonts w:hint="default" w:ascii="Times New Roman" w:hAnsi="Times New Roman" w:eastAsia="宋体" w:cs="Times New Roman"/>
                <w:b/>
                <w:color w:val="auto"/>
                <w:highlight w:val="none"/>
              </w:rPr>
            </w:pPr>
            <w:r>
              <w:rPr>
                <w:rFonts w:hint="default" w:ascii="Times New Roman" w:hAnsi="Times New Roman" w:eastAsia="宋体" w:cs="Times New Roman"/>
                <w:b/>
                <w:bCs/>
                <w:color w:val="auto"/>
                <w:highlight w:val="none"/>
              </w:rPr>
              <w:t>3.1.3</w:t>
            </w:r>
            <w:r>
              <w:rPr>
                <w:rFonts w:hint="default" w:ascii="Times New Roman" w:hAnsi="Times New Roman" w:eastAsia="宋体" w:cs="Times New Roman"/>
                <w:b/>
                <w:color w:val="auto"/>
                <w:highlight w:val="none"/>
              </w:rPr>
              <w:t>地下水环境</w:t>
            </w:r>
          </w:p>
          <w:p w14:paraId="108C6F92">
            <w:pPr>
              <w:ind w:firstLine="480"/>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本项目所在区域地下水执行《地下水质量标准》（GB/T14848-2017）中IV类标准。</w:t>
            </w:r>
          </w:p>
          <w:p w14:paraId="0F1B1533">
            <w:pPr>
              <w:spacing w:line="240" w:lineRule="auto"/>
              <w:ind w:firstLine="0" w:firstLineChars="0"/>
              <w:jc w:val="center"/>
              <w:rPr>
                <w:rFonts w:hint="default" w:ascii="Times New Roman" w:hAnsi="Times New Roman" w:eastAsia="宋体" w:cs="Times New Roman"/>
                <w:b/>
                <w:color w:val="auto"/>
                <w:szCs w:val="20"/>
              </w:rPr>
            </w:pPr>
            <w:r>
              <w:rPr>
                <w:rFonts w:hint="default" w:ascii="Times New Roman" w:hAnsi="Times New Roman" w:eastAsia="宋体" w:cs="Times New Roman"/>
                <w:b/>
                <w:color w:val="auto"/>
                <w:szCs w:val="20"/>
              </w:rPr>
              <w:t>表3.1-3  地下水质量标准（摘录）</w:t>
            </w:r>
          </w:p>
          <w:tbl>
            <w:tblPr>
              <w:tblStyle w:val="4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82"/>
              <w:gridCol w:w="2796"/>
              <w:gridCol w:w="984"/>
              <w:gridCol w:w="984"/>
              <w:gridCol w:w="984"/>
              <w:gridCol w:w="1069"/>
              <w:gridCol w:w="984"/>
            </w:tblGrid>
            <w:tr w14:paraId="09077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91" w:type="pct"/>
                  <w:shd w:val="clear" w:color="auto" w:fill="auto"/>
                  <w:noWrap w:val="0"/>
                  <w:vAlign w:val="center"/>
                </w:tcPr>
                <w:p w14:paraId="227A39B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688" w:type="pct"/>
                  <w:shd w:val="clear" w:color="auto" w:fill="auto"/>
                  <w:noWrap w:val="0"/>
                  <w:vAlign w:val="center"/>
                </w:tcPr>
                <w:p w14:paraId="2BEF99B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594" w:type="pct"/>
                  <w:shd w:val="clear" w:color="auto" w:fill="auto"/>
                  <w:noWrap w:val="0"/>
                  <w:vAlign w:val="center"/>
                </w:tcPr>
                <w:p w14:paraId="73F0733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I类</w:t>
                  </w:r>
                </w:p>
              </w:tc>
              <w:tc>
                <w:tcPr>
                  <w:tcW w:w="594" w:type="pct"/>
                  <w:shd w:val="clear" w:color="auto" w:fill="auto"/>
                  <w:noWrap w:val="0"/>
                  <w:vAlign w:val="center"/>
                </w:tcPr>
                <w:p w14:paraId="37D80D2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II类</w:t>
                  </w:r>
                </w:p>
              </w:tc>
              <w:tc>
                <w:tcPr>
                  <w:tcW w:w="594" w:type="pct"/>
                  <w:shd w:val="clear" w:color="auto" w:fill="auto"/>
                  <w:noWrap w:val="0"/>
                  <w:vAlign w:val="center"/>
                </w:tcPr>
                <w:p w14:paraId="45AAFF4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Ⅲ类</w:t>
                  </w:r>
                </w:p>
              </w:tc>
              <w:tc>
                <w:tcPr>
                  <w:tcW w:w="645" w:type="pct"/>
                  <w:tcBorders>
                    <w:top w:val="single" w:color="auto" w:sz="12" w:space="0"/>
                    <w:bottom w:val="single" w:color="auto" w:sz="4" w:space="0"/>
                  </w:tcBorders>
                  <w:shd w:val="clear" w:color="auto" w:fill="A6A6A6"/>
                  <w:noWrap w:val="0"/>
                  <w:vAlign w:val="center"/>
                </w:tcPr>
                <w:p w14:paraId="677ADBA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IV类</w:t>
                  </w:r>
                </w:p>
              </w:tc>
              <w:tc>
                <w:tcPr>
                  <w:tcW w:w="595" w:type="pct"/>
                  <w:noWrap w:val="0"/>
                  <w:vAlign w:val="center"/>
                </w:tcPr>
                <w:p w14:paraId="14749C8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V类</w:t>
                  </w:r>
                </w:p>
              </w:tc>
            </w:tr>
            <w:tr w14:paraId="4D159F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192D0B6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88" w:type="pct"/>
                  <w:shd w:val="clear" w:color="auto" w:fill="auto"/>
                  <w:noWrap w:val="0"/>
                  <w:vAlign w:val="center"/>
                </w:tcPr>
                <w:p w14:paraId="568BAD4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1782" w:type="pct"/>
                  <w:gridSpan w:val="3"/>
                  <w:shd w:val="clear" w:color="auto" w:fill="auto"/>
                  <w:noWrap w:val="0"/>
                  <w:vAlign w:val="center"/>
                </w:tcPr>
                <w:p w14:paraId="4BEEC65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6.5≤pH≤8.5</w:t>
                  </w:r>
                </w:p>
              </w:tc>
              <w:tc>
                <w:tcPr>
                  <w:tcW w:w="645" w:type="pct"/>
                  <w:tcBorders>
                    <w:top w:val="single" w:color="auto" w:sz="4" w:space="0"/>
                    <w:bottom w:val="single" w:color="auto" w:sz="4" w:space="0"/>
                  </w:tcBorders>
                  <w:shd w:val="clear" w:color="auto" w:fill="A6A6A6"/>
                  <w:noWrap w:val="0"/>
                  <w:vAlign w:val="center"/>
                </w:tcPr>
                <w:p w14:paraId="2F288EC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5.5≤pH&lt;6.5</w:t>
                  </w:r>
                </w:p>
                <w:p w14:paraId="34656F8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8.5&lt;pH≤9.0</w:t>
                  </w:r>
                </w:p>
              </w:tc>
              <w:tc>
                <w:tcPr>
                  <w:tcW w:w="595" w:type="pct"/>
                  <w:noWrap w:val="0"/>
                  <w:vAlign w:val="center"/>
                </w:tcPr>
                <w:p w14:paraId="0FB33D9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pH&lt;6.5或pH&gt;9.0</w:t>
                  </w:r>
                </w:p>
              </w:tc>
            </w:tr>
            <w:tr w14:paraId="7CAB3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291" w:type="pct"/>
                  <w:shd w:val="clear" w:color="auto" w:fill="auto"/>
                  <w:noWrap w:val="0"/>
                  <w:vAlign w:val="center"/>
                </w:tcPr>
                <w:p w14:paraId="608395E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88" w:type="pct"/>
                  <w:shd w:val="clear" w:color="auto" w:fill="auto"/>
                  <w:noWrap w:val="0"/>
                  <w:vAlign w:val="center"/>
                </w:tcPr>
                <w:p w14:paraId="2563EFA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色（铂钴色度单位）</w:t>
                  </w:r>
                </w:p>
              </w:tc>
              <w:tc>
                <w:tcPr>
                  <w:tcW w:w="594" w:type="pct"/>
                  <w:shd w:val="clear" w:color="auto" w:fill="auto"/>
                  <w:noWrap w:val="0"/>
                  <w:vAlign w:val="center"/>
                </w:tcPr>
                <w:p w14:paraId="2538EF8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594" w:type="pct"/>
                  <w:shd w:val="clear" w:color="auto" w:fill="auto"/>
                  <w:noWrap w:val="0"/>
                  <w:vAlign w:val="center"/>
                </w:tcPr>
                <w:p w14:paraId="7707BBA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594" w:type="pct"/>
                  <w:shd w:val="clear" w:color="auto" w:fill="auto"/>
                  <w:noWrap w:val="0"/>
                  <w:vAlign w:val="center"/>
                </w:tcPr>
                <w:p w14:paraId="11C68D6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45" w:type="pct"/>
                  <w:tcBorders>
                    <w:top w:val="single" w:color="auto" w:sz="4" w:space="0"/>
                    <w:bottom w:val="single" w:color="auto" w:sz="4" w:space="0"/>
                  </w:tcBorders>
                  <w:shd w:val="clear" w:color="auto" w:fill="A6A6A6"/>
                  <w:noWrap w:val="0"/>
                  <w:vAlign w:val="center"/>
                </w:tcPr>
                <w:p w14:paraId="0A67694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595" w:type="pct"/>
                  <w:noWrap w:val="0"/>
                  <w:vAlign w:val="center"/>
                </w:tcPr>
                <w:p w14:paraId="666365E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&gt;25</w:t>
                  </w:r>
                </w:p>
              </w:tc>
            </w:tr>
            <w:tr w14:paraId="4782D1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3CB378F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688" w:type="pct"/>
                  <w:shd w:val="clear" w:color="auto" w:fill="auto"/>
                  <w:noWrap w:val="0"/>
                  <w:vAlign w:val="center"/>
                </w:tcPr>
                <w:p w14:paraId="04B6B68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总硬度（以CaCO3计）/(mg/L)</w:t>
                  </w:r>
                </w:p>
              </w:tc>
              <w:tc>
                <w:tcPr>
                  <w:tcW w:w="594" w:type="pct"/>
                  <w:shd w:val="clear" w:color="auto" w:fill="auto"/>
                  <w:noWrap w:val="0"/>
                  <w:vAlign w:val="center"/>
                </w:tcPr>
                <w:p w14:paraId="4838DF8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594" w:type="pct"/>
                  <w:shd w:val="clear" w:color="auto" w:fill="auto"/>
                  <w:noWrap w:val="0"/>
                  <w:vAlign w:val="center"/>
                </w:tcPr>
                <w:p w14:paraId="6F33A13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594" w:type="pct"/>
                  <w:shd w:val="clear" w:color="auto" w:fill="auto"/>
                  <w:noWrap w:val="0"/>
                  <w:vAlign w:val="center"/>
                </w:tcPr>
                <w:p w14:paraId="1FF779A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w:t>
                  </w:r>
                </w:p>
              </w:tc>
              <w:tc>
                <w:tcPr>
                  <w:tcW w:w="645" w:type="pct"/>
                  <w:tcBorders>
                    <w:top w:val="single" w:color="auto" w:sz="4" w:space="0"/>
                    <w:bottom w:val="single" w:color="auto" w:sz="4" w:space="0"/>
                  </w:tcBorders>
                  <w:shd w:val="clear" w:color="auto" w:fill="A6A6A6"/>
                  <w:noWrap w:val="0"/>
                  <w:vAlign w:val="center"/>
                </w:tcPr>
                <w:p w14:paraId="06E4231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≤650</w:t>
                  </w:r>
                </w:p>
              </w:tc>
              <w:tc>
                <w:tcPr>
                  <w:tcW w:w="595" w:type="pct"/>
                  <w:noWrap w:val="0"/>
                  <w:vAlign w:val="center"/>
                </w:tcPr>
                <w:p w14:paraId="689C95C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&gt;650</w:t>
                  </w:r>
                </w:p>
              </w:tc>
            </w:tr>
            <w:tr w14:paraId="4F87B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6A89A2E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688" w:type="pct"/>
                  <w:shd w:val="clear" w:color="auto" w:fill="auto"/>
                  <w:noWrap w:val="0"/>
                  <w:vAlign w:val="center"/>
                </w:tcPr>
                <w:p w14:paraId="7C17CBE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溶解性固体/(mg/L)</w:t>
                  </w:r>
                </w:p>
              </w:tc>
              <w:tc>
                <w:tcPr>
                  <w:tcW w:w="594" w:type="pct"/>
                  <w:shd w:val="clear" w:color="auto" w:fill="auto"/>
                  <w:noWrap w:val="0"/>
                  <w:vAlign w:val="center"/>
                </w:tcPr>
                <w:p w14:paraId="2C5475A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594" w:type="pct"/>
                  <w:shd w:val="clear" w:color="auto" w:fill="auto"/>
                  <w:noWrap w:val="0"/>
                  <w:vAlign w:val="center"/>
                </w:tcPr>
                <w:p w14:paraId="70114BC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594" w:type="pct"/>
                  <w:shd w:val="clear" w:color="auto" w:fill="auto"/>
                  <w:noWrap w:val="0"/>
                  <w:vAlign w:val="center"/>
                </w:tcPr>
                <w:p w14:paraId="1221128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645" w:type="pct"/>
                  <w:tcBorders>
                    <w:top w:val="single" w:color="auto" w:sz="4" w:space="0"/>
                    <w:bottom w:val="single" w:color="auto" w:sz="4" w:space="0"/>
                  </w:tcBorders>
                  <w:shd w:val="clear" w:color="auto" w:fill="A6A6A6"/>
                  <w:noWrap w:val="0"/>
                  <w:vAlign w:val="center"/>
                </w:tcPr>
                <w:p w14:paraId="61AA50F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c>
                <w:tcPr>
                  <w:tcW w:w="595" w:type="pct"/>
                  <w:noWrap w:val="0"/>
                  <w:vAlign w:val="center"/>
                </w:tcPr>
                <w:p w14:paraId="55306D4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&gt;2000</w:t>
                  </w:r>
                </w:p>
              </w:tc>
            </w:tr>
            <w:tr w14:paraId="76AAA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1EB69B2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688" w:type="pct"/>
                  <w:shd w:val="clear" w:color="auto" w:fill="auto"/>
                  <w:noWrap w:val="0"/>
                  <w:vAlign w:val="center"/>
                </w:tcPr>
                <w:p w14:paraId="39E13B6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耗氧量（CODMn法，以O2计）/(mg/L)</w:t>
                  </w:r>
                </w:p>
              </w:tc>
              <w:tc>
                <w:tcPr>
                  <w:tcW w:w="594" w:type="pct"/>
                  <w:shd w:val="clear" w:color="auto" w:fill="auto"/>
                  <w:noWrap w:val="0"/>
                  <w:vAlign w:val="center"/>
                </w:tcPr>
                <w:p w14:paraId="0AD827A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594" w:type="pct"/>
                  <w:shd w:val="clear" w:color="auto" w:fill="auto"/>
                  <w:noWrap w:val="0"/>
                  <w:vAlign w:val="center"/>
                </w:tcPr>
                <w:p w14:paraId="2E088EC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94" w:type="pct"/>
                  <w:shd w:val="clear" w:color="auto" w:fill="auto"/>
                  <w:noWrap w:val="0"/>
                  <w:vAlign w:val="center"/>
                </w:tcPr>
                <w:p w14:paraId="11653C5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645" w:type="pct"/>
                  <w:tcBorders>
                    <w:top w:val="single" w:color="auto" w:sz="4" w:space="0"/>
                    <w:bottom w:val="single" w:color="auto" w:sz="4" w:space="0"/>
                  </w:tcBorders>
                  <w:shd w:val="clear" w:color="auto" w:fill="A6A6A6"/>
                  <w:noWrap w:val="0"/>
                  <w:vAlign w:val="center"/>
                </w:tcPr>
                <w:p w14:paraId="6D7AD7C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595" w:type="pct"/>
                  <w:noWrap w:val="0"/>
                  <w:vAlign w:val="center"/>
                </w:tcPr>
                <w:p w14:paraId="4DD990B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&gt;10.0</w:t>
                  </w:r>
                </w:p>
              </w:tc>
            </w:tr>
            <w:tr w14:paraId="18B0AB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46386C9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688" w:type="pct"/>
                  <w:shd w:val="clear" w:color="auto" w:fill="auto"/>
                  <w:noWrap w:val="0"/>
                  <w:vAlign w:val="center"/>
                </w:tcPr>
                <w:p w14:paraId="63C1782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氨氮/(mg/L)</w:t>
                  </w:r>
                </w:p>
              </w:tc>
              <w:tc>
                <w:tcPr>
                  <w:tcW w:w="594" w:type="pct"/>
                  <w:shd w:val="clear" w:color="auto" w:fill="auto"/>
                  <w:noWrap w:val="0"/>
                  <w:vAlign w:val="center"/>
                </w:tcPr>
                <w:p w14:paraId="43171EC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c>
                <w:tcPr>
                  <w:tcW w:w="594" w:type="pct"/>
                  <w:shd w:val="clear" w:color="auto" w:fill="auto"/>
                  <w:noWrap w:val="0"/>
                  <w:vAlign w:val="center"/>
                </w:tcPr>
                <w:p w14:paraId="06660CD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w:t>
                  </w:r>
                </w:p>
              </w:tc>
              <w:tc>
                <w:tcPr>
                  <w:tcW w:w="594" w:type="pct"/>
                  <w:shd w:val="clear" w:color="auto" w:fill="auto"/>
                  <w:noWrap w:val="0"/>
                  <w:vAlign w:val="center"/>
                </w:tcPr>
                <w:p w14:paraId="6429758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645" w:type="pct"/>
                  <w:tcBorders>
                    <w:top w:val="single" w:color="auto" w:sz="4" w:space="0"/>
                    <w:bottom w:val="single" w:color="auto" w:sz="4" w:space="0"/>
                  </w:tcBorders>
                  <w:shd w:val="clear" w:color="auto" w:fill="A6A6A6"/>
                  <w:noWrap w:val="0"/>
                  <w:vAlign w:val="center"/>
                </w:tcPr>
                <w:p w14:paraId="6B22665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595" w:type="pct"/>
                  <w:noWrap w:val="0"/>
                  <w:vAlign w:val="center"/>
                </w:tcPr>
                <w:p w14:paraId="0D234AF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&gt;1.50</w:t>
                  </w:r>
                </w:p>
              </w:tc>
            </w:tr>
            <w:tr w14:paraId="761E63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5D3D644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688" w:type="pct"/>
                  <w:shd w:val="clear" w:color="auto" w:fill="auto"/>
                  <w:noWrap w:val="0"/>
                  <w:vAlign w:val="center"/>
                </w:tcPr>
                <w:p w14:paraId="1B44DBB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硝酸盐(以N计)/(mg/L)</w:t>
                  </w:r>
                </w:p>
              </w:tc>
              <w:tc>
                <w:tcPr>
                  <w:tcW w:w="594" w:type="pct"/>
                  <w:shd w:val="clear" w:color="auto" w:fill="auto"/>
                  <w:noWrap w:val="0"/>
                  <w:vAlign w:val="center"/>
                </w:tcPr>
                <w:p w14:paraId="21C180F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94" w:type="pct"/>
                  <w:shd w:val="clear" w:color="auto" w:fill="auto"/>
                  <w:noWrap w:val="0"/>
                  <w:vAlign w:val="center"/>
                </w:tcPr>
                <w:p w14:paraId="0CB358A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594" w:type="pct"/>
                  <w:shd w:val="clear" w:color="auto" w:fill="auto"/>
                  <w:noWrap w:val="0"/>
                  <w:vAlign w:val="center"/>
                </w:tcPr>
                <w:p w14:paraId="057E205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45" w:type="pct"/>
                  <w:tcBorders>
                    <w:top w:val="single" w:color="auto" w:sz="4" w:space="0"/>
                    <w:bottom w:val="single" w:color="auto" w:sz="4" w:space="0"/>
                  </w:tcBorders>
                  <w:shd w:val="clear" w:color="auto" w:fill="A6A6A6"/>
                  <w:noWrap w:val="0"/>
                  <w:vAlign w:val="center"/>
                </w:tcPr>
                <w:p w14:paraId="16ACB8A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595" w:type="pct"/>
                  <w:noWrap w:val="0"/>
                  <w:vAlign w:val="center"/>
                </w:tcPr>
                <w:p w14:paraId="27B74CB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&gt;30.0</w:t>
                  </w:r>
                </w:p>
              </w:tc>
            </w:tr>
            <w:tr w14:paraId="289743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627E70B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688" w:type="pct"/>
                  <w:shd w:val="clear" w:color="auto" w:fill="auto"/>
                  <w:noWrap w:val="0"/>
                  <w:vAlign w:val="center"/>
                </w:tcPr>
                <w:p w14:paraId="4CEF272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亚硝酸盐(以N计)/(mg/L)</w:t>
                  </w:r>
                </w:p>
              </w:tc>
              <w:tc>
                <w:tcPr>
                  <w:tcW w:w="594" w:type="pct"/>
                  <w:shd w:val="clear" w:color="auto" w:fill="auto"/>
                  <w:noWrap w:val="0"/>
                  <w:vAlign w:val="center"/>
                </w:tcPr>
                <w:p w14:paraId="4DAA208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594" w:type="pct"/>
                  <w:shd w:val="clear" w:color="auto" w:fill="auto"/>
                  <w:noWrap w:val="0"/>
                  <w:vAlign w:val="center"/>
                </w:tcPr>
                <w:p w14:paraId="7BF6847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w:t>
                  </w:r>
                </w:p>
              </w:tc>
              <w:tc>
                <w:tcPr>
                  <w:tcW w:w="594" w:type="pct"/>
                  <w:shd w:val="clear" w:color="auto" w:fill="auto"/>
                  <w:noWrap w:val="0"/>
                  <w:vAlign w:val="center"/>
                </w:tcPr>
                <w:p w14:paraId="333E126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645" w:type="pct"/>
                  <w:tcBorders>
                    <w:top w:val="single" w:color="auto" w:sz="4" w:space="0"/>
                    <w:bottom w:val="single" w:color="auto" w:sz="4" w:space="0"/>
                  </w:tcBorders>
                  <w:shd w:val="clear" w:color="auto" w:fill="A6A6A6"/>
                  <w:noWrap w:val="0"/>
                  <w:vAlign w:val="center"/>
                </w:tcPr>
                <w:p w14:paraId="3102CB0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≤4.80</w:t>
                  </w:r>
                </w:p>
              </w:tc>
              <w:tc>
                <w:tcPr>
                  <w:tcW w:w="595" w:type="pct"/>
                  <w:noWrap w:val="0"/>
                  <w:vAlign w:val="center"/>
                </w:tcPr>
                <w:p w14:paraId="69DEB31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&gt;4.80</w:t>
                  </w:r>
                </w:p>
              </w:tc>
            </w:tr>
            <w:tr w14:paraId="00B343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40BF344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688" w:type="pct"/>
                  <w:shd w:val="clear" w:color="auto" w:fill="auto"/>
                  <w:noWrap w:val="0"/>
                  <w:vAlign w:val="center"/>
                </w:tcPr>
                <w:p w14:paraId="6BFB7EE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硫酸盐/(mg/L)</w:t>
                  </w:r>
                </w:p>
              </w:tc>
              <w:tc>
                <w:tcPr>
                  <w:tcW w:w="594" w:type="pct"/>
                  <w:shd w:val="clear" w:color="auto" w:fill="auto"/>
                  <w:noWrap w:val="0"/>
                  <w:vAlign w:val="center"/>
                </w:tcPr>
                <w:p w14:paraId="04A0445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594" w:type="pct"/>
                  <w:shd w:val="clear" w:color="auto" w:fill="auto"/>
                  <w:noWrap w:val="0"/>
                  <w:vAlign w:val="center"/>
                </w:tcPr>
                <w:p w14:paraId="275A1EB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594" w:type="pct"/>
                  <w:shd w:val="clear" w:color="auto" w:fill="auto"/>
                  <w:noWrap w:val="0"/>
                  <w:vAlign w:val="center"/>
                </w:tcPr>
                <w:p w14:paraId="29932A1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645" w:type="pct"/>
                  <w:tcBorders>
                    <w:top w:val="single" w:color="auto" w:sz="4" w:space="0"/>
                    <w:bottom w:val="single" w:color="auto" w:sz="4" w:space="0"/>
                  </w:tcBorders>
                  <w:shd w:val="clear" w:color="auto" w:fill="A6A6A6"/>
                  <w:noWrap w:val="0"/>
                  <w:vAlign w:val="center"/>
                </w:tcPr>
                <w:p w14:paraId="7B0AC91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w:t>
                  </w:r>
                </w:p>
              </w:tc>
              <w:tc>
                <w:tcPr>
                  <w:tcW w:w="595" w:type="pct"/>
                  <w:noWrap w:val="0"/>
                  <w:vAlign w:val="center"/>
                </w:tcPr>
                <w:p w14:paraId="7917EAD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&gt;350</w:t>
                  </w:r>
                </w:p>
              </w:tc>
            </w:tr>
            <w:tr w14:paraId="2E77E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625D5D1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688" w:type="pct"/>
                  <w:shd w:val="clear" w:color="auto" w:fill="auto"/>
                  <w:noWrap w:val="0"/>
                  <w:vAlign w:val="center"/>
                </w:tcPr>
                <w:p w14:paraId="3F42287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氯化物/(mg/L)</w:t>
                  </w:r>
                </w:p>
              </w:tc>
              <w:tc>
                <w:tcPr>
                  <w:tcW w:w="594" w:type="pct"/>
                  <w:shd w:val="clear" w:color="auto" w:fill="auto"/>
                  <w:noWrap w:val="0"/>
                  <w:vAlign w:val="center"/>
                </w:tcPr>
                <w:p w14:paraId="67354D2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594" w:type="pct"/>
                  <w:shd w:val="clear" w:color="auto" w:fill="auto"/>
                  <w:noWrap w:val="0"/>
                  <w:vAlign w:val="center"/>
                </w:tcPr>
                <w:p w14:paraId="40D0297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594" w:type="pct"/>
                  <w:shd w:val="clear" w:color="auto" w:fill="auto"/>
                  <w:noWrap w:val="0"/>
                  <w:vAlign w:val="center"/>
                </w:tcPr>
                <w:p w14:paraId="6D8499F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645" w:type="pct"/>
                  <w:tcBorders>
                    <w:top w:val="single" w:color="auto" w:sz="4" w:space="0"/>
                    <w:bottom w:val="single" w:color="auto" w:sz="4" w:space="0"/>
                  </w:tcBorders>
                  <w:shd w:val="clear" w:color="auto" w:fill="A6A6A6"/>
                  <w:noWrap w:val="0"/>
                  <w:vAlign w:val="center"/>
                </w:tcPr>
                <w:p w14:paraId="129E9F9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w:t>
                  </w:r>
                </w:p>
              </w:tc>
              <w:tc>
                <w:tcPr>
                  <w:tcW w:w="595" w:type="pct"/>
                  <w:noWrap w:val="0"/>
                  <w:vAlign w:val="center"/>
                </w:tcPr>
                <w:p w14:paraId="0E51922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&gt;350</w:t>
                  </w:r>
                </w:p>
              </w:tc>
            </w:tr>
            <w:tr w14:paraId="5163B6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601B98E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688" w:type="pct"/>
                  <w:shd w:val="clear" w:color="auto" w:fill="auto"/>
                  <w:noWrap w:val="0"/>
                  <w:vAlign w:val="center"/>
                </w:tcPr>
                <w:p w14:paraId="6501BE0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挥发性酚类（以苯酚计）/(mg/L)</w:t>
                  </w:r>
                </w:p>
              </w:tc>
              <w:tc>
                <w:tcPr>
                  <w:tcW w:w="594" w:type="pct"/>
                  <w:shd w:val="clear" w:color="auto" w:fill="auto"/>
                  <w:noWrap w:val="0"/>
                  <w:vAlign w:val="center"/>
                </w:tcPr>
                <w:p w14:paraId="054B800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594" w:type="pct"/>
                  <w:shd w:val="clear" w:color="auto" w:fill="auto"/>
                  <w:noWrap w:val="0"/>
                  <w:vAlign w:val="center"/>
                </w:tcPr>
                <w:p w14:paraId="00596A1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594" w:type="pct"/>
                  <w:shd w:val="clear" w:color="auto" w:fill="auto"/>
                  <w:noWrap w:val="0"/>
                  <w:vAlign w:val="center"/>
                </w:tcPr>
                <w:p w14:paraId="14DDCC8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645" w:type="pct"/>
                  <w:tcBorders>
                    <w:top w:val="single" w:color="auto" w:sz="4" w:space="0"/>
                    <w:bottom w:val="single" w:color="auto" w:sz="4" w:space="0"/>
                  </w:tcBorders>
                  <w:shd w:val="clear" w:color="auto" w:fill="A6A6A6"/>
                  <w:noWrap w:val="0"/>
                  <w:vAlign w:val="center"/>
                </w:tcPr>
                <w:p w14:paraId="2E13C2E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595" w:type="pct"/>
                  <w:noWrap w:val="0"/>
                  <w:vAlign w:val="center"/>
                </w:tcPr>
                <w:p w14:paraId="038D02A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&gt;0.01</w:t>
                  </w:r>
                </w:p>
              </w:tc>
            </w:tr>
            <w:tr w14:paraId="770202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686D72E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688" w:type="pct"/>
                  <w:shd w:val="clear" w:color="auto" w:fill="auto"/>
                  <w:noWrap w:val="0"/>
                  <w:vAlign w:val="center"/>
                </w:tcPr>
                <w:p w14:paraId="1E95464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氰化物/(mg/L)</w:t>
                  </w:r>
                </w:p>
              </w:tc>
              <w:tc>
                <w:tcPr>
                  <w:tcW w:w="594" w:type="pct"/>
                  <w:shd w:val="clear" w:color="auto" w:fill="auto"/>
                  <w:noWrap w:val="0"/>
                  <w:vAlign w:val="center"/>
                </w:tcPr>
                <w:p w14:paraId="5E64C48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594" w:type="pct"/>
                  <w:shd w:val="clear" w:color="auto" w:fill="auto"/>
                  <w:noWrap w:val="0"/>
                  <w:vAlign w:val="center"/>
                </w:tcPr>
                <w:p w14:paraId="0F4C838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594" w:type="pct"/>
                  <w:shd w:val="clear" w:color="auto" w:fill="auto"/>
                  <w:noWrap w:val="0"/>
                  <w:vAlign w:val="center"/>
                </w:tcPr>
                <w:p w14:paraId="058279D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645" w:type="pct"/>
                  <w:tcBorders>
                    <w:top w:val="single" w:color="auto" w:sz="4" w:space="0"/>
                    <w:bottom w:val="single" w:color="auto" w:sz="4" w:space="0"/>
                  </w:tcBorders>
                  <w:shd w:val="clear" w:color="auto" w:fill="A6A6A6"/>
                  <w:noWrap w:val="0"/>
                  <w:vAlign w:val="center"/>
                </w:tcPr>
                <w:p w14:paraId="507F1B4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595" w:type="pct"/>
                  <w:noWrap w:val="0"/>
                  <w:vAlign w:val="center"/>
                </w:tcPr>
                <w:p w14:paraId="2B1CD0F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&gt;0.1</w:t>
                  </w:r>
                </w:p>
              </w:tc>
            </w:tr>
            <w:tr w14:paraId="26B879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705A63D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688" w:type="pct"/>
                  <w:shd w:val="clear" w:color="auto" w:fill="auto"/>
                  <w:noWrap w:val="0"/>
                  <w:vAlign w:val="center"/>
                </w:tcPr>
                <w:p w14:paraId="61FABBC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氟化物/(mg/L)</w:t>
                  </w:r>
                </w:p>
              </w:tc>
              <w:tc>
                <w:tcPr>
                  <w:tcW w:w="594" w:type="pct"/>
                  <w:shd w:val="clear" w:color="auto" w:fill="auto"/>
                  <w:noWrap w:val="0"/>
                  <w:vAlign w:val="center"/>
                </w:tcPr>
                <w:p w14:paraId="4E5CBE3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594" w:type="pct"/>
                  <w:shd w:val="clear" w:color="auto" w:fill="auto"/>
                  <w:noWrap w:val="0"/>
                  <w:vAlign w:val="center"/>
                </w:tcPr>
                <w:p w14:paraId="4DF1EFC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594" w:type="pct"/>
                  <w:shd w:val="clear" w:color="auto" w:fill="auto"/>
                  <w:noWrap w:val="0"/>
                  <w:vAlign w:val="center"/>
                </w:tcPr>
                <w:p w14:paraId="703B46C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645" w:type="pct"/>
                  <w:tcBorders>
                    <w:top w:val="single" w:color="auto" w:sz="4" w:space="0"/>
                    <w:bottom w:val="single" w:color="auto" w:sz="4" w:space="0"/>
                  </w:tcBorders>
                  <w:shd w:val="clear" w:color="auto" w:fill="A6A6A6"/>
                  <w:noWrap w:val="0"/>
                  <w:vAlign w:val="center"/>
                </w:tcPr>
                <w:p w14:paraId="549A370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95" w:type="pct"/>
                  <w:noWrap w:val="0"/>
                  <w:vAlign w:val="center"/>
                </w:tcPr>
                <w:p w14:paraId="5B4D526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&gt;2.0</w:t>
                  </w:r>
                </w:p>
              </w:tc>
            </w:tr>
            <w:tr w14:paraId="029055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682F6F8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688" w:type="pct"/>
                  <w:shd w:val="clear" w:color="auto" w:fill="auto"/>
                  <w:noWrap w:val="0"/>
                  <w:vAlign w:val="center"/>
                </w:tcPr>
                <w:p w14:paraId="75AB2A5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硫酸盐/(mg/L)</w:t>
                  </w:r>
                </w:p>
              </w:tc>
              <w:tc>
                <w:tcPr>
                  <w:tcW w:w="594" w:type="pct"/>
                  <w:shd w:val="clear" w:color="auto" w:fill="auto"/>
                  <w:noWrap w:val="0"/>
                  <w:vAlign w:val="center"/>
                </w:tcPr>
                <w:p w14:paraId="03D5210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594" w:type="pct"/>
                  <w:shd w:val="clear" w:color="auto" w:fill="auto"/>
                  <w:noWrap w:val="0"/>
                  <w:vAlign w:val="center"/>
                </w:tcPr>
                <w:p w14:paraId="7A6E2C1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594" w:type="pct"/>
                  <w:shd w:val="clear" w:color="auto" w:fill="auto"/>
                  <w:noWrap w:val="0"/>
                  <w:vAlign w:val="center"/>
                </w:tcPr>
                <w:p w14:paraId="70EC844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645" w:type="pct"/>
                  <w:tcBorders>
                    <w:top w:val="single" w:color="auto" w:sz="4" w:space="0"/>
                    <w:bottom w:val="single" w:color="auto" w:sz="4" w:space="0"/>
                  </w:tcBorders>
                  <w:shd w:val="clear" w:color="auto" w:fill="A6A6A6"/>
                  <w:noWrap w:val="0"/>
                  <w:vAlign w:val="center"/>
                </w:tcPr>
                <w:p w14:paraId="19B5BC4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w:t>
                  </w:r>
                </w:p>
              </w:tc>
              <w:tc>
                <w:tcPr>
                  <w:tcW w:w="595" w:type="pct"/>
                  <w:noWrap w:val="0"/>
                  <w:vAlign w:val="center"/>
                </w:tcPr>
                <w:p w14:paraId="2BFBD94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&gt;350</w:t>
                  </w:r>
                </w:p>
              </w:tc>
            </w:tr>
            <w:tr w14:paraId="66835E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1EB8CB0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688" w:type="pct"/>
                  <w:shd w:val="clear" w:color="auto" w:fill="auto"/>
                  <w:noWrap w:val="0"/>
                  <w:vAlign w:val="center"/>
                </w:tcPr>
                <w:p w14:paraId="4BC230C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氯化物/(mg/L)</w:t>
                  </w:r>
                </w:p>
              </w:tc>
              <w:tc>
                <w:tcPr>
                  <w:tcW w:w="594" w:type="pct"/>
                  <w:shd w:val="clear" w:color="auto" w:fill="auto"/>
                  <w:noWrap w:val="0"/>
                  <w:vAlign w:val="center"/>
                </w:tcPr>
                <w:p w14:paraId="3C6BD57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594" w:type="pct"/>
                  <w:shd w:val="clear" w:color="auto" w:fill="auto"/>
                  <w:noWrap w:val="0"/>
                  <w:vAlign w:val="center"/>
                </w:tcPr>
                <w:p w14:paraId="53C0A35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594" w:type="pct"/>
                  <w:shd w:val="clear" w:color="auto" w:fill="auto"/>
                  <w:noWrap w:val="0"/>
                  <w:vAlign w:val="center"/>
                </w:tcPr>
                <w:p w14:paraId="777B79A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645" w:type="pct"/>
                  <w:tcBorders>
                    <w:top w:val="single" w:color="auto" w:sz="4" w:space="0"/>
                    <w:bottom w:val="single" w:color="auto" w:sz="4" w:space="0"/>
                  </w:tcBorders>
                  <w:shd w:val="clear" w:color="auto" w:fill="A6A6A6"/>
                  <w:noWrap w:val="0"/>
                  <w:vAlign w:val="center"/>
                </w:tcPr>
                <w:p w14:paraId="27C1CF8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w:t>
                  </w:r>
                </w:p>
              </w:tc>
              <w:tc>
                <w:tcPr>
                  <w:tcW w:w="595" w:type="pct"/>
                  <w:noWrap w:val="0"/>
                  <w:vAlign w:val="center"/>
                </w:tcPr>
                <w:p w14:paraId="77BA423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&gt;350</w:t>
                  </w:r>
                </w:p>
              </w:tc>
            </w:tr>
            <w:tr w14:paraId="68507D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38FF97F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688" w:type="pct"/>
                  <w:shd w:val="clear" w:color="auto" w:fill="auto"/>
                  <w:noWrap w:val="0"/>
                  <w:vAlign w:val="center"/>
                </w:tcPr>
                <w:p w14:paraId="2FD338F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砷/(mg/L)</w:t>
                  </w:r>
                </w:p>
              </w:tc>
              <w:tc>
                <w:tcPr>
                  <w:tcW w:w="594" w:type="pct"/>
                  <w:shd w:val="clear" w:color="auto" w:fill="auto"/>
                  <w:noWrap w:val="0"/>
                  <w:vAlign w:val="center"/>
                </w:tcPr>
                <w:p w14:paraId="74DF43E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594" w:type="pct"/>
                  <w:shd w:val="clear" w:color="auto" w:fill="auto"/>
                  <w:noWrap w:val="0"/>
                  <w:vAlign w:val="center"/>
                </w:tcPr>
                <w:p w14:paraId="1F1DAF6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594" w:type="pct"/>
                  <w:shd w:val="clear" w:color="auto" w:fill="auto"/>
                  <w:noWrap w:val="0"/>
                  <w:vAlign w:val="center"/>
                </w:tcPr>
                <w:p w14:paraId="6B6BD4A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645" w:type="pct"/>
                  <w:tcBorders>
                    <w:top w:val="single" w:color="auto" w:sz="4" w:space="0"/>
                    <w:bottom w:val="single" w:color="auto" w:sz="4" w:space="0"/>
                  </w:tcBorders>
                  <w:shd w:val="clear" w:color="auto" w:fill="A6A6A6"/>
                  <w:noWrap w:val="0"/>
                  <w:vAlign w:val="center"/>
                </w:tcPr>
                <w:p w14:paraId="30495B5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595" w:type="pct"/>
                  <w:noWrap w:val="0"/>
                  <w:vAlign w:val="center"/>
                </w:tcPr>
                <w:p w14:paraId="06B7184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&gt;0.05</w:t>
                  </w:r>
                </w:p>
              </w:tc>
            </w:tr>
            <w:tr w14:paraId="6FE5B4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3AF487D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688" w:type="pct"/>
                  <w:shd w:val="clear" w:color="auto" w:fill="auto"/>
                  <w:noWrap w:val="0"/>
                  <w:vAlign w:val="center"/>
                </w:tcPr>
                <w:p w14:paraId="353ABDE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汞/(mg/L)</w:t>
                  </w:r>
                </w:p>
              </w:tc>
              <w:tc>
                <w:tcPr>
                  <w:tcW w:w="594" w:type="pct"/>
                  <w:shd w:val="clear" w:color="auto" w:fill="auto"/>
                  <w:noWrap w:val="0"/>
                  <w:vAlign w:val="center"/>
                </w:tcPr>
                <w:p w14:paraId="62DF8C5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594" w:type="pct"/>
                  <w:shd w:val="clear" w:color="auto" w:fill="auto"/>
                  <w:noWrap w:val="0"/>
                  <w:vAlign w:val="center"/>
                </w:tcPr>
                <w:p w14:paraId="0EC7978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594" w:type="pct"/>
                  <w:shd w:val="clear" w:color="auto" w:fill="auto"/>
                  <w:noWrap w:val="0"/>
                  <w:vAlign w:val="center"/>
                </w:tcPr>
                <w:p w14:paraId="48EC665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645" w:type="pct"/>
                  <w:tcBorders>
                    <w:top w:val="single" w:color="auto" w:sz="4" w:space="0"/>
                    <w:bottom w:val="single" w:color="auto" w:sz="4" w:space="0"/>
                  </w:tcBorders>
                  <w:shd w:val="clear" w:color="auto" w:fill="A6A6A6"/>
                  <w:noWrap w:val="0"/>
                  <w:vAlign w:val="center"/>
                </w:tcPr>
                <w:p w14:paraId="399EA72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595" w:type="pct"/>
                  <w:noWrap w:val="0"/>
                  <w:vAlign w:val="center"/>
                </w:tcPr>
                <w:p w14:paraId="44DB134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&gt;0.002</w:t>
                  </w:r>
                </w:p>
              </w:tc>
            </w:tr>
            <w:tr w14:paraId="7C73C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4CF8D2F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1688" w:type="pct"/>
                  <w:shd w:val="clear" w:color="auto" w:fill="auto"/>
                  <w:noWrap w:val="0"/>
                  <w:vAlign w:val="center"/>
                </w:tcPr>
                <w:p w14:paraId="10691C6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铬(六价)/(mg/L)</w:t>
                  </w:r>
                </w:p>
              </w:tc>
              <w:tc>
                <w:tcPr>
                  <w:tcW w:w="594" w:type="pct"/>
                  <w:shd w:val="clear" w:color="auto" w:fill="auto"/>
                  <w:noWrap w:val="0"/>
                  <w:vAlign w:val="center"/>
                </w:tcPr>
                <w:p w14:paraId="0C581C9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594" w:type="pct"/>
                  <w:shd w:val="clear" w:color="auto" w:fill="auto"/>
                  <w:noWrap w:val="0"/>
                  <w:vAlign w:val="center"/>
                </w:tcPr>
                <w:p w14:paraId="5E76FD2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594" w:type="pct"/>
                  <w:shd w:val="clear" w:color="auto" w:fill="auto"/>
                  <w:noWrap w:val="0"/>
                  <w:vAlign w:val="center"/>
                </w:tcPr>
                <w:p w14:paraId="066D836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645" w:type="pct"/>
                  <w:tcBorders>
                    <w:top w:val="single" w:color="auto" w:sz="4" w:space="0"/>
                    <w:bottom w:val="single" w:color="auto" w:sz="4" w:space="0"/>
                  </w:tcBorders>
                  <w:shd w:val="clear" w:color="auto" w:fill="A6A6A6"/>
                  <w:noWrap w:val="0"/>
                  <w:vAlign w:val="center"/>
                </w:tcPr>
                <w:p w14:paraId="56FF2C4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w:t>
                  </w:r>
                </w:p>
              </w:tc>
              <w:tc>
                <w:tcPr>
                  <w:tcW w:w="595" w:type="pct"/>
                  <w:noWrap w:val="0"/>
                  <w:vAlign w:val="center"/>
                </w:tcPr>
                <w:p w14:paraId="69E1D38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&gt;0.10</w:t>
                  </w:r>
                </w:p>
              </w:tc>
            </w:tr>
            <w:tr w14:paraId="7F795C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2FD00AC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1688" w:type="pct"/>
                  <w:shd w:val="clear" w:color="auto" w:fill="auto"/>
                  <w:noWrap w:val="0"/>
                  <w:vAlign w:val="center"/>
                </w:tcPr>
                <w:p w14:paraId="166D8A1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铅/(mg/L)</w:t>
                  </w:r>
                </w:p>
              </w:tc>
              <w:tc>
                <w:tcPr>
                  <w:tcW w:w="594" w:type="pct"/>
                  <w:shd w:val="clear" w:color="auto" w:fill="auto"/>
                  <w:noWrap w:val="0"/>
                  <w:vAlign w:val="center"/>
                </w:tcPr>
                <w:p w14:paraId="5232563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594" w:type="pct"/>
                  <w:shd w:val="clear" w:color="auto" w:fill="auto"/>
                  <w:noWrap w:val="0"/>
                  <w:vAlign w:val="center"/>
                </w:tcPr>
                <w:p w14:paraId="6C4927D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594" w:type="pct"/>
                  <w:shd w:val="clear" w:color="auto" w:fill="auto"/>
                  <w:noWrap w:val="0"/>
                  <w:vAlign w:val="center"/>
                </w:tcPr>
                <w:p w14:paraId="53A8D9B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645" w:type="pct"/>
                  <w:tcBorders>
                    <w:top w:val="single" w:color="auto" w:sz="4" w:space="0"/>
                    <w:bottom w:val="single" w:color="auto" w:sz="4" w:space="0"/>
                  </w:tcBorders>
                  <w:shd w:val="clear" w:color="auto" w:fill="A6A6A6"/>
                  <w:noWrap w:val="0"/>
                  <w:vAlign w:val="center"/>
                </w:tcPr>
                <w:p w14:paraId="6CB5938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w:t>
                  </w:r>
                </w:p>
              </w:tc>
              <w:tc>
                <w:tcPr>
                  <w:tcW w:w="595" w:type="pct"/>
                  <w:noWrap w:val="0"/>
                  <w:vAlign w:val="center"/>
                </w:tcPr>
                <w:p w14:paraId="6DD09AE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&gt;0.10</w:t>
                  </w:r>
                </w:p>
              </w:tc>
            </w:tr>
            <w:tr w14:paraId="38F31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0DF0621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688" w:type="pct"/>
                  <w:shd w:val="clear" w:color="auto" w:fill="auto"/>
                  <w:noWrap w:val="0"/>
                  <w:vAlign w:val="center"/>
                </w:tcPr>
                <w:p w14:paraId="25720FC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镉/(mg/L)</w:t>
                  </w:r>
                </w:p>
              </w:tc>
              <w:tc>
                <w:tcPr>
                  <w:tcW w:w="594" w:type="pct"/>
                  <w:shd w:val="clear" w:color="auto" w:fill="auto"/>
                  <w:noWrap w:val="0"/>
                  <w:vAlign w:val="center"/>
                </w:tcPr>
                <w:p w14:paraId="733BCD1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594" w:type="pct"/>
                  <w:shd w:val="clear" w:color="auto" w:fill="auto"/>
                  <w:noWrap w:val="0"/>
                  <w:vAlign w:val="center"/>
                </w:tcPr>
                <w:p w14:paraId="29E4501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594" w:type="pct"/>
                  <w:shd w:val="clear" w:color="auto" w:fill="auto"/>
                  <w:noWrap w:val="0"/>
                  <w:vAlign w:val="center"/>
                </w:tcPr>
                <w:p w14:paraId="080D72C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645" w:type="pct"/>
                  <w:tcBorders>
                    <w:top w:val="single" w:color="auto" w:sz="4" w:space="0"/>
                    <w:bottom w:val="single" w:color="auto" w:sz="4" w:space="0"/>
                  </w:tcBorders>
                  <w:shd w:val="clear" w:color="auto" w:fill="A6A6A6"/>
                  <w:noWrap w:val="0"/>
                  <w:vAlign w:val="center"/>
                </w:tcPr>
                <w:p w14:paraId="04C6C53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595" w:type="pct"/>
                  <w:noWrap w:val="0"/>
                  <w:vAlign w:val="center"/>
                </w:tcPr>
                <w:p w14:paraId="5C576E7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&gt;0.01</w:t>
                  </w:r>
                </w:p>
              </w:tc>
            </w:tr>
            <w:tr w14:paraId="6C2E28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47DDE23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1688" w:type="pct"/>
                  <w:shd w:val="clear" w:color="auto" w:fill="auto"/>
                  <w:noWrap w:val="0"/>
                  <w:vAlign w:val="center"/>
                </w:tcPr>
                <w:p w14:paraId="05B025B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铜/(mg/L)</w:t>
                  </w:r>
                </w:p>
              </w:tc>
              <w:tc>
                <w:tcPr>
                  <w:tcW w:w="594" w:type="pct"/>
                  <w:shd w:val="clear" w:color="auto" w:fill="auto"/>
                  <w:noWrap w:val="0"/>
                  <w:vAlign w:val="center"/>
                </w:tcPr>
                <w:p w14:paraId="5A11953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594" w:type="pct"/>
                  <w:shd w:val="clear" w:color="auto" w:fill="auto"/>
                  <w:noWrap w:val="0"/>
                  <w:vAlign w:val="center"/>
                </w:tcPr>
                <w:p w14:paraId="7C18007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594" w:type="pct"/>
                  <w:shd w:val="clear" w:color="auto" w:fill="auto"/>
                  <w:noWrap w:val="0"/>
                  <w:vAlign w:val="center"/>
                </w:tcPr>
                <w:p w14:paraId="4412177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645" w:type="pct"/>
                  <w:tcBorders>
                    <w:top w:val="single" w:color="auto" w:sz="4" w:space="0"/>
                    <w:bottom w:val="single" w:color="auto" w:sz="4" w:space="0"/>
                  </w:tcBorders>
                  <w:shd w:val="clear" w:color="auto" w:fill="A6A6A6"/>
                  <w:noWrap w:val="0"/>
                  <w:vAlign w:val="center"/>
                </w:tcPr>
                <w:p w14:paraId="460D0AC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595" w:type="pct"/>
                  <w:noWrap w:val="0"/>
                  <w:vAlign w:val="center"/>
                </w:tcPr>
                <w:p w14:paraId="2E0B63A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&gt;1.50</w:t>
                  </w:r>
                </w:p>
              </w:tc>
            </w:tr>
            <w:tr w14:paraId="48196F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42F5382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1688" w:type="pct"/>
                  <w:shd w:val="clear" w:color="auto" w:fill="auto"/>
                  <w:noWrap w:val="0"/>
                  <w:vAlign w:val="center"/>
                </w:tcPr>
                <w:p w14:paraId="3391382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锌/(mg/L)</w:t>
                  </w:r>
                </w:p>
              </w:tc>
              <w:tc>
                <w:tcPr>
                  <w:tcW w:w="594" w:type="pct"/>
                  <w:shd w:val="clear" w:color="auto" w:fill="auto"/>
                  <w:noWrap w:val="0"/>
                  <w:vAlign w:val="center"/>
                </w:tcPr>
                <w:p w14:paraId="1D0BFAC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594" w:type="pct"/>
                  <w:shd w:val="clear" w:color="auto" w:fill="auto"/>
                  <w:noWrap w:val="0"/>
                  <w:vAlign w:val="center"/>
                </w:tcPr>
                <w:p w14:paraId="2D2F5F3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94" w:type="pct"/>
                  <w:shd w:val="clear" w:color="auto" w:fill="auto"/>
                  <w:noWrap w:val="0"/>
                  <w:vAlign w:val="center"/>
                </w:tcPr>
                <w:p w14:paraId="155D72F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645" w:type="pct"/>
                  <w:tcBorders>
                    <w:top w:val="single" w:color="auto" w:sz="4" w:space="0"/>
                    <w:bottom w:val="single" w:color="auto" w:sz="4" w:space="0"/>
                  </w:tcBorders>
                  <w:shd w:val="clear" w:color="auto" w:fill="A6A6A6"/>
                  <w:noWrap w:val="0"/>
                  <w:vAlign w:val="center"/>
                </w:tcPr>
                <w:p w14:paraId="641EC9A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595" w:type="pct"/>
                  <w:noWrap w:val="0"/>
                  <w:vAlign w:val="center"/>
                </w:tcPr>
                <w:p w14:paraId="4F62560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&gt;1.50</w:t>
                  </w:r>
                </w:p>
              </w:tc>
            </w:tr>
            <w:tr w14:paraId="20AB3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366B3BD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688" w:type="pct"/>
                  <w:shd w:val="clear" w:color="auto" w:fill="auto"/>
                  <w:noWrap w:val="0"/>
                  <w:vAlign w:val="center"/>
                </w:tcPr>
                <w:p w14:paraId="36538AD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汞/(mg/L)</w:t>
                  </w:r>
                </w:p>
              </w:tc>
              <w:tc>
                <w:tcPr>
                  <w:tcW w:w="594" w:type="pct"/>
                  <w:shd w:val="clear" w:color="auto" w:fill="auto"/>
                  <w:noWrap w:val="0"/>
                  <w:vAlign w:val="center"/>
                </w:tcPr>
                <w:p w14:paraId="6D309A9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594" w:type="pct"/>
                  <w:shd w:val="clear" w:color="auto" w:fill="auto"/>
                  <w:noWrap w:val="0"/>
                  <w:vAlign w:val="center"/>
                </w:tcPr>
                <w:p w14:paraId="5713729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594" w:type="pct"/>
                  <w:shd w:val="clear" w:color="auto" w:fill="auto"/>
                  <w:noWrap w:val="0"/>
                  <w:vAlign w:val="center"/>
                </w:tcPr>
                <w:p w14:paraId="30A046E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645" w:type="pct"/>
                  <w:tcBorders>
                    <w:top w:val="single" w:color="auto" w:sz="4" w:space="0"/>
                    <w:bottom w:val="single" w:color="auto" w:sz="4" w:space="0"/>
                  </w:tcBorders>
                  <w:shd w:val="clear" w:color="auto" w:fill="A6A6A6"/>
                  <w:noWrap w:val="0"/>
                  <w:vAlign w:val="center"/>
                </w:tcPr>
                <w:p w14:paraId="5C49095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595" w:type="pct"/>
                  <w:noWrap w:val="0"/>
                  <w:vAlign w:val="center"/>
                </w:tcPr>
                <w:p w14:paraId="707C7EE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&gt;0.002</w:t>
                  </w:r>
                </w:p>
              </w:tc>
            </w:tr>
            <w:tr w14:paraId="1C22C7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0F5BE74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1688" w:type="pct"/>
                  <w:shd w:val="clear" w:color="auto" w:fill="auto"/>
                  <w:noWrap w:val="0"/>
                  <w:vAlign w:val="center"/>
                </w:tcPr>
                <w:p w14:paraId="767ECDE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砷/(mg/L)</w:t>
                  </w:r>
                </w:p>
              </w:tc>
              <w:tc>
                <w:tcPr>
                  <w:tcW w:w="594" w:type="pct"/>
                  <w:shd w:val="clear" w:color="auto" w:fill="auto"/>
                  <w:noWrap w:val="0"/>
                  <w:vAlign w:val="center"/>
                </w:tcPr>
                <w:p w14:paraId="099BC11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594" w:type="pct"/>
                  <w:shd w:val="clear" w:color="auto" w:fill="auto"/>
                  <w:noWrap w:val="0"/>
                  <w:vAlign w:val="center"/>
                </w:tcPr>
                <w:p w14:paraId="25F2D33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594" w:type="pct"/>
                  <w:shd w:val="clear" w:color="auto" w:fill="auto"/>
                  <w:noWrap w:val="0"/>
                  <w:vAlign w:val="center"/>
                </w:tcPr>
                <w:p w14:paraId="032A578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645" w:type="pct"/>
                  <w:tcBorders>
                    <w:top w:val="single" w:color="auto" w:sz="4" w:space="0"/>
                    <w:bottom w:val="single" w:color="auto" w:sz="4" w:space="0"/>
                  </w:tcBorders>
                  <w:shd w:val="clear" w:color="auto" w:fill="A6A6A6"/>
                  <w:noWrap w:val="0"/>
                  <w:vAlign w:val="center"/>
                </w:tcPr>
                <w:p w14:paraId="604460E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595" w:type="pct"/>
                  <w:noWrap w:val="0"/>
                  <w:vAlign w:val="center"/>
                </w:tcPr>
                <w:p w14:paraId="5F7891B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&gt;0.05</w:t>
                  </w:r>
                </w:p>
              </w:tc>
            </w:tr>
            <w:tr w14:paraId="1B4DB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2CB996C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1688" w:type="pct"/>
                  <w:shd w:val="clear" w:color="auto" w:fill="auto"/>
                  <w:noWrap w:val="0"/>
                  <w:vAlign w:val="center"/>
                </w:tcPr>
                <w:p w14:paraId="7B9EA62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铬（六价）/(mg/L)</w:t>
                  </w:r>
                </w:p>
              </w:tc>
              <w:tc>
                <w:tcPr>
                  <w:tcW w:w="594" w:type="pct"/>
                  <w:shd w:val="clear" w:color="auto" w:fill="auto"/>
                  <w:noWrap w:val="0"/>
                  <w:vAlign w:val="center"/>
                </w:tcPr>
                <w:p w14:paraId="0498476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594" w:type="pct"/>
                  <w:shd w:val="clear" w:color="auto" w:fill="auto"/>
                  <w:noWrap w:val="0"/>
                  <w:vAlign w:val="center"/>
                </w:tcPr>
                <w:p w14:paraId="7BFD8B5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594" w:type="pct"/>
                  <w:shd w:val="clear" w:color="auto" w:fill="auto"/>
                  <w:noWrap w:val="0"/>
                  <w:vAlign w:val="center"/>
                </w:tcPr>
                <w:p w14:paraId="0020E12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645" w:type="pct"/>
                  <w:tcBorders>
                    <w:top w:val="single" w:color="auto" w:sz="4" w:space="0"/>
                    <w:bottom w:val="single" w:color="auto" w:sz="4" w:space="0"/>
                  </w:tcBorders>
                  <w:shd w:val="clear" w:color="auto" w:fill="A6A6A6"/>
                  <w:noWrap w:val="0"/>
                  <w:vAlign w:val="center"/>
                </w:tcPr>
                <w:p w14:paraId="30EBAF6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w:t>
                  </w:r>
                </w:p>
              </w:tc>
              <w:tc>
                <w:tcPr>
                  <w:tcW w:w="595" w:type="pct"/>
                  <w:noWrap w:val="0"/>
                  <w:vAlign w:val="center"/>
                </w:tcPr>
                <w:p w14:paraId="2EFA41E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&gt;0.10</w:t>
                  </w:r>
                </w:p>
              </w:tc>
            </w:tr>
            <w:tr w14:paraId="18CE9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78478DE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1688" w:type="pct"/>
                  <w:shd w:val="clear" w:color="auto" w:fill="auto"/>
                  <w:noWrap w:val="0"/>
                  <w:vAlign w:val="center"/>
                </w:tcPr>
                <w:p w14:paraId="561B4F8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镍/(mg/L)</w:t>
                  </w:r>
                </w:p>
              </w:tc>
              <w:tc>
                <w:tcPr>
                  <w:tcW w:w="594" w:type="pct"/>
                  <w:shd w:val="clear" w:color="auto" w:fill="auto"/>
                  <w:noWrap w:val="0"/>
                  <w:vAlign w:val="center"/>
                </w:tcPr>
                <w:p w14:paraId="06030D3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594" w:type="pct"/>
                  <w:shd w:val="clear" w:color="auto" w:fill="auto"/>
                  <w:noWrap w:val="0"/>
                  <w:vAlign w:val="center"/>
                </w:tcPr>
                <w:p w14:paraId="093C48C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594" w:type="pct"/>
                  <w:shd w:val="clear" w:color="auto" w:fill="auto"/>
                  <w:noWrap w:val="0"/>
                  <w:vAlign w:val="center"/>
                </w:tcPr>
                <w:p w14:paraId="27A7B6A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c>
                <w:tcPr>
                  <w:tcW w:w="645" w:type="pct"/>
                  <w:tcBorders>
                    <w:top w:val="single" w:color="auto" w:sz="4" w:space="0"/>
                    <w:bottom w:val="single" w:color="auto" w:sz="4" w:space="0"/>
                  </w:tcBorders>
                  <w:shd w:val="clear" w:color="auto" w:fill="A6A6A6"/>
                  <w:noWrap w:val="0"/>
                  <w:vAlign w:val="center"/>
                </w:tcPr>
                <w:p w14:paraId="5002269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w:t>
                  </w:r>
                </w:p>
              </w:tc>
              <w:tc>
                <w:tcPr>
                  <w:tcW w:w="595" w:type="pct"/>
                  <w:noWrap w:val="0"/>
                  <w:vAlign w:val="center"/>
                </w:tcPr>
                <w:p w14:paraId="789253F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&gt;0.10</w:t>
                  </w:r>
                </w:p>
              </w:tc>
            </w:tr>
            <w:tr w14:paraId="6F47D0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56199CF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1688" w:type="pct"/>
                  <w:shd w:val="clear" w:color="auto" w:fill="auto"/>
                  <w:noWrap w:val="0"/>
                  <w:vAlign w:val="center"/>
                </w:tcPr>
                <w:p w14:paraId="70E733D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钠/(mg/L)</w:t>
                  </w:r>
                </w:p>
              </w:tc>
              <w:tc>
                <w:tcPr>
                  <w:tcW w:w="594" w:type="pct"/>
                  <w:shd w:val="clear" w:color="auto" w:fill="auto"/>
                  <w:noWrap w:val="0"/>
                  <w:vAlign w:val="center"/>
                </w:tcPr>
                <w:p w14:paraId="7E73901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594" w:type="pct"/>
                  <w:shd w:val="clear" w:color="auto" w:fill="auto"/>
                  <w:noWrap w:val="0"/>
                  <w:vAlign w:val="center"/>
                </w:tcPr>
                <w:p w14:paraId="6B30B19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594" w:type="pct"/>
                  <w:shd w:val="clear" w:color="auto" w:fill="auto"/>
                  <w:noWrap w:val="0"/>
                  <w:vAlign w:val="center"/>
                </w:tcPr>
                <w:p w14:paraId="090A71A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45" w:type="pct"/>
                  <w:tcBorders>
                    <w:top w:val="single" w:color="auto" w:sz="4" w:space="0"/>
                    <w:bottom w:val="single" w:color="auto" w:sz="4" w:space="0"/>
                  </w:tcBorders>
                  <w:shd w:val="clear" w:color="auto" w:fill="A6A6A6"/>
                  <w:noWrap w:val="0"/>
                  <w:vAlign w:val="center"/>
                </w:tcPr>
                <w:p w14:paraId="012EC2D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595" w:type="pct"/>
                  <w:noWrap w:val="0"/>
                  <w:vAlign w:val="center"/>
                </w:tcPr>
                <w:p w14:paraId="4A71D1B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&gt;400</w:t>
                  </w:r>
                </w:p>
              </w:tc>
            </w:tr>
            <w:tr w14:paraId="15BD8D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0413F1B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688" w:type="pct"/>
                  <w:shd w:val="clear" w:color="auto" w:fill="auto"/>
                  <w:noWrap w:val="0"/>
                  <w:vAlign w:val="center"/>
                </w:tcPr>
                <w:p w14:paraId="76AC5F6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苯（μg/L）</w:t>
                  </w:r>
                </w:p>
              </w:tc>
              <w:tc>
                <w:tcPr>
                  <w:tcW w:w="594" w:type="pct"/>
                  <w:shd w:val="clear" w:color="auto" w:fill="auto"/>
                  <w:noWrap w:val="0"/>
                  <w:vAlign w:val="top"/>
                </w:tcPr>
                <w:p w14:paraId="05F4847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94" w:type="pct"/>
                  <w:shd w:val="clear" w:color="auto" w:fill="auto"/>
                  <w:noWrap w:val="0"/>
                  <w:vAlign w:val="top"/>
                </w:tcPr>
                <w:p w14:paraId="5B5E30E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594" w:type="pct"/>
                  <w:shd w:val="clear" w:color="auto" w:fill="auto"/>
                  <w:noWrap w:val="0"/>
                  <w:vAlign w:val="center"/>
                </w:tcPr>
                <w:p w14:paraId="1E014AC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645" w:type="pct"/>
                  <w:tcBorders>
                    <w:top w:val="single" w:color="auto" w:sz="4" w:space="0"/>
                    <w:bottom w:val="single" w:color="auto" w:sz="4" w:space="0"/>
                  </w:tcBorders>
                  <w:shd w:val="clear" w:color="auto" w:fill="A6A6A6"/>
                  <w:noWrap w:val="0"/>
                  <w:vAlign w:val="center"/>
                </w:tcPr>
                <w:p w14:paraId="21D05AE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95" w:type="pct"/>
                  <w:noWrap w:val="0"/>
                  <w:vAlign w:val="center"/>
                </w:tcPr>
                <w:p w14:paraId="215C390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&gt;120</w:t>
                  </w:r>
                </w:p>
              </w:tc>
            </w:tr>
            <w:tr w14:paraId="47264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4776D98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1688" w:type="pct"/>
                  <w:shd w:val="clear" w:color="auto" w:fill="auto"/>
                  <w:noWrap w:val="0"/>
                  <w:vAlign w:val="center"/>
                </w:tcPr>
                <w:p w14:paraId="5E783B2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甲苯（μg/L）</w:t>
                  </w:r>
                </w:p>
              </w:tc>
              <w:tc>
                <w:tcPr>
                  <w:tcW w:w="594" w:type="pct"/>
                  <w:shd w:val="clear" w:color="auto" w:fill="auto"/>
                  <w:noWrap w:val="0"/>
                  <w:vAlign w:val="top"/>
                </w:tcPr>
                <w:p w14:paraId="7102B55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94" w:type="pct"/>
                  <w:shd w:val="clear" w:color="auto" w:fill="auto"/>
                  <w:noWrap w:val="0"/>
                  <w:vAlign w:val="top"/>
                </w:tcPr>
                <w:p w14:paraId="23B394A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w:t>
                  </w:r>
                </w:p>
              </w:tc>
              <w:tc>
                <w:tcPr>
                  <w:tcW w:w="594" w:type="pct"/>
                  <w:shd w:val="clear" w:color="auto" w:fill="auto"/>
                  <w:noWrap w:val="0"/>
                  <w:vAlign w:val="center"/>
                </w:tcPr>
                <w:p w14:paraId="65E648D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≤700</w:t>
                  </w:r>
                </w:p>
              </w:tc>
              <w:tc>
                <w:tcPr>
                  <w:tcW w:w="645" w:type="pct"/>
                  <w:tcBorders>
                    <w:top w:val="single" w:color="auto" w:sz="4" w:space="0"/>
                    <w:bottom w:val="single" w:color="auto" w:sz="4" w:space="0"/>
                  </w:tcBorders>
                  <w:shd w:val="clear" w:color="auto" w:fill="A6A6A6"/>
                  <w:noWrap w:val="0"/>
                  <w:vAlign w:val="center"/>
                </w:tcPr>
                <w:p w14:paraId="325F698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w:t>
                  </w:r>
                </w:p>
              </w:tc>
              <w:tc>
                <w:tcPr>
                  <w:tcW w:w="595" w:type="pct"/>
                  <w:noWrap w:val="0"/>
                  <w:vAlign w:val="center"/>
                </w:tcPr>
                <w:p w14:paraId="1070989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&gt;1400</w:t>
                  </w:r>
                </w:p>
              </w:tc>
            </w:tr>
            <w:tr w14:paraId="007659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4B974AC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1688" w:type="pct"/>
                  <w:shd w:val="clear" w:color="auto" w:fill="auto"/>
                  <w:noWrap w:val="0"/>
                  <w:vAlign w:val="center"/>
                </w:tcPr>
                <w:p w14:paraId="0D6726F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二甲苯（μg/L）</w:t>
                  </w:r>
                </w:p>
              </w:tc>
              <w:tc>
                <w:tcPr>
                  <w:tcW w:w="594" w:type="pct"/>
                  <w:shd w:val="clear" w:color="auto" w:fill="auto"/>
                  <w:noWrap w:val="0"/>
                  <w:vAlign w:val="top"/>
                </w:tcPr>
                <w:p w14:paraId="3E34A7C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94" w:type="pct"/>
                  <w:shd w:val="clear" w:color="auto" w:fill="auto"/>
                  <w:noWrap w:val="0"/>
                  <w:vAlign w:val="top"/>
                </w:tcPr>
                <w:p w14:paraId="6328784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594" w:type="pct"/>
                  <w:shd w:val="clear" w:color="auto" w:fill="auto"/>
                  <w:noWrap w:val="0"/>
                  <w:vAlign w:val="center"/>
                </w:tcPr>
                <w:p w14:paraId="58DD93F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45" w:type="pct"/>
                  <w:tcBorders>
                    <w:top w:val="single" w:color="auto" w:sz="4" w:space="0"/>
                    <w:bottom w:val="single" w:color="auto" w:sz="4" w:space="0"/>
                  </w:tcBorders>
                  <w:shd w:val="clear" w:color="auto" w:fill="A6A6A6"/>
                  <w:noWrap w:val="0"/>
                  <w:vAlign w:val="center"/>
                </w:tcPr>
                <w:p w14:paraId="64A6175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595" w:type="pct"/>
                  <w:noWrap w:val="0"/>
                  <w:vAlign w:val="center"/>
                </w:tcPr>
                <w:p w14:paraId="7D3D3C1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&gt;1000</w:t>
                  </w:r>
                </w:p>
              </w:tc>
            </w:tr>
            <w:tr w14:paraId="35BE8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07D9792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1688" w:type="pct"/>
                  <w:shd w:val="clear" w:color="auto" w:fill="auto"/>
                  <w:noWrap w:val="0"/>
                  <w:vAlign w:val="center"/>
                </w:tcPr>
                <w:p w14:paraId="7B32E34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苯乙烯</w:t>
                  </w:r>
                </w:p>
              </w:tc>
              <w:tc>
                <w:tcPr>
                  <w:tcW w:w="594" w:type="pct"/>
                  <w:shd w:val="clear" w:color="auto" w:fill="auto"/>
                  <w:noWrap w:val="0"/>
                  <w:vAlign w:val="top"/>
                </w:tcPr>
                <w:p w14:paraId="6AA0199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94" w:type="pct"/>
                  <w:shd w:val="clear" w:color="auto" w:fill="auto"/>
                  <w:noWrap w:val="0"/>
                  <w:vAlign w:val="top"/>
                </w:tcPr>
                <w:p w14:paraId="5C0BEBA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94" w:type="pct"/>
                  <w:shd w:val="clear" w:color="auto" w:fill="auto"/>
                  <w:noWrap w:val="0"/>
                  <w:vAlign w:val="center"/>
                </w:tcPr>
                <w:p w14:paraId="28F4662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45" w:type="pct"/>
                  <w:tcBorders>
                    <w:top w:val="single" w:color="auto" w:sz="4" w:space="0"/>
                    <w:bottom w:val="single" w:color="auto" w:sz="4" w:space="0"/>
                  </w:tcBorders>
                  <w:shd w:val="clear" w:color="auto" w:fill="A6A6A6"/>
                  <w:noWrap w:val="0"/>
                  <w:vAlign w:val="center"/>
                </w:tcPr>
                <w:p w14:paraId="4B02D79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595" w:type="pct"/>
                  <w:noWrap w:val="0"/>
                  <w:vAlign w:val="center"/>
                </w:tcPr>
                <w:p w14:paraId="38CA157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&gt;40.0</w:t>
                  </w:r>
                </w:p>
              </w:tc>
            </w:tr>
            <w:tr w14:paraId="2D5637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2F611A9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1688" w:type="pct"/>
                  <w:shd w:val="clear" w:color="auto" w:fill="auto"/>
                  <w:noWrap w:val="0"/>
                  <w:vAlign w:val="center"/>
                </w:tcPr>
                <w:p w14:paraId="21E2140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1,2-二氯乙烷（μg/L）</w:t>
                  </w:r>
                </w:p>
              </w:tc>
              <w:tc>
                <w:tcPr>
                  <w:tcW w:w="594" w:type="pct"/>
                  <w:shd w:val="clear" w:color="auto" w:fill="auto"/>
                  <w:noWrap w:val="0"/>
                  <w:vAlign w:val="top"/>
                </w:tcPr>
                <w:p w14:paraId="1948B29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94" w:type="pct"/>
                  <w:shd w:val="clear" w:color="auto" w:fill="auto"/>
                  <w:noWrap w:val="0"/>
                  <w:vAlign w:val="top"/>
                </w:tcPr>
                <w:p w14:paraId="20FEB10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594" w:type="pct"/>
                  <w:shd w:val="clear" w:color="auto" w:fill="auto"/>
                  <w:noWrap w:val="0"/>
                  <w:vAlign w:val="center"/>
                </w:tcPr>
                <w:p w14:paraId="370394E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45" w:type="pct"/>
                  <w:tcBorders>
                    <w:top w:val="single" w:color="auto" w:sz="4" w:space="0"/>
                    <w:bottom w:val="single" w:color="auto" w:sz="4" w:space="0"/>
                  </w:tcBorders>
                  <w:shd w:val="clear" w:color="auto" w:fill="A6A6A6"/>
                  <w:noWrap w:val="0"/>
                  <w:vAlign w:val="center"/>
                </w:tcPr>
                <w:p w14:paraId="0350C9F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595" w:type="pct"/>
                  <w:noWrap w:val="0"/>
                  <w:vAlign w:val="center"/>
                </w:tcPr>
                <w:p w14:paraId="2C75E45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&gt;40.0</w:t>
                  </w:r>
                </w:p>
              </w:tc>
            </w:tr>
            <w:tr w14:paraId="3AA9C8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76BED6E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688" w:type="pct"/>
                  <w:shd w:val="clear" w:color="auto" w:fill="auto"/>
                  <w:noWrap w:val="0"/>
                  <w:vAlign w:val="center"/>
                </w:tcPr>
                <w:p w14:paraId="6CDD22C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氯苯（μg/L）</w:t>
                  </w:r>
                </w:p>
              </w:tc>
              <w:tc>
                <w:tcPr>
                  <w:tcW w:w="594" w:type="pct"/>
                  <w:shd w:val="clear" w:color="auto" w:fill="auto"/>
                  <w:noWrap w:val="0"/>
                  <w:vAlign w:val="top"/>
                </w:tcPr>
                <w:p w14:paraId="4328A93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94" w:type="pct"/>
                  <w:shd w:val="clear" w:color="auto" w:fill="auto"/>
                  <w:noWrap w:val="0"/>
                  <w:vAlign w:val="top"/>
                </w:tcPr>
                <w:p w14:paraId="42365B3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≤60.0</w:t>
                  </w:r>
                </w:p>
              </w:tc>
              <w:tc>
                <w:tcPr>
                  <w:tcW w:w="594" w:type="pct"/>
                  <w:shd w:val="clear" w:color="auto" w:fill="auto"/>
                  <w:noWrap w:val="0"/>
                  <w:vAlign w:val="center"/>
                </w:tcPr>
                <w:p w14:paraId="118D649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45" w:type="pct"/>
                  <w:tcBorders>
                    <w:top w:val="single" w:color="auto" w:sz="4" w:space="0"/>
                    <w:bottom w:val="single" w:color="auto" w:sz="4" w:space="0"/>
                  </w:tcBorders>
                  <w:shd w:val="clear" w:color="auto" w:fill="A6A6A6"/>
                  <w:noWrap w:val="0"/>
                  <w:vAlign w:val="center"/>
                </w:tcPr>
                <w:p w14:paraId="1CB868F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≤600</w:t>
                  </w:r>
                </w:p>
              </w:tc>
              <w:tc>
                <w:tcPr>
                  <w:tcW w:w="595" w:type="pct"/>
                  <w:noWrap w:val="0"/>
                  <w:vAlign w:val="center"/>
                </w:tcPr>
                <w:p w14:paraId="0A4F078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&gt;600</w:t>
                  </w:r>
                </w:p>
              </w:tc>
            </w:tr>
            <w:tr w14:paraId="446947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612C174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1688" w:type="pct"/>
                  <w:shd w:val="clear" w:color="auto" w:fill="auto"/>
                  <w:noWrap w:val="0"/>
                  <w:vAlign w:val="center"/>
                </w:tcPr>
                <w:p w14:paraId="1BA2114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2,4二硝基甲苯（μg/L）</w:t>
                  </w:r>
                </w:p>
              </w:tc>
              <w:tc>
                <w:tcPr>
                  <w:tcW w:w="594" w:type="pct"/>
                  <w:shd w:val="clear" w:color="auto" w:fill="auto"/>
                  <w:noWrap w:val="0"/>
                  <w:vAlign w:val="center"/>
                </w:tcPr>
                <w:p w14:paraId="685D600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594" w:type="pct"/>
                  <w:shd w:val="clear" w:color="auto" w:fill="auto"/>
                  <w:noWrap w:val="0"/>
                  <w:vAlign w:val="center"/>
                </w:tcPr>
                <w:p w14:paraId="637AC98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94" w:type="pct"/>
                  <w:shd w:val="clear" w:color="auto" w:fill="auto"/>
                  <w:noWrap w:val="0"/>
                  <w:vAlign w:val="center"/>
                </w:tcPr>
                <w:p w14:paraId="7D0689D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645" w:type="pct"/>
                  <w:tcBorders>
                    <w:top w:val="single" w:color="auto" w:sz="4" w:space="0"/>
                    <w:bottom w:val="single" w:color="auto" w:sz="4" w:space="0"/>
                  </w:tcBorders>
                  <w:shd w:val="clear" w:color="auto" w:fill="A6A6A6"/>
                  <w:noWrap w:val="0"/>
                  <w:vAlign w:val="center"/>
                </w:tcPr>
                <w:p w14:paraId="71D8145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≤60.0</w:t>
                  </w:r>
                </w:p>
              </w:tc>
              <w:tc>
                <w:tcPr>
                  <w:tcW w:w="595" w:type="pct"/>
                  <w:noWrap w:val="0"/>
                  <w:vAlign w:val="center"/>
                </w:tcPr>
                <w:p w14:paraId="07CDC94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&gt;60.0</w:t>
                  </w:r>
                </w:p>
              </w:tc>
            </w:tr>
            <w:tr w14:paraId="422A15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noWrap w:val="0"/>
                  <w:vAlign w:val="center"/>
                </w:tcPr>
                <w:p w14:paraId="67762CF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1688" w:type="pct"/>
                  <w:shd w:val="clear" w:color="auto" w:fill="auto"/>
                  <w:noWrap w:val="0"/>
                  <w:vAlign w:val="center"/>
                </w:tcPr>
                <w:p w14:paraId="5E7269F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四氯化碳（μg/L）</w:t>
                  </w:r>
                </w:p>
              </w:tc>
              <w:tc>
                <w:tcPr>
                  <w:tcW w:w="594" w:type="pct"/>
                  <w:shd w:val="clear" w:color="auto" w:fill="auto"/>
                  <w:noWrap w:val="0"/>
                  <w:vAlign w:val="center"/>
                </w:tcPr>
                <w:p w14:paraId="0460930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94" w:type="pct"/>
                  <w:shd w:val="clear" w:color="auto" w:fill="auto"/>
                  <w:noWrap w:val="0"/>
                  <w:vAlign w:val="center"/>
                </w:tcPr>
                <w:p w14:paraId="24866E5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94" w:type="pct"/>
                  <w:shd w:val="clear" w:color="auto" w:fill="auto"/>
                  <w:noWrap w:val="0"/>
                  <w:vAlign w:val="center"/>
                </w:tcPr>
                <w:p w14:paraId="79B4745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645" w:type="pct"/>
                  <w:tcBorders>
                    <w:top w:val="single" w:color="auto" w:sz="4" w:space="0"/>
                    <w:bottom w:val="single" w:color="auto" w:sz="12" w:space="0"/>
                  </w:tcBorders>
                  <w:shd w:val="clear" w:color="auto" w:fill="A6A6A6"/>
                  <w:noWrap w:val="0"/>
                  <w:vAlign w:val="center"/>
                </w:tcPr>
                <w:p w14:paraId="2374533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595" w:type="pct"/>
                  <w:noWrap w:val="0"/>
                  <w:vAlign w:val="center"/>
                </w:tcPr>
                <w:p w14:paraId="05C743B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&gt;50.0</w:t>
                  </w:r>
                </w:p>
              </w:tc>
            </w:tr>
          </w:tbl>
          <w:p w14:paraId="0E724E1D">
            <w:pPr>
              <w:adjustRightInd w:val="0"/>
              <w:snapToGrid w:val="0"/>
              <w:ind w:firstLine="0" w:firstLineChars="0"/>
              <w:outlineLvl w:val="2"/>
              <w:rPr>
                <w:rFonts w:hint="default" w:ascii="Times New Roman" w:hAnsi="Times New Roman" w:eastAsia="宋体" w:cs="Times New Roman"/>
                <w:b/>
                <w:color w:val="auto"/>
              </w:rPr>
            </w:pPr>
            <w:r>
              <w:rPr>
                <w:rFonts w:hint="default" w:ascii="Times New Roman" w:hAnsi="Times New Roman" w:eastAsia="宋体" w:cs="Times New Roman"/>
                <w:b/>
                <w:bCs/>
                <w:color w:val="auto"/>
              </w:rPr>
              <w:t>3.1.4</w:t>
            </w:r>
            <w:r>
              <w:rPr>
                <w:rFonts w:hint="default" w:ascii="Times New Roman" w:hAnsi="Times New Roman" w:eastAsia="宋体" w:cs="Times New Roman"/>
                <w:b/>
                <w:color w:val="auto"/>
              </w:rPr>
              <w:t>声环境</w:t>
            </w:r>
          </w:p>
          <w:p w14:paraId="0B4D12D0">
            <w:pPr>
              <w:ind w:firstLine="480"/>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项目所在的工业区声环境功能执行《声环境质量标准》（GB3096-2008）3类区标准。</w:t>
            </w:r>
          </w:p>
          <w:p w14:paraId="36F857FF">
            <w:pPr>
              <w:spacing w:line="240" w:lineRule="auto"/>
              <w:ind w:firstLine="0" w:firstLineChars="0"/>
              <w:jc w:val="center"/>
              <w:rPr>
                <w:rFonts w:hint="default" w:ascii="Times New Roman" w:hAnsi="Times New Roman" w:eastAsia="宋体" w:cs="Times New Roman"/>
                <w:b/>
                <w:color w:val="auto"/>
                <w:szCs w:val="20"/>
              </w:rPr>
            </w:pPr>
            <w:r>
              <w:rPr>
                <w:rFonts w:hint="default" w:ascii="Times New Roman" w:hAnsi="Times New Roman" w:eastAsia="宋体" w:cs="Times New Roman"/>
                <w:b/>
                <w:color w:val="auto"/>
                <w:szCs w:val="20"/>
              </w:rPr>
              <w:t>表3.1-4  声环境质量标准（摘录）    单位：dB（A）</w:t>
            </w:r>
          </w:p>
          <w:tbl>
            <w:tblPr>
              <w:tblStyle w:val="48"/>
              <w:tblW w:w="49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754"/>
              <w:gridCol w:w="2757"/>
              <w:gridCol w:w="2757"/>
            </w:tblGrid>
            <w:tr w14:paraId="707DBF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0" w:hRule="atLeast"/>
                <w:jc w:val="center"/>
              </w:trPr>
              <w:tc>
                <w:tcPr>
                  <w:tcW w:w="1666" w:type="pct"/>
                  <w:noWrap w:val="0"/>
                  <w:vAlign w:val="center"/>
                </w:tcPr>
                <w:p w14:paraId="77DD647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声环境功能区类别</w:t>
                  </w:r>
                </w:p>
              </w:tc>
              <w:tc>
                <w:tcPr>
                  <w:tcW w:w="1667" w:type="pct"/>
                  <w:noWrap w:val="0"/>
                  <w:vAlign w:val="center"/>
                </w:tcPr>
                <w:p w14:paraId="66467F9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667" w:type="pct"/>
                  <w:noWrap w:val="0"/>
                  <w:vAlign w:val="center"/>
                </w:tcPr>
                <w:p w14:paraId="1DD357D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r>
            <w:tr w14:paraId="3CFCEE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0" w:hRule="atLeast"/>
                <w:jc w:val="center"/>
              </w:trPr>
              <w:tc>
                <w:tcPr>
                  <w:tcW w:w="1666" w:type="pct"/>
                  <w:noWrap w:val="0"/>
                  <w:vAlign w:val="center"/>
                </w:tcPr>
                <w:p w14:paraId="64DCCE6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3类</w:t>
                  </w:r>
                </w:p>
              </w:tc>
              <w:tc>
                <w:tcPr>
                  <w:tcW w:w="1667" w:type="pct"/>
                  <w:noWrap w:val="0"/>
                  <w:vAlign w:val="center"/>
                </w:tcPr>
                <w:p w14:paraId="7657BC9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667" w:type="pct"/>
                  <w:noWrap w:val="0"/>
                  <w:vAlign w:val="center"/>
                </w:tcPr>
                <w:p w14:paraId="17DDBCF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bl>
          <w:p w14:paraId="4170450E">
            <w:pPr>
              <w:adjustRightInd w:val="0"/>
              <w:snapToGrid w:val="0"/>
              <w:ind w:firstLine="0" w:firstLineChars="0"/>
              <w:outlineLvl w:val="2"/>
              <w:rPr>
                <w:rFonts w:hint="default" w:ascii="Times New Roman" w:hAnsi="Times New Roman" w:eastAsia="宋体" w:cs="Times New Roman"/>
                <w:b/>
                <w:color w:val="auto"/>
              </w:rPr>
            </w:pPr>
            <w:r>
              <w:rPr>
                <w:rFonts w:hint="default" w:ascii="Times New Roman" w:hAnsi="Times New Roman" w:eastAsia="宋体" w:cs="Times New Roman"/>
                <w:b/>
                <w:bCs/>
                <w:color w:val="auto"/>
              </w:rPr>
              <w:t>3.1.5</w:t>
            </w:r>
            <w:r>
              <w:rPr>
                <w:rFonts w:hint="default" w:ascii="Times New Roman" w:hAnsi="Times New Roman" w:eastAsia="宋体" w:cs="Times New Roman"/>
                <w:b/>
                <w:color w:val="auto"/>
              </w:rPr>
              <w:t>土壤环境</w:t>
            </w:r>
          </w:p>
          <w:p w14:paraId="39BB4AFB">
            <w:pPr>
              <w:ind w:firstLine="480"/>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项目规划区域为工业用地，执行《土壤环境质量 建设用地土壤污染风险管控标准（试行）》（GB36600-2018）中的第二类用地的筛选值，具体标准值见表3.1-5。</w:t>
            </w:r>
          </w:p>
          <w:p w14:paraId="7AE611ED">
            <w:pPr>
              <w:spacing w:line="240" w:lineRule="auto"/>
              <w:ind w:firstLine="0" w:firstLineChars="0"/>
              <w:jc w:val="center"/>
              <w:rPr>
                <w:rFonts w:hint="default" w:ascii="Times New Roman" w:hAnsi="Times New Roman" w:eastAsia="宋体" w:cs="Times New Roman"/>
                <w:b/>
                <w:color w:val="auto"/>
                <w:szCs w:val="20"/>
              </w:rPr>
            </w:pPr>
            <w:r>
              <w:rPr>
                <w:rFonts w:hint="default" w:ascii="Times New Roman" w:hAnsi="Times New Roman" w:eastAsia="宋体" w:cs="Times New Roman"/>
                <w:b/>
                <w:color w:val="auto"/>
                <w:szCs w:val="20"/>
              </w:rPr>
              <w:t>表3.1-5 土壤环境质量标准限值（部分摘录）  单位：mg/kg</w:t>
            </w:r>
          </w:p>
          <w:p w14:paraId="3EAC92FE">
            <w:pPr>
              <w:pStyle w:val="585"/>
              <w:snapToGrid w:val="0"/>
              <w:spacing w:before="120" w:beforeLines="50" w:after="120" w:afterLines="50" w:line="360" w:lineRule="auto"/>
              <w:ind w:left="0" w:leftChars="0" w:firstLine="0" w:firstLineChars="0"/>
              <w:outlineLvl w:val="1"/>
              <w:rPr>
                <w:rFonts w:hint="default" w:ascii="Times New Roman" w:hAnsi="Times New Roman" w:eastAsia="宋体" w:cs="Times New Roman"/>
                <w:b/>
                <w:color w:val="auto"/>
                <w:spacing w:val="8"/>
                <w:kern w:val="2"/>
                <w:szCs w:val="28"/>
                <w:lang w:val="en-US" w:eastAsia="zh-CN"/>
              </w:rPr>
            </w:pPr>
            <w:r>
              <w:rPr>
                <w:rFonts w:hint="default" w:ascii="Times New Roman" w:hAnsi="Times New Roman" w:eastAsia="宋体" w:cs="Times New Roman"/>
                <w:b/>
                <w:color w:val="auto"/>
                <w:spacing w:val="8"/>
                <w:kern w:val="2"/>
                <w:szCs w:val="28"/>
                <w:lang w:val="en-US" w:eastAsia="zh-CN"/>
              </w:rPr>
              <w:t>3.2 区域环境质量现状</w:t>
            </w:r>
          </w:p>
          <w:p w14:paraId="20317663">
            <w:pPr>
              <w:adjustRightInd w:val="0"/>
              <w:snapToGrid w:val="0"/>
              <w:ind w:firstLine="0" w:firstLineChars="0"/>
              <w:outlineLvl w:val="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3.2.1 大气环境质量现状</w:t>
            </w:r>
          </w:p>
          <w:p w14:paraId="1CE2F7B5">
            <w:pPr>
              <w:ind w:firstLine="480"/>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（1）区域空气质量达标区判定</w:t>
            </w:r>
          </w:p>
          <w:p w14:paraId="6D54E59C">
            <w:pPr>
              <w:ind w:firstLine="48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根据《环境影响评价技术导则大气环境》（HJ2.2-2018）要求，城市环境空气质量达标情况评价指标为SO</w:t>
            </w:r>
            <w:r>
              <w:rPr>
                <w:rFonts w:hint="default" w:ascii="Times New Roman" w:hAnsi="Times New Roman" w:eastAsia="宋体" w:cs="Times New Roman"/>
                <w:color w:val="auto"/>
                <w:vertAlign w:val="subscript"/>
                <w:lang w:val="zh-CN"/>
              </w:rPr>
              <w:t>2</w:t>
            </w:r>
            <w:r>
              <w:rPr>
                <w:rFonts w:hint="default" w:ascii="Times New Roman" w:hAnsi="Times New Roman" w:eastAsia="宋体" w:cs="Times New Roman"/>
                <w:color w:val="auto"/>
                <w:lang w:val="zh-CN"/>
              </w:rPr>
              <w:t>、NO</w:t>
            </w:r>
            <w:r>
              <w:rPr>
                <w:rFonts w:hint="default" w:ascii="Times New Roman" w:hAnsi="Times New Roman" w:eastAsia="宋体" w:cs="Times New Roman"/>
                <w:color w:val="auto"/>
                <w:vertAlign w:val="subscript"/>
                <w:lang w:val="zh-CN"/>
              </w:rPr>
              <w:t>2</w:t>
            </w:r>
            <w:r>
              <w:rPr>
                <w:rFonts w:hint="default" w:ascii="Times New Roman" w:hAnsi="Times New Roman" w:eastAsia="宋体" w:cs="Times New Roman"/>
                <w:color w:val="auto"/>
                <w:lang w:val="zh-CN"/>
              </w:rPr>
              <w:t>、PM</w:t>
            </w:r>
            <w:r>
              <w:rPr>
                <w:rFonts w:hint="default" w:ascii="Times New Roman" w:hAnsi="Times New Roman" w:eastAsia="宋体" w:cs="Times New Roman"/>
                <w:color w:val="auto"/>
                <w:vertAlign w:val="subscript"/>
                <w:lang w:val="zh-CN"/>
              </w:rPr>
              <w:t>10</w:t>
            </w:r>
            <w:r>
              <w:rPr>
                <w:rFonts w:hint="default" w:ascii="Times New Roman" w:hAnsi="Times New Roman" w:eastAsia="宋体" w:cs="Times New Roman"/>
                <w:color w:val="auto"/>
                <w:lang w:val="zh-CN"/>
              </w:rPr>
              <w:t>、PM</w:t>
            </w:r>
            <w:r>
              <w:rPr>
                <w:rFonts w:hint="default" w:ascii="Times New Roman" w:hAnsi="Times New Roman" w:eastAsia="宋体" w:cs="Times New Roman"/>
                <w:color w:val="auto"/>
                <w:vertAlign w:val="subscript"/>
                <w:lang w:val="zh-CN"/>
              </w:rPr>
              <w:t>2.5</w:t>
            </w:r>
            <w:r>
              <w:rPr>
                <w:rFonts w:hint="default" w:ascii="Times New Roman" w:hAnsi="Times New Roman" w:eastAsia="宋体" w:cs="Times New Roman"/>
                <w:color w:val="auto"/>
                <w:lang w:val="zh-CN"/>
              </w:rPr>
              <w:t>、CO和O</w:t>
            </w:r>
            <w:r>
              <w:rPr>
                <w:rFonts w:hint="default" w:ascii="Times New Roman" w:hAnsi="Times New Roman" w:eastAsia="宋体" w:cs="Times New Roman"/>
                <w:color w:val="auto"/>
                <w:vertAlign w:val="subscript"/>
                <w:lang w:val="zh-CN"/>
              </w:rPr>
              <w:t>3</w:t>
            </w:r>
            <w:r>
              <w:rPr>
                <w:rFonts w:hint="default" w:ascii="Times New Roman" w:hAnsi="Times New Roman" w:eastAsia="宋体" w:cs="Times New Roman"/>
                <w:color w:val="auto"/>
                <w:lang w:val="zh-CN"/>
              </w:rPr>
              <w:t>，六项污染物全部达标即为城市环境空气质量达标。项目所在区域达标判定，优先采用国家或地方生态环境主管部门公开公布的评价基准年环境质量公告或环境质量报告中的数据或结论。</w:t>
            </w:r>
          </w:p>
          <w:p w14:paraId="028F6F18">
            <w:pPr>
              <w:pStyle w:val="591"/>
              <w:ind w:firstLine="48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4"/>
              </w:rPr>
              <w:t>为了评述项目所在区域大气环境质量现状，本评价引用福清市人民政府公布的福清市空气质量月报（2023年1月～2023年1</w:t>
            </w:r>
            <w:r>
              <w:rPr>
                <w:rFonts w:hint="default" w:ascii="Times New Roman" w:hAnsi="Times New Roman" w:eastAsia="宋体" w:cs="Times New Roman"/>
                <w:color w:val="auto"/>
                <w:szCs w:val="24"/>
                <w:lang w:val="en-US" w:eastAsia="zh-CN"/>
              </w:rPr>
              <w:t>2</w:t>
            </w:r>
            <w:r>
              <w:rPr>
                <w:rFonts w:hint="default" w:ascii="Times New Roman" w:hAnsi="Times New Roman" w:eastAsia="宋体" w:cs="Times New Roman"/>
                <w:color w:val="auto"/>
                <w:szCs w:val="24"/>
              </w:rPr>
              <w:t>月）（链接http://www.fuqing.gov.cn/xjwz/zwgk/ztzl/sdgjz/dhwrfzgjz/hjzl/）。监测结果详见表3.</w:t>
            </w:r>
            <w:r>
              <w:rPr>
                <w:rFonts w:hint="default" w:ascii="Times New Roman" w:hAnsi="Times New Roman" w:eastAsia="宋体" w:cs="Times New Roman"/>
                <w:color w:val="auto"/>
                <w:szCs w:val="24"/>
                <w:lang w:val="en-US" w:eastAsia="zh-CN"/>
              </w:rPr>
              <w:t>1</w:t>
            </w:r>
            <w:r>
              <w:rPr>
                <w:rFonts w:hint="default" w:ascii="Times New Roman" w:hAnsi="Times New Roman" w:eastAsia="宋体" w:cs="Times New Roman"/>
                <w:color w:val="auto"/>
                <w:szCs w:val="24"/>
              </w:rPr>
              <w:t>-1。</w:t>
            </w:r>
          </w:p>
          <w:p w14:paraId="7AE25151">
            <w:pPr>
              <w:pStyle w:val="424"/>
              <w:tabs>
                <w:tab w:val="left" w:pos="0"/>
              </w:tabs>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 xml:space="preserve">表3.2-1 </w:t>
            </w:r>
            <w:r>
              <w:rPr>
                <w:rFonts w:hint="default" w:ascii="Times New Roman" w:hAnsi="Times New Roman" w:eastAsia="宋体" w:cs="Times New Roman"/>
                <w:color w:val="auto"/>
              </w:rPr>
              <w:t>福清市空气质量月报202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年1月～12月</w:t>
            </w:r>
          </w:p>
          <w:p w14:paraId="7A7445BC">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w:t>
            </w:r>
          </w:p>
          <w:p w14:paraId="3AE3841A">
            <w:pPr>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由上表可知，福清市2023年1月～2023年12月份，空气环境中SO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、NO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10</w:t>
            </w:r>
            <w:r>
              <w:rPr>
                <w:rFonts w:hint="default" w:ascii="Times New Roman" w:hAnsi="Times New Roman" w:eastAsia="宋体" w:cs="Times New Roman"/>
                <w:color w:val="auto"/>
              </w:rPr>
              <w:t>和PM</w:t>
            </w:r>
            <w:r>
              <w:rPr>
                <w:rFonts w:hint="default" w:ascii="Times New Roman" w:hAnsi="Times New Roman" w:eastAsia="宋体" w:cs="Times New Roman"/>
                <w:color w:val="auto"/>
                <w:vertAlign w:val="subscript"/>
              </w:rPr>
              <w:t>2.5</w:t>
            </w:r>
            <w:r>
              <w:rPr>
                <w:rFonts w:hint="default" w:ascii="Times New Roman" w:hAnsi="Times New Roman" w:eastAsia="宋体" w:cs="Times New Roman"/>
                <w:color w:val="auto"/>
              </w:rPr>
              <w:t>均未超过国家二级标准，CO日均值第95百分数和O</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最大8小时值第90百分数未超过国家二级标准；因此福清市环境空气质量属于达标区。</w:t>
            </w:r>
          </w:p>
          <w:p w14:paraId="19CC943F">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（2）特征因子环境现状质量</w:t>
            </w:r>
          </w:p>
          <w:p w14:paraId="28B2D67A">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4B48E6D9">
            <w:pPr>
              <w:ind w:firstLine="480"/>
              <w:rPr>
                <w:rFonts w:hint="default" w:ascii="Times New Roman" w:hAnsi="Times New Roman" w:eastAsia="宋体" w:cs="Times New Roman"/>
                <w:color w:val="auto"/>
                <w:lang w:val="en-US" w:eastAsia="zh-CN"/>
              </w:rPr>
            </w:pPr>
          </w:p>
          <w:p w14:paraId="776976D3">
            <w:pPr>
              <w:adjustRightInd w:val="0"/>
              <w:snapToGrid w:val="0"/>
              <w:ind w:firstLine="0" w:firstLineChars="0"/>
              <w:outlineLvl w:val="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3.2.2水环境质量现状</w:t>
            </w:r>
            <w:bookmarkEnd w:id="7"/>
          </w:p>
          <w:p w14:paraId="756D41BF">
            <w:pPr>
              <w:wordWrap w:val="0"/>
              <w:topLinePunct/>
              <w:adjustRightIn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（1）区域水环境调查</w:t>
            </w:r>
          </w:p>
          <w:p w14:paraId="15BFA4C4">
            <w:pPr>
              <w:wordWrap w:val="0"/>
              <w:topLinePunct/>
              <w:adjustRightIn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位于江阴新港社区，项目周边水体为兴化湾，为了了解项目区周边水环境质量现状，本次环评引用福建省生态环境厅网站《2022年秋季福建省近岸海域235个点位监测数据》中“兴化湾江阴东港”监测结果，详见表3.1.1（链接：</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"https://sthjt.fujian.gov.cn/ztzl/hjzl/hyhjzl/jahysz_39971/202303/t20230324_6136776.htm）。" </w:instrText>
            </w:r>
            <w:r>
              <w:rPr>
                <w:rFonts w:hint="default" w:ascii="Times New Roman" w:hAnsi="Times New Roman" w:eastAsia="宋体" w:cs="Times New Roman"/>
                <w:color w:val="auto"/>
              </w:rPr>
              <w:fldChar w:fldCharType="separate"/>
            </w:r>
            <w:r>
              <w:rPr>
                <w:rStyle w:val="54"/>
                <w:rFonts w:hint="default" w:ascii="Times New Roman" w:hAnsi="Times New Roman" w:eastAsia="宋体" w:cs="Times New Roman"/>
                <w:color w:val="auto"/>
              </w:rPr>
              <w:t>https://sthjt.fujian.gov.cn/ztzl/hjzl/hyhjzl/jahysz_39971/202303/t20230324_6136776.htm）。</w:t>
            </w:r>
            <w:r>
              <w:rPr>
                <w:rFonts w:hint="default" w:ascii="Times New Roman" w:hAnsi="Times New Roman" w:eastAsia="宋体" w:cs="Times New Roman"/>
                <w:color w:val="auto"/>
              </w:rPr>
              <w:fldChar w:fldCharType="end"/>
            </w:r>
          </w:p>
          <w:p w14:paraId="09B4BDB2">
            <w:pPr>
              <w:wordWrap w:val="0"/>
              <w:topLinePunct/>
              <w:adjustRightIn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根据监测结果，兴化湾江阴东港监测结果为二类海水水质，符合海洋环境功能区划，因此，判定项目周边区域海洋环境质量良好。</w:t>
            </w:r>
          </w:p>
          <w:p w14:paraId="44E826C8">
            <w:pPr>
              <w:pStyle w:val="424"/>
              <w:tabs>
                <w:tab w:val="left" w:pos="0"/>
              </w:tabs>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4"/>
                <w:szCs w:val="24"/>
                <w:lang w:val="en-US" w:eastAsia="zh-CN" w:bidi="ar-SA"/>
              </w:rPr>
              <w:t xml:space="preserve">表3.2-5  </w:t>
            </w:r>
            <w:r>
              <w:rPr>
                <w:rFonts w:hint="default" w:ascii="Times New Roman" w:hAnsi="Times New Roman" w:eastAsia="宋体" w:cs="Times New Roman"/>
                <w:color w:val="auto"/>
              </w:rPr>
              <w:t>2022年秋季福建省近岸海域235个点位监测数据</w:t>
            </w:r>
          </w:p>
          <w:tbl>
            <w:tblPr>
              <w:tblStyle w:val="4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836"/>
              <w:gridCol w:w="759"/>
              <w:gridCol w:w="685"/>
              <w:gridCol w:w="536"/>
              <w:gridCol w:w="987"/>
              <w:gridCol w:w="987"/>
              <w:gridCol w:w="685"/>
              <w:gridCol w:w="685"/>
              <w:gridCol w:w="836"/>
            </w:tblGrid>
            <w:tr w14:paraId="5382A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777" w:type="pct"/>
                  <w:vMerge w:val="restart"/>
                  <w:noWrap/>
                  <w:vAlign w:val="center"/>
                </w:tcPr>
                <w:p w14:paraId="350DBE34">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站位名称</w:t>
                  </w:r>
                </w:p>
              </w:tc>
              <w:tc>
                <w:tcPr>
                  <w:tcW w:w="504" w:type="pct"/>
                  <w:noWrap/>
                  <w:vAlign w:val="center"/>
                </w:tcPr>
                <w:p w14:paraId="2E7A8113">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经度</w:t>
                  </w:r>
                </w:p>
              </w:tc>
              <w:tc>
                <w:tcPr>
                  <w:tcW w:w="458" w:type="pct"/>
                  <w:noWrap/>
                  <w:vAlign w:val="center"/>
                </w:tcPr>
                <w:p w14:paraId="5A09739A">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纬度</w:t>
                  </w:r>
                </w:p>
              </w:tc>
              <w:tc>
                <w:tcPr>
                  <w:tcW w:w="413" w:type="pct"/>
                  <w:noWrap/>
                  <w:vAlign w:val="center"/>
                </w:tcPr>
                <w:p w14:paraId="62791E44">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溶解氧</w:t>
                  </w:r>
                </w:p>
              </w:tc>
              <w:tc>
                <w:tcPr>
                  <w:tcW w:w="323" w:type="pct"/>
                  <w:noWrap/>
                  <w:vAlign w:val="center"/>
                </w:tcPr>
                <w:p w14:paraId="0717DC54">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pH</w:t>
                  </w:r>
                </w:p>
              </w:tc>
              <w:tc>
                <w:tcPr>
                  <w:tcW w:w="595" w:type="pct"/>
                  <w:noWrap/>
                  <w:vAlign w:val="center"/>
                </w:tcPr>
                <w:p w14:paraId="3B2E5AA2">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活性磷酸盐</w:t>
                  </w:r>
                </w:p>
              </w:tc>
              <w:tc>
                <w:tcPr>
                  <w:tcW w:w="595" w:type="pct"/>
                  <w:noWrap/>
                  <w:vAlign w:val="center"/>
                </w:tcPr>
                <w:p w14:paraId="719119F3">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化学需氧量</w:t>
                  </w:r>
                </w:p>
              </w:tc>
              <w:tc>
                <w:tcPr>
                  <w:tcW w:w="413" w:type="pct"/>
                  <w:noWrap/>
                  <w:vAlign w:val="center"/>
                </w:tcPr>
                <w:p w14:paraId="72B71E25">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石油类</w:t>
                  </w:r>
                </w:p>
              </w:tc>
              <w:tc>
                <w:tcPr>
                  <w:tcW w:w="413" w:type="pct"/>
                  <w:noWrap/>
                  <w:vAlign w:val="center"/>
                </w:tcPr>
                <w:p w14:paraId="24C7699A">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无机氮</w:t>
                  </w:r>
                </w:p>
              </w:tc>
              <w:tc>
                <w:tcPr>
                  <w:tcW w:w="504" w:type="pct"/>
                  <w:vMerge w:val="restart"/>
                  <w:noWrap/>
                  <w:vAlign w:val="center"/>
                </w:tcPr>
                <w:p w14:paraId="1697A370">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水质类别</w:t>
                  </w:r>
                </w:p>
              </w:tc>
            </w:tr>
            <w:tr w14:paraId="4F8133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777" w:type="pct"/>
                  <w:vMerge w:val="continue"/>
                  <w:noWrap/>
                  <w:vAlign w:val="center"/>
                </w:tcPr>
                <w:p w14:paraId="0D2B4170">
                  <w:pPr>
                    <w:pStyle w:val="589"/>
                    <w:rPr>
                      <w:rFonts w:hint="default" w:ascii="Times New Roman" w:hAnsi="Times New Roman" w:eastAsia="宋体" w:cs="Times New Roman"/>
                      <w:color w:val="auto"/>
                    </w:rPr>
                  </w:pPr>
                </w:p>
              </w:tc>
              <w:tc>
                <w:tcPr>
                  <w:tcW w:w="504" w:type="pct"/>
                  <w:noWrap/>
                  <w:vAlign w:val="center"/>
                </w:tcPr>
                <w:p w14:paraId="11CEE072">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（度）</w:t>
                  </w:r>
                </w:p>
              </w:tc>
              <w:tc>
                <w:tcPr>
                  <w:tcW w:w="458" w:type="pct"/>
                  <w:noWrap/>
                  <w:vAlign w:val="center"/>
                </w:tcPr>
                <w:p w14:paraId="54E78E2A">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（度）</w:t>
                  </w:r>
                </w:p>
              </w:tc>
              <w:tc>
                <w:tcPr>
                  <w:tcW w:w="413" w:type="pct"/>
                  <w:noWrap/>
                  <w:vAlign w:val="center"/>
                </w:tcPr>
                <w:p w14:paraId="41B66B39">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mg/L</w:t>
                  </w:r>
                </w:p>
              </w:tc>
              <w:tc>
                <w:tcPr>
                  <w:tcW w:w="323" w:type="pct"/>
                  <w:noWrap/>
                  <w:vAlign w:val="center"/>
                </w:tcPr>
                <w:p w14:paraId="4CBDC391">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595" w:type="pct"/>
                  <w:noWrap/>
                  <w:vAlign w:val="center"/>
                </w:tcPr>
                <w:p w14:paraId="14F232AC">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mg/L</w:t>
                  </w:r>
                </w:p>
              </w:tc>
              <w:tc>
                <w:tcPr>
                  <w:tcW w:w="595" w:type="pct"/>
                  <w:noWrap/>
                  <w:vAlign w:val="center"/>
                </w:tcPr>
                <w:p w14:paraId="4EB5FFD5">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mg/L</w:t>
                  </w:r>
                </w:p>
              </w:tc>
              <w:tc>
                <w:tcPr>
                  <w:tcW w:w="413" w:type="pct"/>
                  <w:noWrap/>
                  <w:vAlign w:val="center"/>
                </w:tcPr>
                <w:p w14:paraId="018B96EF">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mg/L</w:t>
                  </w:r>
                </w:p>
              </w:tc>
              <w:tc>
                <w:tcPr>
                  <w:tcW w:w="413" w:type="pct"/>
                  <w:noWrap/>
                  <w:vAlign w:val="center"/>
                </w:tcPr>
                <w:p w14:paraId="7DDE8C44">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mg/L</w:t>
                  </w:r>
                </w:p>
              </w:tc>
              <w:tc>
                <w:tcPr>
                  <w:tcW w:w="504" w:type="pct"/>
                  <w:vMerge w:val="continue"/>
                  <w:noWrap/>
                  <w:vAlign w:val="center"/>
                </w:tcPr>
                <w:p w14:paraId="4FC4DA66">
                  <w:pPr>
                    <w:pStyle w:val="589"/>
                    <w:rPr>
                      <w:rFonts w:hint="default" w:ascii="Times New Roman" w:hAnsi="Times New Roman" w:eastAsia="宋体" w:cs="Times New Roman"/>
                      <w:color w:val="auto"/>
                    </w:rPr>
                  </w:pPr>
                </w:p>
              </w:tc>
            </w:tr>
            <w:tr w14:paraId="07101C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777" w:type="pct"/>
                  <w:noWrap/>
                  <w:vAlign w:val="center"/>
                </w:tcPr>
                <w:p w14:paraId="34E8DFE9">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兴化湾江阴东港</w:t>
                  </w:r>
                </w:p>
              </w:tc>
              <w:tc>
                <w:tcPr>
                  <w:tcW w:w="504" w:type="pct"/>
                  <w:noWrap/>
                  <w:vAlign w:val="center"/>
                </w:tcPr>
                <w:p w14:paraId="7005D7B5">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119.3711</w:t>
                  </w:r>
                </w:p>
              </w:tc>
              <w:tc>
                <w:tcPr>
                  <w:tcW w:w="458" w:type="pct"/>
                  <w:noWrap/>
                  <w:vAlign w:val="center"/>
                </w:tcPr>
                <w:p w14:paraId="6AC3BB5D">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25.4900</w:t>
                  </w:r>
                </w:p>
              </w:tc>
              <w:tc>
                <w:tcPr>
                  <w:tcW w:w="413" w:type="pct"/>
                  <w:noWrap/>
                  <w:vAlign w:val="center"/>
                </w:tcPr>
                <w:p w14:paraId="4C59A1E4">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6.92</w:t>
                  </w:r>
                </w:p>
              </w:tc>
              <w:tc>
                <w:tcPr>
                  <w:tcW w:w="323" w:type="pct"/>
                  <w:noWrap/>
                  <w:vAlign w:val="center"/>
                </w:tcPr>
                <w:p w14:paraId="4BE1C0E2">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8.17</w:t>
                  </w:r>
                </w:p>
              </w:tc>
              <w:tc>
                <w:tcPr>
                  <w:tcW w:w="595" w:type="pct"/>
                  <w:noWrap/>
                  <w:vAlign w:val="center"/>
                </w:tcPr>
                <w:p w14:paraId="7D59EF24">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0.026</w:t>
                  </w:r>
                </w:p>
              </w:tc>
              <w:tc>
                <w:tcPr>
                  <w:tcW w:w="595" w:type="pct"/>
                  <w:noWrap/>
                  <w:vAlign w:val="center"/>
                </w:tcPr>
                <w:p w14:paraId="4220AF1C">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1.00</w:t>
                  </w:r>
                </w:p>
              </w:tc>
              <w:tc>
                <w:tcPr>
                  <w:tcW w:w="413" w:type="pct"/>
                  <w:noWrap/>
                  <w:vAlign w:val="center"/>
                </w:tcPr>
                <w:p w14:paraId="00C9FA52">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0.0138</w:t>
                  </w:r>
                </w:p>
              </w:tc>
              <w:tc>
                <w:tcPr>
                  <w:tcW w:w="413" w:type="pct"/>
                  <w:noWrap/>
                  <w:vAlign w:val="center"/>
                </w:tcPr>
                <w:p w14:paraId="2123CB74">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0.251</w:t>
                  </w:r>
                </w:p>
              </w:tc>
              <w:tc>
                <w:tcPr>
                  <w:tcW w:w="504" w:type="pct"/>
                  <w:noWrap/>
                  <w:vAlign w:val="center"/>
                </w:tcPr>
                <w:p w14:paraId="3F74CDBA">
                  <w:pPr>
                    <w:pStyle w:val="589"/>
                    <w:rPr>
                      <w:rFonts w:hint="default" w:ascii="Times New Roman" w:hAnsi="Times New Roman" w:eastAsia="宋体" w:cs="Times New Roman"/>
                      <w:color w:val="auto"/>
                    </w:rPr>
                  </w:pPr>
                  <w:r>
                    <w:rPr>
                      <w:rFonts w:hint="default" w:ascii="Times New Roman" w:hAnsi="Times New Roman" w:eastAsia="宋体" w:cs="Times New Roman"/>
                      <w:color w:val="auto"/>
                    </w:rPr>
                    <w:t>二类</w:t>
                  </w:r>
                </w:p>
              </w:tc>
            </w:tr>
          </w:tbl>
          <w:p w14:paraId="2643C208">
            <w:pPr>
              <w:wordWrap w:val="0"/>
              <w:topLinePunct/>
              <w:adjustRightInd w:val="0"/>
              <w:spacing w:line="360" w:lineRule="auto"/>
              <w:ind w:firstLine="480" w:firstLineChars="200"/>
              <w:rPr>
                <w:rFonts w:hint="default" w:ascii="Times New Roman" w:hAnsi="Times New Roman" w:eastAsia="宋体" w:cs="Times New Roman"/>
                <w:color w:val="auto"/>
              </w:rPr>
            </w:pPr>
          </w:p>
          <w:p w14:paraId="7C0D4CAE">
            <w:pPr>
              <w:wordWrap w:val="0"/>
              <w:topLinePunct/>
              <w:adjustRightInd w:val="0"/>
              <w:spacing w:line="360" w:lineRule="auto"/>
              <w:ind w:left="0" w:leftChars="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5192395" cy="3790315"/>
                  <wp:effectExtent l="0" t="0" r="8255" b="635"/>
                  <wp:docPr id="1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2"/>
                          <pic:cNvPicPr>
                            <a:picLocks noChangeAspect="1"/>
                          </pic:cNvPicPr>
                        </pic:nvPicPr>
                        <pic:blipFill>
                          <a:blip r:embed="rId32"/>
                          <a:stretch>
                            <a:fillRect/>
                          </a:stretch>
                        </pic:blipFill>
                        <pic:spPr>
                          <a:xfrm>
                            <a:off x="0" y="0"/>
                            <a:ext cx="5192395" cy="3790315"/>
                          </a:xfrm>
                          <a:prstGeom prst="rect">
                            <a:avLst/>
                          </a:prstGeom>
                          <a:noFill/>
                          <a:ln>
                            <a:noFill/>
                          </a:ln>
                        </pic:spPr>
                      </pic:pic>
                    </a:graphicData>
                  </a:graphic>
                </wp:inline>
              </w:drawing>
            </w:r>
          </w:p>
          <w:p w14:paraId="023CD4C3">
            <w:pPr>
              <w:pStyle w:val="590"/>
              <w:numPr>
                <w:ilvl w:val="5"/>
                <w:numId w:val="0"/>
              </w:numPr>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 xml:space="preserve">图 3.1-3 </w:t>
            </w:r>
            <w:r>
              <w:rPr>
                <w:rFonts w:hint="default" w:ascii="Times New Roman" w:hAnsi="Times New Roman" w:eastAsia="宋体" w:cs="Times New Roman"/>
                <w:color w:val="auto"/>
              </w:rPr>
              <w:t>福建省近岸海域水质状况（截图）</w:t>
            </w:r>
          </w:p>
          <w:p w14:paraId="244F43E4">
            <w:pPr>
              <w:keepNext w:val="0"/>
              <w:keepLines w:val="0"/>
              <w:widowControl/>
              <w:suppressLineNumbers w:val="0"/>
              <w:spacing w:line="360" w:lineRule="auto"/>
              <w:jc w:val="left"/>
              <w:rPr>
                <w:rFonts w:hint="default" w:ascii="Times New Roman" w:hAnsi="Times New Roman" w:eastAsia="宋体" w:cs="Times New Roman"/>
                <w:color w:val="auto"/>
              </w:rPr>
            </w:pPr>
            <w:r>
              <w:rPr>
                <w:rFonts w:hint="default" w:ascii="Times New Roman" w:hAnsi="Times New Roman" w:eastAsia="宋体" w:cs="Times New Roman"/>
                <w:color w:val="auto"/>
              </w:rPr>
              <w:t>（2）引用资料的有效性分析</w:t>
            </w:r>
          </w:p>
          <w:p w14:paraId="44702442">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建设项目环境影响报告表编制技术指南（污染影响类）（试行）》（环办环评〔2020〕33号）的要求：“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本次评价选取福建省生态环境厅网站发布水环境状况信息，符合《建设项目环境影响报告表编制技术指南（污染影响类）（试行）》（环办环评〔2020〕33号）的要求。</w:t>
            </w:r>
          </w:p>
        </w:tc>
      </w:tr>
      <w:tr w14:paraId="5DF69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4" w:hRule="atLeast"/>
          <w:jc w:val="center"/>
        </w:trPr>
        <w:tc>
          <w:tcPr>
            <w:tcW w:w="424" w:type="pct"/>
            <w:noWrap w:val="0"/>
            <w:vAlign w:val="center"/>
          </w:tcPr>
          <w:p w14:paraId="1E06C919">
            <w:pPr>
              <w:adjustRightInd w:val="0"/>
              <w:snapToGrid w:val="0"/>
              <w:spacing w:line="240" w:lineRule="auto"/>
              <w:ind w:firstLine="0" w:firstLineChars="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区域环境质量</w:t>
            </w:r>
          </w:p>
          <w:p w14:paraId="4B5FC168">
            <w:pPr>
              <w:adjustRightInd w:val="0"/>
              <w:snapToGrid w:val="0"/>
              <w:spacing w:line="240" w:lineRule="auto"/>
              <w:ind w:firstLine="0" w:firstLineChars="0"/>
              <w:jc w:val="center"/>
              <w:textAlignment w:val="bottom"/>
              <w:rPr>
                <w:rFonts w:hint="default" w:ascii="Times New Roman" w:hAnsi="Times New Roman" w:eastAsia="宋体" w:cs="Times New Roman"/>
                <w:snapToGrid w:val="0"/>
                <w:color w:val="auto"/>
                <w:sz w:val="36"/>
                <w:szCs w:val="36"/>
              </w:rPr>
            </w:pPr>
            <w:r>
              <w:rPr>
                <w:rFonts w:hint="default" w:ascii="Times New Roman" w:hAnsi="Times New Roman" w:eastAsia="宋体" w:cs="Times New Roman"/>
                <w:color w:val="auto"/>
                <w:kern w:val="0"/>
                <w:sz w:val="21"/>
                <w:szCs w:val="21"/>
                <w:lang w:bidi="ar"/>
              </w:rPr>
              <w:t>现状</w:t>
            </w:r>
          </w:p>
        </w:tc>
        <w:tc>
          <w:tcPr>
            <w:tcW w:w="4575" w:type="pct"/>
            <w:noWrap w:val="0"/>
            <w:vAlign w:val="top"/>
          </w:tcPr>
          <w:p w14:paraId="56F0E46D">
            <w:pPr>
              <w:adjustRightInd w:val="0"/>
              <w:snapToGrid w:val="0"/>
              <w:ind w:firstLine="0" w:firstLineChars="0"/>
              <w:outlineLvl w:val="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3.2.3地下水环境现状</w:t>
            </w:r>
          </w:p>
          <w:p w14:paraId="57FA5C7E">
            <w:pPr>
              <w:pStyle w:val="572"/>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（1）地</w:t>
            </w:r>
            <w:r>
              <w:rPr>
                <w:rFonts w:hint="default" w:ascii="Times New Roman" w:hAnsi="Times New Roman" w:eastAsia="宋体" w:cs="Times New Roman"/>
                <w:color w:val="auto"/>
                <w:spacing w:val="2"/>
                <w:lang w:val="en-US" w:eastAsia="zh-CN"/>
              </w:rPr>
              <w:t>下</w:t>
            </w:r>
            <w:r>
              <w:rPr>
                <w:rFonts w:hint="default" w:ascii="Times New Roman" w:hAnsi="Times New Roman" w:eastAsia="宋体" w:cs="Times New Roman"/>
                <w:color w:val="auto"/>
                <w:lang w:val="en-US" w:eastAsia="zh-CN"/>
              </w:rPr>
              <w:t>水</w:t>
            </w:r>
            <w:r>
              <w:rPr>
                <w:rFonts w:hint="default" w:ascii="Times New Roman" w:hAnsi="Times New Roman" w:eastAsia="宋体" w:cs="Times New Roman"/>
                <w:color w:val="auto"/>
                <w:spacing w:val="2"/>
                <w:lang w:val="en-US" w:eastAsia="zh-CN"/>
              </w:rPr>
              <w:t>监</w:t>
            </w:r>
            <w:r>
              <w:rPr>
                <w:rFonts w:hint="default" w:ascii="Times New Roman" w:hAnsi="Times New Roman" w:eastAsia="宋体" w:cs="Times New Roman"/>
                <w:color w:val="auto"/>
                <w:lang w:val="en-US" w:eastAsia="zh-CN"/>
              </w:rPr>
              <w:t>测点位、</w:t>
            </w:r>
            <w:r>
              <w:rPr>
                <w:rFonts w:hint="default" w:ascii="Times New Roman" w:hAnsi="Times New Roman" w:eastAsia="宋体" w:cs="Times New Roman"/>
                <w:color w:val="auto"/>
                <w:spacing w:val="2"/>
                <w:lang w:val="en-US" w:eastAsia="zh-CN"/>
              </w:rPr>
              <w:t>时</w:t>
            </w:r>
            <w:r>
              <w:rPr>
                <w:rFonts w:hint="default" w:ascii="Times New Roman" w:hAnsi="Times New Roman" w:eastAsia="宋体" w:cs="Times New Roman"/>
                <w:color w:val="auto"/>
                <w:lang w:val="en-US" w:eastAsia="zh-CN"/>
              </w:rPr>
              <w:t>间</w:t>
            </w:r>
            <w:r>
              <w:rPr>
                <w:rFonts w:hint="default" w:ascii="Times New Roman" w:hAnsi="Times New Roman" w:eastAsia="宋体" w:cs="Times New Roman"/>
                <w:color w:val="auto"/>
                <w:spacing w:val="2"/>
                <w:lang w:val="en-US" w:eastAsia="zh-CN"/>
              </w:rPr>
              <w:t>、</w:t>
            </w:r>
            <w:r>
              <w:rPr>
                <w:rFonts w:hint="default" w:ascii="Times New Roman" w:hAnsi="Times New Roman" w:eastAsia="宋体" w:cs="Times New Roman"/>
                <w:color w:val="auto"/>
                <w:lang w:val="en-US" w:eastAsia="zh-CN"/>
              </w:rPr>
              <w:t>频次与监测项目</w:t>
            </w:r>
          </w:p>
          <w:p w14:paraId="34C3191D">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6E4648B6">
            <w:pPr>
              <w:pStyle w:val="572"/>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（2）地下水评价结果分析</w:t>
            </w:r>
          </w:p>
          <w:p w14:paraId="643E681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监测期间，各个监测点位pH、氨氮、氰化物、硝酸盐、亚硝酸盐、挥发酚、耗氧量、氟化物、汞、砷、镉、铅、铜、锌、镍、六价铬、苯、甲苯、二甲苯、氯苯、硝基苯、四氯化碳、苯乙烯和1,2-二氯乙烷</w:t>
            </w:r>
            <w:r>
              <w:rPr>
                <w:rFonts w:hint="default" w:ascii="Times New Roman" w:hAnsi="Times New Roman" w:eastAsia="宋体" w:cs="Times New Roman"/>
                <w:color w:val="auto"/>
                <w:sz w:val="24"/>
                <w:lang w:val="en-US" w:eastAsia="zh-CN"/>
              </w:rPr>
              <w:t>等</w:t>
            </w:r>
            <w:r>
              <w:rPr>
                <w:rFonts w:hint="default" w:ascii="Times New Roman" w:hAnsi="Times New Roman" w:eastAsia="宋体" w:cs="Times New Roman"/>
                <w:color w:val="auto"/>
                <w:sz w:val="24"/>
              </w:rPr>
              <w:t>均能达到《地下水质量标准》(GB/T14848-2017)中的</w:t>
            </w:r>
            <w:r>
              <w:rPr>
                <w:rFonts w:hint="default" w:ascii="Times New Roman" w:hAnsi="Times New Roman" w:eastAsia="宋体" w:cs="Times New Roman"/>
                <w:color w:val="auto"/>
                <w:lang w:val="en-US" w:eastAsia="zh-CN"/>
              </w:rPr>
              <w:t>Ⅳ类</w:t>
            </w:r>
            <w:r>
              <w:rPr>
                <w:rFonts w:hint="default" w:ascii="Times New Roman" w:hAnsi="Times New Roman" w:eastAsia="宋体" w:cs="Times New Roman"/>
                <w:color w:val="auto"/>
                <w:sz w:val="24"/>
              </w:rPr>
              <w:t>标准要求。项目处于滨海区域，周边为填海造地形成，受海水倒灌影响，导致地下水中</w:t>
            </w:r>
            <w:r>
              <w:rPr>
                <w:rFonts w:hint="default" w:ascii="Times New Roman" w:hAnsi="Times New Roman" w:eastAsia="宋体" w:cs="Times New Roman"/>
                <w:color w:val="auto"/>
                <w:sz w:val="24"/>
                <w:lang w:val="en-US" w:eastAsia="zh-CN"/>
              </w:rPr>
              <w:t>钠</w:t>
            </w:r>
            <w:r>
              <w:rPr>
                <w:rFonts w:hint="default" w:ascii="Times New Roman" w:hAnsi="Times New Roman" w:eastAsia="宋体" w:cs="Times New Roman"/>
                <w:color w:val="auto"/>
                <w:sz w:val="24"/>
              </w:rPr>
              <w:t>浓度较高。</w:t>
            </w:r>
          </w:p>
          <w:p w14:paraId="727D11A9">
            <w:pPr>
              <w:adjustRightInd w:val="0"/>
              <w:snapToGrid w:val="0"/>
              <w:ind w:firstLine="0" w:firstLineChars="0"/>
              <w:outlineLvl w:val="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3.2.4声环境质量现状</w:t>
            </w:r>
          </w:p>
          <w:p w14:paraId="358DAB81">
            <w:pPr>
              <w:keepNext w:val="0"/>
              <w:keepLines w:val="0"/>
              <w:widowControl/>
              <w:suppressLineNumbers w:val="0"/>
              <w:spacing w:line="360" w:lineRule="auto"/>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本项目周围50m范围内无声环境敏感目标</w:t>
            </w:r>
            <w:r>
              <w:rPr>
                <w:rFonts w:hint="default" w:ascii="Times New Roman" w:hAnsi="Times New Roman" w:eastAsia="宋体" w:cs="Times New Roman"/>
                <w:color w:val="auto"/>
                <w:lang w:eastAsia="zh-CN"/>
              </w:rPr>
              <w:t>。</w:t>
            </w:r>
          </w:p>
          <w:p w14:paraId="3F026989">
            <w:pPr>
              <w:keepNext w:val="0"/>
              <w:keepLines w:val="0"/>
              <w:widowControl/>
              <w:suppressLineNumbers w:val="0"/>
              <w:spacing w:line="360" w:lineRule="auto"/>
              <w:jc w:val="left"/>
              <w:rPr>
                <w:rFonts w:hint="default" w:ascii="Times New Roman" w:hAnsi="Times New Roman" w:eastAsia="宋体" w:cs="Times New Roman"/>
                <w:color w:val="auto"/>
              </w:rPr>
            </w:pPr>
            <w:r>
              <w:rPr>
                <w:rFonts w:hint="default" w:ascii="Times New Roman" w:hAnsi="Times New Roman" w:eastAsia="宋体" w:cs="Times New Roman"/>
                <w:color w:val="auto"/>
              </w:rPr>
              <w:t>根据生态环境部办公厅2020年12月24日印发&lt;建设项目环境影响报告表編制技术指南(污染影响类)(试行)》，当厂界外周边50米范围内存在声环境保护目标的建设项目，应监测保护目标声环境质量现状并评价达标情况。</w:t>
            </w:r>
          </w:p>
          <w:p w14:paraId="192FEFC1">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rPr>
              <w:t>本项目位于</w:t>
            </w:r>
            <w:r>
              <w:rPr>
                <w:rFonts w:hint="default" w:ascii="Times New Roman" w:hAnsi="Times New Roman" w:eastAsia="宋体" w:cs="Times New Roman"/>
                <w:color w:val="auto"/>
                <w:sz w:val="24"/>
                <w:szCs w:val="24"/>
                <w:lang w:eastAsia="zh-CN"/>
              </w:rPr>
              <w:t>福州市福清市江阴镇江阴港城经济区南部片区（福州密尔克卫供应链管理有限公司厂区内）</w:t>
            </w:r>
            <w:r>
              <w:rPr>
                <w:rFonts w:hint="default" w:ascii="Times New Roman" w:hAnsi="Times New Roman" w:eastAsia="宋体" w:cs="Times New Roman"/>
                <w:color w:val="auto"/>
              </w:rPr>
              <w:t>，项目所在区域声环境功能区划为</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类区</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且厂界周边50m</w:t>
            </w:r>
            <w:r>
              <w:rPr>
                <w:rFonts w:hint="default" w:ascii="Times New Roman" w:hAnsi="Times New Roman" w:eastAsia="宋体" w:cs="Times New Roman"/>
                <w:color w:val="auto"/>
                <w:highlight w:val="none"/>
              </w:rPr>
              <w:t>无声环境敏感目标，因此</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项目无需监测项目周边声环境。</w:t>
            </w:r>
          </w:p>
          <w:p w14:paraId="6F4F942A">
            <w:pPr>
              <w:adjustRightInd w:val="0"/>
              <w:snapToGrid w:val="0"/>
              <w:ind w:firstLine="0" w:firstLineChars="0"/>
              <w:outlineLvl w:val="2"/>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3.2.5土壤环境现状</w:t>
            </w:r>
          </w:p>
          <w:p w14:paraId="38AAD68F">
            <w:pPr>
              <w:pStyle w:val="81"/>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为了解项目土壤环境质量现状，</w:t>
            </w:r>
            <w:r>
              <w:rPr>
                <w:rFonts w:hint="default" w:ascii="Times New Roman" w:hAnsi="Times New Roman" w:eastAsia="宋体" w:cs="Times New Roman"/>
                <w:color w:val="auto"/>
                <w:highlight w:val="none"/>
                <w:lang w:val="en-US" w:eastAsia="zh-CN"/>
              </w:rPr>
              <w:t>根据福建华远</w:t>
            </w:r>
            <w:r>
              <w:rPr>
                <w:rFonts w:hint="default" w:ascii="Times New Roman" w:hAnsi="Times New Roman" w:eastAsia="宋体" w:cs="Times New Roman"/>
                <w:color w:val="auto"/>
                <w:highlight w:val="none"/>
                <w:lang w:eastAsia="zh-CN"/>
              </w:rPr>
              <w:t>检测有限公司对项目所在区域的土壤环境质量现状进行监测（采样日期：202</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eastAsia="zh-CN"/>
              </w:rPr>
              <w:t>年</w:t>
            </w:r>
            <w:r>
              <w:rPr>
                <w:rFonts w:hint="default" w:ascii="Times New Roman" w:hAnsi="Times New Roman" w:eastAsia="宋体" w:cs="Times New Roman"/>
                <w:color w:val="auto"/>
                <w:highlight w:val="none"/>
                <w:lang w:val="en-US" w:eastAsia="zh-CN"/>
              </w:rPr>
              <w:t>11</w:t>
            </w:r>
            <w:r>
              <w:rPr>
                <w:rFonts w:hint="default" w:ascii="Times New Roman" w:hAnsi="Times New Roman" w:eastAsia="宋体" w:cs="Times New Roman"/>
                <w:color w:val="auto"/>
                <w:highlight w:val="none"/>
                <w:lang w:eastAsia="zh-CN"/>
              </w:rPr>
              <w:t>月</w:t>
            </w:r>
            <w:r>
              <w:rPr>
                <w:rFonts w:hint="default" w:ascii="Times New Roman" w:hAnsi="Times New Roman" w:eastAsia="宋体" w:cs="Times New Roman"/>
                <w:color w:val="auto"/>
                <w:highlight w:val="none"/>
                <w:lang w:val="en-US" w:eastAsia="zh-CN"/>
              </w:rPr>
              <w:t>22</w:t>
            </w:r>
            <w:r>
              <w:rPr>
                <w:rFonts w:hint="default" w:ascii="Times New Roman" w:hAnsi="Times New Roman" w:eastAsia="宋体" w:cs="Times New Roman"/>
                <w:color w:val="auto"/>
                <w:highlight w:val="none"/>
                <w:lang w:eastAsia="zh-CN"/>
              </w:rPr>
              <w:t>日）</w:t>
            </w:r>
            <w:r>
              <w:rPr>
                <w:rFonts w:hint="default" w:ascii="Times New Roman" w:hAnsi="Times New Roman" w:eastAsia="宋体" w:cs="Times New Roman"/>
                <w:color w:val="auto"/>
                <w:highlight w:val="none"/>
                <w:lang w:val="en-US" w:eastAsia="zh-CN"/>
              </w:rPr>
              <w:t>。</w:t>
            </w:r>
          </w:p>
          <w:p w14:paraId="768D85B4">
            <w:pPr>
              <w:pStyle w:val="81"/>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（1）监测点位与监测项目</w:t>
            </w:r>
          </w:p>
          <w:p w14:paraId="5C8BFDFA">
            <w:pPr>
              <w:pStyle w:val="81"/>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在项目厂</w:t>
            </w:r>
            <w:r>
              <w:rPr>
                <w:rFonts w:hint="default" w:ascii="Times New Roman" w:hAnsi="Times New Roman" w:eastAsia="宋体" w:cs="Times New Roman"/>
                <w:color w:val="auto"/>
                <w:highlight w:val="none"/>
                <w:lang w:val="en-US" w:eastAsia="zh-CN"/>
              </w:rPr>
              <w:t>地</w:t>
            </w:r>
            <w:r>
              <w:rPr>
                <w:rFonts w:hint="default" w:ascii="Times New Roman" w:hAnsi="Times New Roman" w:eastAsia="宋体" w:cs="Times New Roman"/>
                <w:color w:val="auto"/>
                <w:highlight w:val="none"/>
                <w:lang w:eastAsia="zh-CN"/>
              </w:rPr>
              <w:t>内设</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eastAsia="zh-CN"/>
              </w:rPr>
              <w:t>个表层样点</w:t>
            </w:r>
            <w:r>
              <w:rPr>
                <w:rFonts w:hint="default" w:ascii="Times New Roman" w:hAnsi="Times New Roman" w:eastAsia="宋体" w:cs="Times New Roman"/>
                <w:color w:val="auto"/>
                <w:highlight w:val="none"/>
                <w:lang w:val="en-US" w:eastAsia="zh-CN"/>
              </w:rPr>
              <w:t>T1~T3</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点位布设情况详见图3.2-4。</w:t>
            </w:r>
          </w:p>
          <w:p w14:paraId="28F93960">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2C0CA301">
            <w:pPr>
              <w:pStyle w:val="532"/>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图3.2-4 土壤及补充地下水监测点位图</w:t>
            </w:r>
          </w:p>
          <w:p w14:paraId="33B72092">
            <w:pPr>
              <w:pStyle w:val="7"/>
              <w:adjustRightInd w:val="0"/>
              <w:snapToGrid w:val="0"/>
              <w:spacing w:before="12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（2）评价标准</w:t>
            </w:r>
          </w:p>
          <w:p w14:paraId="1AC67C79">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本次调查监测点位土壤因子执行《土壤环境质量 建设用地土壤污染风险管控标准（试行）》（GB36600-2018）中筛选值第二类用地标准。</w:t>
            </w:r>
          </w:p>
          <w:p w14:paraId="2F9D7762">
            <w:pPr>
              <w:pStyle w:val="7"/>
              <w:adjustRightInd w:val="0"/>
              <w:snapToGrid w:val="0"/>
              <w:spacing w:before="12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（3）监测与评价结果</w:t>
            </w:r>
          </w:p>
          <w:p w14:paraId="53BD5BF4">
            <w:pPr>
              <w:adjustRightInd w:val="0"/>
              <w:snapToGrid w:val="0"/>
              <w:ind w:firstLine="480"/>
              <w:rPr>
                <w:rFonts w:hint="default" w:ascii="Times New Roman" w:hAnsi="Times New Roman" w:eastAsia="宋体" w:cs="Times New Roman"/>
                <w:b/>
                <w:color w:val="auto"/>
                <w:szCs w:val="20"/>
              </w:rPr>
            </w:pPr>
            <w:bookmarkStart w:id="8" w:name="_Hlk530037442"/>
            <w:r>
              <w:rPr>
                <w:rFonts w:hint="default" w:ascii="Times New Roman" w:hAnsi="Times New Roman" w:eastAsia="宋体" w:cs="Times New Roman"/>
                <w:color w:val="auto"/>
              </w:rPr>
              <w:t>监测结果见下表</w:t>
            </w:r>
            <w:bookmarkEnd w:id="8"/>
            <w:r>
              <w:rPr>
                <w:rFonts w:hint="default" w:ascii="Times New Roman" w:hAnsi="Times New Roman" w:eastAsia="宋体" w:cs="Times New Roman"/>
                <w:color w:val="auto"/>
              </w:rPr>
              <w:t>。</w:t>
            </w:r>
          </w:p>
          <w:p w14:paraId="2C5E4F85">
            <w:pPr>
              <w:spacing w:line="240" w:lineRule="auto"/>
              <w:ind w:firstLine="0" w:firstLineChars="0"/>
              <w:jc w:val="center"/>
              <w:rPr>
                <w:rFonts w:hint="default" w:ascii="Times New Roman" w:hAnsi="Times New Roman" w:eastAsia="宋体" w:cs="Times New Roman"/>
                <w:b/>
                <w:color w:val="auto"/>
                <w:szCs w:val="20"/>
              </w:rPr>
            </w:pPr>
            <w:r>
              <w:rPr>
                <w:rFonts w:hint="default" w:ascii="Times New Roman" w:hAnsi="Times New Roman" w:eastAsia="宋体" w:cs="Times New Roman"/>
                <w:b/>
                <w:color w:val="auto"/>
                <w:szCs w:val="20"/>
              </w:rPr>
              <w:t>表3.2-</w:t>
            </w:r>
            <w:r>
              <w:rPr>
                <w:rFonts w:hint="default" w:ascii="Times New Roman" w:hAnsi="Times New Roman" w:eastAsia="宋体" w:cs="Times New Roman"/>
                <w:b/>
                <w:color w:val="auto"/>
                <w:szCs w:val="20"/>
                <w:lang w:val="en-US" w:eastAsia="zh-CN"/>
              </w:rPr>
              <w:t>9</w:t>
            </w:r>
            <w:r>
              <w:rPr>
                <w:rFonts w:hint="default" w:ascii="Times New Roman" w:hAnsi="Times New Roman" w:eastAsia="宋体" w:cs="Times New Roman"/>
                <w:b/>
                <w:color w:val="auto"/>
                <w:szCs w:val="20"/>
              </w:rPr>
              <w:t xml:space="preserve"> 土壤监测结果一览表</w:t>
            </w:r>
          </w:p>
          <w:p w14:paraId="381DBEF8">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3FA2F4F0">
            <w:pPr>
              <w:ind w:firstLine="0" w:firstLineChars="0"/>
              <w:jc w:val="left"/>
              <w:outlineLvl w:val="0"/>
              <w:rPr>
                <w:rFonts w:hint="default" w:ascii="Times New Roman" w:hAnsi="Times New Roman" w:eastAsia="宋体" w:cs="Times New Roman"/>
                <w:snapToGrid w:val="0"/>
                <w:color w:val="auto"/>
                <w:kern w:val="0"/>
                <w:sz w:val="24"/>
                <w:szCs w:val="21"/>
                <w:lang w:val="en-US" w:eastAsia="zh-CN"/>
              </w:rPr>
            </w:pPr>
            <w:r>
              <w:rPr>
                <w:rFonts w:hint="default" w:ascii="Times New Roman" w:hAnsi="Times New Roman" w:eastAsia="宋体" w:cs="Times New Roman"/>
                <w:snapToGrid w:val="0"/>
                <w:color w:val="auto"/>
                <w:kern w:val="0"/>
                <w:sz w:val="24"/>
                <w:szCs w:val="21"/>
                <w:lang w:val="en-US" w:eastAsia="zh-CN"/>
              </w:rPr>
              <w:t xml:space="preserve">  </w:t>
            </w:r>
          </w:p>
          <w:p w14:paraId="64DBF41A">
            <w:pPr>
              <w:jc w:val="left"/>
              <w:outlineLvl w:val="0"/>
              <w:rPr>
                <w:rFonts w:hint="default" w:ascii="Times New Roman" w:hAnsi="Times New Roman" w:eastAsia="宋体" w:cs="Times New Roman"/>
                <w:snapToGrid w:val="0"/>
                <w:color w:val="auto"/>
                <w:kern w:val="0"/>
                <w:sz w:val="24"/>
                <w:szCs w:val="21"/>
                <w:lang w:eastAsia="zh-CN"/>
              </w:rPr>
            </w:pPr>
            <w:r>
              <w:rPr>
                <w:rFonts w:hint="default" w:ascii="Times New Roman" w:hAnsi="Times New Roman" w:eastAsia="宋体" w:cs="Times New Roman"/>
                <w:snapToGrid w:val="0"/>
                <w:color w:val="auto"/>
                <w:kern w:val="0"/>
                <w:sz w:val="24"/>
                <w:szCs w:val="21"/>
              </w:rPr>
              <w:t>土壤环境质量现状监测结果表明：T1~T3点位土壤中各监测指标均低于《土壤环境质量 建设用地土壤污染风险管控标准（试行）》（GB36600-2018）中第二类用地土壤污染风险筛选值</w:t>
            </w:r>
            <w:r>
              <w:rPr>
                <w:rFonts w:hint="default" w:ascii="Times New Roman" w:hAnsi="Times New Roman" w:eastAsia="宋体" w:cs="Times New Roman"/>
                <w:snapToGrid w:val="0"/>
                <w:color w:val="auto"/>
                <w:kern w:val="0"/>
                <w:sz w:val="24"/>
                <w:szCs w:val="21"/>
                <w:lang w:eastAsia="zh-CN"/>
              </w:rPr>
              <w:t>。</w:t>
            </w:r>
          </w:p>
          <w:p w14:paraId="70630E6C">
            <w:pPr>
              <w:jc w:val="left"/>
              <w:outlineLvl w:val="0"/>
              <w:rPr>
                <w:rFonts w:hint="default" w:ascii="Times New Roman" w:hAnsi="Times New Roman" w:eastAsia="宋体" w:cs="Times New Roman"/>
                <w:snapToGrid w:val="0"/>
                <w:color w:val="auto"/>
                <w:kern w:val="0"/>
                <w:sz w:val="24"/>
                <w:szCs w:val="21"/>
                <w:lang w:eastAsia="zh-CN"/>
              </w:rPr>
            </w:pPr>
          </w:p>
        </w:tc>
      </w:tr>
    </w:tbl>
    <w:p w14:paraId="5BAF57F8">
      <w:pPr>
        <w:rPr>
          <w:rFonts w:hint="default" w:ascii="Times New Roman" w:hAnsi="Times New Roman" w:eastAsia="宋体" w:cs="Times New Roman"/>
          <w:color w:val="auto"/>
        </w:rPr>
        <w:sectPr>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26" w:charSpace="0"/>
        </w:sectPr>
      </w:pPr>
    </w:p>
    <w:tbl>
      <w:tblPr>
        <w:tblStyle w:val="48"/>
        <w:tblW w:w="95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8653"/>
      </w:tblGrid>
      <w:tr w14:paraId="4497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5A9A3559">
            <w:pPr>
              <w:adjustRightInd w:val="0"/>
              <w:snapToGrid w:val="0"/>
              <w:spacing w:line="240" w:lineRule="auto"/>
              <w:ind w:firstLine="0" w:firstLineChars="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环境</w:t>
            </w:r>
          </w:p>
          <w:p w14:paraId="0E0837D9">
            <w:pPr>
              <w:adjustRightInd w:val="0"/>
              <w:snapToGrid w:val="0"/>
              <w:spacing w:line="240" w:lineRule="auto"/>
              <w:ind w:firstLine="0" w:firstLineChars="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保护</w:t>
            </w:r>
          </w:p>
          <w:p w14:paraId="50159615">
            <w:pPr>
              <w:adjustRightInd w:val="0"/>
              <w:snapToGrid w:val="0"/>
              <w:spacing w:line="240" w:lineRule="auto"/>
              <w:ind w:firstLine="0" w:firstLineChars="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目标</w:t>
            </w:r>
          </w:p>
        </w:tc>
        <w:tc>
          <w:tcPr>
            <w:tcW w:w="8653" w:type="dxa"/>
            <w:noWrap w:val="0"/>
            <w:vAlign w:val="center"/>
          </w:tcPr>
          <w:p w14:paraId="182B35F2">
            <w:pPr>
              <w:pStyle w:val="6"/>
              <w:spacing w:before="120"/>
              <w:rPr>
                <w:rFonts w:hint="default" w:ascii="Times New Roman" w:hAnsi="Times New Roman" w:eastAsia="宋体" w:cs="Times New Roman"/>
                <w:color w:val="auto"/>
              </w:rPr>
            </w:pPr>
            <w:r>
              <w:rPr>
                <w:rFonts w:hint="default" w:ascii="Times New Roman" w:hAnsi="Times New Roman" w:eastAsia="宋体" w:cs="Times New Roman"/>
                <w:color w:val="auto"/>
              </w:rPr>
              <w:t>3.3环境保护目标</w:t>
            </w:r>
          </w:p>
          <w:p w14:paraId="7CD084A7">
            <w:pPr>
              <w:pStyle w:val="82"/>
              <w:ind w:firstLine="480"/>
              <w:rPr>
                <w:rFonts w:hint="default" w:ascii="Times New Roman" w:hAnsi="Times New Roman" w:eastAsia="宋体" w:cs="Times New Roman"/>
                <w:color w:val="auto"/>
              </w:rPr>
            </w:pPr>
            <w:bookmarkStart w:id="9" w:name="_Ref490128014"/>
            <w:r>
              <w:rPr>
                <w:rFonts w:hint="default" w:ascii="Times New Roman" w:hAnsi="Times New Roman" w:eastAsia="宋体" w:cs="Times New Roman"/>
                <w:color w:val="auto"/>
              </w:rPr>
              <w:t>本项目周边规划为江阴港区及工业区，评价区域</w:t>
            </w:r>
            <w:bookmarkStart w:id="10" w:name="_Hlk502094083"/>
            <w:r>
              <w:rPr>
                <w:rFonts w:hint="default" w:ascii="Times New Roman" w:hAnsi="Times New Roman" w:eastAsia="宋体" w:cs="Times New Roman"/>
                <w:color w:val="auto"/>
              </w:rPr>
              <w:t>环境风险保护目标主要为项目东部及东北部的屿南村、张厝村、岭兜村、钱塘村、下石村、何厝村等</w:t>
            </w:r>
            <w:bookmarkEnd w:id="10"/>
            <w:bookmarkStart w:id="11" w:name="_Hlk502094096"/>
            <w:bookmarkStart w:id="12" w:name="_Hlk499880811"/>
            <w:r>
              <w:rPr>
                <w:rFonts w:hint="default" w:ascii="Times New Roman" w:hAnsi="Times New Roman" w:eastAsia="宋体" w:cs="Times New Roman"/>
                <w:color w:val="auto"/>
              </w:rPr>
              <w:t>，项目边界外</w:t>
            </w:r>
            <w:r>
              <w:rPr>
                <w:rFonts w:hint="default" w:ascii="Times New Roman" w:hAnsi="Times New Roman" w:eastAsia="宋体" w:cs="Times New Roman"/>
                <w:color w:val="auto"/>
                <w:lang w:val="en-US" w:eastAsia="zh-CN"/>
              </w:rPr>
              <w:t>50</w:t>
            </w:r>
            <w:r>
              <w:rPr>
                <w:rFonts w:hint="default" w:ascii="Times New Roman" w:hAnsi="Times New Roman" w:eastAsia="宋体" w:cs="Times New Roman"/>
                <w:color w:val="auto"/>
              </w:rPr>
              <w:t>m范围内无声环境敏感目标</w:t>
            </w:r>
            <w:bookmarkEnd w:id="11"/>
            <w:bookmarkEnd w:id="12"/>
            <w:r>
              <w:rPr>
                <w:rFonts w:hint="default" w:ascii="Times New Roman" w:hAnsi="Times New Roman" w:eastAsia="宋体" w:cs="Times New Roman"/>
                <w:color w:val="auto"/>
              </w:rPr>
              <w:t>，最近大气环境敏感目标为屿南村（自然村），距离约为2</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00m；环境保护目标具体详见表</w:t>
            </w:r>
            <w:r>
              <w:rPr>
                <w:rFonts w:hint="default" w:ascii="Times New Roman" w:hAnsi="Times New Roman" w:eastAsia="宋体" w:cs="Times New Roman"/>
                <w:color w:val="auto"/>
                <w:lang w:val="en-US" w:eastAsia="zh-CN"/>
              </w:rPr>
              <w:t>3.3-1</w:t>
            </w:r>
            <w:r>
              <w:rPr>
                <w:rFonts w:hint="default" w:ascii="Times New Roman" w:hAnsi="Times New Roman" w:eastAsia="宋体" w:cs="Times New Roman"/>
                <w:color w:val="auto"/>
              </w:rPr>
              <w:t>所示。</w:t>
            </w:r>
          </w:p>
          <w:p w14:paraId="025E3A22">
            <w:pPr>
              <w:pStyle w:val="566"/>
              <w:rPr>
                <w:rFonts w:hint="default"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Times New Roman"/>
                <w:b/>
                <w:bCs/>
                <w:color w:val="auto"/>
                <w:kern w:val="0"/>
                <w:sz w:val="24"/>
                <w:szCs w:val="24"/>
                <w:lang w:val="en-US" w:eastAsia="zh-CN" w:bidi="ar-SA"/>
              </w:rPr>
              <w:t>表</w:t>
            </w:r>
            <w:bookmarkEnd w:id="9"/>
            <w:r>
              <w:rPr>
                <w:rFonts w:hint="default" w:ascii="Times New Roman" w:hAnsi="Times New Roman" w:eastAsia="宋体" w:cs="Times New Roman"/>
                <w:b/>
                <w:bCs/>
                <w:color w:val="auto"/>
                <w:kern w:val="0"/>
                <w:sz w:val="24"/>
                <w:szCs w:val="24"/>
                <w:lang w:val="en-US" w:eastAsia="zh-CN" w:bidi="ar-SA"/>
              </w:rPr>
              <w:t>3.3-1环境保护目标一览表</w:t>
            </w:r>
          </w:p>
          <w:p w14:paraId="403BA3D9">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26400181">
            <w:pPr>
              <w:pStyle w:val="585"/>
              <w:snapToGrid w:val="0"/>
              <w:spacing w:before="120" w:beforeLines="50" w:after="120" w:afterLines="50" w:line="360" w:lineRule="auto"/>
              <w:ind w:firstLine="480"/>
              <w:jc w:val="center"/>
              <w:outlineLvl w:val="1"/>
              <w:rPr>
                <w:rFonts w:hint="default" w:ascii="Times New Roman" w:hAnsi="Times New Roman" w:eastAsia="宋体" w:cs="Times New Roman"/>
                <w:color w:val="auto"/>
              </w:rPr>
            </w:pPr>
          </w:p>
        </w:tc>
      </w:tr>
      <w:tr w14:paraId="2319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6E003E6D">
            <w:pPr>
              <w:adjustRightInd w:val="0"/>
              <w:snapToGrid w:val="0"/>
              <w:spacing w:line="240" w:lineRule="auto"/>
              <w:ind w:firstLine="0" w:firstLineChars="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污染</w:t>
            </w:r>
          </w:p>
          <w:p w14:paraId="0FC16D99">
            <w:pPr>
              <w:adjustRightInd w:val="0"/>
              <w:snapToGrid w:val="0"/>
              <w:spacing w:line="240" w:lineRule="auto"/>
              <w:ind w:firstLine="0" w:firstLineChars="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物排</w:t>
            </w:r>
          </w:p>
          <w:p w14:paraId="53BC963A">
            <w:pPr>
              <w:adjustRightInd w:val="0"/>
              <w:snapToGrid w:val="0"/>
              <w:spacing w:line="240" w:lineRule="auto"/>
              <w:ind w:firstLine="0" w:firstLineChars="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放控</w:t>
            </w:r>
          </w:p>
          <w:p w14:paraId="1714E7D0">
            <w:pPr>
              <w:adjustRightInd w:val="0"/>
              <w:snapToGrid w:val="0"/>
              <w:spacing w:line="240" w:lineRule="auto"/>
              <w:ind w:firstLine="0" w:firstLineChars="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制标</w:t>
            </w:r>
          </w:p>
          <w:p w14:paraId="49565456">
            <w:pPr>
              <w:adjustRightInd w:val="0"/>
              <w:snapToGrid w:val="0"/>
              <w:spacing w:line="240" w:lineRule="auto"/>
              <w:ind w:firstLine="0" w:firstLineChars="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准</w:t>
            </w:r>
          </w:p>
        </w:tc>
        <w:tc>
          <w:tcPr>
            <w:tcW w:w="8653" w:type="dxa"/>
            <w:shd w:val="clear" w:color="auto" w:fill="auto"/>
            <w:noWrap w:val="0"/>
            <w:vAlign w:val="top"/>
          </w:tcPr>
          <w:p w14:paraId="3FF060C3">
            <w:pPr>
              <w:pStyle w:val="6"/>
              <w:spacing w:before="120" w:after="120"/>
              <w:jc w:val="both"/>
              <w:rPr>
                <w:rFonts w:hint="default" w:ascii="Times New Roman" w:hAnsi="Times New Roman" w:eastAsia="宋体" w:cs="Times New Roman"/>
                <w:color w:val="auto"/>
              </w:rPr>
            </w:pPr>
            <w:r>
              <w:rPr>
                <w:rFonts w:hint="default" w:ascii="Times New Roman" w:hAnsi="Times New Roman" w:eastAsia="宋体" w:cs="Times New Roman"/>
                <w:color w:val="auto"/>
              </w:rPr>
              <w:t>3.</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污染物排放控制标准</w:t>
            </w:r>
          </w:p>
          <w:p w14:paraId="0C5ADCF6">
            <w:pPr>
              <w:pStyle w:val="7"/>
              <w:spacing w:before="0" w:beforeLines="0" w:after="0" w:afterLines="0"/>
              <w:jc w:val="both"/>
              <w:rPr>
                <w:rFonts w:hint="default" w:ascii="Times New Roman" w:hAnsi="Times New Roman" w:eastAsia="宋体" w:cs="Times New Roman"/>
                <w:color w:val="auto"/>
              </w:rPr>
            </w:pPr>
            <w:r>
              <w:rPr>
                <w:rFonts w:hint="default" w:ascii="Times New Roman" w:hAnsi="Times New Roman" w:eastAsia="宋体" w:cs="Times New Roman"/>
                <w:color w:val="auto"/>
              </w:rPr>
              <w:t>3.</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.1废水</w:t>
            </w:r>
          </w:p>
          <w:p w14:paraId="272B8574">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3BC06636">
            <w:pPr>
              <w:pStyle w:val="7"/>
              <w:spacing w:before="0" w:beforeLines="0" w:after="0" w:afterLines="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3.4</w:t>
            </w:r>
            <w:r>
              <w:rPr>
                <w:rFonts w:hint="default" w:ascii="Times New Roman" w:hAnsi="Times New Roman" w:eastAsia="宋体" w:cs="Times New Roman"/>
                <w:color w:val="auto"/>
              </w:rPr>
              <w:t>.2废气</w:t>
            </w:r>
          </w:p>
          <w:p w14:paraId="7D48C57A">
            <w:pPr>
              <w:adjustRightInd w:val="0"/>
              <w:snapToGrid w:val="0"/>
              <w:ind w:firstLine="480"/>
              <w:rPr>
                <w:rFonts w:hint="default" w:ascii="Times New Roman" w:hAnsi="Times New Roman" w:eastAsia="宋体" w:cs="Times New Roman"/>
                <w:color w:val="auto"/>
                <w:szCs w:val="18"/>
              </w:rPr>
            </w:pPr>
            <w:r>
              <w:rPr>
                <w:rFonts w:hint="default" w:ascii="Times New Roman" w:hAnsi="Times New Roman" w:eastAsia="宋体" w:cs="Times New Roman"/>
                <w:color w:val="auto"/>
                <w:szCs w:val="18"/>
              </w:rPr>
              <w:t>（1）施工期</w:t>
            </w:r>
          </w:p>
          <w:p w14:paraId="70442100">
            <w:pPr>
              <w:pStyle w:val="572"/>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18"/>
                <w:lang w:val="en-US" w:eastAsia="zh-CN"/>
              </w:rPr>
              <w:t>施工期粉尘排放执行《大气污染物综合排放标准》（GB16297-1996）表2无组织排放监控浓度限值，即浓度为1.0mg/m³。</w:t>
            </w:r>
          </w:p>
          <w:p w14:paraId="4316B39D">
            <w:pPr>
              <w:adjustRightInd w:val="0"/>
              <w:snapToGrid w:val="0"/>
              <w:ind w:firstLine="480"/>
              <w:rPr>
                <w:rFonts w:hint="default" w:ascii="Times New Roman" w:hAnsi="Times New Roman" w:eastAsia="宋体" w:cs="Times New Roman"/>
                <w:color w:val="auto"/>
                <w:szCs w:val="18"/>
              </w:rPr>
            </w:pPr>
            <w:r>
              <w:rPr>
                <w:rFonts w:hint="default" w:ascii="Times New Roman" w:hAnsi="Times New Roman" w:eastAsia="宋体" w:cs="Times New Roman"/>
                <w:color w:val="auto"/>
                <w:szCs w:val="18"/>
              </w:rPr>
              <w:t>（2）运营期</w:t>
            </w:r>
          </w:p>
          <w:p w14:paraId="5DB42365">
            <w:pPr>
              <w:ind w:firstLine="48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kern w:val="0"/>
                <w:sz w:val="24"/>
                <w:szCs w:val="24"/>
                <w:highlight w:val="none"/>
                <w:lang w:val="en-US" w:eastAsia="zh-CN"/>
              </w:rPr>
              <w:t>项目运营期废气主要是</w:t>
            </w:r>
            <w:r>
              <w:rPr>
                <w:rFonts w:hint="eastAsia" w:ascii="Times New Roman" w:hAnsi="Times New Roman" w:eastAsia="宋体" w:cs="Times New Roman"/>
                <w:color w:val="auto"/>
                <w:kern w:val="0"/>
                <w:sz w:val="24"/>
                <w:szCs w:val="24"/>
                <w:highlight w:val="none"/>
                <w:lang w:val="en-US" w:eastAsia="zh-CN"/>
              </w:rPr>
              <w:t>分装、</w:t>
            </w:r>
            <w:r>
              <w:rPr>
                <w:rFonts w:hint="default" w:ascii="Times New Roman" w:hAnsi="Times New Roman" w:eastAsia="宋体" w:cs="Times New Roman"/>
                <w:color w:val="auto"/>
                <w:kern w:val="0"/>
                <w:sz w:val="24"/>
                <w:szCs w:val="24"/>
                <w:highlight w:val="none"/>
                <w:lang w:val="en-US" w:eastAsia="zh-CN"/>
              </w:rPr>
              <w:t>储罐产生的各类有机废气（以非甲烷总烃计）经</w:t>
            </w:r>
            <w:r>
              <w:rPr>
                <w:rFonts w:hint="eastAsia" w:ascii="Times New Roman" w:hAnsi="Times New Roman" w:eastAsia="宋体" w:cs="Times New Roman"/>
                <w:color w:val="auto"/>
                <w:kern w:val="0"/>
                <w:sz w:val="24"/>
                <w:szCs w:val="24"/>
                <w:highlight w:val="none"/>
                <w:lang w:val="en-US" w:eastAsia="zh-CN"/>
              </w:rPr>
              <w:t>“除雾+过滤棉+二级活性炭吸附装置（TS001）</w:t>
            </w:r>
            <w:r>
              <w:rPr>
                <w:rFonts w:hint="default" w:ascii="Times New Roman" w:hAnsi="Times New Roman" w:eastAsia="宋体" w:cs="Times New Roman"/>
                <w:color w:val="auto"/>
                <w:kern w:val="0"/>
                <w:sz w:val="24"/>
                <w:szCs w:val="24"/>
                <w:highlight w:val="none"/>
                <w:lang w:val="en-US" w:eastAsia="zh-CN"/>
              </w:rPr>
              <w:t>+15m排气筒</w:t>
            </w:r>
            <w:r>
              <w:rPr>
                <w:rFonts w:hint="eastAsia" w:ascii="Times New Roman" w:hAnsi="Times New Roman" w:eastAsia="宋体" w:cs="Times New Roman"/>
                <w:color w:val="auto"/>
                <w:kern w:val="0"/>
                <w:sz w:val="24"/>
                <w:szCs w:val="24"/>
                <w:highlight w:val="none"/>
                <w:lang w:val="en-US" w:eastAsia="zh-CN"/>
              </w:rPr>
              <w:t>DA001”排放</w:t>
            </w:r>
            <w:r>
              <w:rPr>
                <w:rFonts w:hint="default" w:ascii="Times New Roman" w:hAnsi="Times New Roman" w:eastAsia="宋体" w:cs="Times New Roman"/>
                <w:color w:val="auto"/>
                <w:kern w:val="0"/>
                <w:sz w:val="24"/>
                <w:szCs w:val="24"/>
                <w:highlight w:val="none"/>
                <w:lang w:val="en-US" w:eastAsia="zh-CN"/>
              </w:rPr>
              <w:t>；危废间收集废气经</w:t>
            </w:r>
            <w:r>
              <w:rPr>
                <w:rFonts w:hint="eastAsia" w:ascii="Times New Roman" w:hAnsi="Times New Roman" w:eastAsia="宋体" w:cs="Times New Roman"/>
                <w:color w:val="auto"/>
                <w:kern w:val="0"/>
                <w:sz w:val="24"/>
                <w:szCs w:val="24"/>
                <w:highlight w:val="none"/>
                <w:lang w:val="en-US" w:eastAsia="zh-CN"/>
              </w:rPr>
              <w:t>“活性炭吸附装置（TS002）</w:t>
            </w:r>
            <w:r>
              <w:rPr>
                <w:rFonts w:hint="default" w:ascii="Times New Roman" w:hAnsi="Times New Roman" w:eastAsia="宋体" w:cs="Times New Roman"/>
                <w:color w:val="auto"/>
                <w:kern w:val="0"/>
                <w:sz w:val="24"/>
                <w:szCs w:val="24"/>
                <w:highlight w:val="none"/>
                <w:lang w:val="en-US" w:eastAsia="zh-CN"/>
              </w:rPr>
              <w:t>+15m排气筒</w:t>
            </w:r>
            <w:r>
              <w:rPr>
                <w:rFonts w:hint="eastAsia" w:ascii="Times New Roman" w:hAnsi="Times New Roman" w:eastAsia="宋体" w:cs="Times New Roman"/>
                <w:color w:val="auto"/>
                <w:kern w:val="0"/>
                <w:sz w:val="24"/>
                <w:szCs w:val="24"/>
                <w:highlight w:val="none"/>
                <w:lang w:val="en-US" w:eastAsia="zh-CN"/>
              </w:rPr>
              <w:t>DA002”排放</w:t>
            </w:r>
            <w:r>
              <w:rPr>
                <w:rFonts w:hint="default"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洗罐车间废气经“二级活性炭吸附装置（TS003）</w:t>
            </w:r>
            <w:r>
              <w:rPr>
                <w:rFonts w:hint="default" w:ascii="Times New Roman" w:hAnsi="Times New Roman" w:eastAsia="宋体" w:cs="Times New Roman"/>
                <w:color w:val="auto"/>
                <w:kern w:val="0"/>
                <w:sz w:val="24"/>
                <w:szCs w:val="24"/>
                <w:highlight w:val="none"/>
                <w:lang w:val="en-US" w:eastAsia="zh-CN"/>
              </w:rPr>
              <w:t>+15m排气筒</w:t>
            </w:r>
            <w:r>
              <w:rPr>
                <w:rFonts w:hint="eastAsia" w:ascii="Times New Roman" w:hAnsi="Times New Roman" w:eastAsia="宋体" w:cs="Times New Roman"/>
                <w:color w:val="auto"/>
                <w:kern w:val="0"/>
                <w:sz w:val="24"/>
                <w:szCs w:val="24"/>
                <w:highlight w:val="none"/>
                <w:lang w:val="en-US" w:eastAsia="zh-CN"/>
              </w:rPr>
              <w:t>DA003”排放。</w:t>
            </w:r>
            <w:r>
              <w:rPr>
                <w:rFonts w:hint="default" w:ascii="Times New Roman" w:hAnsi="Times New Roman" w:eastAsia="宋体" w:cs="Times New Roman"/>
                <w:color w:val="auto"/>
              </w:rPr>
              <w:t>污水站产生的</w:t>
            </w:r>
            <w:r>
              <w:rPr>
                <w:rFonts w:hint="eastAsia" w:cs="Times New Roman"/>
                <w:color w:val="auto"/>
                <w:lang w:val="en-US" w:eastAsia="zh-CN"/>
              </w:rPr>
              <w:t>无组织</w:t>
            </w:r>
            <w:r>
              <w:rPr>
                <w:rFonts w:hint="default" w:ascii="Times New Roman" w:hAnsi="Times New Roman" w:eastAsia="宋体" w:cs="Times New Roman"/>
                <w:color w:val="auto"/>
                <w:lang w:val="en-US" w:eastAsia="zh-CN"/>
              </w:rPr>
              <w:t>臭气</w:t>
            </w:r>
            <w:r>
              <w:rPr>
                <w:rFonts w:hint="default" w:ascii="Times New Roman" w:hAnsi="Times New Roman" w:eastAsia="宋体" w:cs="Times New Roman"/>
                <w:color w:val="auto"/>
              </w:rPr>
              <w:t>执行《恶臭污染物排放标准》（GB-14554-93）</w:t>
            </w:r>
            <w:r>
              <w:rPr>
                <w:rFonts w:hint="default" w:ascii="Times New Roman" w:hAnsi="Times New Roman" w:eastAsia="宋体" w:cs="Times New Roman"/>
                <w:color w:val="auto"/>
                <w:lang w:val="en-US" w:eastAsia="zh-CN"/>
              </w:rPr>
              <w:t>表1中二级-新扩改建标准限值</w:t>
            </w:r>
            <w:r>
              <w:rPr>
                <w:rFonts w:hint="eastAsia" w:cs="Times New Roman"/>
                <w:color w:val="auto"/>
                <w:lang w:val="en-US" w:eastAsia="zh-CN"/>
              </w:rPr>
              <w:t>，其余废气执行情况见下表</w:t>
            </w:r>
            <w:r>
              <w:rPr>
                <w:rFonts w:hint="default" w:ascii="Times New Roman" w:hAnsi="Times New Roman" w:eastAsia="宋体" w:cs="Times New Roman"/>
                <w:color w:val="auto"/>
              </w:rPr>
              <w:t>。</w:t>
            </w:r>
          </w:p>
          <w:p w14:paraId="14ADA80D">
            <w:pPr>
              <w:ind w:firstLine="480"/>
              <w:jc w:val="both"/>
              <w:rPr>
                <w:rFonts w:hint="default" w:ascii="Times New Roman" w:hAnsi="Times New Roman" w:eastAsia="宋体" w:cs="Times New Roman"/>
                <w:color w:val="auto"/>
                <w:kern w:val="0"/>
                <w:lang w:eastAsia="zh-CN"/>
              </w:rPr>
            </w:pPr>
            <w:r>
              <w:rPr>
                <w:rFonts w:hint="default" w:ascii="Times New Roman" w:hAnsi="Times New Roman" w:eastAsia="宋体" w:cs="Times New Roman"/>
                <w:color w:val="auto"/>
              </w:rPr>
              <w:t>厂区内NMHC执行《</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"https://www.baidu.com/link?url=EnllisTW6Fmdv1QI6FsVGoXYE0plB-6Lz81kLeMQVflWirnIQH_r-ewwkIFZeqieyG4xoT2gbOM7ffoSur7Cfn0XRXo1zHDhKj0Htz5nmupwulZYO-i9aBkiscfA6s9Q&amp;wd=&amp;eqid=b59b7b1c000e12df000000066163f177" \t "_blank"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挥发性有机物无组织排放控制标准》（GB37822-2019）</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中表A.1特别排放限值要求。</w:t>
            </w:r>
            <w:r>
              <w:rPr>
                <w:rFonts w:hint="default" w:ascii="Times New Roman" w:hAnsi="Times New Roman" w:eastAsia="宋体" w:cs="Times New Roman"/>
                <w:color w:val="auto"/>
                <w:shd w:val="clear" w:color="auto" w:fill="auto"/>
              </w:rPr>
              <w:t>（监控点处1h平均浓度值≤6.0mg/</w:t>
            </w:r>
            <w:r>
              <w:rPr>
                <w:rFonts w:hint="default" w:ascii="Times New Roman" w:hAnsi="Times New Roman" w:eastAsia="宋体" w:cs="Times New Roman"/>
                <w:color w:val="auto"/>
                <w:shd w:val="clear" w:color="auto" w:fill="auto"/>
                <w:lang w:eastAsia="zh-CN"/>
              </w:rPr>
              <w:t>m³</w:t>
            </w:r>
            <w:r>
              <w:rPr>
                <w:rFonts w:hint="default" w:ascii="Times New Roman" w:hAnsi="Times New Roman" w:eastAsia="宋体" w:cs="Times New Roman"/>
                <w:color w:val="auto"/>
                <w:shd w:val="clear" w:color="auto" w:fill="auto"/>
              </w:rPr>
              <w:t>，监控点处任意一次浓度值≤</w:t>
            </w:r>
            <w:r>
              <w:rPr>
                <w:rFonts w:hint="default" w:ascii="Times New Roman" w:hAnsi="Times New Roman" w:eastAsia="宋体" w:cs="Times New Roman"/>
                <w:color w:val="auto"/>
                <w:shd w:val="clear" w:color="auto" w:fill="auto"/>
                <w:lang w:val="en-US" w:eastAsia="zh-CN"/>
              </w:rPr>
              <w:t>2</w:t>
            </w:r>
            <w:r>
              <w:rPr>
                <w:rFonts w:hint="default" w:ascii="Times New Roman" w:hAnsi="Times New Roman" w:eastAsia="宋体" w:cs="Times New Roman"/>
                <w:color w:val="auto"/>
                <w:shd w:val="clear" w:color="auto" w:fill="auto"/>
              </w:rPr>
              <w:t>0.0mg/</w:t>
            </w:r>
            <w:r>
              <w:rPr>
                <w:rFonts w:hint="default" w:ascii="Times New Roman" w:hAnsi="Times New Roman" w:eastAsia="宋体" w:cs="Times New Roman"/>
                <w:color w:val="auto"/>
                <w:shd w:val="clear" w:color="auto" w:fill="auto"/>
                <w:lang w:eastAsia="zh-CN"/>
              </w:rPr>
              <w:t>m³</w:t>
            </w:r>
            <w:r>
              <w:rPr>
                <w:rFonts w:hint="default" w:ascii="Times New Roman" w:hAnsi="Times New Roman" w:eastAsia="宋体" w:cs="Times New Roman"/>
                <w:color w:val="auto"/>
                <w:shd w:val="clear" w:color="auto" w:fill="auto"/>
              </w:rPr>
              <w:t>）</w:t>
            </w:r>
            <w:r>
              <w:rPr>
                <w:rFonts w:hint="default" w:ascii="Times New Roman" w:hAnsi="Times New Roman" w:eastAsia="宋体" w:cs="Times New Roman"/>
                <w:color w:val="auto"/>
                <w:shd w:val="clear" w:color="auto" w:fill="auto"/>
                <w:lang w:eastAsia="zh-CN"/>
              </w:rPr>
              <w:t>。</w:t>
            </w:r>
          </w:p>
          <w:p w14:paraId="03787DEB">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1AE59EB7">
            <w:pPr>
              <w:widowControl w:val="0"/>
              <w:spacing w:before="0" w:beforeAutospacing="0" w:after="0" w:afterAutospacing="0" w:line="360" w:lineRule="auto"/>
              <w:jc w:val="center"/>
              <w:rPr>
                <w:rFonts w:hint="default"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Times New Roman"/>
                <w:b/>
                <w:bCs/>
                <w:color w:val="auto"/>
                <w:kern w:val="0"/>
                <w:sz w:val="24"/>
                <w:szCs w:val="24"/>
                <w:lang w:val="en-US" w:eastAsia="zh-CN" w:bidi="ar-SA"/>
              </w:rPr>
              <w:t>表3.4-4 废气无组织排放控制要求</w:t>
            </w:r>
          </w:p>
          <w:p w14:paraId="67899047">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6CF52AAC">
            <w:pPr>
              <w:pStyle w:val="547"/>
              <w:ind w:firstLine="480"/>
              <w:jc w:val="center"/>
              <w:rPr>
                <w:rFonts w:hint="default" w:ascii="Times New Roman" w:hAnsi="Times New Roman" w:eastAsia="宋体" w:cs="Times New Roman"/>
                <w:b/>
                <w:bCs/>
                <w:color w:val="auto"/>
                <w:szCs w:val="28"/>
                <w:lang w:val="en-US" w:bidi="ar-SA"/>
              </w:rPr>
            </w:pPr>
          </w:p>
          <w:p w14:paraId="4718CB27">
            <w:pPr>
              <w:pStyle w:val="7"/>
              <w:spacing w:before="0" w:beforeLines="0" w:after="0" w:afterLines="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3.4</w:t>
            </w:r>
            <w:r>
              <w:rPr>
                <w:rFonts w:hint="default" w:ascii="Times New Roman" w:hAnsi="Times New Roman" w:eastAsia="宋体" w:cs="Times New Roman"/>
                <w:color w:val="auto"/>
              </w:rPr>
              <w:t>.3噪声</w:t>
            </w:r>
          </w:p>
          <w:p w14:paraId="589668B2">
            <w:pPr>
              <w:pStyle w:val="572"/>
              <w:ind w:firstLine="480"/>
              <w:rPr>
                <w:rFonts w:hint="default" w:ascii="Times New Roman" w:hAnsi="Times New Roman" w:eastAsia="宋体" w:cs="Times New Roman"/>
                <w:snapToGrid w:val="0"/>
                <w:color w:val="auto"/>
                <w:lang w:val="en-US" w:eastAsia="zh-CN"/>
              </w:rPr>
            </w:pPr>
            <w:r>
              <w:rPr>
                <w:rFonts w:hint="default" w:ascii="Times New Roman" w:hAnsi="Times New Roman" w:eastAsia="宋体" w:cs="Times New Roman"/>
                <w:snapToGrid w:val="0"/>
                <w:color w:val="auto"/>
                <w:lang w:val="en-US" w:eastAsia="zh-CN"/>
              </w:rPr>
              <w:t>（1）施工期：项目施工期场界噪声执行《建筑施工场界环境噪声排放标准》（GB12523-2011）。</w:t>
            </w:r>
          </w:p>
          <w:p w14:paraId="6425BC25">
            <w:pPr>
              <w:pStyle w:val="572"/>
              <w:ind w:firstLine="480"/>
              <w:rPr>
                <w:rFonts w:hint="default" w:ascii="Times New Roman" w:hAnsi="Times New Roman" w:eastAsia="宋体" w:cs="Times New Roman"/>
                <w:snapToGrid w:val="0"/>
                <w:color w:val="auto"/>
                <w:kern w:val="0"/>
                <w:lang w:val="en-US" w:eastAsia="zh-CN"/>
              </w:rPr>
            </w:pPr>
            <w:r>
              <w:rPr>
                <w:rFonts w:hint="default" w:ascii="Times New Roman" w:hAnsi="Times New Roman" w:eastAsia="宋体" w:cs="Times New Roman"/>
                <w:snapToGrid w:val="0"/>
                <w:color w:val="auto"/>
                <w:kern w:val="0"/>
                <w:lang w:val="en-US" w:eastAsia="zh-CN"/>
              </w:rPr>
              <w:t>（2）运营期：项目厂界噪声执行《工业企业厂界环境噪声排放标准》（GB12348-2008）中3类标准。</w:t>
            </w:r>
          </w:p>
          <w:p w14:paraId="65C738EF">
            <w:pPr>
              <w:spacing w:line="240" w:lineRule="auto"/>
              <w:ind w:firstLine="0" w:firstLineChars="0"/>
              <w:jc w:val="center"/>
              <w:rPr>
                <w:rFonts w:hint="default" w:ascii="Times New Roman" w:hAnsi="Times New Roman" w:eastAsia="宋体" w:cs="Times New Roman"/>
                <w:b/>
                <w:color w:val="auto"/>
                <w:szCs w:val="20"/>
              </w:rPr>
            </w:pPr>
            <w:r>
              <w:rPr>
                <w:rFonts w:hint="default" w:ascii="Times New Roman" w:hAnsi="Times New Roman" w:eastAsia="宋体" w:cs="Times New Roman"/>
                <w:b/>
                <w:color w:val="auto"/>
                <w:szCs w:val="20"/>
              </w:rPr>
              <w:t>表</w:t>
            </w:r>
            <w:r>
              <w:rPr>
                <w:rFonts w:hint="default" w:ascii="Times New Roman" w:hAnsi="Times New Roman" w:eastAsia="宋体" w:cs="Times New Roman"/>
                <w:b/>
                <w:color w:val="auto"/>
                <w:szCs w:val="20"/>
                <w:lang w:eastAsia="zh-CN"/>
              </w:rPr>
              <w:t>3.4</w:t>
            </w:r>
            <w:r>
              <w:rPr>
                <w:rFonts w:hint="default" w:ascii="Times New Roman" w:hAnsi="Times New Roman" w:eastAsia="宋体" w:cs="Times New Roman"/>
                <w:b/>
                <w:color w:val="auto"/>
                <w:szCs w:val="20"/>
              </w:rPr>
              <w:t>-3  建筑施工场界环境噪声排放限值单位：dB（A）</w:t>
            </w:r>
          </w:p>
          <w:tbl>
            <w:tblPr>
              <w:tblStyle w:val="4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218"/>
              <w:gridCol w:w="4219"/>
            </w:tblGrid>
            <w:tr w14:paraId="55630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00" w:type="pct"/>
                  <w:noWrap w:val="0"/>
                  <w:vAlign w:val="center"/>
                </w:tcPr>
                <w:p w14:paraId="3E666168">
                  <w:pPr>
                    <w:tabs>
                      <w:tab w:val="left" w:pos="0"/>
                    </w:tabs>
                    <w:adjustRightInd w:val="0"/>
                    <w:snapToGrid w:val="0"/>
                    <w:spacing w:line="240" w:lineRule="auto"/>
                    <w:ind w:firstLine="0" w:firstLineChars="0"/>
                    <w:jc w:val="center"/>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昼间</w:t>
                  </w:r>
                </w:p>
              </w:tc>
              <w:tc>
                <w:tcPr>
                  <w:tcW w:w="2500" w:type="pct"/>
                  <w:noWrap w:val="0"/>
                  <w:vAlign w:val="center"/>
                </w:tcPr>
                <w:p w14:paraId="071CE66E">
                  <w:pPr>
                    <w:tabs>
                      <w:tab w:val="left" w:pos="0"/>
                    </w:tabs>
                    <w:adjustRightInd w:val="0"/>
                    <w:snapToGrid w:val="0"/>
                    <w:spacing w:line="240" w:lineRule="auto"/>
                    <w:ind w:firstLine="0" w:firstLineChars="0"/>
                    <w:jc w:val="center"/>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夜间</w:t>
                  </w:r>
                </w:p>
              </w:tc>
            </w:tr>
            <w:tr w14:paraId="7C39A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00" w:type="pct"/>
                  <w:noWrap w:val="0"/>
                  <w:vAlign w:val="center"/>
                </w:tcPr>
                <w:p w14:paraId="5DAC564E">
                  <w:pPr>
                    <w:tabs>
                      <w:tab w:val="left" w:pos="0"/>
                    </w:tabs>
                    <w:adjustRightInd w:val="0"/>
                    <w:snapToGrid w:val="0"/>
                    <w:spacing w:line="240" w:lineRule="auto"/>
                    <w:ind w:firstLine="0" w:firstLineChars="0"/>
                    <w:jc w:val="center"/>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70</w:t>
                  </w:r>
                </w:p>
              </w:tc>
              <w:tc>
                <w:tcPr>
                  <w:tcW w:w="2500" w:type="pct"/>
                  <w:noWrap w:val="0"/>
                  <w:vAlign w:val="center"/>
                </w:tcPr>
                <w:p w14:paraId="289BCC14">
                  <w:pPr>
                    <w:tabs>
                      <w:tab w:val="left" w:pos="0"/>
                    </w:tabs>
                    <w:adjustRightInd w:val="0"/>
                    <w:snapToGrid w:val="0"/>
                    <w:spacing w:line="240" w:lineRule="auto"/>
                    <w:ind w:firstLine="0" w:firstLineChars="0"/>
                    <w:jc w:val="center"/>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55</w:t>
                  </w:r>
                </w:p>
              </w:tc>
            </w:tr>
          </w:tbl>
          <w:p w14:paraId="6AE62BF0">
            <w:pPr>
              <w:spacing w:line="240" w:lineRule="auto"/>
              <w:ind w:firstLine="0" w:firstLineChars="0"/>
              <w:jc w:val="center"/>
              <w:rPr>
                <w:rFonts w:hint="default" w:ascii="Times New Roman" w:hAnsi="Times New Roman" w:eastAsia="宋体" w:cs="Times New Roman"/>
                <w:b/>
                <w:color w:val="auto"/>
                <w:szCs w:val="20"/>
              </w:rPr>
            </w:pPr>
            <w:r>
              <w:rPr>
                <w:rFonts w:hint="default" w:ascii="Times New Roman" w:hAnsi="Times New Roman" w:eastAsia="宋体" w:cs="Times New Roman"/>
                <w:b/>
                <w:color w:val="auto"/>
                <w:szCs w:val="20"/>
              </w:rPr>
              <w:t>表</w:t>
            </w:r>
            <w:r>
              <w:rPr>
                <w:rFonts w:hint="default" w:ascii="Times New Roman" w:hAnsi="Times New Roman" w:eastAsia="宋体" w:cs="Times New Roman"/>
                <w:b/>
                <w:color w:val="auto"/>
                <w:szCs w:val="20"/>
                <w:lang w:eastAsia="zh-CN"/>
              </w:rPr>
              <w:t>3.4</w:t>
            </w:r>
            <w:r>
              <w:rPr>
                <w:rFonts w:hint="default" w:ascii="Times New Roman" w:hAnsi="Times New Roman" w:eastAsia="宋体" w:cs="Times New Roman"/>
                <w:b/>
                <w:color w:val="auto"/>
                <w:szCs w:val="20"/>
              </w:rPr>
              <w:t>-4 工业企业厂界环境噪声排放标准单位：dB</w:t>
            </w:r>
          </w:p>
          <w:tbl>
            <w:tblPr>
              <w:tblStyle w:val="4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811"/>
              <w:gridCol w:w="2813"/>
              <w:gridCol w:w="2813"/>
            </w:tblGrid>
            <w:tr w14:paraId="745A5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666" w:type="pct"/>
                  <w:noWrap w:val="0"/>
                  <w:vAlign w:val="center"/>
                </w:tcPr>
                <w:p w14:paraId="41394587">
                  <w:pPr>
                    <w:tabs>
                      <w:tab w:val="left" w:pos="0"/>
                    </w:tabs>
                    <w:adjustRightInd w:val="0"/>
                    <w:snapToGrid w:val="0"/>
                    <w:spacing w:line="240" w:lineRule="auto"/>
                    <w:ind w:firstLine="0" w:firstLineChars="0"/>
                    <w:jc w:val="center"/>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厂界外声环境功能区类别</w:t>
                  </w:r>
                </w:p>
              </w:tc>
              <w:tc>
                <w:tcPr>
                  <w:tcW w:w="1667" w:type="pct"/>
                  <w:noWrap w:val="0"/>
                  <w:vAlign w:val="center"/>
                </w:tcPr>
                <w:p w14:paraId="15CDA972">
                  <w:pPr>
                    <w:tabs>
                      <w:tab w:val="left" w:pos="0"/>
                    </w:tabs>
                    <w:adjustRightInd w:val="0"/>
                    <w:snapToGrid w:val="0"/>
                    <w:spacing w:line="240" w:lineRule="auto"/>
                    <w:ind w:firstLine="0" w:firstLineChars="0"/>
                    <w:jc w:val="center"/>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昼间</w:t>
                  </w:r>
                </w:p>
              </w:tc>
              <w:tc>
                <w:tcPr>
                  <w:tcW w:w="1667" w:type="pct"/>
                  <w:noWrap w:val="0"/>
                  <w:vAlign w:val="center"/>
                </w:tcPr>
                <w:p w14:paraId="3DB97AE0">
                  <w:pPr>
                    <w:tabs>
                      <w:tab w:val="left" w:pos="0"/>
                    </w:tabs>
                    <w:adjustRightInd w:val="0"/>
                    <w:snapToGrid w:val="0"/>
                    <w:spacing w:line="240" w:lineRule="auto"/>
                    <w:ind w:firstLine="0" w:firstLineChars="0"/>
                    <w:jc w:val="center"/>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夜间</w:t>
                  </w:r>
                </w:p>
              </w:tc>
            </w:tr>
            <w:tr w14:paraId="67CB8A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666" w:type="pct"/>
                  <w:noWrap w:val="0"/>
                  <w:vAlign w:val="center"/>
                </w:tcPr>
                <w:p w14:paraId="71260931">
                  <w:pPr>
                    <w:pStyle w:val="582"/>
                    <w:adjustRightInd w:val="0"/>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3</w:t>
                  </w:r>
                </w:p>
              </w:tc>
              <w:tc>
                <w:tcPr>
                  <w:tcW w:w="1667" w:type="pct"/>
                  <w:noWrap w:val="0"/>
                  <w:vAlign w:val="center"/>
                </w:tcPr>
                <w:p w14:paraId="6147554D">
                  <w:pPr>
                    <w:pStyle w:val="582"/>
                    <w:adjustRightInd w:val="0"/>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65</w:t>
                  </w:r>
                </w:p>
              </w:tc>
              <w:tc>
                <w:tcPr>
                  <w:tcW w:w="1667" w:type="pct"/>
                  <w:noWrap w:val="0"/>
                  <w:vAlign w:val="center"/>
                </w:tcPr>
                <w:p w14:paraId="24E1B5AC">
                  <w:pPr>
                    <w:pStyle w:val="582"/>
                    <w:adjustRightInd w:val="0"/>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55</w:t>
                  </w:r>
                </w:p>
              </w:tc>
            </w:tr>
          </w:tbl>
          <w:p w14:paraId="271A503B">
            <w:pPr>
              <w:pStyle w:val="539"/>
              <w:jc w:val="both"/>
              <w:rPr>
                <w:rFonts w:hint="default" w:ascii="Times New Roman" w:hAnsi="Times New Roman" w:eastAsia="宋体" w:cs="Times New Roman"/>
                <w:b/>
                <w:bCs/>
                <w:snapToGrid w:val="0"/>
                <w:color w:val="auto"/>
                <w:kern w:val="0"/>
                <w:szCs w:val="24"/>
                <w:lang w:val="en-US"/>
              </w:rPr>
            </w:pPr>
            <w:r>
              <w:rPr>
                <w:rFonts w:hint="default" w:ascii="Times New Roman" w:hAnsi="Times New Roman" w:eastAsia="宋体" w:cs="Times New Roman"/>
                <w:b/>
                <w:bCs/>
                <w:snapToGrid w:val="0"/>
                <w:color w:val="auto"/>
                <w:kern w:val="0"/>
                <w:szCs w:val="24"/>
                <w:lang w:val="en-US" w:eastAsia="zh-CN"/>
              </w:rPr>
              <w:t>3.4</w:t>
            </w:r>
            <w:r>
              <w:rPr>
                <w:rFonts w:hint="default" w:ascii="Times New Roman" w:hAnsi="Times New Roman" w:eastAsia="宋体" w:cs="Times New Roman"/>
                <w:b/>
                <w:bCs/>
                <w:snapToGrid w:val="0"/>
                <w:color w:val="auto"/>
                <w:kern w:val="0"/>
                <w:szCs w:val="24"/>
                <w:lang w:val="en-US"/>
              </w:rPr>
              <w:t>.4固体废物</w:t>
            </w:r>
          </w:p>
          <w:p w14:paraId="53160E6F">
            <w:pPr>
              <w:ind w:firstLine="480" w:firstLineChars="200"/>
              <w:jc w:val="both"/>
              <w:rPr>
                <w:rFonts w:hint="default" w:ascii="Times New Roman" w:hAnsi="Times New Roman" w:eastAsia="宋体" w:cs="Times New Roman"/>
                <w:color w:val="auto"/>
                <w:kern w:val="2"/>
                <w:sz w:val="24"/>
                <w:lang w:val="en-US" w:eastAsia="zh-CN" w:bidi="ar-SA"/>
              </w:rPr>
            </w:pPr>
            <w:r>
              <w:rPr>
                <w:rFonts w:hint="default" w:ascii="Times New Roman" w:hAnsi="Times New Roman" w:eastAsia="宋体" w:cs="Times New Roman"/>
                <w:color w:val="auto"/>
              </w:rPr>
              <w:t>项目运营期间一般固体废物贮存、处置执行《一般工业固体废物贮存和填埋污染控制标准》（GB18599-2020）（生态环境部公告2020年第65号）；危险废物执行《危险废物贮存污染控制标准》（GB18597-2023）相关规定。</w:t>
            </w:r>
          </w:p>
        </w:tc>
      </w:tr>
      <w:tr w14:paraId="2F8DF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top"/>
          </w:tcPr>
          <w:p w14:paraId="60B39FE8">
            <w:pPr>
              <w:adjustRightInd w:val="0"/>
              <w:snapToGrid w:val="0"/>
              <w:ind w:left="0" w:leftChars="0" w:firstLine="0" w:firstLineChars="0"/>
              <w:jc w:val="both"/>
              <w:rPr>
                <w:rFonts w:hint="default" w:ascii="Times New Roman" w:hAnsi="Times New Roman" w:eastAsia="宋体" w:cs="Times New Roman"/>
                <w:color w:val="auto"/>
              </w:rPr>
            </w:pPr>
            <w:r>
              <w:rPr>
                <w:rFonts w:hint="default" w:ascii="Times New Roman" w:hAnsi="Times New Roman" w:eastAsia="宋体" w:cs="Times New Roman"/>
                <w:color w:val="auto"/>
                <w:kern w:val="0"/>
                <w:szCs w:val="21"/>
              </w:rPr>
              <w:t>总总量控制指标</w:t>
            </w:r>
          </w:p>
        </w:tc>
        <w:tc>
          <w:tcPr>
            <w:tcW w:w="8653" w:type="dxa"/>
            <w:noWrap w:val="0"/>
            <w:vAlign w:val="center"/>
          </w:tcPr>
          <w:p w14:paraId="7FDE6B94">
            <w:pPr>
              <w:pStyle w:val="6"/>
              <w:spacing w:before="120" w:after="12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3.5 污染物总量控制指标</w:t>
            </w:r>
          </w:p>
          <w:p w14:paraId="63169359">
            <w:pPr>
              <w:pStyle w:val="112"/>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福建省人民政府关于印发福建省“十三五”节能减排综合性工作方案的通知》（闽政[2017]29号）及《福建省环保局关于做好建设项目环保审批污染物总量控制有关工作的通知》（闽环保监[2007]52号），福建省主要污染物排放总量指标包括COD、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、NOx。</w:t>
            </w:r>
          </w:p>
          <w:p w14:paraId="5EACB210">
            <w:pPr>
              <w:pStyle w:val="7"/>
              <w:spacing w:before="120" w:after="12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3.5.</w:t>
            </w:r>
            <w:r>
              <w:rPr>
                <w:rFonts w:hint="default" w:ascii="Times New Roman" w:hAnsi="Times New Roman" w:eastAsia="宋体" w:cs="Times New Roman"/>
                <w:color w:val="auto"/>
                <w:highlight w:val="none"/>
              </w:rPr>
              <w:t>1</w:t>
            </w:r>
            <w:r>
              <w:rPr>
                <w:rFonts w:hint="default" w:ascii="Times New Roman" w:hAnsi="Times New Roman" w:eastAsia="宋体" w:cs="Times New Roman"/>
                <w:color w:val="auto"/>
                <w:highlight w:val="none"/>
                <w:lang w:val="en-US" w:eastAsia="zh-CN"/>
              </w:rPr>
              <w:t>废水</w:t>
            </w:r>
          </w:p>
          <w:p w14:paraId="68E589A2">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本项目生产和生活废水各自经污水处理设施处理，达到江阴工业集中区污水处理厂纳管标准后，排入江阴工业集中区污水处理厂进一步</w:t>
            </w:r>
            <w:r>
              <w:rPr>
                <w:rFonts w:hint="default" w:ascii="Times New Roman" w:hAnsi="Times New Roman" w:eastAsia="宋体" w:cs="Times New Roman"/>
                <w:color w:val="auto"/>
                <w:kern w:val="0"/>
                <w:sz w:val="24"/>
                <w:szCs w:val="24"/>
                <w:highlight w:val="none"/>
                <w:lang w:val="en-US" w:eastAsia="zh-CN" w:bidi="ar"/>
              </w:rPr>
              <w:t>深度处理后达标排放。</w:t>
            </w:r>
            <w:r>
              <w:rPr>
                <w:rFonts w:hint="default" w:ascii="Times New Roman" w:hAnsi="Times New Roman" w:eastAsia="宋体" w:cs="Times New Roman"/>
                <w:color w:val="auto"/>
                <w:kern w:val="2"/>
                <w:sz w:val="24"/>
                <w:szCs w:val="24"/>
                <w:highlight w:val="none"/>
                <w:lang w:val="en-US" w:eastAsia="zh-CN" w:bidi="ar-SA"/>
              </w:rPr>
              <w:t>排放废水达到《城镇污水处理厂污染物排放标准》（GB18918-2002）表1一级A标准浓度限值，由江阴工业</w:t>
            </w:r>
            <w:r>
              <w:rPr>
                <w:rFonts w:hint="default" w:ascii="Times New Roman" w:hAnsi="Times New Roman" w:eastAsia="宋体" w:cs="Times New Roman"/>
                <w:color w:val="auto"/>
                <w:highlight w:val="none"/>
                <w:lang w:val="en-US" w:eastAsia="zh-CN"/>
              </w:rPr>
              <w:t>集中区污水处理厂已建排海管道排海。</w:t>
            </w:r>
          </w:p>
          <w:p w14:paraId="00A6C418">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COD、NH</w:t>
            </w:r>
            <w:r>
              <w:rPr>
                <w:rFonts w:hint="default" w:ascii="Times New Roman" w:hAnsi="Times New Roman" w:eastAsia="宋体" w:cs="Times New Roman"/>
                <w:color w:val="auto"/>
                <w:highlight w:val="none"/>
                <w:vertAlign w:val="subscript"/>
                <w:lang w:val="en-US" w:eastAsia="zh-CN"/>
              </w:rPr>
              <w:t>3</w:t>
            </w:r>
            <w:r>
              <w:rPr>
                <w:rFonts w:hint="default" w:ascii="Times New Roman" w:hAnsi="Times New Roman" w:eastAsia="宋体" w:cs="Times New Roman"/>
                <w:color w:val="auto"/>
                <w:highlight w:val="none"/>
                <w:lang w:val="en-US" w:eastAsia="zh-CN"/>
              </w:rPr>
              <w:t>-N排放量见表3.5-1。</w:t>
            </w:r>
          </w:p>
          <w:p w14:paraId="5F70A921">
            <w:pPr>
              <w:spacing w:line="240" w:lineRule="auto"/>
              <w:ind w:firstLine="0" w:firstLineChars="0"/>
              <w:jc w:val="center"/>
              <w:rPr>
                <w:rFonts w:hint="default" w:ascii="Times New Roman" w:hAnsi="Times New Roman" w:eastAsia="宋体" w:cs="Times New Roman"/>
                <w:b/>
                <w:color w:val="auto"/>
                <w:szCs w:val="20"/>
                <w:highlight w:val="none"/>
                <w:lang w:eastAsia="zh-CN"/>
              </w:rPr>
            </w:pPr>
            <w:r>
              <w:rPr>
                <w:rFonts w:hint="default" w:ascii="Times New Roman" w:hAnsi="Times New Roman" w:eastAsia="宋体" w:cs="Times New Roman"/>
                <w:b/>
                <w:color w:val="auto"/>
                <w:szCs w:val="20"/>
                <w:highlight w:val="none"/>
              </w:rPr>
              <w:t>表3.</w:t>
            </w:r>
            <w:r>
              <w:rPr>
                <w:rFonts w:hint="default" w:ascii="Times New Roman" w:hAnsi="Times New Roman" w:eastAsia="宋体" w:cs="Times New Roman"/>
                <w:b/>
                <w:color w:val="auto"/>
                <w:szCs w:val="20"/>
                <w:highlight w:val="none"/>
                <w:lang w:val="en-US" w:eastAsia="zh-CN"/>
              </w:rPr>
              <w:t>5</w:t>
            </w:r>
            <w:r>
              <w:rPr>
                <w:rFonts w:hint="default" w:ascii="Times New Roman" w:hAnsi="Times New Roman" w:eastAsia="宋体" w:cs="Times New Roman"/>
                <w:b/>
                <w:color w:val="auto"/>
                <w:szCs w:val="20"/>
                <w:highlight w:val="none"/>
              </w:rPr>
              <w:t>-1</w:t>
            </w:r>
            <w:r>
              <w:rPr>
                <w:rFonts w:hint="default" w:ascii="Times New Roman" w:hAnsi="Times New Roman" w:eastAsia="宋体" w:cs="Times New Roman"/>
                <w:b/>
                <w:color w:val="auto"/>
                <w:szCs w:val="20"/>
                <w:highlight w:val="none"/>
                <w:lang w:val="en-US" w:eastAsia="zh-CN"/>
              </w:rPr>
              <w:t xml:space="preserve"> </w:t>
            </w:r>
            <w:r>
              <w:rPr>
                <w:rFonts w:hint="default" w:ascii="Times New Roman" w:hAnsi="Times New Roman" w:eastAsia="宋体" w:cs="Times New Roman"/>
                <w:b/>
                <w:color w:val="auto"/>
                <w:szCs w:val="20"/>
                <w:highlight w:val="none"/>
              </w:rPr>
              <w:t>本项目废水</w:t>
            </w:r>
            <w:r>
              <w:rPr>
                <w:rFonts w:hint="default" w:ascii="Times New Roman" w:hAnsi="Times New Roman" w:eastAsia="宋体" w:cs="Times New Roman"/>
                <w:b/>
                <w:color w:val="auto"/>
                <w:szCs w:val="20"/>
                <w:highlight w:val="none"/>
                <w:lang w:val="en-US" w:eastAsia="zh-CN"/>
              </w:rPr>
              <w:t>总量指标</w:t>
            </w:r>
          </w:p>
          <w:p w14:paraId="5949E0EE">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1EF269BB">
            <w:pPr>
              <w:ind w:firstLine="480"/>
              <w:rPr>
                <w:rFonts w:hint="default" w:ascii="Times New Roman" w:hAnsi="Times New Roman" w:eastAsia="宋体" w:cs="Times New Roman"/>
                <w:color w:val="auto"/>
                <w:szCs w:val="22"/>
                <w:highlight w:val="none"/>
              </w:rPr>
            </w:pPr>
          </w:p>
          <w:p w14:paraId="3EF3C32F">
            <w:pPr>
              <w:ind w:firstLine="480"/>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根据福建省环保厅关于印发《福建省主要污染物排污权指标核定管理办法（试行）》的通知（闽环发[2014]12号）、《福建省环保厅关于进一步加快推进排污权有偿使用和交易工作的意见》（闽环发[2015]6号），其适用范围为：福建省范围内现有工业排污单位、集中式水污染治理单位排污权的核定和管理。</w:t>
            </w:r>
            <w:r>
              <w:rPr>
                <w:rFonts w:hint="default" w:ascii="Times New Roman" w:hAnsi="Times New Roman" w:eastAsia="宋体" w:cs="Times New Roman"/>
                <w:color w:val="auto"/>
                <w:highlight w:val="none"/>
                <w:lang w:eastAsia="zh-CN"/>
              </w:rPr>
              <w:t>确认</w:t>
            </w:r>
            <w:r>
              <w:rPr>
                <w:rFonts w:hint="default" w:ascii="Times New Roman" w:hAnsi="Times New Roman" w:eastAsia="宋体" w:cs="Times New Roman"/>
                <w:color w:val="auto"/>
                <w:highlight w:val="none"/>
              </w:rPr>
              <w:t>本次</w:t>
            </w:r>
            <w:r>
              <w:rPr>
                <w:rFonts w:hint="default" w:ascii="Times New Roman" w:hAnsi="Times New Roman" w:eastAsia="宋体" w:cs="Times New Roman"/>
                <w:color w:val="auto"/>
                <w:highlight w:val="none"/>
                <w:lang w:eastAsia="zh-CN"/>
              </w:rPr>
              <w:t>项目生产废水总量指标为</w:t>
            </w:r>
            <w:r>
              <w:rPr>
                <w:rFonts w:hint="default" w:ascii="Times New Roman" w:hAnsi="Times New Roman" w:eastAsia="宋体" w:cs="Times New Roman"/>
                <w:color w:val="auto"/>
                <w:highlight w:val="none"/>
              </w:rPr>
              <w:t>COD≤</w:t>
            </w:r>
            <w:r>
              <w:rPr>
                <w:rFonts w:hint="default" w:ascii="Times New Roman" w:hAnsi="Times New Roman" w:eastAsia="宋体" w:cs="Times New Roman"/>
                <w:color w:val="auto"/>
                <w:highlight w:val="none"/>
                <w:lang w:val="en-US" w:eastAsia="zh-CN"/>
              </w:rPr>
              <w:t>0.1293</w:t>
            </w:r>
            <w:r>
              <w:rPr>
                <w:rFonts w:hint="default" w:ascii="Times New Roman" w:hAnsi="Times New Roman" w:eastAsia="宋体" w:cs="Times New Roman"/>
                <w:color w:val="auto"/>
                <w:highlight w:val="none"/>
              </w:rPr>
              <w:t>t/a、氨氮≤</w:t>
            </w:r>
            <w:r>
              <w:rPr>
                <w:rFonts w:hint="default" w:ascii="Times New Roman" w:hAnsi="Times New Roman" w:eastAsia="宋体" w:cs="Times New Roman"/>
                <w:color w:val="auto"/>
                <w:highlight w:val="none"/>
                <w:lang w:val="en-US" w:eastAsia="zh-CN"/>
              </w:rPr>
              <w:t>0.0129</w:t>
            </w:r>
            <w:r>
              <w:rPr>
                <w:rFonts w:hint="default" w:ascii="Times New Roman" w:hAnsi="Times New Roman" w:eastAsia="宋体" w:cs="Times New Roman"/>
                <w:color w:val="auto"/>
                <w:highlight w:val="none"/>
              </w:rPr>
              <w:t>t/a</w:t>
            </w:r>
            <w:r>
              <w:rPr>
                <w:rFonts w:hint="default" w:ascii="Times New Roman" w:hAnsi="Times New Roman" w:eastAsia="宋体" w:cs="Times New Roman"/>
                <w:color w:val="auto"/>
                <w:highlight w:val="none"/>
                <w:lang w:eastAsia="zh-CN"/>
              </w:rPr>
              <w:t>。</w:t>
            </w:r>
          </w:p>
          <w:p w14:paraId="0C9733BA">
            <w:pPr>
              <w:pStyle w:val="7"/>
              <w:spacing w:before="120" w:after="1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3.5.2</w:t>
            </w:r>
            <w:r>
              <w:rPr>
                <w:rFonts w:hint="default" w:ascii="Times New Roman" w:hAnsi="Times New Roman" w:eastAsia="宋体" w:cs="Times New Roman"/>
                <w:color w:val="auto"/>
                <w:highlight w:val="none"/>
              </w:rPr>
              <w:t>废气</w:t>
            </w:r>
          </w:p>
          <w:p w14:paraId="2C2C3833">
            <w:pPr>
              <w:pStyle w:val="112"/>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项目不涉及二氧化硫和氮氧化物排放，但是项目运营期将产生大气污染物VOC</w:t>
            </w:r>
            <w:r>
              <w:rPr>
                <w:rFonts w:hint="default" w:ascii="Times New Roman" w:hAnsi="Times New Roman" w:eastAsia="宋体" w:cs="Times New Roman"/>
                <w:color w:val="auto"/>
                <w:sz w:val="24"/>
                <w:szCs w:val="24"/>
                <w:highlight w:val="none"/>
                <w:vertAlign w:val="subscript"/>
              </w:rPr>
              <w:t>S</w:t>
            </w:r>
            <w:r>
              <w:rPr>
                <w:rFonts w:hint="default" w:ascii="Times New Roman" w:hAnsi="Times New Roman" w:eastAsia="宋体" w:cs="Times New Roman"/>
                <w:color w:val="auto"/>
                <w:sz w:val="24"/>
                <w:szCs w:val="24"/>
                <w:highlight w:val="none"/>
              </w:rPr>
              <w:t>（本项目以非甲烷总烃表征），项目废气污染物排放总量控制详见表3.</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p>
          <w:p w14:paraId="15868496">
            <w:pPr>
              <w:pStyle w:val="547"/>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表3.</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-1</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eastAsia="zh-CN"/>
              </w:rPr>
              <w:t>项目总量控制一览表</w:t>
            </w:r>
          </w:p>
          <w:p w14:paraId="4BEDC49D">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316017FF">
            <w:pPr>
              <w:pStyle w:val="2"/>
              <w:spacing w:line="360" w:lineRule="auto"/>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highlight w:val="none"/>
              </w:rPr>
              <w:t>根据《福州市环保局关于印发福州市大气污染联防联控联治工作方案的通知》，项目涉及VOCs排放总量</w:t>
            </w:r>
            <w:r>
              <w:rPr>
                <w:rFonts w:hint="default" w:ascii="Times New Roman" w:hAnsi="Times New Roman" w:eastAsia="宋体" w:cs="Times New Roman"/>
                <w:color w:val="auto"/>
                <w:sz w:val="24"/>
                <w:szCs w:val="24"/>
                <w:highlight w:val="none"/>
                <w:lang w:val="en-US" w:eastAsia="zh-CN"/>
              </w:rPr>
              <w:t>2.4522</w:t>
            </w:r>
            <w:r>
              <w:rPr>
                <w:rFonts w:hint="default" w:ascii="Times New Roman" w:hAnsi="Times New Roman" w:eastAsia="宋体" w:cs="Times New Roman"/>
                <w:color w:val="auto"/>
                <w:sz w:val="24"/>
                <w:szCs w:val="24"/>
                <w:highlight w:val="none"/>
              </w:rPr>
              <w:t>t/a，需进行区域削减替代。总量承诺函见附件</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w:t>
            </w:r>
          </w:p>
        </w:tc>
      </w:tr>
    </w:tbl>
    <w:p w14:paraId="0B47418B">
      <w:pPr>
        <w:pStyle w:val="2"/>
        <w:rPr>
          <w:rFonts w:hint="default" w:ascii="Times New Roman" w:hAnsi="Times New Roman" w:eastAsia="宋体" w:cs="Times New Roman"/>
          <w:color w:val="auto"/>
        </w:rPr>
        <w:sectPr>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26" w:charSpace="0"/>
        </w:sectPr>
      </w:pPr>
    </w:p>
    <w:p w14:paraId="5914E190">
      <w:pPr>
        <w:pStyle w:val="5"/>
        <w:keepNext w:val="0"/>
        <w:keepLines w:val="0"/>
        <w:pageBreakBefore w:val="0"/>
        <w:widowControl w:val="0"/>
        <w:numPr>
          <w:ilvl w:val="0"/>
          <w:numId w:val="9"/>
        </w:numPr>
        <w:kinsoku/>
        <w:wordWrap/>
        <w:overflowPunct/>
        <w:topLinePunct w:val="0"/>
        <w:autoSpaceDE/>
        <w:autoSpaceDN/>
        <w:bidi w:val="0"/>
        <w:adjustRightInd/>
        <w:snapToGrid/>
        <w:ind w:left="0" w:leftChars="0" w:firstLineChars="0"/>
        <w:jc w:val="center"/>
        <w:textAlignment w:val="auto"/>
        <w:rPr>
          <w:rFonts w:hint="default" w:ascii="Times New Roman" w:hAnsi="Times New Roman" w:eastAsia="宋体" w:cs="Times New Roman"/>
          <w:snapToGrid w:val="0"/>
          <w:color w:val="auto"/>
          <w:sz w:val="28"/>
          <w:szCs w:val="28"/>
        </w:rPr>
      </w:pPr>
      <w:r>
        <w:rPr>
          <w:rFonts w:hint="default" w:ascii="Times New Roman" w:hAnsi="Times New Roman" w:eastAsia="宋体" w:cs="Times New Roman"/>
          <w:snapToGrid w:val="0"/>
          <w:color w:val="auto"/>
          <w:sz w:val="28"/>
          <w:szCs w:val="28"/>
        </w:rPr>
        <w:t>主要环境影响和保护措施</w:t>
      </w:r>
    </w:p>
    <w:tbl>
      <w:tblPr>
        <w:tblStyle w:val="48"/>
        <w:tblW w:w="93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9"/>
        <w:gridCol w:w="8757"/>
      </w:tblGrid>
      <w:tr w14:paraId="4DC857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29" w:type="dxa"/>
            <w:tcMar>
              <w:left w:w="28" w:type="dxa"/>
              <w:right w:w="28" w:type="dxa"/>
            </w:tcMar>
            <w:vAlign w:val="center"/>
          </w:tcPr>
          <w:p w14:paraId="5DB22FE6">
            <w:pPr>
              <w:pStyle w:val="44"/>
              <w:adjustRightInd w:val="0"/>
              <w:snapToGrid w:val="0"/>
              <w:spacing w:before="0" w:beforeAutospacing="0" w:after="0" w:afterAutospacing="0"/>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施工</w:t>
            </w:r>
          </w:p>
          <w:p w14:paraId="3C401294">
            <w:pPr>
              <w:pStyle w:val="44"/>
              <w:adjustRightInd w:val="0"/>
              <w:snapToGrid w:val="0"/>
              <w:spacing w:before="0" w:beforeAutospacing="0" w:after="0" w:afterAutospacing="0"/>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期环</w:t>
            </w:r>
          </w:p>
          <w:p w14:paraId="6F41DBB2">
            <w:pPr>
              <w:pStyle w:val="44"/>
              <w:adjustRightInd w:val="0"/>
              <w:snapToGrid w:val="0"/>
              <w:spacing w:before="0" w:beforeAutospacing="0" w:after="0" w:afterAutospacing="0"/>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境保</w:t>
            </w:r>
          </w:p>
          <w:p w14:paraId="221C4293">
            <w:pPr>
              <w:pStyle w:val="44"/>
              <w:adjustRightInd w:val="0"/>
              <w:snapToGrid w:val="0"/>
              <w:spacing w:before="0" w:beforeAutospacing="0" w:after="0" w:afterAutospacing="0"/>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护措</w:t>
            </w:r>
          </w:p>
          <w:p w14:paraId="57418805">
            <w:pPr>
              <w:pStyle w:val="44"/>
              <w:adjustRightInd w:val="0"/>
              <w:snapToGrid w:val="0"/>
              <w:spacing w:before="0" w:beforeAutospacing="0" w:after="0" w:afterAutospacing="0"/>
              <w:ind w:firstLine="0" w:firstLineChars="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color w:val="auto"/>
                <w:kern w:val="2"/>
                <w:sz w:val="21"/>
                <w:szCs w:val="21"/>
              </w:rPr>
              <w:t>施</w:t>
            </w:r>
          </w:p>
        </w:tc>
        <w:tc>
          <w:tcPr>
            <w:tcW w:w="8757" w:type="dxa"/>
            <w:vAlign w:val="center"/>
          </w:tcPr>
          <w:p w14:paraId="4A71A5E2">
            <w:pPr>
              <w:adjustRightInd w:val="0"/>
              <w:snapToGrid w:val="0"/>
              <w:ind w:left="0" w:leftChars="0" w:firstLine="0" w:firstLineChars="0"/>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rPr>
              <w:t>施工期废水及固废处置措施</w:t>
            </w:r>
            <w:r>
              <w:rPr>
                <w:rFonts w:hint="default" w:ascii="Times New Roman" w:hAnsi="Times New Roman" w:eastAsia="宋体" w:cs="Times New Roman"/>
                <w:b/>
                <w:bCs/>
                <w:color w:val="auto"/>
                <w:lang w:eastAsia="zh-CN"/>
              </w:rPr>
              <w:t>：</w:t>
            </w:r>
          </w:p>
          <w:p w14:paraId="04CD0605">
            <w:pPr>
              <w:adjustRightInd w:val="0"/>
              <w:snapToGrid w:val="0"/>
              <w:ind w:firstLine="440"/>
              <w:rPr>
                <w:rFonts w:hint="default" w:ascii="Times New Roman" w:hAnsi="Times New Roman" w:eastAsia="宋体" w:cs="Times New Roman"/>
                <w:color w:val="auto"/>
              </w:rPr>
            </w:pPr>
            <w:r>
              <w:rPr>
                <w:rFonts w:hint="default" w:ascii="Times New Roman" w:hAnsi="Times New Roman" w:eastAsia="宋体" w:cs="Times New Roman"/>
                <w:color w:val="auto"/>
              </w:rPr>
              <w:t>（1）施工人员产生的生活污水利用现有经济区污水处理站统一进行处理。</w:t>
            </w:r>
          </w:p>
          <w:p w14:paraId="48D8979C">
            <w:pPr>
              <w:adjustRightInd w:val="0"/>
              <w:snapToGrid w:val="0"/>
              <w:ind w:firstLine="440"/>
              <w:rPr>
                <w:rFonts w:hint="default" w:ascii="Times New Roman" w:hAnsi="Times New Roman" w:eastAsia="宋体" w:cs="Times New Roman"/>
                <w:color w:val="auto"/>
              </w:rPr>
            </w:pPr>
            <w:r>
              <w:rPr>
                <w:rFonts w:hint="default" w:ascii="Times New Roman" w:hAnsi="Times New Roman" w:eastAsia="宋体" w:cs="Times New Roman"/>
                <w:color w:val="auto"/>
              </w:rPr>
              <w:t>（2）施工场地的生活垃圾应设临时垃圾箱及时收集，及时清运，并由江阴工业集中区环卫部门定期清理。</w:t>
            </w:r>
          </w:p>
          <w:p w14:paraId="2D49C87E">
            <w:pPr>
              <w:adjustRightInd w:val="0"/>
              <w:snapToGrid w:val="0"/>
              <w:ind w:firstLine="440"/>
              <w:rPr>
                <w:rFonts w:hint="default" w:ascii="Times New Roman" w:hAnsi="Times New Roman" w:eastAsia="宋体" w:cs="Times New Roman"/>
                <w:color w:val="auto"/>
              </w:rPr>
            </w:pPr>
            <w:r>
              <w:rPr>
                <w:rFonts w:hint="default" w:ascii="Times New Roman" w:hAnsi="Times New Roman" w:eastAsia="宋体" w:cs="Times New Roman"/>
                <w:color w:val="auto"/>
              </w:rPr>
              <w:t>（3）施工过程产生的碎砖头、水泥块、沙石子等建筑废物可利用部分综合利用，无法利用的收集委托有能力单位处置。</w:t>
            </w:r>
          </w:p>
          <w:p w14:paraId="0697C62B">
            <w:pPr>
              <w:adjustRightInd w:val="0"/>
              <w:snapToGrid w:val="0"/>
              <w:ind w:left="0" w:leftChars="0" w:firstLine="0" w:firstLineChars="0"/>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rPr>
              <w:t>施工期大气污染防治措施</w:t>
            </w:r>
            <w:r>
              <w:rPr>
                <w:rFonts w:hint="default" w:ascii="Times New Roman" w:hAnsi="Times New Roman" w:eastAsia="宋体" w:cs="Times New Roman"/>
                <w:b/>
                <w:bCs/>
                <w:color w:val="auto"/>
                <w:lang w:eastAsia="zh-CN"/>
              </w:rPr>
              <w:t>：</w:t>
            </w:r>
          </w:p>
          <w:p w14:paraId="2F1034A2">
            <w:pPr>
              <w:adjustRightInd w:val="0"/>
              <w:snapToGrid w:val="0"/>
              <w:ind w:firstLine="440"/>
              <w:rPr>
                <w:rFonts w:hint="default" w:ascii="Times New Roman" w:hAnsi="Times New Roman" w:eastAsia="宋体" w:cs="Times New Roman"/>
                <w:color w:val="auto"/>
              </w:rPr>
            </w:pPr>
            <w:r>
              <w:rPr>
                <w:rFonts w:hint="default" w:ascii="Times New Roman" w:hAnsi="Times New Roman" w:eastAsia="宋体" w:cs="Times New Roman"/>
                <w:color w:val="auto"/>
              </w:rPr>
              <w:t>（1）建筑材料应定点定位堆放，并采取防尘抑尘措施，如在大风、干燥天气，对散料堆场应采用水喷淋，减小施工场地风起扬尘污染。</w:t>
            </w:r>
          </w:p>
          <w:p w14:paraId="7EC429CC">
            <w:pPr>
              <w:adjustRightInd w:val="0"/>
              <w:snapToGrid w:val="0"/>
              <w:ind w:firstLine="440"/>
              <w:rPr>
                <w:rFonts w:hint="default" w:ascii="Times New Roman" w:hAnsi="Times New Roman" w:eastAsia="宋体" w:cs="Times New Roman"/>
                <w:color w:val="auto"/>
              </w:rPr>
            </w:pPr>
            <w:r>
              <w:rPr>
                <w:rFonts w:hint="default" w:ascii="Times New Roman" w:hAnsi="Times New Roman" w:eastAsia="宋体" w:cs="Times New Roman"/>
                <w:color w:val="auto"/>
              </w:rPr>
              <w:t>（2）建筑材料运输车辆应控制装载量，砂土、水泥、碎石等易起尘的物料要加盖蓬布、控制车速，防止物料洒落和产生扬尘。</w:t>
            </w:r>
          </w:p>
          <w:p w14:paraId="433A28BF">
            <w:pPr>
              <w:adjustRightInd w:val="0"/>
              <w:snapToGrid w:val="0"/>
              <w:ind w:left="0" w:leftChars="0" w:firstLine="0" w:firstLineChars="0"/>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rPr>
              <w:t>施工期噪声污染防治措施</w:t>
            </w:r>
            <w:r>
              <w:rPr>
                <w:rFonts w:hint="default" w:ascii="Times New Roman" w:hAnsi="Times New Roman" w:eastAsia="宋体" w:cs="Times New Roman"/>
                <w:b/>
                <w:bCs/>
                <w:color w:val="auto"/>
                <w:lang w:eastAsia="zh-CN"/>
              </w:rPr>
              <w:t>：</w:t>
            </w:r>
          </w:p>
          <w:p w14:paraId="1C34134A">
            <w:pPr>
              <w:adjustRightInd w:val="0"/>
              <w:snapToGrid w:val="0"/>
              <w:ind w:firstLine="440"/>
              <w:rPr>
                <w:rFonts w:hint="default" w:ascii="Times New Roman" w:hAnsi="Times New Roman" w:eastAsia="宋体" w:cs="Times New Roman"/>
                <w:color w:val="auto"/>
              </w:rPr>
            </w:pPr>
            <w:r>
              <w:rPr>
                <w:rFonts w:hint="default" w:ascii="Times New Roman" w:hAnsi="Times New Roman" w:eastAsia="宋体" w:cs="Times New Roman"/>
                <w:color w:val="auto"/>
              </w:rPr>
              <w:t>（1）选择性能良好的新型高效低噪设备，日常应注意对施工设备的维修保养，使各种施工机械保持良好的运行状态。</w:t>
            </w:r>
          </w:p>
          <w:p w14:paraId="598E6FC7">
            <w:pPr>
              <w:adjustRightInd w:val="0"/>
              <w:snapToGrid w:val="0"/>
              <w:ind w:firstLine="440"/>
              <w:rPr>
                <w:rFonts w:hint="default" w:ascii="Times New Roman" w:hAnsi="Times New Roman" w:eastAsia="宋体" w:cs="Times New Roman"/>
                <w:bCs/>
                <w:color w:val="auto"/>
                <w:spacing w:val="-10"/>
                <w:szCs w:val="21"/>
              </w:rPr>
            </w:pPr>
            <w:r>
              <w:rPr>
                <w:rFonts w:hint="default" w:ascii="Times New Roman" w:hAnsi="Times New Roman" w:eastAsia="宋体" w:cs="Times New Roman"/>
                <w:color w:val="auto"/>
              </w:rPr>
              <w:t>（2）避免夜间大型车辆运输作业，运输车在经过沿线村庄附近时应降低车速，并尽量不鸣笛。</w:t>
            </w:r>
          </w:p>
        </w:tc>
      </w:tr>
      <w:tr w14:paraId="7FC694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29" w:type="dxa"/>
            <w:tcMar>
              <w:left w:w="28" w:type="dxa"/>
              <w:right w:w="28" w:type="dxa"/>
            </w:tcMar>
            <w:vAlign w:val="center"/>
          </w:tcPr>
          <w:p w14:paraId="6AAB7F3E">
            <w:pPr>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运营</w:t>
            </w:r>
          </w:p>
          <w:p w14:paraId="33A7EB16">
            <w:pPr>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期环</w:t>
            </w:r>
          </w:p>
          <w:p w14:paraId="120A95A3">
            <w:pPr>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境影</w:t>
            </w:r>
          </w:p>
          <w:p w14:paraId="22D548FE">
            <w:pPr>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响和</w:t>
            </w:r>
          </w:p>
          <w:p w14:paraId="0BF63C25">
            <w:pPr>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保护</w:t>
            </w:r>
          </w:p>
          <w:p w14:paraId="0A12EB49">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措施</w:t>
            </w:r>
          </w:p>
        </w:tc>
        <w:tc>
          <w:tcPr>
            <w:tcW w:w="8757" w:type="dxa"/>
            <w:vAlign w:val="center"/>
          </w:tcPr>
          <w:p w14:paraId="4DD990D4">
            <w:pPr>
              <w:pStyle w:val="6"/>
              <w:spacing w:before="120" w:after="120"/>
              <w:rPr>
                <w:rFonts w:hint="default" w:ascii="Times New Roman" w:hAnsi="Times New Roman" w:eastAsia="宋体" w:cs="Times New Roman"/>
                <w:color w:val="auto"/>
              </w:rPr>
            </w:pPr>
            <w:r>
              <w:rPr>
                <w:rFonts w:hint="default" w:ascii="Times New Roman" w:hAnsi="Times New Roman" w:eastAsia="宋体" w:cs="Times New Roman"/>
                <w:color w:val="auto"/>
              </w:rPr>
              <w:t>4.1废气</w:t>
            </w:r>
          </w:p>
          <w:p w14:paraId="0D8143EB">
            <w:pPr>
              <w:pStyle w:val="7"/>
              <w:spacing w:before="120" w:after="120"/>
              <w:rPr>
                <w:rFonts w:hint="default" w:ascii="Times New Roman" w:hAnsi="Times New Roman" w:eastAsia="宋体" w:cs="Times New Roman"/>
                <w:color w:val="auto"/>
              </w:rPr>
            </w:pPr>
            <w:r>
              <w:rPr>
                <w:rFonts w:hint="default" w:ascii="Times New Roman" w:hAnsi="Times New Roman" w:eastAsia="宋体" w:cs="Times New Roman"/>
                <w:color w:val="auto"/>
              </w:rPr>
              <w:t>4.1.1废气产排污情况</w:t>
            </w:r>
          </w:p>
          <w:p w14:paraId="74C679E6">
            <w:pPr>
              <w:keepNext w:val="0"/>
              <w:keepLines w:val="0"/>
              <w:widowControl/>
              <w:suppressLineNumbers w:val="0"/>
              <w:jc w:val="left"/>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lang w:val="en-US" w:eastAsia="zh-CN" w:bidi="ar-SA"/>
              </w:rPr>
              <w:t>本项目分装车间与罐区废气拟采用“除雾+过滤棉+二级活性炭吸附装置”进行处理，处理达标后通</w:t>
            </w:r>
            <w:r>
              <w:rPr>
                <w:rFonts w:hint="default" w:ascii="Times New Roman" w:hAnsi="Times New Roman" w:eastAsia="宋体" w:cs="Times New Roman"/>
                <w:color w:val="auto"/>
                <w:kern w:val="2"/>
                <w:sz w:val="24"/>
                <w:szCs w:val="20"/>
                <w:highlight w:val="none"/>
                <w:lang w:val="en-US" w:eastAsia="zh-CN" w:bidi="ar-SA"/>
              </w:rPr>
              <w:t>过15m排气筒高空排放（DA001）；危废间废气收集后采用活性炭吸附处理后，通过15m排气筒高空排放（DA002）；洗罐车间废气经过二级活性炭吸附后由15m高排气筒排放（DA003）。</w:t>
            </w:r>
          </w:p>
          <w:p w14:paraId="78DD2372">
            <w:pPr>
              <w:pStyle w:val="543"/>
              <w:ind w:firstLine="480"/>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一、</w:t>
            </w:r>
            <w:r>
              <w:rPr>
                <w:rFonts w:hint="default" w:ascii="Times New Roman" w:hAnsi="Times New Roman" w:eastAsia="宋体" w:cs="Times New Roman"/>
                <w:color w:val="auto"/>
                <w:kern w:val="2"/>
                <w:sz w:val="24"/>
                <w:szCs w:val="20"/>
                <w:highlight w:val="none"/>
                <w:lang w:val="en-US" w:eastAsia="zh-CN" w:bidi="ar-SA"/>
              </w:rPr>
              <w:t>分装车间与罐区废气</w:t>
            </w:r>
          </w:p>
          <w:p w14:paraId="60BB0AD8">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4540DE7D">
            <w:pPr>
              <w:pStyle w:val="543"/>
              <w:ind w:firstLine="480"/>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（2）罐区废气</w:t>
            </w:r>
          </w:p>
          <w:p w14:paraId="03E6CE5F">
            <w:pPr>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1）计算公式</w:t>
            </w:r>
          </w:p>
          <w:p w14:paraId="1A390DE1">
            <w:pPr>
              <w:ind w:firstLine="482"/>
              <w:rPr>
                <w:rFonts w:hint="default" w:ascii="Times New Roman" w:hAnsi="Times New Roman" w:eastAsia="宋体" w:cs="Times New Roman"/>
                <w:color w:val="auto"/>
              </w:rPr>
            </w:pPr>
            <w:r>
              <w:rPr>
                <w:rFonts w:hint="default" w:ascii="Times New Roman" w:hAnsi="Times New Roman" w:eastAsia="宋体" w:cs="Times New Roman"/>
                <w:color w:val="auto"/>
              </w:rPr>
              <w:t>A、内浮顶</w:t>
            </w:r>
          </w:p>
          <w:p w14:paraId="4FA3EC94">
            <w:pPr>
              <w:ind w:firstLine="480"/>
              <w:jc w:val="left"/>
              <w:rPr>
                <w:rFonts w:hint="default" w:ascii="Times New Roman" w:hAnsi="Times New Roman" w:eastAsia="宋体" w:cs="Times New Roman"/>
                <w:color w:val="auto"/>
              </w:rPr>
            </w:pPr>
            <w:r>
              <w:rPr>
                <w:rFonts w:hint="default" w:ascii="Times New Roman" w:hAnsi="Times New Roman" w:eastAsia="宋体" w:cs="Times New Roman"/>
                <w:color w:val="auto"/>
              </w:rPr>
              <w:t>营运期气体排放主要有</w:t>
            </w:r>
            <w:r>
              <w:rPr>
                <w:rFonts w:hint="default" w:ascii="Times New Roman" w:hAnsi="Times New Roman" w:eastAsia="宋体" w:cs="Times New Roman"/>
                <w:color w:val="auto"/>
                <w:lang w:val="en-US" w:eastAsia="zh-CN"/>
              </w:rPr>
              <w:t>化学</w:t>
            </w:r>
            <w:r>
              <w:rPr>
                <w:rFonts w:hint="default" w:ascii="Times New Roman" w:hAnsi="Times New Roman" w:eastAsia="宋体" w:cs="Times New Roman"/>
                <w:color w:val="auto"/>
              </w:rPr>
              <w:t>品储罐储存过程中的物料损失和装卸过程（装车、装船）过程中的物料损失。损失量计算采用《石化行业VOCs污染源排查工作指南》（以下简称指南）中推荐的公式。</w:t>
            </w:r>
          </w:p>
          <w:p w14:paraId="495749E9">
            <w:pPr>
              <w:ind w:firstLine="480"/>
              <w:jc w:val="left"/>
              <w:rPr>
                <w:rFonts w:hint="default" w:ascii="Times New Roman" w:hAnsi="Times New Roman" w:eastAsia="宋体" w:cs="Times New Roman"/>
                <w:color w:val="auto"/>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lang w:val="en-US" w:eastAsia="zh-CN"/>
              </w:rPr>
              <w:t>甲类储罐区，6个储罐，每个储罐容积为174m³。采用</w:t>
            </w:r>
            <w:r>
              <w:rPr>
                <w:rFonts w:hint="default" w:ascii="Times New Roman" w:hAnsi="Times New Roman" w:eastAsia="宋体" w:cs="Times New Roman"/>
                <w:color w:val="auto"/>
              </w:rPr>
              <w:t>内浮顶储罐，参考《指南》中的公式，浮顶罐VOCS总损耗如下：</w:t>
            </w:r>
          </w:p>
          <w:p w14:paraId="2722A578">
            <w:pPr>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LT=LR+LWD+LF+LD </w:t>
            </w:r>
          </w:p>
          <w:p w14:paraId="581C2CFC">
            <w:pPr>
              <w:ind w:firstLine="1200" w:firstLineChars="500"/>
              <w:jc w:val="left"/>
              <w:rPr>
                <w:rFonts w:hint="default" w:ascii="Times New Roman" w:hAnsi="Times New Roman" w:eastAsia="宋体" w:cs="Times New Roman"/>
                <w:color w:val="auto"/>
              </w:rPr>
            </w:pPr>
            <w:r>
              <w:rPr>
                <w:rFonts w:hint="default" w:ascii="Times New Roman" w:hAnsi="Times New Roman" w:eastAsia="宋体" w:cs="Times New Roman"/>
                <w:color w:val="auto"/>
              </w:rPr>
              <w:t>式中：</w:t>
            </w:r>
          </w:p>
          <w:p w14:paraId="73DA8727">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LT：总损耗，lb/a；</w:t>
            </w:r>
          </w:p>
          <w:p w14:paraId="4DC3E052">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LR：边缘密封损耗，lb/a；</w:t>
            </w:r>
          </w:p>
          <w:p w14:paraId="221264C8">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LWD：排放损耗，lb/a；</w:t>
            </w:r>
          </w:p>
          <w:p w14:paraId="28255AB8">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LF：浮盘附件损耗，lb/a；</w:t>
            </w:r>
          </w:p>
          <w:p w14:paraId="25AE1E10">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LD：浮盘缝隙损耗（只限螺栓连接式的浮盘或浮顶），lb/a。</w:t>
            </w:r>
          </w:p>
          <w:p w14:paraId="57276C45">
            <w:pPr>
              <w:ind w:firstLine="480"/>
              <w:jc w:val="left"/>
              <w:rPr>
                <w:rFonts w:hint="default" w:ascii="Times New Roman" w:hAnsi="Times New Roman" w:eastAsia="宋体" w:cs="Times New Roman"/>
                <w:color w:val="auto"/>
              </w:rPr>
            </w:pPr>
            <w:r>
              <w:rPr>
                <w:rFonts w:hint="default" w:ascii="Times New Roman" w:hAnsi="Times New Roman" w:eastAsia="宋体" w:cs="Times New Roman"/>
                <w:color w:val="auto"/>
              </w:rPr>
              <w:t>①边缘密封损耗</w:t>
            </w:r>
          </w:p>
          <w:p w14:paraId="183C479D">
            <w:pPr>
              <w:ind w:firstLine="480"/>
              <w:jc w:val="left"/>
              <w:rPr>
                <w:rFonts w:hint="default" w:ascii="Times New Roman" w:hAnsi="Times New Roman" w:eastAsia="宋体" w:cs="Times New Roman"/>
                <w:color w:val="auto"/>
              </w:rPr>
            </w:pPr>
            <w:r>
              <w:rPr>
                <w:rFonts w:hint="default" w:ascii="Times New Roman" w:hAnsi="Times New Roman" w:eastAsia="宋体" w:cs="Times New Roman"/>
                <w:color w:val="auto"/>
              </w:rPr>
              <w:t>浮顶罐的边缘密封损耗可由下列公式估算得出：</w:t>
            </w:r>
          </w:p>
          <w:p w14:paraId="355197CC">
            <w:pPr>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rPr>
              <w:t>LR=（KRa+KRbVn）DP* MVKC</w:t>
            </w:r>
          </w:p>
          <w:p w14:paraId="755D278A">
            <w:pPr>
              <w:ind w:firstLine="1200" w:firstLineChars="500"/>
              <w:jc w:val="left"/>
              <w:rPr>
                <w:rFonts w:hint="default" w:ascii="Times New Roman" w:hAnsi="Times New Roman" w:eastAsia="宋体" w:cs="Times New Roman"/>
                <w:color w:val="auto"/>
              </w:rPr>
            </w:pPr>
            <w:r>
              <w:rPr>
                <w:rFonts w:hint="default" w:ascii="Times New Roman" w:hAnsi="Times New Roman" w:eastAsia="宋体" w:cs="Times New Roman"/>
                <w:color w:val="auto"/>
              </w:rPr>
              <w:t>式中：</w:t>
            </w:r>
          </w:p>
          <w:p w14:paraId="6AB3175F">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LR：边缘密封损耗，lb/a；</w:t>
            </w:r>
          </w:p>
          <w:p w14:paraId="63C5D688">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KRa：零风速边缘密封损耗因子，lb-mol/ft·a；</w:t>
            </w:r>
          </w:p>
          <w:p w14:paraId="37B55087">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KR：有风时边缘密封损耗因子，lb-mol/（mph）n·ft·a；</w:t>
            </w:r>
          </w:p>
          <w:p w14:paraId="3F3A420C">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v罐点平均环境风速，mph；</w:t>
            </w:r>
          </w:p>
          <w:p w14:paraId="4E1471BE">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n密封相关风速指数，无量纲量；</w:t>
            </w:r>
          </w:p>
          <w:p w14:paraId="74E984E4">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P*蒸汽压函数，无量纲量。</w:t>
            </w:r>
          </w:p>
          <w:p w14:paraId="6BD87815">
            <w:pPr>
              <w:ind w:firstLine="480"/>
              <w:jc w:val="left"/>
              <w:rPr>
                <w:rFonts w:hint="default" w:ascii="Times New Roman" w:hAnsi="Times New Roman" w:eastAsia="宋体" w:cs="Times New Roman"/>
                <w:color w:val="auto"/>
              </w:rPr>
            </w:pPr>
            <w:r>
              <w:rPr>
                <w:rFonts w:hint="default" w:ascii="Times New Roman" w:hAnsi="Times New Roman" w:eastAsia="宋体" w:cs="Times New Roman"/>
                <w:color w:val="auto"/>
              </w:rPr>
              <w:t>②挂壁损耗</w:t>
            </w:r>
          </w:p>
          <w:p w14:paraId="0C27EE25">
            <w:pPr>
              <w:ind w:firstLine="480"/>
              <w:jc w:val="left"/>
              <w:rPr>
                <w:rFonts w:hint="default" w:ascii="Times New Roman" w:hAnsi="Times New Roman" w:eastAsia="宋体" w:cs="Times New Roman"/>
                <w:color w:val="auto"/>
              </w:rPr>
            </w:pPr>
            <w:r>
              <w:rPr>
                <w:rFonts w:hint="default" w:ascii="Times New Roman" w:hAnsi="Times New Roman" w:eastAsia="宋体" w:cs="Times New Roman"/>
                <w:color w:val="auto"/>
              </w:rPr>
              <w:t>浮顶罐的罐壁排放损耗可由公式估算得出：</w:t>
            </w:r>
          </w:p>
          <w:p w14:paraId="72D31304">
            <w:pPr>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LWD=（0.943）QCSWL/D[1+NCFC/D] </w:t>
            </w:r>
          </w:p>
          <w:p w14:paraId="5D41F052">
            <w:pPr>
              <w:ind w:firstLine="1200" w:firstLineChars="500"/>
              <w:jc w:val="left"/>
              <w:rPr>
                <w:rFonts w:hint="default" w:ascii="Times New Roman" w:hAnsi="Times New Roman" w:eastAsia="宋体" w:cs="Times New Roman"/>
                <w:color w:val="auto"/>
              </w:rPr>
            </w:pPr>
            <w:r>
              <w:rPr>
                <w:rFonts w:hint="default" w:ascii="Times New Roman" w:hAnsi="Times New Roman" w:eastAsia="宋体" w:cs="Times New Roman"/>
                <w:color w:val="auto"/>
              </w:rPr>
              <w:t>式中：</w:t>
            </w:r>
          </w:p>
          <w:p w14:paraId="3A6BC765">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LWD：挂壁损耗，lb/a；</w:t>
            </w:r>
          </w:p>
          <w:p w14:paraId="45861622">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Q：年周转量，bbl/a；</w:t>
            </w:r>
          </w:p>
          <w:p w14:paraId="4B6DED2A">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CS：罐体油垢因子；54 </w:t>
            </w:r>
          </w:p>
          <w:p w14:paraId="28A51B6E">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WL：有机液体密度，lb/gal；</w:t>
            </w:r>
          </w:p>
          <w:p w14:paraId="18A325E6">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D：罐体直径，ft0.943：常数，1000ft3·gal/bbl2；</w:t>
            </w:r>
          </w:p>
          <w:p w14:paraId="3C959596">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NC：固定顶支撑柱数量（对于自支撑固定浮顶或外浮顶罐：NC=0。），无量纲量；</w:t>
            </w:r>
          </w:p>
          <w:p w14:paraId="66518BF1">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FC：有效柱直径，取值1.0。</w:t>
            </w:r>
          </w:p>
          <w:p w14:paraId="26C2983D">
            <w:pPr>
              <w:ind w:firstLine="480"/>
              <w:jc w:val="left"/>
              <w:rPr>
                <w:rFonts w:hint="default" w:ascii="Times New Roman" w:hAnsi="Times New Roman" w:eastAsia="宋体" w:cs="Times New Roman"/>
                <w:color w:val="auto"/>
              </w:rPr>
            </w:pPr>
            <w:r>
              <w:rPr>
                <w:rFonts w:hint="default" w:ascii="Times New Roman" w:hAnsi="Times New Roman" w:eastAsia="宋体" w:cs="Times New Roman"/>
                <w:color w:val="auto"/>
              </w:rPr>
              <w:t>③浮盘附件损耗</w:t>
            </w:r>
          </w:p>
          <w:p w14:paraId="733A63D7">
            <w:pPr>
              <w:ind w:firstLine="480"/>
              <w:jc w:val="left"/>
              <w:rPr>
                <w:rFonts w:hint="default" w:ascii="Times New Roman" w:hAnsi="Times New Roman" w:eastAsia="宋体" w:cs="Times New Roman"/>
                <w:color w:val="auto"/>
              </w:rPr>
            </w:pPr>
            <w:r>
              <w:rPr>
                <w:rFonts w:hint="default" w:ascii="Times New Roman" w:hAnsi="Times New Roman" w:eastAsia="宋体" w:cs="Times New Roman"/>
                <w:color w:val="auto"/>
              </w:rPr>
              <w:t>浮顶罐的浮盘附件损耗可由下面的公式估算得出：</w:t>
            </w:r>
          </w:p>
          <w:p w14:paraId="55EB650B">
            <w:pPr>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rPr>
              <w:t>LF=FFP*MVKC（4.3-4）</w:t>
            </w:r>
          </w:p>
          <w:p w14:paraId="6AC09C8F">
            <w:pPr>
              <w:ind w:firstLine="1440" w:firstLineChars="600"/>
              <w:jc w:val="left"/>
              <w:rPr>
                <w:rFonts w:hint="default" w:ascii="Times New Roman" w:hAnsi="Times New Roman" w:eastAsia="宋体" w:cs="Times New Roman"/>
                <w:color w:val="auto"/>
              </w:rPr>
            </w:pPr>
            <w:r>
              <w:rPr>
                <w:rFonts w:hint="default" w:ascii="Times New Roman" w:hAnsi="Times New Roman" w:eastAsia="宋体" w:cs="Times New Roman"/>
                <w:color w:val="auto"/>
              </w:rPr>
              <w:t>式中：</w:t>
            </w:r>
          </w:p>
          <w:p w14:paraId="1403EAEB">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LF：浮盘附件损耗，lb/a；</w:t>
            </w:r>
          </w:p>
          <w:p w14:paraId="03D96814">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FF：总浮盘附件损耗因子，lb-mol/a；</w:t>
            </w:r>
          </w:p>
          <w:p w14:paraId="35212F48">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FF=[（NF1KF1）+（NF2KF2）+...+（NFnKFn）]（4.3-5）</w:t>
            </w:r>
          </w:p>
          <w:p w14:paraId="2F3AC049">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式中：</w:t>
            </w:r>
          </w:p>
          <w:p w14:paraId="26B41385">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NFi：特定规格的浮盘附件数，无量纲量；</w:t>
            </w:r>
          </w:p>
          <w:p w14:paraId="235D1DAB">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KFi：特定规格的附件损耗因子，lb-mol/a；</w:t>
            </w:r>
          </w:p>
          <w:p w14:paraId="719E098F">
            <w:pPr>
              <w:ind w:firstLine="1680" w:firstLineChars="700"/>
              <w:jc w:val="left"/>
              <w:rPr>
                <w:rFonts w:hint="default" w:ascii="Times New Roman" w:hAnsi="Times New Roman" w:eastAsia="宋体" w:cs="Times New Roman"/>
                <w:color w:val="auto"/>
              </w:rPr>
            </w:pPr>
            <w:r>
              <w:rPr>
                <w:rFonts w:hint="default" w:ascii="Times New Roman" w:hAnsi="Times New Roman" w:eastAsia="宋体" w:cs="Times New Roman"/>
                <w:color w:val="auto"/>
              </w:rPr>
              <w:t>nf：不同种类的附件总数，无量纲量。</w:t>
            </w:r>
          </w:p>
          <w:p w14:paraId="24ACB695">
            <w:pPr>
              <w:ind w:firstLine="480"/>
              <w:jc w:val="left"/>
              <w:rPr>
                <w:rFonts w:hint="default" w:ascii="Times New Roman" w:hAnsi="Times New Roman" w:eastAsia="宋体" w:cs="Times New Roman"/>
                <w:color w:val="auto"/>
              </w:rPr>
            </w:pPr>
            <w:r>
              <w:rPr>
                <w:rFonts w:hint="default" w:ascii="Times New Roman" w:hAnsi="Times New Roman" w:eastAsia="宋体" w:cs="Times New Roman"/>
                <w:color w:val="auto"/>
              </w:rPr>
              <w:t>④浮盘缝隙损耗</w:t>
            </w:r>
          </w:p>
          <w:p w14:paraId="032302D4">
            <w:pPr>
              <w:ind w:firstLine="480"/>
              <w:jc w:val="left"/>
              <w:rPr>
                <w:rFonts w:hint="default" w:ascii="Times New Roman" w:hAnsi="Times New Roman" w:eastAsia="宋体" w:cs="Times New Roman"/>
                <w:color w:val="auto"/>
              </w:rPr>
            </w:pPr>
            <w:r>
              <w:rPr>
                <w:rFonts w:hint="default" w:ascii="Times New Roman" w:hAnsi="Times New Roman" w:eastAsia="宋体" w:cs="Times New Roman"/>
                <w:color w:val="auto"/>
              </w:rPr>
              <w:t>本项目浮盘经焊接的内浮顶罐和外浮顶罐都没有盘缝损耗，浮盘缝隙损耗为0。</w:t>
            </w:r>
          </w:p>
          <w:p w14:paraId="1B6A2CB5">
            <w:pPr>
              <w:ind w:firstLine="482"/>
              <w:rPr>
                <w:rFonts w:hint="default" w:ascii="Times New Roman" w:hAnsi="Times New Roman" w:eastAsia="宋体" w:cs="Times New Roman"/>
                <w:color w:val="auto"/>
              </w:rPr>
            </w:pPr>
            <w:r>
              <w:rPr>
                <w:rFonts w:hint="default" w:ascii="Times New Roman" w:hAnsi="Times New Roman" w:eastAsia="宋体" w:cs="Times New Roman"/>
                <w:color w:val="auto"/>
              </w:rPr>
              <w:t>B、固定顶罐</w:t>
            </w:r>
          </w:p>
          <w:p w14:paraId="31A3D7FB">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本项目在</w:t>
            </w:r>
            <w:r>
              <w:rPr>
                <w:rFonts w:hint="default" w:ascii="Times New Roman" w:hAnsi="Times New Roman" w:eastAsia="宋体" w:cs="Times New Roman"/>
                <w:color w:val="auto"/>
                <w:lang w:val="en-US" w:eastAsia="zh-CN"/>
              </w:rPr>
              <w:t>丙类储罐2个，每个储罐容积为232m³。</w:t>
            </w:r>
            <w:r>
              <w:rPr>
                <w:rFonts w:hint="default" w:ascii="Times New Roman" w:hAnsi="Times New Roman" w:eastAsia="宋体" w:cs="Times New Roman"/>
                <w:color w:val="auto"/>
              </w:rPr>
              <w:t>罐组为固定顶罐，参考《指南》中的公式，固定顶罐VOC</w:t>
            </w:r>
            <w:r>
              <w:rPr>
                <w:rFonts w:hint="default" w:ascii="Times New Roman" w:hAnsi="Times New Roman" w:eastAsia="宋体" w:cs="Times New Roman"/>
                <w:color w:val="auto"/>
                <w:vertAlign w:val="subscript"/>
              </w:rPr>
              <w:t>S</w:t>
            </w:r>
            <w:r>
              <w:rPr>
                <w:rFonts w:hint="default" w:ascii="Times New Roman" w:hAnsi="Times New Roman" w:eastAsia="宋体" w:cs="Times New Roman"/>
                <w:color w:val="auto"/>
              </w:rPr>
              <w:t>总损耗如下：</w:t>
            </w:r>
          </w:p>
          <w:p w14:paraId="3DD7358F">
            <w:pPr>
              <w:ind w:firstLine="480"/>
              <w:jc w:val="center"/>
              <w:rPr>
                <w:rFonts w:hint="default" w:ascii="Times New Roman" w:hAnsi="Times New Roman" w:eastAsia="宋体" w:cs="Times New Roman"/>
                <w:color w:val="auto"/>
              </w:rPr>
            </w:pPr>
            <w:bookmarkStart w:id="13" w:name="_Ref413912918"/>
            <w:r>
              <w:rPr>
                <w:rFonts w:hint="default" w:ascii="Times New Roman" w:hAnsi="Times New Roman" w:eastAsia="宋体" w:cs="Times New Roman"/>
                <w:color w:val="auto"/>
              </w:rPr>
              <w:object>
                <v:shape id="_x0000_i1026" o:spt="75" type="#_x0000_t75" style="height:22.25pt;width:92.9pt;" o:ole="t" filled="f" stroked="f" coordsize="21600,21600">
                  <v:path/>
                  <v:fill on="f" focussize="0,0"/>
                  <v:stroke on="f"/>
                  <v:imagedata r:id="rId34" o:title=""/>
                  <o:lock v:ext="edit" aspectratio="t"/>
                  <w10:wrap type="none"/>
                  <w10:anchorlock/>
                </v:shape>
                <o:OLEObject Type="Embed" ProgID="Equation.DSMT4" ShapeID="_x0000_i1026" DrawAspect="Content" ObjectID="_1468075725" r:id="rId33">
                  <o:LockedField>false</o:LockedField>
                </o:OLEObject>
              </w:object>
            </w:r>
          </w:p>
          <w:bookmarkEnd w:id="13"/>
          <w:p w14:paraId="0D42DC62">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w:t>
            </w:r>
          </w:p>
          <w:p w14:paraId="09FBFBD1">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E固：固定顶罐总损失，磅/年；</w:t>
            </w:r>
          </w:p>
          <w:p w14:paraId="38C99BF7">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ES：静置损失，磅/年；</w:t>
            </w:r>
          </w:p>
          <w:p w14:paraId="2CCDDE89">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EW：工作损失，磅/年。</w:t>
            </w:r>
          </w:p>
          <w:p w14:paraId="341A2A30">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①静置损失，ES。</w:t>
            </w:r>
          </w:p>
          <w:p w14:paraId="7B3FE543">
            <w:pPr>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27" o:spt="75" type="#_x0000_t75" style="height:21.6pt;width:134.9pt;" o:ole="t" filled="f" stroked="f" coordsize="21600,21600">
                  <v:path/>
                  <v:fill on="f" focussize="0,0"/>
                  <v:stroke on="f"/>
                  <v:imagedata r:id="rId36" o:title=""/>
                  <o:lock v:ext="edit" aspectratio="t"/>
                  <w10:wrap type="none"/>
                  <w10:anchorlock/>
                </v:shape>
                <o:OLEObject Type="Embed" ProgID="Equation.DSMT4" ShapeID="_x0000_i1027" DrawAspect="Content" ObjectID="_1468075726" r:id="rId35">
                  <o:LockedField>false</o:LockedField>
                </o:OLEObject>
              </w:object>
            </w:r>
          </w:p>
          <w:p w14:paraId="2E660CFD">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w:t>
            </w:r>
          </w:p>
          <w:p w14:paraId="044C444D">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ES：静置损失（地下卧式罐的ES取0），磅/年；</w:t>
            </w:r>
          </w:p>
          <w:p w14:paraId="416F706A">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VV：气相空间容积，立方英尺；</w:t>
            </w:r>
          </w:p>
          <w:p w14:paraId="74887027">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WV：储藏气相密度，磅/立方英尺；</w:t>
            </w:r>
          </w:p>
          <w:p w14:paraId="659073A1">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KE：气相空间膨胀因子；</w:t>
            </w:r>
          </w:p>
          <w:p w14:paraId="7B621F2C">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KS：排放蒸气饱和因子，无量纲量。</w:t>
            </w:r>
          </w:p>
          <w:p w14:paraId="5B357229">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立式罐气相空间容积VV：</w:t>
            </w:r>
          </w:p>
          <w:p w14:paraId="5D2414F9">
            <w:pPr>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28" o:spt="75" type="#_x0000_t75" style="height:39.35pt;width:103.05pt;" o:ole="t" filled="f" o:preferrelative="t" stroked="f" coordsize="21600,21600">
                  <v:path/>
                  <v:fill on="f" focussize="0,0"/>
                  <v:stroke on="f"/>
                  <v:imagedata r:id="rId38" o:title=""/>
                  <o:lock v:ext="edit" aspectratio="t"/>
                  <w10:wrap type="none"/>
                  <w10:anchorlock/>
                </v:shape>
                <o:OLEObject Type="Embed" ProgID="Equation.DSMT4" ShapeID="_x0000_i1028" DrawAspect="Content" ObjectID="_1468075727" r:id="rId37">
                  <o:LockedField>false</o:LockedField>
                </o:OLEObject>
              </w:object>
            </w:r>
          </w:p>
          <w:p w14:paraId="769FCBAC">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w:t>
            </w:r>
          </w:p>
          <w:p w14:paraId="0436C972">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VV：气相空间容积，立方英尺；</w:t>
            </w:r>
          </w:p>
          <w:p w14:paraId="4AF4560A">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D：罐径，英尺；</w:t>
            </w:r>
          </w:p>
          <w:p w14:paraId="329AA77B">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HVO：气相空间高度，英尺。</w:t>
            </w:r>
          </w:p>
          <w:p w14:paraId="26C4A90A">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②工作损失，EW。</w:t>
            </w:r>
          </w:p>
          <w:p w14:paraId="71AB13BD">
            <w:pPr>
              <w:adjustRightInd w:val="0"/>
              <w:snapToGrid w:val="0"/>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29" o:spt="75" type="#_x0000_t75" style="height:36.35pt;width:156.55pt;" o:ole="t" filled="f" o:preferrelative="t" stroked="f" coordsize="21600,21600">
                  <v:path/>
                  <v:fill on="f" focussize="0,0"/>
                  <v:stroke on="f"/>
                  <v:imagedata r:id="rId40" o:title=""/>
                  <o:lock v:ext="edit" aspectratio="t"/>
                  <w10:wrap type="none"/>
                  <w10:anchorlock/>
                </v:shape>
                <o:OLEObject Type="Embed" ProgID="Equation.DSMT4" ShapeID="_x0000_i1029" DrawAspect="Content" ObjectID="_1468075728" r:id="rId39">
                  <o:LockedField>false</o:LockedField>
                </o:OLEObject>
              </w:object>
            </w:r>
            <w:r>
              <w:rPr>
                <w:rFonts w:hint="default" w:ascii="Times New Roman" w:hAnsi="Times New Roman" w:eastAsia="宋体" w:cs="Times New Roman"/>
                <w:color w:val="auto"/>
              </w:rPr>
              <w:tab/>
            </w:r>
          </w:p>
          <w:p w14:paraId="24CE85E0">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w:t>
            </w:r>
          </w:p>
          <w:p w14:paraId="0CE2D8C7">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EW：工作损失，磅/年；</w:t>
            </w:r>
          </w:p>
          <w:p w14:paraId="5C8FE52B">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MV：气相分子量，磅/磅-摩尔；</w:t>
            </w:r>
          </w:p>
          <w:p w14:paraId="090C339E">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TLA：日平均液体表面温度，兰氏度；</w:t>
            </w:r>
          </w:p>
          <w:p w14:paraId="50678995">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PVA ：真实蒸气压，磅/平方英寸（绝压）；</w:t>
            </w:r>
          </w:p>
          <w:p w14:paraId="1662F0F7">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Q：年周转量，桶/年；</w:t>
            </w:r>
          </w:p>
          <w:p w14:paraId="0FA9817A">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KP：工作损失产品因子，无量纲量；对于原油KP=0.75；对于其它有机液体KP=1；</w:t>
            </w:r>
          </w:p>
          <w:p w14:paraId="365EADB5">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KN：工作排放周转（饱和）因子，无量纲量；当周转数＞36，KN=（180+N）/6N；当周转数≤36，KN=1；</w:t>
            </w:r>
          </w:p>
          <w:p w14:paraId="20CCD423">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KB</w:t>
            </w:r>
            <w:r>
              <w:rPr>
                <w:rFonts w:hint="default" w:ascii="Times New Roman" w:hAnsi="Times New Roman" w:eastAsia="宋体" w:cs="Times New Roman"/>
                <w:color w:val="auto"/>
              </w:rPr>
              <w:tab/>
            </w:r>
            <w:r>
              <w:rPr>
                <w:rFonts w:hint="default" w:ascii="Times New Roman" w:hAnsi="Times New Roman" w:eastAsia="宋体" w:cs="Times New Roman"/>
                <w:color w:val="auto"/>
              </w:rPr>
              <w:t>呼吸阀工作校正因子。</w:t>
            </w:r>
          </w:p>
          <w:p w14:paraId="067E661A">
            <w:pPr>
              <w:adjustRightInd w:val="0"/>
              <w:snapToGrid w:val="0"/>
              <w:ind w:firstLine="480"/>
              <w:jc w:val="left"/>
              <w:rPr>
                <w:rFonts w:hint="default" w:ascii="Times New Roman" w:hAnsi="Times New Roman" w:eastAsia="宋体" w:cs="Times New Roman"/>
                <w:color w:val="auto"/>
              </w:rPr>
            </w:pPr>
            <w:r>
              <w:rPr>
                <w:rFonts w:hint="default" w:ascii="Times New Roman" w:hAnsi="Times New Roman" w:eastAsia="宋体" w:cs="Times New Roman"/>
                <w:color w:val="auto"/>
              </w:rPr>
              <w:t>当</w:t>
            </w:r>
          </w:p>
          <w:p w14:paraId="0B1857A2">
            <w:pPr>
              <w:adjustRightInd w:val="0"/>
              <w:snapToGrid w:val="0"/>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30" o:spt="75" type="#_x0000_t75" style="height:38.65pt;width:104.85pt;" o:ole="t" filled="f" o:preferrelative="t" stroked="f" coordsize="21600,21600">
                  <v:path/>
                  <v:fill on="f" focussize="0,0"/>
                  <v:stroke on="f"/>
                  <v:imagedata r:id="rId42" o:title=""/>
                  <o:lock v:ext="edit" aspectratio="t"/>
                  <w10:wrap type="none"/>
                  <w10:anchorlock/>
                </v:shape>
                <o:OLEObject Type="Embed" ProgID="Equation.DSMT4" ShapeID="_x0000_i1030" DrawAspect="Content" ObjectID="_1468075729" r:id="rId41">
                  <o:LockedField>false</o:LockedField>
                </o:OLEObject>
              </w:object>
            </w:r>
          </w:p>
          <w:p w14:paraId="723F6917">
            <w:pPr>
              <w:adjustRightInd w:val="0"/>
              <w:snapToGrid w:val="0"/>
              <w:ind w:firstLine="480"/>
              <w:jc w:val="left"/>
              <w:rPr>
                <w:rFonts w:hint="default" w:ascii="Times New Roman" w:hAnsi="Times New Roman" w:eastAsia="宋体" w:cs="Times New Roman"/>
                <w:color w:val="auto"/>
              </w:rPr>
            </w:pPr>
            <w:r>
              <w:rPr>
                <w:rFonts w:hint="default" w:ascii="Times New Roman" w:hAnsi="Times New Roman" w:eastAsia="宋体" w:cs="Times New Roman"/>
                <w:color w:val="auto"/>
              </w:rPr>
              <w:t>时，</w:t>
            </w:r>
          </w:p>
          <w:p w14:paraId="26E3C0AB">
            <w:pPr>
              <w:adjustRightInd w:val="0"/>
              <w:snapToGrid w:val="0"/>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31" o:spt="75" type="#_x0000_t75" style="height:57.1pt;width:106.8pt;" o:ole="t" filled="f" o:preferrelative="t" stroked="f" coordsize="21600,21600">
                  <v:path/>
                  <v:fill on="f" focussize="0,0"/>
                  <v:stroke on="f"/>
                  <v:imagedata r:id="rId44" o:title=""/>
                  <o:lock v:ext="edit" aspectratio="t"/>
                  <w10:wrap type="none"/>
                  <w10:anchorlock/>
                </v:shape>
                <o:OLEObject Type="Embed" ProgID="Equation.DSMT4" ShapeID="_x0000_i1031" DrawAspect="Content" ObjectID="_1468075730" r:id="rId43">
                  <o:LockedField>false</o:LockedField>
                </o:OLEObject>
              </w:object>
            </w:r>
            <w:r>
              <w:rPr>
                <w:rFonts w:hint="default" w:ascii="Times New Roman" w:hAnsi="Times New Roman" w:eastAsia="宋体" w:cs="Times New Roman"/>
                <w:color w:val="auto"/>
              </w:rPr>
              <w:tab/>
            </w:r>
          </w:p>
          <w:p w14:paraId="07669CB3">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w:t>
            </w:r>
          </w:p>
          <w:p w14:paraId="45EF01CD">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KB：呼吸阀校正因子，无量纲量；</w:t>
            </w:r>
          </w:p>
          <w:p w14:paraId="3903EFE5">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PI：正常工况条件下气相空间压力，磅/平方英寸（表压）；</w:t>
            </w:r>
          </w:p>
          <w:p w14:paraId="2E4F1D26">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PI：是一个实际压力（表压），如果处在大气压下（不是真空或处在稳定压力下），PI为0；</w:t>
            </w:r>
          </w:p>
          <w:p w14:paraId="04CAEDDE">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PA：大气压，磅/平方英寸（绝压）；</w:t>
            </w:r>
          </w:p>
          <w:p w14:paraId="0081ABAD">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KN：工作排放周转（饱和）因子，无量纲量；</w:t>
            </w:r>
          </w:p>
          <w:p w14:paraId="17B0D11D">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PVA：日平均液面温度下的蒸气压，磅/平方英寸（绝压）；</w:t>
            </w:r>
          </w:p>
          <w:p w14:paraId="44967819">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PBP：呼吸阀压力设定，磅/平方英寸（表压）。</w:t>
            </w:r>
          </w:p>
          <w:p w14:paraId="0FE7241F">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③计算结果</w:t>
            </w:r>
          </w:p>
          <w:p w14:paraId="21FCC38A">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w:t>
            </w:r>
            <w:r>
              <w:rPr>
                <w:rFonts w:hint="default" w:ascii="Times New Roman" w:hAnsi="Times New Roman" w:eastAsia="宋体" w:cs="Times New Roman"/>
                <w:color w:val="auto"/>
                <w:lang w:val="en-GB"/>
              </w:rPr>
              <w:t>《挥发性有机物无组织排放控制标准》（GB37822-2019）中</w:t>
            </w:r>
            <w:r>
              <w:rPr>
                <w:rFonts w:hint="default" w:ascii="Times New Roman" w:hAnsi="Times New Roman" w:eastAsia="宋体" w:cs="Times New Roman"/>
                <w:color w:val="auto"/>
              </w:rPr>
              <w:t>5.2.2.2</w:t>
            </w:r>
            <w:r>
              <w:rPr>
                <w:rFonts w:hint="default" w:ascii="Times New Roman" w:hAnsi="Times New Roman" w:eastAsia="宋体" w:cs="Times New Roman"/>
                <w:color w:val="auto"/>
                <w:lang w:val="en-GB"/>
              </w:rPr>
              <w:t>要求“储存真实蒸汽压≥</w:t>
            </w:r>
            <w:r>
              <w:rPr>
                <w:rFonts w:hint="default" w:ascii="Times New Roman" w:hAnsi="Times New Roman" w:eastAsia="宋体" w:cs="Times New Roman"/>
                <w:color w:val="auto"/>
              </w:rPr>
              <w:t>27.6kPa但＜76.6kpa且储罐容积≥75</w:t>
            </w:r>
            <w:r>
              <w:rPr>
                <w:rFonts w:hint="default" w:ascii="Times New Roman" w:hAnsi="Times New Roman" w:eastAsia="宋体" w:cs="Times New Roman"/>
                <w:color w:val="auto"/>
                <w:lang w:eastAsia="zh-CN"/>
              </w:rPr>
              <w:t>m³</w:t>
            </w:r>
            <w:r>
              <w:rPr>
                <w:rFonts w:hint="default" w:ascii="Times New Roman" w:hAnsi="Times New Roman" w:eastAsia="宋体" w:cs="Times New Roman"/>
                <w:color w:val="auto"/>
              </w:rPr>
              <w:t>的挥发性有机液体的储罐，以及储存真实蒸汽压</w:t>
            </w:r>
            <w:r>
              <w:rPr>
                <w:rFonts w:hint="default" w:ascii="Times New Roman" w:hAnsi="Times New Roman" w:eastAsia="宋体" w:cs="Times New Roman"/>
                <w:color w:val="auto"/>
                <w:lang w:val="en-GB"/>
              </w:rPr>
              <w:t>≥</w:t>
            </w:r>
            <w:r>
              <w:rPr>
                <w:rFonts w:hint="default" w:ascii="Times New Roman" w:hAnsi="Times New Roman" w:eastAsia="宋体" w:cs="Times New Roman"/>
                <w:color w:val="auto"/>
              </w:rPr>
              <w:t>5.2kPa但＜27.6kpa且储罐容积≥150</w:t>
            </w:r>
            <w:r>
              <w:rPr>
                <w:rFonts w:hint="default" w:ascii="Times New Roman" w:hAnsi="Times New Roman" w:eastAsia="宋体" w:cs="Times New Roman"/>
                <w:color w:val="auto"/>
                <w:lang w:eastAsia="zh-CN"/>
              </w:rPr>
              <w:t>m³</w:t>
            </w:r>
            <w:r>
              <w:rPr>
                <w:rFonts w:hint="default" w:ascii="Times New Roman" w:hAnsi="Times New Roman" w:eastAsia="宋体" w:cs="Times New Roman"/>
                <w:color w:val="auto"/>
              </w:rPr>
              <w:t>的挥发性有机液体的储罐，应符合下a）采用浮顶罐，b）</w:t>
            </w:r>
            <w:r>
              <w:rPr>
                <w:rFonts w:hint="default" w:ascii="Times New Roman" w:hAnsi="Times New Roman" w:eastAsia="宋体" w:cs="Times New Roman"/>
                <w:color w:val="auto"/>
                <w:lang w:val="en-GB"/>
              </w:rPr>
              <w:t>采用固定顶罐，排放的废气应收集处理并满足相关行业标准，或者处理效率不低于</w:t>
            </w:r>
            <w:r>
              <w:rPr>
                <w:rFonts w:hint="default" w:ascii="Times New Roman" w:hAnsi="Times New Roman" w:eastAsia="宋体" w:cs="Times New Roman"/>
                <w:color w:val="auto"/>
              </w:rPr>
              <w:t>90%</w:t>
            </w:r>
            <w:r>
              <w:rPr>
                <w:rFonts w:hint="default" w:ascii="Times New Roman" w:hAnsi="Times New Roman" w:eastAsia="宋体" w:cs="Times New Roman"/>
                <w:color w:val="auto"/>
                <w:lang w:val="en-GB"/>
              </w:rPr>
              <w:t>”。</w:t>
            </w:r>
          </w:p>
          <w:p w14:paraId="6BB064BC">
            <w:pPr>
              <w:pStyle w:val="572"/>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）无组织源强核算：</w:t>
            </w:r>
          </w:p>
          <w:p w14:paraId="0D7D125B">
            <w:pPr>
              <w:pStyle w:val="572"/>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参照《排污许可证申请与核发技术规范石化工业》（HJ853-2017）中设备与管线组件密封点泄漏挥发性有机物年许可排放量按如下公式计算：</w:t>
            </w:r>
          </w:p>
          <w:p w14:paraId="0DFBDB4E">
            <w:pPr>
              <w:pStyle w:val="572"/>
              <w:ind w:firstLine="480"/>
              <w:jc w:val="center"/>
              <w:rPr>
                <w:rFonts w:hint="default" w:ascii="Times New Roman" w:hAnsi="Times New Roman" w:eastAsia="宋体" w:cs="Times New Roman"/>
                <w:color w:val="auto"/>
                <w:lang w:val="en-US" w:eastAsia="zh-CN"/>
              </w:rPr>
            </w:pPr>
            <m:oMathPara>
              <m:oMath>
                <m:sSub>
                  <m:sSubPr>
                    <m:ctrlPr>
                      <w:rPr>
                        <w:rFonts w:hint="default" w:ascii="Cambria Math" w:hAnsi="Cambria Math" w:eastAsia="宋体" w:cs="Times New Roman"/>
                        <w:color w:val="auto"/>
                      </w:rPr>
                    </m:ctrlPr>
                  </m:sSubPr>
                  <m:e>
                    <m:r>
                      <m:rPr>
                        <m:sty m:val="p"/>
                      </m:rPr>
                      <w:rPr>
                        <w:rFonts w:hint="default" w:ascii="Cambria Math" w:hAnsi="Cambria Math" w:eastAsia="宋体" w:cs="Times New Roman"/>
                        <w:color w:val="auto"/>
                      </w:rPr>
                      <m:t>E</m:t>
                    </m:r>
                    <m:ctrlPr>
                      <w:rPr>
                        <w:rFonts w:hint="default" w:ascii="Cambria Math" w:hAnsi="Cambria Math" w:eastAsia="宋体" w:cs="Times New Roman"/>
                        <w:color w:val="auto"/>
                      </w:rPr>
                    </m:ctrlPr>
                  </m:e>
                  <m:sub>
                    <m:r>
                      <m:rPr>
                        <m:sty m:val="p"/>
                      </m:rPr>
                      <w:rPr>
                        <w:rFonts w:hint="default" w:ascii="Cambria Math" w:hAnsi="Cambria Math" w:eastAsia="宋体" w:cs="Times New Roman"/>
                        <w:color w:val="auto"/>
                      </w:rPr>
                      <m:t>设备</m:t>
                    </m:r>
                    <m:ctrlPr>
                      <w:rPr>
                        <w:rFonts w:hint="default" w:ascii="Cambria Math" w:hAnsi="Cambria Math" w:eastAsia="宋体" w:cs="Times New Roman"/>
                        <w:color w:val="auto"/>
                      </w:rPr>
                    </m:ctrlPr>
                  </m:sub>
                </m:sSub>
                <m:r>
                  <m:rPr>
                    <m:sty m:val="p"/>
                  </m:rPr>
                  <w:rPr>
                    <w:rFonts w:hint="default" w:ascii="Cambria Math" w:hAnsi="Cambria Math" w:eastAsia="宋体" w:cs="Times New Roman"/>
                    <w:color w:val="auto"/>
                  </w:rPr>
                  <m:t>=0.003×</m:t>
                </m:r>
                <m:nary>
                  <m:naryPr>
                    <m:chr m:val="∑"/>
                    <m:limLoc m:val="undOvr"/>
                    <m:ctrlPr>
                      <w:rPr>
                        <w:rFonts w:hint="default" w:ascii="Cambria Math" w:hAnsi="Cambria Math" w:eastAsia="宋体" w:cs="Times New Roman"/>
                        <w:color w:val="auto"/>
                      </w:rPr>
                    </m:ctrlPr>
                  </m:naryPr>
                  <m:sub>
                    <m:r>
                      <m:rPr>
                        <m:sty m:val="p"/>
                      </m:rPr>
                      <w:rPr>
                        <w:rFonts w:hint="default" w:ascii="Cambria Math" w:hAnsi="Cambria Math" w:eastAsia="宋体" w:cs="Times New Roman"/>
                        <w:color w:val="auto"/>
                      </w:rPr>
                      <m:t>i=1</m:t>
                    </m:r>
                    <m:ctrlPr>
                      <w:rPr>
                        <w:rFonts w:hint="default" w:ascii="Cambria Math" w:hAnsi="Cambria Math" w:eastAsia="宋体" w:cs="Times New Roman"/>
                        <w:color w:val="auto"/>
                      </w:rPr>
                    </m:ctrlPr>
                  </m:sub>
                  <m:sup>
                    <m:r>
                      <m:rPr>
                        <m:sty m:val="p"/>
                      </m:rPr>
                      <w:rPr>
                        <w:rFonts w:hint="default" w:ascii="Cambria Math" w:hAnsi="Cambria Math" w:eastAsia="宋体" w:cs="Times New Roman"/>
                        <w:color w:val="auto"/>
                      </w:rPr>
                      <m:t>n</m:t>
                    </m:r>
                    <m:ctrlPr>
                      <w:rPr>
                        <w:rFonts w:hint="default" w:ascii="Cambria Math" w:hAnsi="Cambria Math" w:eastAsia="宋体" w:cs="Times New Roman"/>
                        <w:color w:val="auto"/>
                      </w:rPr>
                    </m:ctrlPr>
                  </m:sup>
                  <m:e>
                    <m:d>
                      <m:dPr>
                        <m:ctrlPr>
                          <w:rPr>
                            <w:rFonts w:hint="default" w:ascii="Cambria Math" w:hAnsi="Cambria Math" w:eastAsia="宋体" w:cs="Times New Roman"/>
                            <w:color w:val="auto"/>
                          </w:rPr>
                        </m:ctrlPr>
                      </m:dPr>
                      <m:e>
                        <m:sSub>
                          <m:sSubPr>
                            <m:ctrlPr>
                              <w:rPr>
                                <w:rFonts w:hint="default" w:ascii="Cambria Math" w:hAnsi="Cambria Math" w:eastAsia="宋体" w:cs="Times New Roman"/>
                                <w:color w:val="auto"/>
                              </w:rPr>
                            </m:ctrlPr>
                          </m:sSubPr>
                          <m:e>
                            <m:r>
                              <m:rPr>
                                <m:sty m:val="p"/>
                              </m:rPr>
                              <w:rPr>
                                <w:rFonts w:hint="default" w:ascii="Cambria Math" w:hAnsi="Cambria Math" w:eastAsia="宋体" w:cs="Times New Roman"/>
                                <w:color w:val="auto"/>
                              </w:rPr>
                              <m:t>e</m:t>
                            </m:r>
                            <m:ctrlPr>
                              <w:rPr>
                                <w:rFonts w:hint="default" w:ascii="Cambria Math" w:hAnsi="Cambria Math" w:eastAsia="宋体" w:cs="Times New Roman"/>
                                <w:color w:val="auto"/>
                              </w:rPr>
                            </m:ctrlPr>
                          </m:e>
                          <m:sub>
                            <m:r>
                              <m:rPr>
                                <m:sty m:val="p"/>
                              </m:rPr>
                              <w:rPr>
                                <w:rFonts w:hint="default" w:ascii="Cambria Math" w:hAnsi="Cambria Math" w:eastAsia="宋体" w:cs="Times New Roman"/>
                                <w:color w:val="auto"/>
                              </w:rPr>
                              <m:t>Toc,i</m:t>
                            </m:r>
                            <m:ctrlPr>
                              <w:rPr>
                                <w:rFonts w:hint="default" w:ascii="Cambria Math" w:hAnsi="Cambria Math" w:eastAsia="宋体" w:cs="Times New Roman"/>
                                <w:color w:val="auto"/>
                              </w:rPr>
                            </m:ctrlPr>
                          </m:sub>
                        </m:sSub>
                        <m:r>
                          <m:rPr>
                            <m:sty m:val="p"/>
                          </m:rPr>
                          <w:rPr>
                            <w:rFonts w:hint="default" w:ascii="Cambria Math" w:hAnsi="Cambria Math" w:eastAsia="宋体" w:cs="Times New Roman"/>
                            <w:color w:val="auto"/>
                          </w:rPr>
                          <m:t>×</m:t>
                        </m:r>
                        <m:f>
                          <m:fPr>
                            <m:ctrlPr>
                              <w:rPr>
                                <w:rFonts w:hint="default" w:ascii="Cambria Math" w:hAnsi="Cambria Math" w:eastAsia="宋体" w:cs="Times New Roman"/>
                                <w:color w:val="auto"/>
                              </w:rPr>
                            </m:ctrlPr>
                          </m:fPr>
                          <m:num>
                            <m:sSub>
                              <m:sSubPr>
                                <m:ctrlPr>
                                  <w:rPr>
                                    <w:rFonts w:hint="default" w:ascii="Cambria Math" w:hAnsi="Cambria Math" w:eastAsia="宋体" w:cs="Times New Roman"/>
                                    <w:color w:val="auto"/>
                                  </w:rPr>
                                </m:ctrlPr>
                              </m:sSubPr>
                              <m:e>
                                <m:r>
                                  <m:rPr>
                                    <m:sty m:val="p"/>
                                  </m:rPr>
                                  <w:rPr>
                                    <w:rFonts w:hint="default" w:ascii="Cambria Math" w:hAnsi="Cambria Math" w:eastAsia="宋体" w:cs="Times New Roman"/>
                                    <w:color w:val="auto"/>
                                  </w:rPr>
                                  <m:t>WF</m:t>
                                </m:r>
                                <m:ctrlPr>
                                  <w:rPr>
                                    <w:rFonts w:hint="default" w:ascii="Cambria Math" w:hAnsi="Cambria Math" w:eastAsia="宋体" w:cs="Times New Roman"/>
                                    <w:color w:val="auto"/>
                                  </w:rPr>
                                </m:ctrlPr>
                              </m:e>
                              <m:sub>
                                <m:r>
                                  <m:rPr>
                                    <m:sty m:val="p"/>
                                  </m:rPr>
                                  <w:rPr>
                                    <w:rFonts w:hint="default" w:ascii="Cambria Math" w:hAnsi="Cambria Math" w:eastAsia="宋体" w:cs="Times New Roman"/>
                                    <w:color w:val="auto"/>
                                  </w:rPr>
                                  <m:t>VOCs,i</m:t>
                                </m:r>
                                <m:ctrlPr>
                                  <w:rPr>
                                    <w:rFonts w:hint="default" w:ascii="Cambria Math" w:hAnsi="Cambria Math" w:eastAsia="宋体" w:cs="Times New Roman"/>
                                    <w:color w:val="auto"/>
                                  </w:rPr>
                                </m:ctrlPr>
                              </m:sub>
                            </m:sSub>
                            <m:ctrlPr>
                              <w:rPr>
                                <w:rFonts w:hint="default" w:ascii="Cambria Math" w:hAnsi="Cambria Math" w:eastAsia="宋体" w:cs="Times New Roman"/>
                                <w:color w:val="auto"/>
                              </w:rPr>
                            </m:ctrlPr>
                          </m:num>
                          <m:den>
                            <m:sSub>
                              <m:sSubPr>
                                <m:ctrlPr>
                                  <w:rPr>
                                    <w:rFonts w:hint="default" w:ascii="Cambria Math" w:hAnsi="Cambria Math" w:eastAsia="宋体" w:cs="Times New Roman"/>
                                    <w:color w:val="auto"/>
                                  </w:rPr>
                                </m:ctrlPr>
                              </m:sSubPr>
                              <m:e>
                                <m:r>
                                  <m:rPr>
                                    <m:sty m:val="p"/>
                                  </m:rPr>
                                  <w:rPr>
                                    <w:rFonts w:hint="default" w:ascii="Cambria Math" w:hAnsi="Cambria Math" w:eastAsia="宋体" w:cs="Times New Roman"/>
                                    <w:color w:val="auto"/>
                                  </w:rPr>
                                  <m:t>WF</m:t>
                                </m:r>
                                <m:ctrlPr>
                                  <w:rPr>
                                    <w:rFonts w:hint="default" w:ascii="Cambria Math" w:hAnsi="Cambria Math" w:eastAsia="宋体" w:cs="Times New Roman"/>
                                    <w:color w:val="auto"/>
                                  </w:rPr>
                                </m:ctrlPr>
                              </m:e>
                              <m:sub>
                                <m:r>
                                  <m:rPr>
                                    <m:sty m:val="p"/>
                                  </m:rPr>
                                  <w:rPr>
                                    <w:rFonts w:hint="default" w:ascii="Cambria Math" w:hAnsi="Cambria Math" w:eastAsia="宋体" w:cs="Times New Roman"/>
                                    <w:color w:val="auto"/>
                                  </w:rPr>
                                  <m:t>TOC,i</m:t>
                                </m:r>
                                <m:ctrlPr>
                                  <w:rPr>
                                    <w:rFonts w:hint="default" w:ascii="Cambria Math" w:hAnsi="Cambria Math" w:eastAsia="宋体" w:cs="Times New Roman"/>
                                    <w:color w:val="auto"/>
                                  </w:rPr>
                                </m:ctrlPr>
                              </m:sub>
                            </m:sSub>
                            <m:ctrlPr>
                              <w:rPr>
                                <w:rFonts w:hint="default" w:ascii="Cambria Math" w:hAnsi="Cambria Math" w:eastAsia="宋体" w:cs="Times New Roman"/>
                                <w:color w:val="auto"/>
                              </w:rPr>
                            </m:ctrlPr>
                          </m:den>
                        </m:f>
                        <m:r>
                          <m:rPr>
                            <m:sty m:val="p"/>
                          </m:rPr>
                          <w:rPr>
                            <w:rFonts w:hint="default" w:ascii="Cambria Math" w:hAnsi="Cambria Math" w:eastAsia="宋体" w:cs="Times New Roman"/>
                            <w:color w:val="auto"/>
                          </w:rPr>
                          <m:t>×</m:t>
                        </m:r>
                        <m:sSub>
                          <m:sSubPr>
                            <m:ctrlPr>
                              <w:rPr>
                                <w:rFonts w:hint="default" w:ascii="Cambria Math" w:hAnsi="Cambria Math" w:eastAsia="宋体" w:cs="Times New Roman"/>
                                <w:color w:val="auto"/>
                              </w:rPr>
                            </m:ctrlPr>
                          </m:sSubPr>
                          <m:e>
                            <m:r>
                              <m:rPr>
                                <m:sty m:val="p"/>
                              </m:rPr>
                              <w:rPr>
                                <w:rFonts w:hint="default" w:ascii="Cambria Math" w:hAnsi="Cambria Math" w:eastAsia="宋体" w:cs="Times New Roman"/>
                                <w:color w:val="auto"/>
                              </w:rPr>
                              <m:t>t</m:t>
                            </m:r>
                            <m:ctrlPr>
                              <w:rPr>
                                <w:rFonts w:hint="default" w:ascii="Cambria Math" w:hAnsi="Cambria Math" w:eastAsia="宋体" w:cs="Times New Roman"/>
                                <w:color w:val="auto"/>
                              </w:rPr>
                            </m:ctrlPr>
                          </m:e>
                          <m:sub>
                            <m:r>
                              <m:rPr>
                                <m:sty m:val="p"/>
                              </m:rPr>
                              <w:rPr>
                                <w:rFonts w:hint="default" w:ascii="Cambria Math" w:hAnsi="Cambria Math" w:eastAsia="宋体" w:cs="Times New Roman"/>
                                <w:color w:val="auto"/>
                              </w:rPr>
                              <m:t>i</m:t>
                            </m:r>
                            <m:ctrlPr>
                              <w:rPr>
                                <w:rFonts w:hint="default" w:ascii="Cambria Math" w:hAnsi="Cambria Math" w:eastAsia="宋体" w:cs="Times New Roman"/>
                                <w:color w:val="auto"/>
                              </w:rPr>
                            </m:ctrlPr>
                          </m:sub>
                        </m:sSub>
                        <m:ctrlPr>
                          <w:rPr>
                            <w:rFonts w:hint="default" w:ascii="Cambria Math" w:hAnsi="Cambria Math" w:eastAsia="宋体" w:cs="Times New Roman"/>
                            <w:color w:val="auto"/>
                          </w:rPr>
                        </m:ctrlPr>
                      </m:e>
                    </m:d>
                    <m:ctrlPr>
                      <w:rPr>
                        <w:rFonts w:hint="default" w:ascii="Cambria Math" w:hAnsi="Cambria Math" w:eastAsia="宋体" w:cs="Times New Roman"/>
                        <w:color w:val="auto"/>
                      </w:rPr>
                    </m:ctrlPr>
                  </m:e>
                </m:nary>
              </m:oMath>
            </m:oMathPara>
          </w:p>
          <w:p w14:paraId="2C145835">
            <w:pPr>
              <w:pStyle w:val="572"/>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式中：E设备—设备与管线组件密封垫泄漏的挥发性有机物年许可排放量，kg/a；</w:t>
            </w:r>
          </w:p>
          <w:p w14:paraId="24C0DA99">
            <w:pPr>
              <w:pStyle w:val="572"/>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ti—密封点i的年运行时间，h/a；</w:t>
            </w:r>
          </w:p>
          <w:p w14:paraId="5EC25C9A">
            <w:pPr>
              <w:pStyle w:val="572"/>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eTOC，i—密封点i的总有机碳（TOC）排放速率，kg/h；</w:t>
            </w:r>
          </w:p>
          <w:p w14:paraId="2A9E9B4E">
            <w:pPr>
              <w:pStyle w:val="572"/>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WFVOCs，i—流经密封点i的物料中挥发新给有机物平均质量分数，根据设计文件取值；</w:t>
            </w:r>
          </w:p>
          <w:p w14:paraId="519F4611">
            <w:pPr>
              <w:pStyle w:val="572"/>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WFTOC，i—流经密封点i的物料中总有机碳（TOC）平均质量分数，根据设计文件取值；</w:t>
            </w:r>
          </w:p>
          <w:p w14:paraId="3F0E65A6">
            <w:pPr>
              <w:pStyle w:val="572"/>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n—挥发性有机物流经的设备与管线组件密封点数。</w:t>
            </w:r>
          </w:p>
          <w:p w14:paraId="3AD3D199">
            <w:pPr>
              <w:pStyle w:val="572"/>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根据估算，项目罐区各罐组排放系数按《排污许可证申请与核发技术规范 石化工业》（HJ853-2017）中表4石油化学工业类型选取，气体阀门、开口阀或开口管线、有机液体阀门等设备类型来源于设计资料统计，罐区各罐组VOCS产生计算单见表。</w:t>
            </w:r>
          </w:p>
          <w:p w14:paraId="2C02E124">
            <w:pPr>
              <w:spacing w:line="240" w:lineRule="auto"/>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表4.</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 xml:space="preserve"> 内浮顶罐废气静置损失排放一览表</w:t>
            </w:r>
          </w:p>
          <w:p w14:paraId="2C94FD91">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4C42C215">
            <w:pPr>
              <w:spacing w:line="240" w:lineRule="auto"/>
              <w:ind w:firstLine="0" w:firstLineChars="0"/>
              <w:jc w:val="center"/>
              <w:rPr>
                <w:rFonts w:hint="default" w:ascii="Times New Roman" w:hAnsi="Times New Roman" w:eastAsia="宋体" w:cs="Times New Roman"/>
                <w:color w:val="auto"/>
              </w:rPr>
            </w:pPr>
          </w:p>
          <w:p w14:paraId="4F94EAF4">
            <w:pPr>
              <w:spacing w:line="240" w:lineRule="auto"/>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表4.</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 xml:space="preserve"> 固定顶罐静置损失废气产生一览表</w:t>
            </w:r>
          </w:p>
          <w:p w14:paraId="4D1FDB04">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13D19E59">
            <w:pPr>
              <w:spacing w:line="240" w:lineRule="auto"/>
              <w:ind w:firstLine="0" w:firstLineChars="0"/>
              <w:jc w:val="center"/>
              <w:rPr>
                <w:rFonts w:hint="default" w:ascii="Times New Roman" w:hAnsi="Times New Roman" w:eastAsia="宋体" w:cs="Times New Roman"/>
                <w:color w:val="auto"/>
              </w:rPr>
            </w:pPr>
          </w:p>
          <w:p w14:paraId="3FEE2B53">
            <w:pPr>
              <w:spacing w:line="240" w:lineRule="auto"/>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 </w:t>
            </w:r>
          </w:p>
          <w:p w14:paraId="3A405BDE">
            <w:pPr>
              <w:spacing w:line="240" w:lineRule="auto"/>
              <w:ind w:firstLine="0" w:firstLineChars="0"/>
              <w:jc w:val="center"/>
              <w:rPr>
                <w:rFonts w:hint="default" w:ascii="Times New Roman" w:hAnsi="Times New Roman" w:eastAsia="宋体" w:cs="Times New Roman"/>
                <w:color w:val="auto"/>
              </w:rPr>
            </w:pPr>
          </w:p>
          <w:p w14:paraId="7965E509">
            <w:pPr>
              <w:spacing w:line="240" w:lineRule="auto"/>
              <w:ind w:firstLine="0" w:firstLineChars="0"/>
              <w:jc w:val="center"/>
              <w:rPr>
                <w:rFonts w:hint="default" w:ascii="Times New Roman" w:hAnsi="Times New Roman" w:eastAsia="宋体" w:cs="Times New Roman"/>
                <w:color w:val="auto"/>
              </w:rPr>
            </w:pPr>
          </w:p>
          <w:p w14:paraId="2E83668C">
            <w:pPr>
              <w:spacing w:line="240" w:lineRule="auto"/>
              <w:ind w:firstLine="0" w:firstLineChars="0"/>
              <w:jc w:val="center"/>
              <w:rPr>
                <w:rFonts w:hint="default" w:ascii="Times New Roman" w:hAnsi="Times New Roman" w:eastAsia="宋体" w:cs="Times New Roman"/>
                <w:color w:val="auto"/>
              </w:rPr>
            </w:pPr>
          </w:p>
          <w:p w14:paraId="3E846ADF">
            <w:pPr>
              <w:spacing w:line="240" w:lineRule="auto"/>
              <w:ind w:firstLine="0" w:firstLineChars="0"/>
              <w:jc w:val="center"/>
              <w:rPr>
                <w:rFonts w:hint="default" w:ascii="Times New Roman" w:hAnsi="Times New Roman" w:eastAsia="宋体" w:cs="Times New Roman"/>
                <w:color w:val="auto"/>
              </w:rPr>
            </w:pPr>
          </w:p>
          <w:p w14:paraId="1D2F351F">
            <w:pPr>
              <w:spacing w:line="240" w:lineRule="auto"/>
              <w:ind w:firstLine="0" w:firstLineChars="0"/>
              <w:jc w:val="center"/>
              <w:rPr>
                <w:rFonts w:hint="default" w:ascii="Times New Roman" w:hAnsi="Times New Roman" w:eastAsia="宋体" w:cs="Times New Roman"/>
                <w:color w:val="auto"/>
              </w:rPr>
            </w:pPr>
          </w:p>
          <w:p w14:paraId="7A45B361">
            <w:pPr>
              <w:spacing w:line="240" w:lineRule="auto"/>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表4.</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 xml:space="preserve">-3 </w:t>
            </w:r>
            <w:r>
              <w:rPr>
                <w:rFonts w:hint="default" w:ascii="Times New Roman" w:hAnsi="Times New Roman" w:eastAsia="宋体" w:cs="Times New Roman"/>
                <w:color w:val="auto"/>
                <w:lang w:val="en-US" w:eastAsia="zh-CN"/>
              </w:rPr>
              <w:t>罐区</w:t>
            </w:r>
            <w:r>
              <w:rPr>
                <w:rFonts w:hint="default" w:ascii="Times New Roman" w:hAnsi="Times New Roman" w:eastAsia="宋体" w:cs="Times New Roman"/>
                <w:color w:val="auto"/>
              </w:rPr>
              <w:t>无组织排放源强一览表</w:t>
            </w:r>
          </w:p>
          <w:p w14:paraId="3103D44F">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3BF49334">
            <w:pPr>
              <w:pStyle w:val="190"/>
              <w:spacing w:line="36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注：年运行时间按7920h计。</w:t>
            </w:r>
          </w:p>
          <w:p w14:paraId="4773E64D">
            <w:pPr>
              <w:keepNext w:val="0"/>
              <w:keepLines w:val="0"/>
              <w:widowControl/>
              <w:suppressLineNumbers w:val="0"/>
              <w:jc w:val="left"/>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二、危废间废气</w:t>
            </w:r>
          </w:p>
          <w:p w14:paraId="5AA79CF1">
            <w:pPr>
              <w:keepNext w:val="0"/>
              <w:keepLines w:val="0"/>
              <w:widowControl/>
              <w:suppressLineNumbers w:val="0"/>
              <w:jc w:val="left"/>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本项目危废间主要用于污水处理后的污泥、废活性炭、集装罐残液、废过滤棉、废矿物油等，环评要求危废间按照规范进行建设，所有的液态危废均桶装密封，固态危废均袋装密封，密封后废气产生量较小，本次评价不进行定量分析，要求危废间废气负压收集后进入活性炭吸附（TS002）处理后，经15m排气筒（DA002）排放。</w:t>
            </w:r>
          </w:p>
          <w:p w14:paraId="3C32E824">
            <w:pPr>
              <w:keepNext w:val="0"/>
              <w:keepLines w:val="0"/>
              <w:widowControl/>
              <w:suppressLineNumbers w:val="0"/>
              <w:jc w:val="left"/>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三、洗罐废气</w:t>
            </w:r>
          </w:p>
          <w:p w14:paraId="785312C2">
            <w:pPr>
              <w:keepNext w:val="0"/>
              <w:keepLines w:val="0"/>
              <w:widowControl/>
              <w:suppressLineNumbers w:val="0"/>
              <w:jc w:val="left"/>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项目液态品罐所含物料部分具有挥发性，因此开罐清洗前需将罐顶排气阀对接集气软管，抽吸罐内挥发废气，引至废气处理装置内净化处理。根据同行业类比调查，平均每罐废气产生量约0.35kg（本项目年清洗数量为2000个罐），则合计产生废气约为0.7t/a，其污染因子根据罐种而有所不同，主要的易挥发品种包括</w:t>
            </w:r>
            <w:r>
              <w:rPr>
                <w:rFonts w:hint="default" w:ascii="Times New Roman" w:hAnsi="Times New Roman" w:eastAsia="宋体" w:cs="Times New Roman"/>
                <w:color w:val="auto"/>
                <w:highlight w:val="none"/>
              </w:rPr>
              <w:t>乳胶、多元醇类</w:t>
            </w:r>
            <w:r>
              <w:rPr>
                <w:rFonts w:hint="default" w:ascii="Times New Roman" w:hAnsi="Times New Roman" w:eastAsia="宋体" w:cs="Times New Roman"/>
                <w:color w:val="auto"/>
                <w:kern w:val="2"/>
                <w:sz w:val="24"/>
                <w:szCs w:val="20"/>
                <w:highlight w:val="none"/>
                <w:lang w:val="en-US" w:eastAsia="zh-CN" w:bidi="ar-SA"/>
              </w:rPr>
              <w:t>等丙类及以下化学品（不涉及液氯、无水氟化氢等高剧毒物质的清洗），均按</w:t>
            </w:r>
            <w:r>
              <w:rPr>
                <w:rFonts w:hint="default" w:ascii="Times New Roman" w:hAnsi="Times New Roman" w:eastAsia="宋体" w:cs="Times New Roman"/>
                <w:color w:val="auto"/>
                <w:kern w:val="0"/>
                <w:sz w:val="24"/>
                <w:szCs w:val="24"/>
                <w:highlight w:val="none"/>
                <w:lang w:val="en-US" w:eastAsia="zh-CN" w:bidi="ar"/>
              </w:rPr>
              <w:t>VOCs</w:t>
            </w:r>
            <w:r>
              <w:rPr>
                <w:rFonts w:hint="default" w:ascii="Times New Roman" w:hAnsi="Times New Roman" w:eastAsia="宋体" w:cs="Times New Roman"/>
                <w:color w:val="auto"/>
                <w:kern w:val="2"/>
                <w:sz w:val="24"/>
                <w:szCs w:val="20"/>
                <w:highlight w:val="none"/>
                <w:lang w:val="en-US" w:eastAsia="zh-CN" w:bidi="ar-SA"/>
              </w:rPr>
              <w:t>计。</w:t>
            </w:r>
          </w:p>
          <w:p w14:paraId="323F5CC4">
            <w:pPr>
              <w:keepNext w:val="0"/>
              <w:keepLines w:val="0"/>
              <w:widowControl/>
              <w:suppressLineNumbers w:val="0"/>
              <w:jc w:val="left"/>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上述挥发废气分别经槽车、罐顶呼吸口软管抽吸收集，之后汇总至一套废气处置装置内进行处理，最终通过1根15m高的排气筒（DA003）排放。收集效率按80%计，处理装置处理效率不低于95%，配套总风量为8000m³/h。则挥发废气经处理后，非甲烷总烃有组织排放量为0.056</w:t>
            </w:r>
            <w:r>
              <w:rPr>
                <w:rFonts w:hint="default" w:ascii="Times New Roman" w:hAnsi="Times New Roman" w:eastAsia="宋体" w:cs="Times New Roman"/>
                <w:color w:val="auto"/>
                <w:kern w:val="0"/>
                <w:sz w:val="24"/>
                <w:szCs w:val="24"/>
                <w:highlight w:val="none"/>
                <w:lang w:val="en-US" w:eastAsia="zh-CN" w:bidi="ar"/>
              </w:rPr>
              <w:t>t/a</w:t>
            </w:r>
            <w:r>
              <w:rPr>
                <w:rFonts w:hint="default" w:ascii="Times New Roman" w:hAnsi="Times New Roman" w:eastAsia="宋体" w:cs="Times New Roman"/>
                <w:color w:val="auto"/>
                <w:kern w:val="2"/>
                <w:sz w:val="24"/>
                <w:szCs w:val="20"/>
                <w:highlight w:val="none"/>
                <w:lang w:val="en-US" w:eastAsia="zh-CN" w:bidi="ar-SA"/>
              </w:rPr>
              <w:t>，平均排放浓度为2.652mg/m3，无组织排放量为0.14t/a。</w:t>
            </w:r>
          </w:p>
          <w:p w14:paraId="14AA8939">
            <w:pPr>
              <w:pStyle w:val="543"/>
              <w:ind w:firstLine="480"/>
              <w:jc w:val="center"/>
              <w:rPr>
                <w:rFonts w:hint="default" w:ascii="Times New Roman" w:hAnsi="Times New Roman" w:eastAsia="宋体" w:cs="Times New Roman"/>
                <w:b/>
                <w:bCs/>
                <w:color w:val="auto"/>
                <w:kern w:val="2"/>
                <w:sz w:val="24"/>
                <w:szCs w:val="20"/>
                <w:highlight w:val="none"/>
                <w:lang w:val="en-US" w:eastAsia="zh-CN" w:bidi="ar-SA"/>
              </w:rPr>
            </w:pPr>
            <w:r>
              <w:rPr>
                <w:rFonts w:hint="default" w:ascii="Times New Roman" w:hAnsi="Times New Roman" w:eastAsia="宋体" w:cs="Times New Roman"/>
                <w:b/>
                <w:bCs/>
                <w:color w:val="auto"/>
                <w:highlight w:val="none"/>
                <w:lang w:eastAsia="zh-CN"/>
              </w:rPr>
              <w:t>表4.</w:t>
            </w:r>
            <w:r>
              <w:rPr>
                <w:rFonts w:hint="default" w:ascii="Times New Roman" w:hAnsi="Times New Roman" w:eastAsia="宋体" w:cs="Times New Roman"/>
                <w:b/>
                <w:bCs/>
                <w:color w:val="auto"/>
                <w:highlight w:val="none"/>
                <w:lang w:val="en-US" w:eastAsia="zh-CN"/>
              </w:rPr>
              <w:t>1</w:t>
            </w: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lang w:val="en-US" w:eastAsia="zh-CN"/>
              </w:rPr>
              <w:t>4</w:t>
            </w:r>
            <w:r>
              <w:rPr>
                <w:rFonts w:hint="default" w:ascii="Times New Roman" w:hAnsi="Times New Roman" w:eastAsia="宋体" w:cs="Times New Roman"/>
                <w:b/>
                <w:bCs/>
                <w:color w:val="auto"/>
                <w:highlight w:val="none"/>
                <w:lang w:eastAsia="zh-CN"/>
              </w:rPr>
              <w:t xml:space="preserve"> </w:t>
            </w:r>
            <w:r>
              <w:rPr>
                <w:rFonts w:hint="default" w:ascii="Times New Roman" w:hAnsi="Times New Roman" w:eastAsia="宋体" w:cs="Times New Roman"/>
                <w:b/>
                <w:bCs/>
                <w:color w:val="auto"/>
                <w:highlight w:val="none"/>
                <w:lang w:val="en-US" w:eastAsia="zh-CN"/>
              </w:rPr>
              <w:t>洗罐</w:t>
            </w:r>
            <w:r>
              <w:rPr>
                <w:rFonts w:hint="default" w:ascii="Times New Roman" w:hAnsi="Times New Roman" w:eastAsia="宋体" w:cs="Times New Roman"/>
                <w:b/>
                <w:bCs/>
                <w:color w:val="auto"/>
                <w:highlight w:val="none"/>
                <w:lang w:eastAsia="zh-CN"/>
              </w:rPr>
              <w:t>废气产生及排放情况汇总表</w:t>
            </w:r>
          </w:p>
          <w:p w14:paraId="1A713FBE">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2026CB22">
            <w:pPr>
              <w:pStyle w:val="7"/>
              <w:tabs>
                <w:tab w:val="left" w:pos="5400"/>
              </w:tabs>
              <w:spacing w:before="1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4.2.2废气达标分析</w:t>
            </w:r>
          </w:p>
          <w:p w14:paraId="58B1F2A1">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lang w:val="en-US" w:eastAsia="zh-CN"/>
              </w:rPr>
              <w:t>分装</w:t>
            </w:r>
            <w:r>
              <w:rPr>
                <w:rFonts w:hint="default" w:ascii="Times New Roman" w:hAnsi="Times New Roman" w:eastAsia="宋体" w:cs="Times New Roman"/>
                <w:color w:val="auto"/>
                <w:sz w:val="24"/>
                <w:szCs w:val="24"/>
                <w:lang w:val="en-US" w:eastAsia="zh-CN"/>
              </w:rPr>
              <w:t>、罐区</w:t>
            </w:r>
            <w:r>
              <w:rPr>
                <w:rFonts w:hint="default" w:ascii="Times New Roman" w:hAnsi="Times New Roman" w:eastAsia="宋体" w:cs="Times New Roman"/>
                <w:color w:val="auto"/>
                <w:sz w:val="24"/>
                <w:szCs w:val="24"/>
              </w:rPr>
              <w:t>收集</w:t>
            </w:r>
            <w:r>
              <w:rPr>
                <w:rFonts w:hint="default" w:ascii="Times New Roman" w:hAnsi="Times New Roman" w:eastAsia="宋体" w:cs="Times New Roman"/>
                <w:color w:val="auto"/>
                <w:sz w:val="24"/>
                <w:szCs w:val="24"/>
                <w:lang w:val="en-US" w:eastAsia="zh-CN"/>
              </w:rPr>
              <w:t>后的</w:t>
            </w:r>
            <w:r>
              <w:rPr>
                <w:rFonts w:hint="default" w:ascii="Times New Roman" w:hAnsi="Times New Roman" w:eastAsia="宋体" w:cs="Times New Roman"/>
                <w:color w:val="auto"/>
                <w:sz w:val="24"/>
                <w:szCs w:val="24"/>
              </w:rPr>
              <w:t>废气经“</w:t>
            </w:r>
            <w:r>
              <w:rPr>
                <w:rFonts w:hint="default" w:ascii="Times New Roman" w:hAnsi="Times New Roman" w:eastAsia="宋体" w:cs="Times New Roman"/>
                <w:color w:val="auto"/>
                <w:sz w:val="24"/>
                <w:szCs w:val="24"/>
                <w:lang w:eastAsia="zh-CN"/>
              </w:rPr>
              <w:t>除雾+过滤棉+</w:t>
            </w:r>
            <w:r>
              <w:rPr>
                <w:rFonts w:hint="default" w:ascii="Times New Roman" w:hAnsi="Times New Roman" w:eastAsia="宋体" w:cs="Times New Roman"/>
                <w:color w:val="auto"/>
                <w:sz w:val="24"/>
                <w:szCs w:val="24"/>
                <w:lang w:val="en-US" w:eastAsia="zh-CN"/>
              </w:rPr>
              <w:t>二级</w:t>
            </w:r>
            <w:r>
              <w:rPr>
                <w:rFonts w:hint="default" w:ascii="Times New Roman" w:hAnsi="Times New Roman" w:eastAsia="宋体" w:cs="Times New Roman"/>
                <w:color w:val="auto"/>
                <w:sz w:val="24"/>
                <w:szCs w:val="24"/>
                <w:lang w:eastAsia="zh-CN"/>
              </w:rPr>
              <w:t>活性炭吸附装置</w:t>
            </w:r>
            <w:r>
              <w:rPr>
                <w:rFonts w:hint="default" w:ascii="Times New Roman" w:hAnsi="Times New Roman" w:eastAsia="宋体" w:cs="Times New Roman"/>
                <w:color w:val="auto"/>
                <w:sz w:val="24"/>
                <w:szCs w:val="24"/>
              </w:rPr>
              <w:t>”处理后由15m排气筒排放，</w:t>
            </w:r>
            <w:r>
              <w:rPr>
                <w:rFonts w:hint="default" w:ascii="Times New Roman" w:hAnsi="Times New Roman" w:eastAsia="宋体" w:cs="Times New Roman"/>
                <w:color w:val="auto"/>
                <w:sz w:val="24"/>
                <w:szCs w:val="24"/>
                <w:highlight w:val="none"/>
              </w:rPr>
              <w:t>其排放符合</w:t>
            </w:r>
            <w:r>
              <w:rPr>
                <w:rFonts w:hint="default" w:ascii="Times New Roman" w:hAnsi="Times New Roman" w:eastAsia="宋体" w:cs="Times New Roman"/>
                <w:color w:val="auto"/>
                <w:kern w:val="2"/>
                <w:sz w:val="24"/>
                <w:szCs w:val="24"/>
                <w:lang w:val="en-US" w:eastAsia="zh-CN" w:bidi="ar-SA"/>
              </w:rPr>
              <w:t>《储油库大气污染物排放标准》（GB20950—2020）表1</w:t>
            </w:r>
            <w:r>
              <w:rPr>
                <w:rFonts w:hint="default" w:ascii="Times New Roman" w:hAnsi="Times New Roman" w:eastAsia="宋体" w:cs="Times New Roman"/>
                <w:color w:val="auto"/>
                <w:sz w:val="24"/>
                <w:szCs w:val="24"/>
                <w:highlight w:val="none"/>
              </w:rPr>
              <w:t>标准限值的要求（</w:t>
            </w:r>
            <w:r>
              <w:rPr>
                <w:rFonts w:hint="default" w:ascii="Times New Roman" w:hAnsi="Times New Roman" w:eastAsia="宋体" w:cs="Times New Roman"/>
                <w:color w:val="auto"/>
                <w:sz w:val="24"/>
                <w:szCs w:val="24"/>
                <w:highlight w:val="none"/>
                <w:lang w:val="en-US" w:eastAsia="zh-CN"/>
              </w:rPr>
              <w:t>非甲烷总</w:t>
            </w:r>
            <w:r>
              <w:rPr>
                <w:rFonts w:hint="default" w:ascii="Times New Roman" w:hAnsi="Times New Roman" w:eastAsia="宋体" w:cs="Times New Roman"/>
                <w:color w:val="auto"/>
                <w:sz w:val="24"/>
                <w:szCs w:val="24"/>
                <w:lang w:val="en-US" w:eastAsia="zh-CN"/>
              </w:rPr>
              <w:t>烃</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rPr>
              <w:t>mg/m³，处理效率≥95%）</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洗罐车间废气经“</w:t>
            </w:r>
            <w:r>
              <w:rPr>
                <w:rFonts w:hint="default" w:ascii="Times New Roman" w:hAnsi="Times New Roman" w:eastAsia="宋体" w:cs="Times New Roman"/>
                <w:color w:val="auto"/>
                <w:kern w:val="2"/>
                <w:sz w:val="24"/>
                <w:szCs w:val="24"/>
                <w:highlight w:val="none"/>
                <w:lang w:val="en-US" w:eastAsia="zh-CN" w:bidi="ar-SA"/>
              </w:rPr>
              <w:t>除雾除湿+二级活性炭吸附+15m高排气筒</w:t>
            </w:r>
            <w:r>
              <w:rPr>
                <w:rFonts w:hint="default" w:ascii="Times New Roman" w:hAnsi="Times New Roman" w:eastAsia="宋体" w:cs="Times New Roman"/>
                <w:color w:val="auto"/>
                <w:sz w:val="24"/>
                <w:szCs w:val="24"/>
                <w:lang w:val="en-US" w:eastAsia="zh-CN"/>
              </w:rPr>
              <w:t>”处理，达到</w:t>
            </w:r>
            <w:r>
              <w:rPr>
                <w:rFonts w:hint="default" w:ascii="Times New Roman" w:hAnsi="Times New Roman" w:eastAsia="宋体" w:cs="Times New Roman"/>
                <w:color w:val="auto"/>
                <w:sz w:val="24"/>
                <w:szCs w:val="24"/>
              </w:rPr>
              <w:t>《工业企业挥发性有机物排放标准》（DB35/1782-2018）中表</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非甲烷总烃排放浓度</w:t>
            </w:r>
            <w:r>
              <w:rPr>
                <w:rFonts w:hint="default" w:ascii="Times New Roman" w:hAnsi="Times New Roman" w:eastAsia="宋体" w:cs="Times New Roman"/>
                <w:color w:val="auto"/>
                <w:sz w:val="24"/>
                <w:szCs w:val="24"/>
                <w:highlight w:val="none"/>
                <w:lang w:val="en-US" w:eastAsia="zh-CN"/>
              </w:rPr>
              <w:t>≤100mg/</w:t>
            </w:r>
            <w:r>
              <w:rPr>
                <w:rFonts w:hint="default" w:ascii="Times New Roman" w:hAnsi="Times New Roman" w:eastAsia="宋体" w:cs="Times New Roman"/>
                <w:color w:val="auto"/>
                <w:sz w:val="24"/>
                <w:szCs w:val="24"/>
                <w:highlight w:val="none"/>
                <w:shd w:val="clear" w:color="auto" w:fill="FFFFFF"/>
                <w:lang w:eastAsia="zh-CN"/>
              </w:rPr>
              <w:t>m³</w:t>
            </w:r>
            <w:r>
              <w:rPr>
                <w:rFonts w:hint="default" w:ascii="Times New Roman" w:hAnsi="Times New Roman" w:eastAsia="宋体" w:cs="Times New Roman"/>
                <w:color w:val="auto"/>
                <w:sz w:val="24"/>
                <w:szCs w:val="24"/>
                <w:highlight w:val="none"/>
                <w:lang w:val="en-US" w:eastAsia="zh-CN"/>
              </w:rPr>
              <w:t>；排放速率≤1.8kg/h。</w:t>
            </w:r>
            <w:r>
              <w:rPr>
                <w:rFonts w:hint="default" w:ascii="Times New Roman" w:hAnsi="Times New Roman" w:eastAsia="宋体" w:cs="Times New Roman"/>
                <w:color w:val="auto"/>
                <w:sz w:val="24"/>
                <w:szCs w:val="24"/>
              </w:rPr>
              <w:t>项目废气达标排放，对项目周围环境可接受。</w:t>
            </w:r>
          </w:p>
          <w:p w14:paraId="01257A47">
            <w:pPr>
              <w:pStyle w:val="7"/>
              <w:tabs>
                <w:tab w:val="left" w:pos="5400"/>
              </w:tabs>
              <w:spacing w:before="1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4.2.3废气治理措施可行性</w:t>
            </w:r>
          </w:p>
          <w:p w14:paraId="660CBB8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ottom"/>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①工艺流程</w:t>
            </w:r>
          </w:p>
          <w:p w14:paraId="356F3702">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02EB6729">
            <w:pPr>
              <w:spacing w:line="360" w:lineRule="auto"/>
              <w:ind w:firstLine="480" w:firstLineChars="200"/>
              <w:rPr>
                <w:rFonts w:hint="default" w:ascii="Times New Roman" w:hAnsi="Times New Roman" w:eastAsia="宋体" w:cs="Times New Roman"/>
                <w:color w:val="auto"/>
                <w:sz w:val="24"/>
                <w:highlight w:val="none"/>
              </w:rPr>
            </w:pPr>
          </w:p>
          <w:p w14:paraId="488B8DED">
            <w:pPr>
              <w:keepNext w:val="0"/>
              <w:keepLines w:val="0"/>
              <w:widowControl/>
              <w:suppressLineNumbers w:val="0"/>
              <w:jc w:val="left"/>
              <w:rPr>
                <w:rFonts w:hint="default" w:ascii="Times New Roman" w:hAnsi="Times New Roman" w:eastAsia="宋体" w:cs="Times New Roman"/>
                <w:color w:val="auto"/>
                <w:sz w:val="24"/>
                <w:szCs w:val="24"/>
              </w:rPr>
            </w:pPr>
          </w:p>
          <w:p w14:paraId="582978FC">
            <w:pPr>
              <w:spacing w:line="351"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szCs w:val="24"/>
                <w:highlight w:val="none"/>
                <w:lang w:val="en-US" w:eastAsia="zh-CN"/>
              </w:rPr>
              <w:t>通过上述设施，可将废气中的污染物进一步削减，从而控制</w:t>
            </w:r>
            <w:r>
              <w:rPr>
                <w:rFonts w:hint="default" w:ascii="Times New Roman" w:hAnsi="Times New Roman" w:eastAsia="宋体" w:cs="Times New Roman"/>
                <w:bCs/>
                <w:color w:val="auto"/>
                <w:sz w:val="24"/>
                <w:highlight w:val="none"/>
                <w:lang w:val="en-US" w:eastAsia="zh-CN"/>
              </w:rPr>
              <w:t>废气污染物排放量。故有组织废气措施可行。</w:t>
            </w:r>
          </w:p>
          <w:p w14:paraId="0363A083">
            <w:pPr>
              <w:pStyle w:val="2"/>
              <w:rPr>
                <w:rFonts w:hint="default" w:ascii="Times New Roman" w:hAnsi="Times New Roman" w:eastAsia="宋体" w:cs="Times New Roman"/>
                <w:bCs/>
                <w:color w:val="auto"/>
                <w:sz w:val="24"/>
                <w:highlight w:val="none"/>
                <w:lang w:val="en-US" w:eastAsia="zh-CN"/>
              </w:rPr>
            </w:pPr>
          </w:p>
          <w:p w14:paraId="2B6FFF6C">
            <w:pPr>
              <w:pStyle w:val="3"/>
              <w:rPr>
                <w:rFonts w:hint="default" w:ascii="Times New Roman" w:hAnsi="Times New Roman" w:eastAsia="宋体" w:cs="Times New Roman"/>
                <w:bCs/>
                <w:color w:val="auto"/>
                <w:sz w:val="24"/>
                <w:highlight w:val="none"/>
                <w:lang w:val="en-US" w:eastAsia="zh-CN"/>
              </w:rPr>
            </w:pPr>
          </w:p>
          <w:p w14:paraId="56D468FC">
            <w:pPr>
              <w:rPr>
                <w:rFonts w:hint="default" w:ascii="Times New Roman" w:hAnsi="Times New Roman" w:eastAsia="宋体" w:cs="Times New Roman"/>
                <w:color w:val="auto"/>
              </w:rPr>
            </w:pPr>
          </w:p>
          <w:p w14:paraId="5584AA9E">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p>
        </w:tc>
      </w:tr>
    </w:tbl>
    <w:p w14:paraId="7A6BF1B2">
      <w:pPr>
        <w:rPr>
          <w:rFonts w:hint="default" w:ascii="Times New Roman" w:hAnsi="Times New Roman" w:eastAsia="宋体" w:cs="Times New Roman"/>
          <w:color w:val="auto"/>
        </w:rPr>
        <w:sectPr>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26" w:charSpace="0"/>
        </w:sectPr>
      </w:pPr>
    </w:p>
    <w:tbl>
      <w:tblPr>
        <w:tblStyle w:val="48"/>
        <w:tblW w:w="502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13625"/>
        <w:gridCol w:w="296"/>
      </w:tblGrid>
      <w:tr w14:paraId="779C50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104" w:type="pct"/>
            <w:noWrap w:val="0"/>
            <w:tcMar>
              <w:left w:w="28" w:type="dxa"/>
              <w:right w:w="28" w:type="dxa"/>
            </w:tcMar>
            <w:vAlign w:val="center"/>
          </w:tcPr>
          <w:p w14:paraId="393EAF01">
            <w:pPr>
              <w:adjustRightInd w:val="0"/>
              <w:snapToGrid w:val="0"/>
              <w:ind w:firstLine="0" w:firstLineChars="0"/>
              <w:jc w:val="center"/>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运营</w:t>
            </w:r>
          </w:p>
          <w:p w14:paraId="1A39CA02">
            <w:pPr>
              <w:adjustRightInd w:val="0"/>
              <w:snapToGrid w:val="0"/>
              <w:ind w:firstLine="0" w:firstLineChars="0"/>
              <w:jc w:val="center"/>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期环</w:t>
            </w:r>
          </w:p>
          <w:p w14:paraId="3025D427">
            <w:pPr>
              <w:adjustRightInd w:val="0"/>
              <w:snapToGrid w:val="0"/>
              <w:ind w:firstLine="0" w:firstLineChars="0"/>
              <w:jc w:val="center"/>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境影</w:t>
            </w:r>
          </w:p>
          <w:p w14:paraId="6BA05BE6">
            <w:pPr>
              <w:adjustRightInd w:val="0"/>
              <w:snapToGrid w:val="0"/>
              <w:ind w:firstLine="0" w:firstLineChars="0"/>
              <w:jc w:val="center"/>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响和</w:t>
            </w:r>
          </w:p>
          <w:p w14:paraId="5A067B05">
            <w:pPr>
              <w:adjustRightInd w:val="0"/>
              <w:snapToGrid w:val="0"/>
              <w:ind w:firstLine="0" w:firstLineChars="0"/>
              <w:jc w:val="center"/>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保护</w:t>
            </w:r>
          </w:p>
          <w:p w14:paraId="5E9F3D0E">
            <w:pPr>
              <w:adjustRightInd w:val="0"/>
              <w:snapToGrid w:val="0"/>
              <w:ind w:firstLine="0" w:firstLineChars="0"/>
              <w:jc w:val="center"/>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措施</w:t>
            </w:r>
          </w:p>
        </w:tc>
        <w:tc>
          <w:tcPr>
            <w:tcW w:w="4790" w:type="pct"/>
            <w:noWrap w:val="0"/>
            <w:vAlign w:val="center"/>
          </w:tcPr>
          <w:p w14:paraId="0D64C7CC">
            <w:pPr>
              <w:widowControl w:val="0"/>
              <w:spacing w:line="240" w:lineRule="auto"/>
              <w:ind w:firstLine="480" w:firstLineChars="0"/>
              <w:jc w:val="center"/>
              <w:rPr>
                <w:rFonts w:hint="default" w:ascii="Times New Roman" w:hAnsi="Times New Roman" w:eastAsia="宋体" w:cs="Times New Roman"/>
                <w:b/>
                <w:color w:val="auto"/>
                <w:kern w:val="0"/>
                <w:sz w:val="20"/>
                <w:szCs w:val="20"/>
                <w:highlight w:val="none"/>
                <w:lang w:val="en-US" w:eastAsia="zh-CN" w:bidi="ar-SA"/>
              </w:rPr>
            </w:pPr>
            <w:r>
              <w:rPr>
                <w:rFonts w:hint="default" w:ascii="Times New Roman" w:hAnsi="Times New Roman" w:eastAsia="宋体" w:cs="Times New Roman"/>
                <w:b/>
                <w:color w:val="auto"/>
                <w:kern w:val="0"/>
                <w:sz w:val="20"/>
                <w:szCs w:val="20"/>
                <w:highlight w:val="none"/>
                <w:lang w:val="en-US" w:eastAsia="zh-CN" w:bidi="ar-SA"/>
              </w:rPr>
              <w:t>表4.1-5  废气污染源源强核算结果及相关参数一览表</w:t>
            </w:r>
          </w:p>
          <w:p w14:paraId="625DD5E7">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202F6B1D">
            <w:pPr>
              <w:widowControl w:val="0"/>
              <w:spacing w:line="240" w:lineRule="auto"/>
              <w:ind w:firstLine="480" w:firstLineChars="0"/>
              <w:jc w:val="center"/>
              <w:rPr>
                <w:rFonts w:hint="default" w:ascii="Times New Roman" w:hAnsi="Times New Roman" w:eastAsia="宋体" w:cs="Times New Roman"/>
                <w:b/>
                <w:color w:val="auto"/>
                <w:kern w:val="0"/>
                <w:sz w:val="20"/>
                <w:szCs w:val="20"/>
                <w:lang w:val="en-US" w:eastAsia="zh-CN" w:bidi="ar-SA"/>
              </w:rPr>
            </w:pPr>
          </w:p>
          <w:p w14:paraId="0DECC658">
            <w:pPr>
              <w:adjustRightInd w:val="0"/>
              <w:snapToGrid w:val="0"/>
              <w:ind w:firstLine="0" w:firstLineChars="0"/>
              <w:jc w:val="center"/>
              <w:rPr>
                <w:rFonts w:hint="default" w:ascii="Times New Roman" w:hAnsi="Times New Roman" w:eastAsia="宋体" w:cs="Times New Roman"/>
                <w:color w:val="auto"/>
                <w:szCs w:val="22"/>
              </w:rPr>
            </w:pPr>
          </w:p>
        </w:tc>
        <w:tc>
          <w:tcPr>
            <w:tcW w:w="104" w:type="pct"/>
            <w:noWrap w:val="0"/>
            <w:vAlign w:val="center"/>
          </w:tcPr>
          <w:p w14:paraId="462D1FCC">
            <w:pPr>
              <w:adjustRightInd w:val="0"/>
              <w:snapToGrid w:val="0"/>
              <w:ind w:firstLine="0" w:firstLineChars="0"/>
              <w:rPr>
                <w:rFonts w:hint="default" w:ascii="Times New Roman" w:hAnsi="Times New Roman" w:eastAsia="宋体" w:cs="Times New Roman"/>
                <w:color w:val="auto"/>
                <w:szCs w:val="22"/>
              </w:rPr>
            </w:pPr>
          </w:p>
        </w:tc>
      </w:tr>
    </w:tbl>
    <w:p w14:paraId="3371327B">
      <w:pPr>
        <w:pStyle w:val="2"/>
        <w:rPr>
          <w:rFonts w:hint="default" w:ascii="Times New Roman" w:hAnsi="Times New Roman" w:eastAsia="宋体" w:cs="Times New Roman"/>
          <w:color w:val="auto"/>
        </w:rPr>
        <w:sectPr>
          <w:pgSz w:w="16838" w:h="11906" w:orient="landscape"/>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26" w:charSpace="0"/>
        </w:sectPr>
      </w:pPr>
    </w:p>
    <w:p w14:paraId="566B7AE2">
      <w:pPr>
        <w:pStyle w:val="3"/>
        <w:rPr>
          <w:rFonts w:hint="default" w:ascii="Times New Roman" w:hAnsi="Times New Roman" w:eastAsia="宋体" w:cs="Times New Roman"/>
          <w:color w:val="auto"/>
        </w:rPr>
      </w:pPr>
    </w:p>
    <w:tbl>
      <w:tblPr>
        <w:tblStyle w:val="48"/>
        <w:tblW w:w="93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9"/>
        <w:gridCol w:w="8757"/>
      </w:tblGrid>
      <w:tr w14:paraId="378B94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29" w:type="dxa"/>
            <w:tcMar>
              <w:left w:w="28" w:type="dxa"/>
              <w:right w:w="28" w:type="dxa"/>
            </w:tcMar>
            <w:vAlign w:val="center"/>
          </w:tcPr>
          <w:p w14:paraId="50915512">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运营</w:t>
            </w:r>
          </w:p>
          <w:p w14:paraId="62D1893B">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期环</w:t>
            </w:r>
          </w:p>
          <w:p w14:paraId="1491D57B">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境影</w:t>
            </w:r>
          </w:p>
          <w:p w14:paraId="62B78043">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响和</w:t>
            </w:r>
          </w:p>
          <w:p w14:paraId="615F1C55">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w:t>
            </w:r>
          </w:p>
          <w:p w14:paraId="4817F99B">
            <w:pPr>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措施</w:t>
            </w:r>
          </w:p>
        </w:tc>
        <w:tc>
          <w:tcPr>
            <w:tcW w:w="8757" w:type="dxa"/>
            <w:vAlign w:val="top"/>
          </w:tcPr>
          <w:p w14:paraId="24F6BE76">
            <w:pPr>
              <w:pStyle w:val="6"/>
              <w:spacing w:before="120" w:after="120"/>
              <w:outlineLvl w:val="1"/>
              <w:rPr>
                <w:rFonts w:hint="default" w:ascii="Times New Roman" w:hAnsi="Times New Roman" w:eastAsia="宋体" w:cs="Times New Roman"/>
                <w:color w:val="auto"/>
              </w:rPr>
            </w:pPr>
            <w:r>
              <w:rPr>
                <w:rFonts w:hint="default" w:ascii="Times New Roman" w:hAnsi="Times New Roman" w:eastAsia="宋体" w:cs="Times New Roman"/>
                <w:color w:val="auto"/>
              </w:rPr>
              <w:t>4.2废水</w:t>
            </w:r>
          </w:p>
          <w:p w14:paraId="595914F1">
            <w:pPr>
              <w:pStyle w:val="7"/>
              <w:spacing w:before="120" w:after="120"/>
              <w:outlineLvl w:val="2"/>
              <w:rPr>
                <w:rFonts w:hint="default" w:ascii="Times New Roman" w:hAnsi="Times New Roman" w:eastAsia="宋体" w:cs="Times New Roman"/>
                <w:color w:val="auto"/>
              </w:rPr>
            </w:pPr>
            <w:r>
              <w:rPr>
                <w:rFonts w:hint="default" w:ascii="Times New Roman" w:hAnsi="Times New Roman" w:eastAsia="宋体" w:cs="Times New Roman"/>
                <w:color w:val="auto"/>
              </w:rPr>
              <w:t>4.2.1废水源强</w:t>
            </w:r>
          </w:p>
          <w:p w14:paraId="541E77D5">
            <w:pPr>
              <w:pStyle w:val="44"/>
              <w:widowControl w:val="0"/>
              <w:tabs>
                <w:tab w:val="center" w:pos="3972"/>
              </w:tabs>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1、生活污水</w:t>
            </w:r>
          </w:p>
          <w:p w14:paraId="50C79450">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生活污水为职员</w:t>
            </w:r>
            <w:r>
              <w:rPr>
                <w:rFonts w:hint="default" w:ascii="Times New Roman" w:hAnsi="Times New Roman" w:eastAsia="宋体" w:cs="Times New Roman"/>
                <w:color w:val="auto"/>
                <w:highlight w:val="none"/>
                <w:lang w:val="en-US" w:eastAsia="zh-CN"/>
              </w:rPr>
              <w:t>办公产生</w:t>
            </w:r>
            <w:r>
              <w:rPr>
                <w:rFonts w:hint="default" w:ascii="Times New Roman" w:hAnsi="Times New Roman" w:eastAsia="宋体" w:cs="Times New Roman"/>
                <w:color w:val="auto"/>
                <w:highlight w:val="none"/>
              </w:rPr>
              <w:t>。项目定员</w:t>
            </w:r>
            <w:r>
              <w:rPr>
                <w:rFonts w:hint="default" w:ascii="Times New Roman" w:hAnsi="Times New Roman" w:eastAsia="宋体" w:cs="Times New Roman"/>
                <w:color w:val="auto"/>
                <w:highlight w:val="none"/>
                <w:lang w:val="en-US" w:eastAsia="zh-CN"/>
              </w:rPr>
              <w:t>50</w:t>
            </w:r>
            <w:r>
              <w:rPr>
                <w:rFonts w:hint="default" w:ascii="Times New Roman" w:hAnsi="Times New Roman" w:eastAsia="宋体" w:cs="Times New Roman"/>
                <w:color w:val="auto"/>
                <w:highlight w:val="none"/>
              </w:rPr>
              <w:t>人（不住厂），年工作3</w:t>
            </w:r>
            <w:r>
              <w:rPr>
                <w:rFonts w:hint="default" w:ascii="Times New Roman" w:hAnsi="Times New Roman" w:eastAsia="宋体" w:cs="Times New Roman"/>
                <w:color w:val="auto"/>
                <w:highlight w:val="none"/>
                <w:lang w:val="en-US" w:eastAsia="zh-CN"/>
              </w:rPr>
              <w:t>30</w:t>
            </w:r>
            <w:r>
              <w:rPr>
                <w:rFonts w:hint="default" w:ascii="Times New Roman" w:hAnsi="Times New Roman" w:eastAsia="宋体" w:cs="Times New Roman"/>
                <w:color w:val="auto"/>
                <w:highlight w:val="none"/>
              </w:rPr>
              <w:t>天</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szCs w:val="18"/>
              </w:rPr>
              <w:t>采用三班制，每班8小时，连续作业，参照《建设给排水设计规范》（GB50015-2010），人均生活用水量以80L/d计，</w:t>
            </w:r>
            <w:r>
              <w:rPr>
                <w:rFonts w:hint="default" w:ascii="Times New Roman" w:hAnsi="Times New Roman" w:eastAsia="宋体" w:cs="Times New Roman"/>
                <w:color w:val="auto"/>
                <w:highlight w:val="none"/>
              </w:rPr>
              <w:t>则项目生活用水量为</w:t>
            </w:r>
            <w:r>
              <w:rPr>
                <w:rFonts w:hint="default" w:ascii="Times New Roman" w:hAnsi="Times New Roman" w:eastAsia="宋体" w:cs="Times New Roman"/>
                <w:color w:val="auto"/>
                <w:highlight w:val="none"/>
                <w:lang w:val="en-US" w:eastAsia="zh-CN"/>
              </w:rPr>
              <w:t>1320</w:t>
            </w:r>
            <w:r>
              <w:rPr>
                <w:rFonts w:hint="default" w:ascii="Times New Roman" w:hAnsi="Times New Roman" w:eastAsia="宋体" w:cs="Times New Roman"/>
                <w:color w:val="auto"/>
                <w:highlight w:val="none"/>
              </w:rPr>
              <w:t>t/a，排水量按用水量的80%计，则排水量为</w:t>
            </w:r>
            <w:r>
              <w:rPr>
                <w:rFonts w:hint="default" w:ascii="Times New Roman" w:hAnsi="Times New Roman" w:eastAsia="宋体" w:cs="Times New Roman"/>
                <w:color w:val="auto"/>
                <w:highlight w:val="none"/>
                <w:lang w:val="en-US" w:eastAsia="zh-CN"/>
              </w:rPr>
              <w:t>1056</w:t>
            </w:r>
            <w:r>
              <w:rPr>
                <w:rFonts w:hint="default" w:ascii="Times New Roman" w:hAnsi="Times New Roman" w:eastAsia="宋体" w:cs="Times New Roman"/>
                <w:color w:val="auto"/>
                <w:highlight w:val="none"/>
              </w:rPr>
              <w:t>t/a。生活污水经厂区</w:t>
            </w:r>
            <w:r>
              <w:rPr>
                <w:rFonts w:hint="default" w:ascii="Times New Roman" w:hAnsi="Times New Roman" w:eastAsia="宋体" w:cs="Times New Roman"/>
                <w:color w:val="auto"/>
                <w:highlight w:val="none"/>
                <w:lang w:val="en-US" w:eastAsia="zh-CN"/>
              </w:rPr>
              <w:t>地埋式三级</w:t>
            </w:r>
            <w:r>
              <w:rPr>
                <w:rFonts w:hint="default" w:ascii="Times New Roman" w:hAnsi="Times New Roman" w:eastAsia="宋体" w:cs="Times New Roman"/>
                <w:color w:val="auto"/>
                <w:highlight w:val="none"/>
              </w:rPr>
              <w:t>化粪池处理后接入</w:t>
            </w:r>
            <w:r>
              <w:rPr>
                <w:rFonts w:hint="default" w:ascii="Times New Roman" w:hAnsi="Times New Roman" w:eastAsia="宋体" w:cs="Times New Roman"/>
                <w:color w:val="auto"/>
                <w:highlight w:val="none"/>
                <w:lang w:eastAsia="zh-CN"/>
              </w:rPr>
              <w:t>江阴污水处理厂</w:t>
            </w:r>
            <w:r>
              <w:rPr>
                <w:rFonts w:hint="default" w:ascii="Times New Roman" w:hAnsi="Times New Roman" w:eastAsia="宋体" w:cs="Times New Roman"/>
                <w:color w:val="auto"/>
                <w:highlight w:val="none"/>
              </w:rPr>
              <w:t>进行深度处理。</w:t>
            </w:r>
          </w:p>
          <w:p w14:paraId="03794CAD">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生活污水主要是职工冲厕、洗涤用水等，有机物含量较高，参考《给排水设计手册》（第五册城镇排水）典型生活污水水质，确定本项目污水污染物浓度为：COD</w:t>
            </w:r>
            <w:r>
              <w:rPr>
                <w:rFonts w:hint="default" w:ascii="Times New Roman" w:hAnsi="Times New Roman" w:eastAsia="宋体" w:cs="Times New Roman"/>
                <w:color w:val="auto"/>
                <w:highlight w:val="none"/>
                <w:vertAlign w:val="subscript"/>
              </w:rPr>
              <w:t>Cr</w:t>
            </w:r>
            <w:r>
              <w:rPr>
                <w:rFonts w:hint="default" w:ascii="Times New Roman" w:hAnsi="Times New Roman" w:eastAsia="宋体" w:cs="Times New Roman"/>
                <w:color w:val="auto"/>
                <w:highlight w:val="none"/>
              </w:rPr>
              <w:t>400mg/L、BOD</w:t>
            </w:r>
            <w:r>
              <w:rPr>
                <w:rFonts w:hint="default" w:ascii="Times New Roman" w:hAnsi="Times New Roman" w:eastAsia="宋体" w:cs="Times New Roman"/>
                <w:color w:val="auto"/>
                <w:highlight w:val="none"/>
                <w:vertAlign w:val="subscript"/>
              </w:rPr>
              <w:t>5</w:t>
            </w:r>
            <w:r>
              <w:rPr>
                <w:rFonts w:hint="default" w:ascii="Times New Roman" w:hAnsi="Times New Roman" w:eastAsia="宋体" w:cs="Times New Roman"/>
                <w:color w:val="auto"/>
                <w:highlight w:val="none"/>
              </w:rPr>
              <w:t>250mg/L、氨氮35mg/L、SS220mg/L。参考环评手册中《常用污水处理设备及去除率》，</w:t>
            </w:r>
            <w:r>
              <w:rPr>
                <w:rFonts w:hint="default" w:ascii="Times New Roman" w:hAnsi="Times New Roman" w:eastAsia="宋体" w:cs="Times New Roman"/>
                <w:color w:val="auto"/>
                <w:kern w:val="0"/>
                <w:highlight w:val="none"/>
              </w:rPr>
              <w:t>化粪池对生活污水中COD、BOD</w:t>
            </w:r>
            <w:r>
              <w:rPr>
                <w:rFonts w:hint="default" w:ascii="Times New Roman" w:hAnsi="Times New Roman" w:eastAsia="宋体" w:cs="Times New Roman"/>
                <w:color w:val="auto"/>
                <w:kern w:val="0"/>
                <w:highlight w:val="none"/>
                <w:vertAlign w:val="subscript"/>
              </w:rPr>
              <w:t>5</w:t>
            </w:r>
            <w:r>
              <w:rPr>
                <w:rFonts w:hint="default" w:ascii="Times New Roman" w:hAnsi="Times New Roman" w:eastAsia="宋体" w:cs="Times New Roman"/>
                <w:color w:val="auto"/>
                <w:kern w:val="0"/>
                <w:highlight w:val="none"/>
              </w:rPr>
              <w:t>、SS、NH</w:t>
            </w:r>
            <w:r>
              <w:rPr>
                <w:rFonts w:hint="default" w:ascii="Times New Roman" w:hAnsi="Times New Roman" w:eastAsia="宋体" w:cs="Times New Roman"/>
                <w:color w:val="auto"/>
                <w:kern w:val="0"/>
                <w:highlight w:val="none"/>
                <w:vertAlign w:val="subscript"/>
              </w:rPr>
              <w:t>3</w:t>
            </w:r>
            <w:r>
              <w:rPr>
                <w:rFonts w:hint="default" w:ascii="Times New Roman" w:hAnsi="Times New Roman" w:eastAsia="宋体" w:cs="Times New Roman"/>
                <w:color w:val="auto"/>
                <w:kern w:val="0"/>
                <w:highlight w:val="none"/>
              </w:rPr>
              <w:t>-N的处理效率分别为15%、9%、30%、3%，则生活污水中各污染物产排情况见表4.2-1</w:t>
            </w:r>
            <w:r>
              <w:rPr>
                <w:rFonts w:hint="default" w:ascii="Times New Roman" w:hAnsi="Times New Roman" w:eastAsia="宋体" w:cs="Times New Roman"/>
                <w:color w:val="auto"/>
                <w:highlight w:val="none"/>
              </w:rPr>
              <w:t>。</w:t>
            </w:r>
          </w:p>
          <w:p w14:paraId="3636164C">
            <w:pPr>
              <w:pStyle w:val="547"/>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表4.2-1运营期生活污水产生和排放情况表</w:t>
            </w:r>
          </w:p>
          <w:tbl>
            <w:tblPr>
              <w:tblStyle w:val="48"/>
              <w:tblW w:w="4999"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1422"/>
              <w:gridCol w:w="1423"/>
              <w:gridCol w:w="1423"/>
              <w:gridCol w:w="1423"/>
              <w:gridCol w:w="1423"/>
              <w:gridCol w:w="1425"/>
            </w:tblGrid>
            <w:tr w14:paraId="6DEADB9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7" w:hRule="atLeast"/>
              </w:trPr>
              <w:tc>
                <w:tcPr>
                  <w:tcW w:w="833" w:type="pct"/>
                  <w:tcBorders>
                    <w:tl2br w:val="nil"/>
                    <w:tr2bl w:val="nil"/>
                  </w:tcBorders>
                  <w:shd w:val="clear" w:color="auto" w:fill="auto"/>
                  <w:vAlign w:val="center"/>
                </w:tcPr>
                <w:p w14:paraId="3CB32729">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废水量</w:t>
                  </w:r>
                </w:p>
              </w:tc>
              <w:tc>
                <w:tcPr>
                  <w:tcW w:w="833" w:type="pct"/>
                  <w:tcBorders>
                    <w:tl2br w:val="nil"/>
                    <w:tr2bl w:val="nil"/>
                  </w:tcBorders>
                  <w:shd w:val="clear" w:color="auto" w:fill="auto"/>
                  <w:vAlign w:val="center"/>
                </w:tcPr>
                <w:p w14:paraId="449F20C6">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w:t>
                  </w:r>
                </w:p>
              </w:tc>
              <w:tc>
                <w:tcPr>
                  <w:tcW w:w="833" w:type="pct"/>
                  <w:tcBorders>
                    <w:tl2br w:val="nil"/>
                    <w:tr2bl w:val="nil"/>
                  </w:tcBorders>
                  <w:shd w:val="clear" w:color="auto" w:fill="auto"/>
                  <w:vAlign w:val="center"/>
                </w:tcPr>
                <w:p w14:paraId="5C4AFB5E">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CODcr</w:t>
                  </w:r>
                </w:p>
              </w:tc>
              <w:tc>
                <w:tcPr>
                  <w:tcW w:w="833" w:type="pct"/>
                  <w:tcBorders>
                    <w:tl2br w:val="nil"/>
                    <w:tr2bl w:val="nil"/>
                  </w:tcBorders>
                  <w:shd w:val="clear" w:color="auto" w:fill="auto"/>
                  <w:vAlign w:val="center"/>
                </w:tcPr>
                <w:p w14:paraId="654EE21A">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BOD</w:t>
                  </w:r>
                  <w:r>
                    <w:rPr>
                      <w:rFonts w:hint="default" w:ascii="Times New Roman" w:hAnsi="Times New Roman" w:eastAsia="宋体" w:cs="Times New Roman"/>
                      <w:color w:val="auto"/>
                      <w:sz w:val="21"/>
                      <w:szCs w:val="21"/>
                      <w:highlight w:val="none"/>
                      <w:vertAlign w:val="subscript"/>
                      <w:lang w:val="en-US" w:eastAsia="zh-CN"/>
                    </w:rPr>
                    <w:t>5</w:t>
                  </w:r>
                </w:p>
              </w:tc>
              <w:tc>
                <w:tcPr>
                  <w:tcW w:w="833" w:type="pct"/>
                  <w:tcBorders>
                    <w:tl2br w:val="nil"/>
                    <w:tr2bl w:val="nil"/>
                  </w:tcBorders>
                  <w:shd w:val="clear" w:color="auto" w:fill="auto"/>
                  <w:vAlign w:val="center"/>
                </w:tcPr>
                <w:p w14:paraId="754C2D3E">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SS</w:t>
                  </w:r>
                </w:p>
              </w:tc>
              <w:tc>
                <w:tcPr>
                  <w:tcW w:w="833" w:type="pct"/>
                  <w:tcBorders>
                    <w:tl2br w:val="nil"/>
                    <w:tr2bl w:val="nil"/>
                  </w:tcBorders>
                  <w:shd w:val="clear" w:color="auto" w:fill="auto"/>
                  <w:vAlign w:val="center"/>
                </w:tcPr>
                <w:p w14:paraId="058C557F">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-N</w:t>
                  </w:r>
                </w:p>
              </w:tc>
            </w:tr>
            <w:tr w14:paraId="2AE39DE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7" w:hRule="atLeast"/>
              </w:trPr>
              <w:tc>
                <w:tcPr>
                  <w:tcW w:w="833" w:type="pct"/>
                  <w:vMerge w:val="restart"/>
                  <w:tcBorders>
                    <w:tl2br w:val="nil"/>
                    <w:tr2bl w:val="nil"/>
                  </w:tcBorders>
                  <w:shd w:val="clear" w:color="auto" w:fill="auto"/>
                  <w:vAlign w:val="center"/>
                </w:tcPr>
                <w:p w14:paraId="3E7E2BC3">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生活污水（1056t/a）</w:t>
                  </w:r>
                </w:p>
              </w:tc>
              <w:tc>
                <w:tcPr>
                  <w:tcW w:w="833" w:type="pct"/>
                  <w:tcBorders>
                    <w:tl2br w:val="nil"/>
                    <w:tr2bl w:val="nil"/>
                  </w:tcBorders>
                  <w:shd w:val="clear" w:color="auto" w:fill="auto"/>
                  <w:vAlign w:val="center"/>
                </w:tcPr>
                <w:p w14:paraId="1524328B">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污染物产生浓度（mg/L）</w:t>
                  </w:r>
                </w:p>
              </w:tc>
              <w:tc>
                <w:tcPr>
                  <w:tcW w:w="1454" w:type="dxa"/>
                  <w:tcBorders>
                    <w:tl2br w:val="nil"/>
                    <w:tr2bl w:val="nil"/>
                  </w:tcBorders>
                  <w:shd w:val="clear" w:color="auto" w:fill="auto"/>
                  <w:vAlign w:val="center"/>
                </w:tcPr>
                <w:p w14:paraId="0BD8014D">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w:t>
                  </w:r>
                </w:p>
              </w:tc>
              <w:tc>
                <w:tcPr>
                  <w:tcW w:w="1454" w:type="dxa"/>
                  <w:tcBorders>
                    <w:tl2br w:val="nil"/>
                    <w:tr2bl w:val="nil"/>
                  </w:tcBorders>
                  <w:shd w:val="clear" w:color="auto" w:fill="auto"/>
                  <w:vAlign w:val="center"/>
                </w:tcPr>
                <w:p w14:paraId="1F115E4D">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w:t>
                  </w:r>
                </w:p>
              </w:tc>
              <w:tc>
                <w:tcPr>
                  <w:tcW w:w="1454" w:type="dxa"/>
                  <w:tcBorders>
                    <w:tl2br w:val="nil"/>
                    <w:tr2bl w:val="nil"/>
                  </w:tcBorders>
                  <w:shd w:val="clear" w:color="auto" w:fill="auto"/>
                  <w:vAlign w:val="center"/>
                </w:tcPr>
                <w:p w14:paraId="646FDC96">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220</w:t>
                  </w:r>
                </w:p>
              </w:tc>
              <w:tc>
                <w:tcPr>
                  <w:tcW w:w="1455" w:type="dxa"/>
                  <w:tcBorders>
                    <w:tl2br w:val="nil"/>
                    <w:tr2bl w:val="nil"/>
                  </w:tcBorders>
                  <w:shd w:val="clear" w:color="auto" w:fill="auto"/>
                  <w:vAlign w:val="center"/>
                </w:tcPr>
                <w:p w14:paraId="368CF53B">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r>
            <w:tr w14:paraId="1725A3F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7" w:hRule="atLeast"/>
              </w:trPr>
              <w:tc>
                <w:tcPr>
                  <w:tcW w:w="833" w:type="pct"/>
                  <w:vMerge w:val="continue"/>
                  <w:tcBorders>
                    <w:tl2br w:val="nil"/>
                    <w:tr2bl w:val="nil"/>
                  </w:tcBorders>
                  <w:shd w:val="clear" w:color="auto" w:fill="auto"/>
                  <w:vAlign w:val="center"/>
                </w:tcPr>
                <w:p w14:paraId="3B34B993">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33" w:type="pct"/>
                  <w:tcBorders>
                    <w:tl2br w:val="nil"/>
                    <w:tr2bl w:val="nil"/>
                  </w:tcBorders>
                  <w:shd w:val="clear" w:color="auto" w:fill="auto"/>
                  <w:vAlign w:val="center"/>
                </w:tcPr>
                <w:p w14:paraId="6F512C3F">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污染物产生量（t/a）</w:t>
                  </w:r>
                </w:p>
              </w:tc>
              <w:tc>
                <w:tcPr>
                  <w:tcW w:w="1454" w:type="dxa"/>
                  <w:tcBorders>
                    <w:tl2br w:val="nil"/>
                    <w:tr2bl w:val="nil"/>
                  </w:tcBorders>
                  <w:shd w:val="clear" w:color="auto" w:fill="auto"/>
                  <w:vAlign w:val="center"/>
                </w:tcPr>
                <w:p w14:paraId="39DE095A">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0.422 </w:t>
                  </w:r>
                </w:p>
              </w:tc>
              <w:tc>
                <w:tcPr>
                  <w:tcW w:w="1454" w:type="dxa"/>
                  <w:tcBorders>
                    <w:tl2br w:val="nil"/>
                    <w:tr2bl w:val="nil"/>
                  </w:tcBorders>
                  <w:shd w:val="clear" w:color="auto" w:fill="auto"/>
                  <w:vAlign w:val="center"/>
                </w:tcPr>
                <w:p w14:paraId="062D6327">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0.264 </w:t>
                  </w:r>
                </w:p>
              </w:tc>
              <w:tc>
                <w:tcPr>
                  <w:tcW w:w="1454" w:type="dxa"/>
                  <w:tcBorders>
                    <w:tl2br w:val="nil"/>
                    <w:tr2bl w:val="nil"/>
                  </w:tcBorders>
                  <w:shd w:val="clear" w:color="auto" w:fill="auto"/>
                  <w:vAlign w:val="center"/>
                </w:tcPr>
                <w:p w14:paraId="48B0B79A">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0.232 </w:t>
                  </w:r>
                </w:p>
              </w:tc>
              <w:tc>
                <w:tcPr>
                  <w:tcW w:w="1455" w:type="dxa"/>
                  <w:tcBorders>
                    <w:tl2br w:val="nil"/>
                    <w:tr2bl w:val="nil"/>
                  </w:tcBorders>
                  <w:shd w:val="clear" w:color="auto" w:fill="auto"/>
                  <w:vAlign w:val="center"/>
                </w:tcPr>
                <w:p w14:paraId="23657577">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0.037 </w:t>
                  </w:r>
                </w:p>
              </w:tc>
            </w:tr>
            <w:tr w14:paraId="102C9E7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7" w:hRule="atLeast"/>
              </w:trPr>
              <w:tc>
                <w:tcPr>
                  <w:tcW w:w="833" w:type="pct"/>
                  <w:tcBorders>
                    <w:tl2br w:val="nil"/>
                    <w:tr2bl w:val="nil"/>
                  </w:tcBorders>
                  <w:shd w:val="clear" w:color="auto" w:fill="auto"/>
                  <w:vAlign w:val="center"/>
                </w:tcPr>
                <w:p w14:paraId="51C6AEDE">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处理措施</w:t>
                  </w:r>
                </w:p>
              </w:tc>
              <w:tc>
                <w:tcPr>
                  <w:tcW w:w="4166" w:type="pct"/>
                  <w:gridSpan w:val="5"/>
                  <w:tcBorders>
                    <w:tl2br w:val="nil"/>
                    <w:tr2bl w:val="nil"/>
                  </w:tcBorders>
                  <w:shd w:val="clear" w:color="auto" w:fill="auto"/>
                  <w:vAlign w:val="center"/>
                </w:tcPr>
                <w:p w14:paraId="25495710">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地埋式三级化粪池处理后，纳入江阴污水处理厂处理</w:t>
                  </w:r>
                </w:p>
              </w:tc>
            </w:tr>
            <w:tr w14:paraId="5B55799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7" w:hRule="atLeast"/>
              </w:trPr>
              <w:tc>
                <w:tcPr>
                  <w:tcW w:w="833" w:type="pct"/>
                  <w:tcBorders>
                    <w:tl2br w:val="nil"/>
                    <w:tr2bl w:val="nil"/>
                  </w:tcBorders>
                  <w:shd w:val="clear" w:color="auto" w:fill="auto"/>
                  <w:vAlign w:val="center"/>
                </w:tcPr>
                <w:p w14:paraId="68AD565C">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处理效率</w:t>
                  </w:r>
                </w:p>
              </w:tc>
              <w:tc>
                <w:tcPr>
                  <w:tcW w:w="833" w:type="pct"/>
                  <w:tcBorders>
                    <w:tl2br w:val="nil"/>
                    <w:tr2bl w:val="nil"/>
                  </w:tcBorders>
                  <w:shd w:val="clear" w:color="auto" w:fill="auto"/>
                  <w:vAlign w:val="center"/>
                </w:tcPr>
                <w:p w14:paraId="6A9A9B93">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833" w:type="pct"/>
                  <w:tcBorders>
                    <w:tl2br w:val="nil"/>
                    <w:tr2bl w:val="nil"/>
                  </w:tcBorders>
                  <w:shd w:val="clear" w:color="auto" w:fill="auto"/>
                  <w:vAlign w:val="center"/>
                </w:tcPr>
                <w:p w14:paraId="173D304F">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833" w:type="pct"/>
                  <w:tcBorders>
                    <w:tl2br w:val="nil"/>
                    <w:tr2bl w:val="nil"/>
                  </w:tcBorders>
                  <w:shd w:val="clear" w:color="auto" w:fill="auto"/>
                  <w:vAlign w:val="center"/>
                </w:tcPr>
                <w:p w14:paraId="703CBED4">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833" w:type="pct"/>
                  <w:tcBorders>
                    <w:tl2br w:val="nil"/>
                    <w:tr2bl w:val="nil"/>
                  </w:tcBorders>
                  <w:shd w:val="clear" w:color="auto" w:fill="auto"/>
                  <w:vAlign w:val="center"/>
                </w:tcPr>
                <w:p w14:paraId="40620F72">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833" w:type="pct"/>
                  <w:tcBorders>
                    <w:tl2br w:val="nil"/>
                    <w:tr2bl w:val="nil"/>
                  </w:tcBorders>
                  <w:shd w:val="clear" w:color="auto" w:fill="auto"/>
                  <w:vAlign w:val="center"/>
                </w:tcPr>
                <w:p w14:paraId="361F5976">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r>
            <w:tr w14:paraId="6778299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7" w:hRule="atLeast"/>
              </w:trPr>
              <w:tc>
                <w:tcPr>
                  <w:tcW w:w="1666" w:type="pct"/>
                  <w:gridSpan w:val="2"/>
                  <w:tcBorders>
                    <w:tl2br w:val="nil"/>
                    <w:tr2bl w:val="nil"/>
                  </w:tcBorders>
                  <w:shd w:val="clear" w:color="auto" w:fill="auto"/>
                  <w:vAlign w:val="center"/>
                </w:tcPr>
                <w:p w14:paraId="5E44231D">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经化粪池处理后废水排放浓度（mg/L）</w:t>
                  </w:r>
                </w:p>
              </w:tc>
              <w:tc>
                <w:tcPr>
                  <w:tcW w:w="1454" w:type="dxa"/>
                  <w:tcBorders>
                    <w:tl2br w:val="nil"/>
                    <w:tr2bl w:val="nil"/>
                  </w:tcBorders>
                  <w:shd w:val="clear" w:color="auto" w:fill="auto"/>
                  <w:vAlign w:val="center"/>
                </w:tcPr>
                <w:p w14:paraId="077E0CE6">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340</w:t>
                  </w:r>
                </w:p>
              </w:tc>
              <w:tc>
                <w:tcPr>
                  <w:tcW w:w="1454" w:type="dxa"/>
                  <w:tcBorders>
                    <w:tl2br w:val="nil"/>
                    <w:tr2bl w:val="nil"/>
                  </w:tcBorders>
                  <w:shd w:val="clear" w:color="auto" w:fill="auto"/>
                  <w:vAlign w:val="center"/>
                </w:tcPr>
                <w:p w14:paraId="732AFF17">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227.5</w:t>
                  </w:r>
                </w:p>
              </w:tc>
              <w:tc>
                <w:tcPr>
                  <w:tcW w:w="1454" w:type="dxa"/>
                  <w:tcBorders>
                    <w:tl2br w:val="nil"/>
                    <w:tr2bl w:val="nil"/>
                  </w:tcBorders>
                  <w:shd w:val="clear" w:color="auto" w:fill="auto"/>
                  <w:vAlign w:val="center"/>
                </w:tcPr>
                <w:p w14:paraId="4484F83C">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154</w:t>
                  </w:r>
                </w:p>
              </w:tc>
              <w:tc>
                <w:tcPr>
                  <w:tcW w:w="1455" w:type="dxa"/>
                  <w:tcBorders>
                    <w:tl2br w:val="nil"/>
                    <w:tr2bl w:val="nil"/>
                  </w:tcBorders>
                  <w:shd w:val="clear" w:color="auto" w:fill="auto"/>
                  <w:vAlign w:val="center"/>
                </w:tcPr>
                <w:p w14:paraId="7E8AE22F">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33.95</w:t>
                  </w:r>
                </w:p>
              </w:tc>
            </w:tr>
            <w:tr w14:paraId="41546A8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7" w:hRule="atLeast"/>
              </w:trPr>
              <w:tc>
                <w:tcPr>
                  <w:tcW w:w="1666" w:type="pct"/>
                  <w:gridSpan w:val="2"/>
                  <w:tcBorders>
                    <w:tl2br w:val="nil"/>
                    <w:tr2bl w:val="nil"/>
                  </w:tcBorders>
                  <w:shd w:val="clear" w:color="auto" w:fill="auto"/>
                  <w:vAlign w:val="center"/>
                </w:tcPr>
                <w:p w14:paraId="51C551E1">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经化粪池处理后废水排放量（t/a）</w:t>
                  </w:r>
                </w:p>
              </w:tc>
              <w:tc>
                <w:tcPr>
                  <w:tcW w:w="1454" w:type="dxa"/>
                  <w:tcBorders>
                    <w:tl2br w:val="nil"/>
                    <w:tr2bl w:val="nil"/>
                  </w:tcBorders>
                  <w:shd w:val="clear" w:color="auto" w:fill="auto"/>
                  <w:vAlign w:val="center"/>
                </w:tcPr>
                <w:p w14:paraId="6671F346">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0.359 </w:t>
                  </w:r>
                </w:p>
              </w:tc>
              <w:tc>
                <w:tcPr>
                  <w:tcW w:w="1454" w:type="dxa"/>
                  <w:tcBorders>
                    <w:tl2br w:val="nil"/>
                    <w:tr2bl w:val="nil"/>
                  </w:tcBorders>
                  <w:shd w:val="clear" w:color="auto" w:fill="auto"/>
                  <w:vAlign w:val="center"/>
                </w:tcPr>
                <w:p w14:paraId="39B0F367">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0.240 </w:t>
                  </w:r>
                </w:p>
              </w:tc>
              <w:tc>
                <w:tcPr>
                  <w:tcW w:w="1454" w:type="dxa"/>
                  <w:tcBorders>
                    <w:tl2br w:val="nil"/>
                    <w:tr2bl w:val="nil"/>
                  </w:tcBorders>
                  <w:shd w:val="clear" w:color="auto" w:fill="auto"/>
                  <w:vAlign w:val="center"/>
                </w:tcPr>
                <w:p w14:paraId="18B06908">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0.163 </w:t>
                  </w:r>
                </w:p>
              </w:tc>
              <w:tc>
                <w:tcPr>
                  <w:tcW w:w="1455" w:type="dxa"/>
                  <w:tcBorders>
                    <w:tl2br w:val="nil"/>
                    <w:tr2bl w:val="nil"/>
                  </w:tcBorders>
                  <w:shd w:val="clear" w:color="auto" w:fill="auto"/>
                  <w:vAlign w:val="center"/>
                </w:tcPr>
                <w:p w14:paraId="5227E74E">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0.036 </w:t>
                  </w:r>
                </w:p>
              </w:tc>
            </w:tr>
          </w:tbl>
          <w:p w14:paraId="3DB4A6DA">
            <w:pPr>
              <w:pStyle w:val="44"/>
              <w:widowControl w:val="0"/>
              <w:tabs>
                <w:tab w:val="center" w:pos="3972"/>
              </w:tabs>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color w:val="auto"/>
                <w:sz w:val="24"/>
                <w:szCs w:val="22"/>
                <w:lang w:eastAsia="zh-CN"/>
              </w:rPr>
            </w:pPr>
          </w:p>
          <w:p w14:paraId="717BA557">
            <w:pPr>
              <w:pStyle w:val="44"/>
              <w:widowControl w:val="0"/>
              <w:tabs>
                <w:tab w:val="center" w:pos="3972"/>
              </w:tabs>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2、生产废水</w:t>
            </w:r>
          </w:p>
          <w:p w14:paraId="17CB4779">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highlight w:val="none"/>
                <w:lang w:val="en-US" w:eastAsia="zh-CN"/>
              </w:rPr>
              <w:t>生产废水为</w:t>
            </w:r>
            <w:r>
              <w:rPr>
                <w:rFonts w:hint="default" w:ascii="Times New Roman" w:hAnsi="Times New Roman" w:eastAsia="宋体" w:cs="Times New Roman"/>
                <w:color w:val="auto"/>
                <w:highlight w:val="none"/>
              </w:rPr>
              <w:t>车间</w:t>
            </w:r>
            <w:r>
              <w:rPr>
                <w:rFonts w:hint="default" w:ascii="Times New Roman" w:hAnsi="Times New Roman" w:eastAsia="宋体" w:cs="Times New Roman"/>
                <w:color w:val="auto"/>
                <w:highlight w:val="none"/>
                <w:lang w:val="en-US" w:eastAsia="zh-CN"/>
              </w:rPr>
              <w:t>地面清洗废</w:t>
            </w:r>
            <w:r>
              <w:rPr>
                <w:rFonts w:hint="default" w:ascii="Times New Roman" w:hAnsi="Times New Roman" w:eastAsia="宋体" w:cs="Times New Roman"/>
                <w:color w:val="auto"/>
                <w:highlight w:val="none"/>
              </w:rPr>
              <w:t>水、</w:t>
            </w:r>
            <w:r>
              <w:rPr>
                <w:rFonts w:hint="default" w:ascii="Times New Roman" w:hAnsi="Times New Roman" w:eastAsia="宋体" w:cs="Times New Roman"/>
                <w:color w:val="auto"/>
                <w:highlight w:val="none"/>
                <w:lang w:val="en-US" w:eastAsia="zh-CN"/>
              </w:rPr>
              <w:t>车辆外部清洗废</w:t>
            </w:r>
            <w:r>
              <w:rPr>
                <w:rFonts w:hint="default" w:ascii="Times New Roman" w:hAnsi="Times New Roman" w:eastAsia="宋体" w:cs="Times New Roman"/>
                <w:color w:val="auto"/>
                <w:highlight w:val="none"/>
              </w:rPr>
              <w:t>水、洗罐（箱）</w:t>
            </w:r>
            <w:r>
              <w:rPr>
                <w:rFonts w:hint="default" w:ascii="Times New Roman" w:hAnsi="Times New Roman" w:eastAsia="宋体" w:cs="Times New Roman"/>
                <w:color w:val="auto"/>
                <w:highlight w:val="none"/>
                <w:lang w:val="en-US" w:eastAsia="zh-CN"/>
              </w:rPr>
              <w:t>清洗废</w:t>
            </w:r>
            <w:r>
              <w:rPr>
                <w:rFonts w:hint="default" w:ascii="Times New Roman" w:hAnsi="Times New Roman" w:eastAsia="宋体" w:cs="Times New Roman"/>
                <w:color w:val="auto"/>
                <w:highlight w:val="none"/>
              </w:rPr>
              <w:t>水、设备清洗</w:t>
            </w:r>
            <w:r>
              <w:rPr>
                <w:rFonts w:hint="default" w:ascii="Times New Roman" w:hAnsi="Times New Roman" w:eastAsia="宋体" w:cs="Times New Roman"/>
                <w:color w:val="auto"/>
                <w:highlight w:val="none"/>
                <w:lang w:val="en-US" w:eastAsia="zh-CN"/>
              </w:rPr>
              <w:t>废</w:t>
            </w:r>
            <w:r>
              <w:rPr>
                <w:rFonts w:hint="default" w:ascii="Times New Roman" w:hAnsi="Times New Roman" w:eastAsia="宋体" w:cs="Times New Roman"/>
                <w:color w:val="auto"/>
                <w:highlight w:val="none"/>
              </w:rPr>
              <w:t>水</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kern w:val="0"/>
                <w:sz w:val="24"/>
                <w:szCs w:val="24"/>
                <w:highlight w:val="none"/>
                <w:lang w:val="en-US" w:eastAsia="zh-CN" w:bidi="ar"/>
              </w:rPr>
              <w:t>生产废水经厂区污水处理站处理，预处理达标后的生活污水与生产废水一起经市政污水管网排至江阴污水处理厂集中处理。</w:t>
            </w:r>
          </w:p>
          <w:p w14:paraId="112FA985">
            <w:pPr>
              <w:keepNext w:val="0"/>
              <w:keepLines w:val="0"/>
              <w:widowControl/>
              <w:suppressLineNumbers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其中，本项目产生的</w:t>
            </w:r>
            <w:r>
              <w:rPr>
                <w:rFonts w:hint="default" w:ascii="Times New Roman" w:hAnsi="Times New Roman" w:eastAsia="宋体" w:cs="Times New Roman"/>
                <w:color w:val="auto"/>
                <w:highlight w:val="none"/>
              </w:rPr>
              <w:t>洗罐（箱）</w:t>
            </w:r>
            <w:r>
              <w:rPr>
                <w:rFonts w:hint="default" w:ascii="Times New Roman" w:hAnsi="Times New Roman" w:eastAsia="宋体" w:cs="Times New Roman"/>
                <w:color w:val="auto"/>
                <w:highlight w:val="none"/>
                <w:lang w:val="en-US" w:eastAsia="zh-CN"/>
              </w:rPr>
              <w:t>清洗废</w:t>
            </w:r>
            <w:r>
              <w:rPr>
                <w:rFonts w:hint="default" w:ascii="Times New Roman" w:hAnsi="Times New Roman" w:eastAsia="宋体" w:cs="Times New Roman"/>
                <w:color w:val="auto"/>
                <w:highlight w:val="none"/>
              </w:rPr>
              <w:t>水</w:t>
            </w:r>
            <w:r>
              <w:rPr>
                <w:rFonts w:hint="default" w:ascii="Times New Roman" w:hAnsi="Times New Roman" w:eastAsia="宋体" w:cs="Times New Roman"/>
                <w:color w:val="auto"/>
                <w:kern w:val="0"/>
                <w:sz w:val="24"/>
                <w:szCs w:val="24"/>
                <w:highlight w:val="none"/>
                <w:lang w:val="en-US" w:eastAsia="zh-CN" w:bidi="ar"/>
              </w:rPr>
              <w:t xml:space="preserve">主要分为高压水枪清洗罐体内壁而产生的高浓度废水和低压水枪冲洗罐内外壁而产生的低浓度废水。 </w:t>
            </w:r>
          </w:p>
          <w:p w14:paraId="00BB5349">
            <w:pPr>
              <w:keepNext w:val="0"/>
              <w:keepLines w:val="0"/>
              <w:widowControl/>
              <w:suppressLineNumbers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高浓度废水：通常内壁清洗旨在通过高压水雾喷刷壁面，剥落粘附在内壁上微量物料小液珠。通常情况下须射流清洗1-2min，用水较少；特殊情况（如客户方对于清晰程度要求严苛或是罐内残夜附着力强）需要延时清洗，用水较多，根据技术人员经验：平均约为25-30L/罐，年清洗量为2000只集装箱罐，则高压清洗用水最大量约60t</w:t>
            </w:r>
            <w:r>
              <w:rPr>
                <w:rFonts w:hint="default" w:ascii="Times New Roman" w:hAnsi="Times New Roman" w:eastAsia="宋体" w:cs="Times New Roman"/>
                <w:color w:val="auto"/>
                <w:kern w:val="0"/>
                <w:sz w:val="16"/>
                <w:szCs w:val="16"/>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/a，作为危险废物，经专桶收集、避雨暂存后委托有资质单位处置。 </w:t>
            </w:r>
          </w:p>
          <w:p w14:paraId="7D0A7250">
            <w:pPr>
              <w:keepNext w:val="0"/>
              <w:keepLines w:val="0"/>
              <w:widowControl/>
              <w:suppressLineNumbers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低浓度废水：为进一步去除罐内化工残液，因此还需对罐内外进行二次清洗，过程中操作人员使用低压水枪冲洗内壁。根据技术人员经验：平均约为200-300L/罐，年清洗量为2000只集装箱罐，则高压清洗用水最大量约600t/a。 </w:t>
            </w:r>
          </w:p>
          <w:p w14:paraId="2C564AD3">
            <w:pPr>
              <w:keepNext w:val="0"/>
              <w:keepLines w:val="0"/>
              <w:widowControl/>
              <w:suppressLineNumbers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综上：生产废水产生量为1530t/a。 </w:t>
            </w:r>
          </w:p>
          <w:p w14:paraId="486E5650">
            <w:pPr>
              <w:pStyle w:val="547"/>
              <w:ind w:firstLine="48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表4.2-</w:t>
            </w:r>
            <w:r>
              <w:rPr>
                <w:rFonts w:hint="default" w:ascii="Times New Roman" w:hAnsi="Times New Roman" w:eastAsia="宋体" w:cs="Times New Roman"/>
                <w:b/>
                <w:bCs/>
                <w:color w:val="auto"/>
                <w:highlight w:val="none"/>
                <w:lang w:val="en-US" w:eastAsia="zh-CN"/>
              </w:rPr>
              <w:t xml:space="preserve">2 </w:t>
            </w:r>
            <w:r>
              <w:rPr>
                <w:rFonts w:hint="default" w:ascii="Times New Roman" w:hAnsi="Times New Roman" w:eastAsia="宋体" w:cs="Times New Roman"/>
                <w:b/>
                <w:bCs/>
                <w:color w:val="auto"/>
                <w:highlight w:val="none"/>
              </w:rPr>
              <w:t>运营期</w:t>
            </w:r>
            <w:r>
              <w:rPr>
                <w:rFonts w:hint="default" w:ascii="Times New Roman" w:hAnsi="Times New Roman" w:eastAsia="宋体" w:cs="Times New Roman"/>
                <w:b/>
                <w:bCs/>
                <w:color w:val="auto"/>
                <w:highlight w:val="none"/>
                <w:lang w:val="en-US" w:eastAsia="zh-CN"/>
              </w:rPr>
              <w:t>生产废水</w:t>
            </w:r>
            <w:r>
              <w:rPr>
                <w:rFonts w:hint="default" w:ascii="Times New Roman" w:hAnsi="Times New Roman" w:eastAsia="宋体" w:cs="Times New Roman"/>
                <w:b/>
                <w:bCs/>
                <w:color w:val="auto"/>
                <w:highlight w:val="none"/>
              </w:rPr>
              <w:t>产生和排放情况表</w:t>
            </w:r>
          </w:p>
          <w:p w14:paraId="377510BB">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196270EA">
            <w:pPr>
              <w:pStyle w:val="44"/>
              <w:widowControl w:val="0"/>
              <w:tabs>
                <w:tab w:val="center" w:pos="3972"/>
              </w:tabs>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color w:val="auto"/>
                <w:sz w:val="24"/>
                <w:szCs w:val="22"/>
                <w:lang w:val="en-US" w:eastAsia="zh-CN"/>
              </w:rPr>
            </w:pPr>
          </w:p>
          <w:p w14:paraId="02835977">
            <w:pPr>
              <w:pStyle w:val="44"/>
              <w:widowControl w:val="0"/>
              <w:tabs>
                <w:tab w:val="center" w:pos="3972"/>
              </w:tabs>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3、初期雨水</w:t>
            </w:r>
          </w:p>
          <w:p w14:paraId="6C4D38DC">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rPr>
              <w:t>由于化学品罐组内初期雨水含有一定的污染物，</w:t>
            </w:r>
            <w:r>
              <w:rPr>
                <w:rFonts w:hint="default" w:ascii="Times New Roman" w:hAnsi="Times New Roman" w:eastAsia="宋体" w:cs="Times New Roman"/>
                <w:color w:val="auto"/>
                <w:lang w:val="en-US" w:eastAsia="zh-CN"/>
              </w:rPr>
              <w:t>故</w:t>
            </w:r>
            <w:r>
              <w:rPr>
                <w:rFonts w:hint="default" w:ascii="Times New Roman" w:hAnsi="Times New Roman" w:eastAsia="宋体" w:cs="Times New Roman"/>
                <w:color w:val="auto"/>
              </w:rPr>
              <w:t>需要收集处置</w:t>
            </w:r>
            <w:r>
              <w:rPr>
                <w:rFonts w:hint="default" w:ascii="Times New Roman" w:hAnsi="Times New Roman" w:eastAsia="宋体" w:cs="Times New Roman"/>
                <w:color w:val="auto"/>
                <w:kern w:val="0"/>
                <w:sz w:val="24"/>
                <w:szCs w:val="20"/>
              </w:rPr>
              <w:t>厂区最初15min的雨水，初期雨水排放情况如下：</w:t>
            </w:r>
          </w:p>
          <w:p w14:paraId="73D7F26C">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rPr>
              <w:t>暴雨强度q采用福清市暴雨强度公式计算：</w:t>
            </w:r>
          </w:p>
          <w:p w14:paraId="28F62D34">
            <w:pPr>
              <w:autoSpaceDE w:val="0"/>
              <w:autoSpaceDN w:val="0"/>
              <w:adjustRightInd w:val="0"/>
              <w:spacing w:line="360" w:lineRule="auto"/>
              <w:jc w:val="center"/>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position w:val="-26"/>
              </w:rPr>
              <w:object>
                <v:shape id="_x0000_i1032" o:spt="75" type="#_x0000_t75" style="height:35.5pt;width:163pt;" o:ole="t" filled="f" o:preferrelative="t" stroked="f" coordsize="21600,21600">
                  <v:path/>
                  <v:fill on="f" focussize="0,0"/>
                  <v:stroke on="f" joinstyle="miter"/>
                  <v:imagedata r:id="rId45" o:title=""/>
                  <o:lock v:ext="edit" aspectratio="t"/>
                  <w10:wrap type="none"/>
                  <w10:anchorlock/>
                </v:shape>
                <o:OLEObject Type="Embed" ProgID="Equation.DSMT4" ShapeID="_x0000_i1032" DrawAspect="Content" ObjectID="_1468075731">
                  <o:LockedField>false</o:LockedField>
                </o:OLEObject>
              </w:object>
            </w:r>
          </w:p>
          <w:p w14:paraId="62CF1C89">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rPr>
              <w:t>式中：q—暴雨强度（L/s·hm</w:t>
            </w:r>
            <w:r>
              <w:rPr>
                <w:rFonts w:hint="default" w:ascii="Times New Roman" w:hAnsi="Times New Roman" w:eastAsia="宋体" w:cs="Times New Roman"/>
                <w:color w:val="auto"/>
                <w:kern w:val="0"/>
                <w:sz w:val="24"/>
                <w:szCs w:val="20"/>
                <w:vertAlign w:val="superscript"/>
              </w:rPr>
              <w:t>2</w:t>
            </w:r>
            <w:r>
              <w:rPr>
                <w:rFonts w:hint="default" w:ascii="Times New Roman" w:hAnsi="Times New Roman" w:eastAsia="宋体" w:cs="Times New Roman"/>
                <w:color w:val="auto"/>
                <w:kern w:val="0"/>
                <w:sz w:val="24"/>
                <w:szCs w:val="20"/>
              </w:rPr>
              <w:t>）；</w:t>
            </w:r>
          </w:p>
          <w:p w14:paraId="7951873F">
            <w:pPr>
              <w:autoSpaceDE w:val="0"/>
              <w:autoSpaceDN w:val="0"/>
              <w:adjustRightInd w:val="0"/>
              <w:spacing w:line="360" w:lineRule="auto"/>
              <w:ind w:firstLine="1200" w:firstLineChars="500"/>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rPr>
              <w:t>Te—重现期（a），取1a；</w:t>
            </w:r>
          </w:p>
          <w:p w14:paraId="2F6E343D">
            <w:pPr>
              <w:autoSpaceDE w:val="0"/>
              <w:autoSpaceDN w:val="0"/>
              <w:adjustRightInd w:val="0"/>
              <w:spacing w:line="360" w:lineRule="auto"/>
              <w:ind w:firstLine="1200" w:firstLineChars="500"/>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rPr>
              <w:t>t—降雨历时（min），取15min；</w:t>
            </w:r>
          </w:p>
          <w:p w14:paraId="7801B6BD">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rPr>
              <w:t>根据上述公式计算得出</w:t>
            </w:r>
            <w:r>
              <w:rPr>
                <w:rFonts w:hint="default" w:ascii="Times New Roman" w:hAnsi="Times New Roman" w:eastAsia="宋体" w:cs="Times New Roman"/>
                <w:color w:val="auto"/>
                <w:kern w:val="0"/>
                <w:sz w:val="24"/>
                <w:szCs w:val="20"/>
                <w:lang w:val="en-US" w:eastAsia="zh-CN"/>
              </w:rPr>
              <w:t>暴雨量</w:t>
            </w:r>
            <w:r>
              <w:rPr>
                <w:rFonts w:hint="default" w:ascii="Times New Roman" w:hAnsi="Times New Roman" w:eastAsia="宋体" w:cs="Times New Roman"/>
                <w:color w:val="auto"/>
                <w:kern w:val="0"/>
                <w:sz w:val="24"/>
                <w:szCs w:val="20"/>
              </w:rPr>
              <w:t>q=211.41 L/s·hm</w:t>
            </w:r>
            <w:r>
              <w:rPr>
                <w:rFonts w:hint="default" w:ascii="Times New Roman" w:hAnsi="Times New Roman" w:eastAsia="宋体" w:cs="Times New Roman"/>
                <w:color w:val="auto"/>
                <w:kern w:val="0"/>
                <w:sz w:val="24"/>
                <w:szCs w:val="20"/>
                <w:vertAlign w:val="superscript"/>
              </w:rPr>
              <w:t>2</w:t>
            </w:r>
            <w:r>
              <w:rPr>
                <w:rFonts w:hint="default" w:ascii="Times New Roman" w:hAnsi="Times New Roman" w:eastAsia="宋体" w:cs="Times New Roman"/>
                <w:color w:val="auto"/>
                <w:kern w:val="0"/>
                <w:sz w:val="24"/>
                <w:szCs w:val="20"/>
              </w:rPr>
              <w:t>。</w:t>
            </w:r>
          </w:p>
          <w:p w14:paraId="19E9B742">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rPr>
              <w:t>雨水量计算公式：</w:t>
            </w:r>
          </w:p>
          <w:p w14:paraId="4FC6A0D2">
            <w:pPr>
              <w:autoSpaceDE w:val="0"/>
              <w:autoSpaceDN w:val="0"/>
              <w:adjustRightInd w:val="0"/>
              <w:spacing w:line="360" w:lineRule="auto"/>
              <w:jc w:val="center"/>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rPr>
              <w:t>Q=q·ψ·F</w:t>
            </w:r>
          </w:p>
          <w:p w14:paraId="5C5AA3B6">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rPr>
              <w:t>式中：Q—雨水流量（L/s）；</w:t>
            </w:r>
          </w:p>
          <w:p w14:paraId="49BE7D9C">
            <w:pPr>
              <w:autoSpaceDE w:val="0"/>
              <w:autoSpaceDN w:val="0"/>
              <w:adjustRightInd w:val="0"/>
              <w:spacing w:line="360" w:lineRule="auto"/>
              <w:ind w:firstLine="1200" w:firstLineChars="500"/>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rPr>
              <w:t>q—暴雨强度（L/s·hm</w:t>
            </w:r>
            <w:r>
              <w:rPr>
                <w:rFonts w:hint="default" w:ascii="Times New Roman" w:hAnsi="Times New Roman" w:eastAsia="宋体" w:cs="Times New Roman"/>
                <w:color w:val="auto"/>
                <w:kern w:val="0"/>
                <w:sz w:val="24"/>
                <w:szCs w:val="20"/>
                <w:vertAlign w:val="superscript"/>
              </w:rPr>
              <w:t>2</w:t>
            </w:r>
            <w:r>
              <w:rPr>
                <w:rFonts w:hint="default" w:ascii="Times New Roman" w:hAnsi="Times New Roman" w:eastAsia="宋体" w:cs="Times New Roman"/>
                <w:color w:val="auto"/>
                <w:kern w:val="0"/>
                <w:sz w:val="24"/>
                <w:szCs w:val="20"/>
              </w:rPr>
              <w:t>）；</w:t>
            </w:r>
          </w:p>
          <w:p w14:paraId="70242B78">
            <w:pPr>
              <w:autoSpaceDE w:val="0"/>
              <w:autoSpaceDN w:val="0"/>
              <w:adjustRightInd w:val="0"/>
              <w:spacing w:line="360" w:lineRule="auto"/>
              <w:ind w:firstLine="1200" w:firstLineChars="500"/>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rPr>
              <w:t>ψ—径流系数，取ψ=0.7；</w:t>
            </w:r>
          </w:p>
          <w:p w14:paraId="0D96DCED">
            <w:pPr>
              <w:autoSpaceDE w:val="0"/>
              <w:autoSpaceDN w:val="0"/>
              <w:adjustRightInd w:val="0"/>
              <w:spacing w:line="360" w:lineRule="auto"/>
              <w:ind w:firstLine="1200" w:firstLineChars="500"/>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rPr>
              <w:t>F—汇水面积（hm</w:t>
            </w:r>
            <w:r>
              <w:rPr>
                <w:rFonts w:hint="default" w:ascii="Times New Roman" w:hAnsi="Times New Roman" w:eastAsia="宋体" w:cs="Times New Roman"/>
                <w:color w:val="auto"/>
                <w:kern w:val="0"/>
                <w:sz w:val="24"/>
                <w:szCs w:val="20"/>
                <w:vertAlign w:val="superscript"/>
              </w:rPr>
              <w:t>2</w:t>
            </w:r>
            <w:r>
              <w:rPr>
                <w:rFonts w:hint="default" w:ascii="Times New Roman" w:hAnsi="Times New Roman" w:eastAsia="宋体" w:cs="Times New Roman"/>
                <w:color w:val="auto"/>
                <w:kern w:val="0"/>
                <w:sz w:val="24"/>
                <w:szCs w:val="20"/>
              </w:rPr>
              <w:t>），为</w:t>
            </w:r>
            <w:r>
              <w:rPr>
                <w:rFonts w:hint="default" w:ascii="Times New Roman" w:hAnsi="Times New Roman" w:eastAsia="宋体" w:cs="Times New Roman"/>
                <w:color w:val="auto"/>
                <w:kern w:val="0"/>
                <w:sz w:val="24"/>
                <w:szCs w:val="20"/>
                <w:lang w:val="en-US" w:eastAsia="zh-CN"/>
              </w:rPr>
              <w:t>0.</w:t>
            </w:r>
            <w:r>
              <w:rPr>
                <w:rFonts w:hint="eastAsia" w:cs="Times New Roman"/>
                <w:color w:val="auto"/>
                <w:kern w:val="0"/>
                <w:sz w:val="24"/>
                <w:szCs w:val="20"/>
                <w:lang w:val="en-US" w:eastAsia="zh-CN"/>
              </w:rPr>
              <w:t>6645</w:t>
            </w:r>
            <w:r>
              <w:rPr>
                <w:rFonts w:hint="default" w:ascii="Times New Roman" w:hAnsi="Times New Roman" w:eastAsia="宋体" w:cs="Times New Roman"/>
                <w:color w:val="auto"/>
                <w:kern w:val="0"/>
                <w:sz w:val="24"/>
                <w:szCs w:val="20"/>
              </w:rPr>
              <w:t xml:space="preserve"> hm</w:t>
            </w:r>
            <w:r>
              <w:rPr>
                <w:rFonts w:hint="default" w:ascii="Times New Roman" w:hAnsi="Times New Roman" w:eastAsia="宋体" w:cs="Times New Roman"/>
                <w:color w:val="auto"/>
                <w:kern w:val="0"/>
                <w:sz w:val="24"/>
                <w:szCs w:val="20"/>
                <w:vertAlign w:val="superscript"/>
              </w:rPr>
              <w:t>2</w:t>
            </w:r>
            <w:r>
              <w:rPr>
                <w:rFonts w:hint="default" w:ascii="Times New Roman" w:hAnsi="Times New Roman" w:eastAsia="宋体" w:cs="Times New Roman"/>
                <w:color w:val="auto"/>
                <w:kern w:val="0"/>
                <w:sz w:val="24"/>
                <w:szCs w:val="20"/>
              </w:rPr>
              <w:t>。</w:t>
            </w:r>
          </w:p>
          <w:p w14:paraId="403607E1">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rPr>
              <w:t>根据上述公式</w:t>
            </w:r>
            <w:r>
              <w:rPr>
                <w:rFonts w:hint="default" w:ascii="Times New Roman" w:hAnsi="Times New Roman" w:eastAsia="宋体" w:cs="Times New Roman"/>
                <w:color w:val="auto"/>
                <w:kern w:val="0"/>
                <w:sz w:val="24"/>
                <w:szCs w:val="20"/>
                <w:lang w:eastAsia="zh-CN"/>
              </w:rPr>
              <w:t>，</w:t>
            </w:r>
            <w:r>
              <w:rPr>
                <w:rFonts w:hint="default" w:ascii="Times New Roman" w:hAnsi="Times New Roman" w:eastAsia="宋体" w:cs="Times New Roman"/>
                <w:color w:val="auto"/>
                <w:kern w:val="0"/>
                <w:sz w:val="24"/>
                <w:szCs w:val="20"/>
              </w:rPr>
              <w:t>计算得出项目厂区的初期雨水流量为</w:t>
            </w:r>
            <w:r>
              <w:rPr>
                <w:rFonts w:hint="eastAsia" w:cs="Times New Roman"/>
                <w:color w:val="auto"/>
                <w:kern w:val="0"/>
                <w:sz w:val="24"/>
                <w:szCs w:val="20"/>
                <w:lang w:val="en-US" w:eastAsia="zh-CN"/>
              </w:rPr>
              <w:t>98.34</w:t>
            </w:r>
            <w:r>
              <w:rPr>
                <w:rFonts w:hint="default" w:ascii="Times New Roman" w:hAnsi="Times New Roman" w:eastAsia="宋体" w:cs="Times New Roman"/>
                <w:color w:val="auto"/>
                <w:kern w:val="0"/>
                <w:sz w:val="24"/>
                <w:szCs w:val="20"/>
              </w:rPr>
              <w:t>L/s。</w:t>
            </w:r>
          </w:p>
          <w:p w14:paraId="2908515E">
            <w:pPr>
              <w:pStyle w:val="82"/>
              <w:ind w:firstLine="48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kern w:val="0"/>
                <w:sz w:val="24"/>
                <w:szCs w:val="20"/>
              </w:rPr>
              <w:t>本项目厂区的</w:t>
            </w:r>
            <w:r>
              <w:rPr>
                <w:rFonts w:hint="default" w:ascii="Times New Roman" w:hAnsi="Times New Roman" w:eastAsia="宋体" w:cs="Times New Roman"/>
                <w:color w:val="auto"/>
                <w:kern w:val="0"/>
                <w:sz w:val="24"/>
                <w:szCs w:val="20"/>
                <w:highlight w:val="none"/>
                <w:lang w:eastAsia="zh-CN"/>
              </w:rPr>
              <w:t>汇水</w:t>
            </w:r>
            <w:r>
              <w:rPr>
                <w:rFonts w:hint="default" w:ascii="Times New Roman" w:hAnsi="Times New Roman" w:eastAsia="宋体" w:cs="Times New Roman"/>
                <w:color w:val="auto"/>
                <w:kern w:val="0"/>
                <w:sz w:val="24"/>
                <w:szCs w:val="20"/>
                <w:highlight w:val="none"/>
              </w:rPr>
              <w:t>面积为</w:t>
            </w:r>
            <w:r>
              <w:rPr>
                <w:rFonts w:hint="eastAsia" w:cs="Times New Roman"/>
                <w:color w:val="auto"/>
                <w:kern w:val="0"/>
                <w:sz w:val="24"/>
                <w:szCs w:val="20"/>
                <w:lang w:val="en-US" w:eastAsia="zh-CN"/>
              </w:rPr>
              <w:t>6645</w:t>
            </w:r>
            <w:r>
              <w:rPr>
                <w:rFonts w:hint="default" w:ascii="Times New Roman" w:hAnsi="Times New Roman" w:eastAsia="宋体" w:cs="Times New Roman"/>
                <w:color w:val="auto"/>
                <w:kern w:val="0"/>
                <w:sz w:val="24"/>
                <w:szCs w:val="20"/>
              </w:rPr>
              <w:t>m</w:t>
            </w:r>
            <w:r>
              <w:rPr>
                <w:rFonts w:hint="default" w:ascii="Times New Roman" w:hAnsi="Times New Roman" w:eastAsia="宋体" w:cs="Times New Roman"/>
                <w:color w:val="auto"/>
                <w:kern w:val="0"/>
                <w:sz w:val="24"/>
                <w:szCs w:val="20"/>
                <w:vertAlign w:val="superscript"/>
              </w:rPr>
              <w:t>2</w:t>
            </w:r>
            <w:r>
              <w:rPr>
                <w:rFonts w:hint="default" w:ascii="Times New Roman" w:hAnsi="Times New Roman" w:eastAsia="宋体" w:cs="Times New Roman"/>
                <w:color w:val="auto"/>
                <w:kern w:val="0"/>
                <w:sz w:val="24"/>
                <w:szCs w:val="20"/>
              </w:rPr>
              <w:t>，初期雨水按历时15min计算，则</w:t>
            </w:r>
            <w:r>
              <w:rPr>
                <w:rFonts w:hint="default" w:ascii="Times New Roman" w:hAnsi="Times New Roman" w:eastAsia="宋体" w:cs="Times New Roman"/>
                <w:color w:val="auto"/>
                <w:kern w:val="0"/>
                <w:sz w:val="24"/>
                <w:szCs w:val="20"/>
                <w:lang w:val="en-US" w:eastAsia="zh-CN"/>
              </w:rPr>
              <w:t>一次最大</w:t>
            </w:r>
            <w:r>
              <w:rPr>
                <w:rFonts w:hint="default" w:ascii="Times New Roman" w:hAnsi="Times New Roman" w:eastAsia="宋体" w:cs="Times New Roman"/>
                <w:color w:val="auto"/>
                <w:kern w:val="0"/>
                <w:sz w:val="24"/>
                <w:szCs w:val="20"/>
              </w:rPr>
              <w:t>初期雨水量为</w:t>
            </w:r>
            <w:r>
              <w:rPr>
                <w:rFonts w:hint="eastAsia" w:cs="Times New Roman"/>
                <w:color w:val="auto"/>
                <w:kern w:val="0"/>
                <w:sz w:val="24"/>
                <w:szCs w:val="20"/>
                <w:lang w:val="en-US" w:eastAsia="zh-CN"/>
              </w:rPr>
              <w:t>106.2</w:t>
            </w:r>
            <w:r>
              <w:rPr>
                <w:rFonts w:hint="default" w:ascii="Times New Roman" w:hAnsi="Times New Roman" w:eastAsia="宋体" w:cs="Times New Roman"/>
                <w:color w:val="auto"/>
                <w:kern w:val="0"/>
                <w:sz w:val="24"/>
                <w:szCs w:val="20"/>
                <w:lang w:eastAsia="zh-CN"/>
              </w:rPr>
              <w:t>m³</w:t>
            </w:r>
            <w:r>
              <w:rPr>
                <w:rFonts w:hint="default" w:ascii="Times New Roman" w:hAnsi="Times New Roman" w:eastAsia="宋体" w:cs="Times New Roman"/>
                <w:color w:val="auto"/>
                <w:kern w:val="0"/>
                <w:sz w:val="24"/>
                <w:szCs w:val="20"/>
                <w:lang w:val="en-US" w:eastAsia="zh-CN"/>
              </w:rPr>
              <w:t>/次</w:t>
            </w:r>
            <w:r>
              <w:rPr>
                <w:rFonts w:hint="default" w:ascii="Times New Roman" w:hAnsi="Times New Roman" w:eastAsia="宋体" w:cs="Times New Roman"/>
                <w:color w:val="auto"/>
                <w:kern w:val="0"/>
                <w:sz w:val="24"/>
                <w:szCs w:val="20"/>
              </w:rPr>
              <w:t>。初期雨水按每年20次计，则项目营运期初期雨水量为</w:t>
            </w:r>
            <w:r>
              <w:rPr>
                <w:rFonts w:hint="eastAsia" w:cs="Times New Roman"/>
                <w:color w:val="auto"/>
                <w:kern w:val="0"/>
                <w:sz w:val="24"/>
                <w:szCs w:val="20"/>
                <w:lang w:val="en-US" w:eastAsia="zh-CN"/>
              </w:rPr>
              <w:t>2124</w:t>
            </w:r>
            <w:r>
              <w:rPr>
                <w:rFonts w:hint="default" w:ascii="Times New Roman" w:hAnsi="Times New Roman" w:eastAsia="宋体" w:cs="Times New Roman"/>
                <w:color w:val="auto"/>
                <w:kern w:val="0"/>
                <w:sz w:val="24"/>
                <w:szCs w:val="20"/>
                <w:lang w:eastAsia="zh-CN"/>
              </w:rPr>
              <w:t>m³</w:t>
            </w:r>
            <w:r>
              <w:rPr>
                <w:rFonts w:hint="default" w:ascii="Times New Roman" w:hAnsi="Times New Roman" w:eastAsia="宋体" w:cs="Times New Roman"/>
                <w:color w:val="auto"/>
                <w:kern w:val="0"/>
                <w:sz w:val="24"/>
                <w:szCs w:val="20"/>
              </w:rPr>
              <w:t>/a。</w:t>
            </w:r>
            <w:r>
              <w:rPr>
                <w:rFonts w:hint="default" w:ascii="Times New Roman" w:hAnsi="Times New Roman" w:eastAsia="宋体" w:cs="Times New Roman"/>
                <w:color w:val="auto"/>
                <w:sz w:val="24"/>
                <w:szCs w:val="24"/>
                <w:highlight w:val="none"/>
                <w:u w:val="none"/>
              </w:rPr>
              <w:t>初期雨水水质</w:t>
            </w:r>
            <w:r>
              <w:rPr>
                <w:rFonts w:hint="default" w:ascii="Times New Roman" w:hAnsi="Times New Roman" w:eastAsia="宋体" w:cs="Times New Roman"/>
                <w:color w:val="auto"/>
                <w:sz w:val="24"/>
                <w:szCs w:val="24"/>
                <w:highlight w:val="none"/>
                <w:u w:val="none"/>
                <w:lang w:eastAsia="zh-CN"/>
              </w:rPr>
              <w:t>约</w:t>
            </w:r>
            <w:r>
              <w:rPr>
                <w:rFonts w:hint="default" w:ascii="Times New Roman" w:hAnsi="Times New Roman" w:eastAsia="宋体" w:cs="Times New Roman"/>
                <w:color w:val="auto"/>
                <w:sz w:val="24"/>
                <w:szCs w:val="24"/>
                <w:highlight w:val="none"/>
                <w:u w:val="none"/>
              </w:rPr>
              <w:t>CODcr</w:t>
            </w:r>
            <w:r>
              <w:rPr>
                <w:rFonts w:hint="default" w:ascii="Times New Roman" w:hAnsi="Times New Roman" w:eastAsia="宋体" w:cs="Times New Roman"/>
                <w:color w:val="auto"/>
                <w:sz w:val="24"/>
                <w:szCs w:val="24"/>
                <w:highlight w:val="none"/>
                <w:u w:val="none"/>
                <w:lang w:val="en-US" w:eastAsia="zh-CN"/>
              </w:rPr>
              <w:t>5</w:t>
            </w:r>
            <w:r>
              <w:rPr>
                <w:rFonts w:hint="default" w:ascii="Times New Roman" w:hAnsi="Times New Roman" w:eastAsia="宋体" w:cs="Times New Roman"/>
                <w:color w:val="auto"/>
                <w:sz w:val="24"/>
                <w:szCs w:val="24"/>
                <w:highlight w:val="none"/>
                <w:u w:val="none"/>
              </w:rPr>
              <w:t>00mg/L，SS</w:t>
            </w:r>
            <w:r>
              <w:rPr>
                <w:rFonts w:hint="default" w:ascii="Times New Roman" w:hAnsi="Times New Roman" w:eastAsia="宋体" w:cs="Times New Roman"/>
                <w:color w:val="auto"/>
                <w:sz w:val="24"/>
                <w:szCs w:val="24"/>
                <w:highlight w:val="none"/>
                <w:u w:val="none"/>
                <w:lang w:val="en-US" w:eastAsia="zh-CN"/>
              </w:rPr>
              <w:t>200</w:t>
            </w:r>
            <w:r>
              <w:rPr>
                <w:rFonts w:hint="default" w:ascii="Times New Roman" w:hAnsi="Times New Roman" w:eastAsia="宋体" w:cs="Times New Roman"/>
                <w:color w:val="auto"/>
                <w:sz w:val="24"/>
                <w:szCs w:val="24"/>
                <w:highlight w:val="none"/>
                <w:u w:val="none"/>
              </w:rPr>
              <w:t>mg/L。</w:t>
            </w:r>
            <w:r>
              <w:rPr>
                <w:rFonts w:hint="default" w:ascii="Times New Roman" w:hAnsi="Times New Roman" w:eastAsia="宋体" w:cs="Times New Roman"/>
                <w:color w:val="auto"/>
                <w:kern w:val="0"/>
                <w:sz w:val="24"/>
                <w:szCs w:val="20"/>
                <w:lang w:eastAsia="zh-CN"/>
              </w:rPr>
              <w:t>厂区</w:t>
            </w:r>
            <w:r>
              <w:rPr>
                <w:rFonts w:hint="default" w:ascii="Times New Roman" w:hAnsi="Times New Roman" w:eastAsia="宋体" w:cs="Times New Roman"/>
                <w:color w:val="auto"/>
                <w:sz w:val="24"/>
                <w:szCs w:val="24"/>
                <w:highlight w:val="none"/>
                <w:u w:val="none"/>
                <w:lang w:eastAsia="zh-CN"/>
              </w:rPr>
              <w:t>目前设置</w:t>
            </w:r>
            <w:r>
              <w:rPr>
                <w:rFonts w:hint="default" w:ascii="Times New Roman" w:hAnsi="Times New Roman" w:eastAsia="宋体" w:cs="Times New Roman"/>
                <w:color w:val="auto"/>
                <w:sz w:val="24"/>
                <w:szCs w:val="24"/>
                <w:highlight w:val="none"/>
                <w:u w:val="none"/>
                <w:lang w:val="en-US" w:eastAsia="zh-CN"/>
              </w:rPr>
              <w:t>1座容积为110m³</w:t>
            </w:r>
            <w:r>
              <w:rPr>
                <w:rFonts w:hint="default" w:ascii="Times New Roman" w:hAnsi="Times New Roman" w:eastAsia="宋体" w:cs="Times New Roman"/>
                <w:color w:val="auto"/>
                <w:sz w:val="24"/>
                <w:szCs w:val="24"/>
                <w:highlight w:val="none"/>
                <w:u w:val="none"/>
                <w:vertAlign w:val="baseline"/>
                <w:lang w:val="en-US" w:eastAsia="zh-CN"/>
              </w:rPr>
              <w:t>的</w:t>
            </w:r>
            <w:r>
              <w:rPr>
                <w:rFonts w:hint="default" w:ascii="Times New Roman" w:hAnsi="Times New Roman" w:eastAsia="宋体" w:cs="Times New Roman"/>
                <w:color w:val="auto"/>
                <w:sz w:val="24"/>
                <w:szCs w:val="24"/>
                <w:highlight w:val="none"/>
                <w:u w:val="none"/>
                <w:lang w:val="en-US" w:eastAsia="zh-CN"/>
              </w:rPr>
              <w:t>初期雨水收集池</w:t>
            </w:r>
            <w:r>
              <w:rPr>
                <w:rFonts w:hint="eastAsia" w:cs="Times New Roman"/>
                <w:color w:val="auto"/>
                <w:sz w:val="24"/>
                <w:szCs w:val="24"/>
                <w:highlight w:val="none"/>
                <w:u w:val="none"/>
                <w:lang w:val="en-US" w:eastAsia="zh-CN"/>
              </w:rPr>
              <w:t>（可以容纳1次初期雨水降水量）</w:t>
            </w:r>
            <w:r>
              <w:rPr>
                <w:rFonts w:hint="default" w:ascii="Times New Roman" w:hAnsi="Times New Roman" w:eastAsia="宋体" w:cs="Times New Roman"/>
                <w:color w:val="auto"/>
                <w:sz w:val="24"/>
                <w:szCs w:val="24"/>
                <w:highlight w:val="none"/>
                <w:u w:val="none"/>
                <w:lang w:val="en-US" w:eastAsia="zh-CN"/>
              </w:rPr>
              <w:t>，雨水收集系统收集的初期雨水部分经雨水切换阀进入初期雨水收集池，进入污水站</w:t>
            </w:r>
            <w:r>
              <w:rPr>
                <w:rFonts w:hint="default" w:ascii="Times New Roman" w:hAnsi="Times New Roman" w:eastAsia="宋体" w:cs="Times New Roman"/>
                <w:color w:val="auto"/>
                <w:highlight w:val="none"/>
              </w:rPr>
              <w:t>进行深度处理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sz w:val="24"/>
                <w:szCs w:val="24"/>
                <w:highlight w:val="none"/>
                <w:u w:val="none"/>
                <w:lang w:val="en-US" w:eastAsia="zh-CN"/>
              </w:rPr>
              <w:t>未受污染的雨水直接接入市政雨水管网。</w:t>
            </w:r>
          </w:p>
          <w:p w14:paraId="76D0D0FC">
            <w:pPr>
              <w:pStyle w:val="7"/>
              <w:spacing w:before="120" w:after="120"/>
              <w:outlineLvl w:val="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4.2.2达标排放分析</w:t>
            </w:r>
          </w:p>
          <w:p w14:paraId="323F94BC">
            <w:pPr>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本项目运营期主要外排废水为生活污水</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初期雨水</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生产废水</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初期雨水收集池进行沉淀后，在初期雨水不符合排放标准时，排入厂区污水处理厂进行处理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若是符合清净雨水，则直接排放，不会影响周边环境水体</w:t>
            </w:r>
            <w:r>
              <w:rPr>
                <w:rFonts w:hint="default" w:ascii="Times New Roman" w:hAnsi="Times New Roman" w:eastAsia="宋体" w:cs="Times New Roman"/>
                <w:color w:val="auto"/>
                <w:highlight w:val="none"/>
              </w:rPr>
              <w:t>。</w:t>
            </w:r>
          </w:p>
          <w:p w14:paraId="4E471DCB">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生活污水、生产废水分别</w:t>
            </w:r>
            <w:r>
              <w:rPr>
                <w:rFonts w:hint="default" w:ascii="Times New Roman" w:hAnsi="Times New Roman" w:eastAsia="宋体" w:cs="Times New Roman"/>
                <w:color w:val="auto"/>
                <w:highlight w:val="none"/>
              </w:rPr>
              <w:t>处理后达《污水综合排放标准》（GB8978-1996）表4中的三级标准排放标准（氨氮参照执行《污水排入城镇下水道水质标准》（GB/T31962-2015）中B等级标准）要求后通过市政管网排入</w:t>
            </w:r>
            <w:r>
              <w:rPr>
                <w:rFonts w:hint="default" w:ascii="Times New Roman" w:hAnsi="Times New Roman" w:eastAsia="宋体" w:cs="Times New Roman"/>
                <w:color w:val="auto"/>
                <w:highlight w:val="none"/>
                <w:lang w:eastAsia="zh-CN"/>
              </w:rPr>
              <w:t>江阴污水处理厂</w:t>
            </w:r>
            <w:r>
              <w:rPr>
                <w:rFonts w:hint="default" w:ascii="Times New Roman" w:hAnsi="Times New Roman" w:eastAsia="宋体" w:cs="Times New Roman"/>
                <w:color w:val="auto"/>
                <w:highlight w:val="none"/>
              </w:rPr>
              <w:t>，污水处理厂废水排放执行《城镇污水处理厂污染物排放标准》GB18918-2002中一级B排放标准，由江阴工业集中区污水处理厂已建排海管道排海，不影响兴化湾环境功能。</w:t>
            </w:r>
          </w:p>
          <w:p w14:paraId="0E8C3B9F">
            <w:pPr>
              <w:pStyle w:val="7"/>
              <w:spacing w:before="120" w:after="120"/>
              <w:outlineLvl w:val="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4.2.3废水治理措施可行性</w:t>
            </w:r>
            <w:r>
              <w:rPr>
                <w:rFonts w:hint="default" w:ascii="Times New Roman" w:hAnsi="Times New Roman" w:eastAsia="宋体" w:cs="Times New Roman"/>
                <w:color w:val="auto"/>
                <w:highlight w:val="none"/>
                <w:lang w:val="en-US" w:eastAsia="zh-CN"/>
              </w:rPr>
              <w:t>分析</w:t>
            </w:r>
          </w:p>
          <w:p w14:paraId="482D2091">
            <w:pPr>
              <w:overflowPunct w:val="0"/>
              <w:adjustRightInd w:val="0"/>
              <w:snapToGrid w:val="0"/>
              <w:ind w:firstLine="480"/>
              <w:jc w:val="left"/>
              <w:rPr>
                <w:rFonts w:hint="default" w:ascii="Times New Roman" w:hAnsi="Times New Roman" w:eastAsia="宋体" w:cs="Times New Roman"/>
                <w:bCs/>
                <w:snapToGrid w:val="0"/>
                <w:color w:val="auto"/>
                <w:lang w:val="en-US" w:eastAsia="zh-CN"/>
              </w:rPr>
            </w:pPr>
            <w:r>
              <w:rPr>
                <w:rFonts w:hint="default" w:ascii="Times New Roman" w:hAnsi="Times New Roman" w:eastAsia="宋体" w:cs="Times New Roman"/>
                <w:bCs/>
                <w:snapToGrid w:val="0"/>
                <w:color w:val="auto"/>
                <w:lang w:val="en-US" w:eastAsia="zh-CN"/>
              </w:rPr>
              <w:t>1、</w:t>
            </w:r>
            <w:r>
              <w:rPr>
                <w:rFonts w:hint="default" w:ascii="Times New Roman" w:hAnsi="Times New Roman" w:eastAsia="宋体" w:cs="Times New Roman"/>
                <w:bCs/>
                <w:snapToGrid w:val="0"/>
                <w:color w:val="auto"/>
              </w:rPr>
              <w:t>生活污水</w:t>
            </w:r>
            <w:r>
              <w:rPr>
                <w:rFonts w:hint="default" w:ascii="Times New Roman" w:hAnsi="Times New Roman" w:eastAsia="宋体" w:cs="Times New Roman"/>
                <w:bCs/>
                <w:snapToGrid w:val="0"/>
                <w:color w:val="auto"/>
                <w:lang w:val="en-US" w:eastAsia="zh-CN"/>
              </w:rPr>
              <w:t>预处理</w:t>
            </w:r>
          </w:p>
          <w:p w14:paraId="0B4E7612">
            <w:pPr>
              <w:overflowPunct w:val="0"/>
              <w:adjustRightInd w:val="0"/>
              <w:snapToGrid w:val="0"/>
              <w:ind w:firstLine="480"/>
              <w:jc w:val="left"/>
              <w:rPr>
                <w:rFonts w:hint="default" w:ascii="Times New Roman" w:hAnsi="Times New Roman" w:eastAsia="宋体" w:cs="Times New Roman"/>
                <w:bCs/>
                <w:snapToGrid w:val="0"/>
                <w:color w:val="auto"/>
                <w:highlight w:val="none"/>
              </w:rPr>
            </w:pPr>
            <w:r>
              <w:rPr>
                <w:rFonts w:hint="default" w:ascii="Times New Roman" w:hAnsi="Times New Roman" w:eastAsia="宋体" w:cs="Times New Roman"/>
                <w:bCs/>
                <w:snapToGrid w:val="0"/>
                <w:color w:val="auto"/>
                <w:lang w:val="en-US" w:eastAsia="zh-CN"/>
              </w:rPr>
              <w:t>生活污水经厂区地埋式三级</w:t>
            </w:r>
            <w:r>
              <w:rPr>
                <w:rFonts w:hint="default" w:ascii="Times New Roman" w:hAnsi="Times New Roman" w:eastAsia="宋体" w:cs="Times New Roman"/>
                <w:bCs/>
                <w:snapToGrid w:val="0"/>
                <w:color w:val="auto"/>
              </w:rPr>
              <w:t>化粪池预处理达标</w:t>
            </w:r>
            <w:r>
              <w:rPr>
                <w:rFonts w:hint="default" w:ascii="Times New Roman" w:hAnsi="Times New Roman" w:eastAsia="宋体" w:cs="Times New Roman"/>
                <w:bCs/>
                <w:snapToGrid w:val="0"/>
                <w:color w:val="auto"/>
                <w:highlight w:val="none"/>
              </w:rPr>
              <w:t>后，</w:t>
            </w:r>
            <w:r>
              <w:rPr>
                <w:rFonts w:hint="default" w:ascii="Times New Roman" w:hAnsi="Times New Roman" w:eastAsia="宋体" w:cs="Times New Roman"/>
                <w:bCs/>
                <w:snapToGrid w:val="0"/>
                <w:color w:val="auto"/>
                <w:highlight w:val="none"/>
                <w:lang w:val="en-US" w:eastAsia="zh-CN"/>
              </w:rPr>
              <w:t>纳入</w:t>
            </w:r>
            <w:r>
              <w:rPr>
                <w:rFonts w:hint="default" w:ascii="Times New Roman" w:hAnsi="Times New Roman" w:eastAsia="宋体" w:cs="Times New Roman"/>
                <w:color w:val="auto"/>
                <w:highlight w:val="none"/>
                <w:lang w:eastAsia="zh-CN"/>
              </w:rPr>
              <w:t>江阴污水处理厂</w:t>
            </w:r>
            <w:r>
              <w:rPr>
                <w:rFonts w:hint="default" w:ascii="Times New Roman" w:hAnsi="Times New Roman" w:eastAsia="宋体" w:cs="Times New Roman"/>
                <w:color w:val="auto"/>
                <w:highlight w:val="none"/>
                <w:lang w:val="en-US" w:eastAsia="zh-CN"/>
              </w:rPr>
              <w:t>进一步处理</w:t>
            </w:r>
            <w:r>
              <w:rPr>
                <w:rFonts w:hint="default" w:ascii="Times New Roman" w:hAnsi="Times New Roman" w:eastAsia="宋体" w:cs="Times New Roman"/>
                <w:bCs/>
                <w:snapToGrid w:val="0"/>
                <w:color w:val="auto"/>
                <w:highlight w:val="none"/>
              </w:rPr>
              <w:t>。</w:t>
            </w:r>
          </w:p>
          <w:p w14:paraId="189521CF">
            <w:pPr>
              <w:overflowPunct w:val="0"/>
              <w:adjustRightInd w:val="0"/>
              <w:snapToGrid w:val="0"/>
              <w:ind w:firstLine="48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mc:AlternateContent>
                <mc:Choice Requires="wpg">
                  <w:drawing>
                    <wp:anchor distT="0" distB="0" distL="114300" distR="114300" simplePos="0" relativeHeight="251671552" behindDoc="0" locked="0" layoutInCell="1" allowOverlap="1">
                      <wp:simplePos x="0" y="0"/>
                      <wp:positionH relativeFrom="column">
                        <wp:posOffset>409575</wp:posOffset>
                      </wp:positionH>
                      <wp:positionV relativeFrom="paragraph">
                        <wp:posOffset>227965</wp:posOffset>
                      </wp:positionV>
                      <wp:extent cx="4192905" cy="450215"/>
                      <wp:effectExtent l="4445" t="5080" r="0" b="20955"/>
                      <wp:wrapNone/>
                      <wp:docPr id="122" name="组合 122"/>
                      <wp:cNvGraphicFramePr/>
                      <a:graphic xmlns:a="http://schemas.openxmlformats.org/drawingml/2006/main">
                        <a:graphicData uri="http://schemas.microsoft.com/office/word/2010/wordprocessingGroup">
                          <wpg:wgp>
                            <wpg:cNvGrpSpPr/>
                            <wpg:grpSpPr>
                              <a:xfrm>
                                <a:off x="0" y="0"/>
                                <a:ext cx="4192905" cy="450215"/>
                                <a:chOff x="6781" y="483802"/>
                                <a:chExt cx="6603" cy="709"/>
                              </a:xfrm>
                            </wpg:grpSpPr>
                            <wps:wsp>
                              <wps:cNvPr id="104" name="文本框 177"/>
                              <wps:cNvSpPr txBox="1"/>
                              <wps:spPr>
                                <a:xfrm>
                                  <a:off x="11608" y="483806"/>
                                  <a:ext cx="1050" cy="428"/>
                                </a:xfrm>
                                <a:prstGeom prst="rect">
                                  <a:avLst/>
                                </a:prstGeom>
                                <a:noFill/>
                                <a:ln>
                                  <a:noFill/>
                                </a:ln>
                              </wps:spPr>
                              <wps:txbx>
                                <w:txbxContent>
                                  <w:p w14:paraId="4B99020C">
                                    <w:pPr>
                                      <w:ind w:left="0" w:leftChars="0" w:firstLine="210" w:firstLineChars="100"/>
                                      <w:jc w:val="both"/>
                                      <w:rPr>
                                        <w:rFonts w:hint="default" w:eastAsia="宋体"/>
                                        <w:sz w:val="21"/>
                                        <w:szCs w:val="21"/>
                                        <w:lang w:val="en-US" w:eastAsia="zh-CN"/>
                                      </w:rPr>
                                    </w:pPr>
                                    <w:r>
                                      <w:rPr>
                                        <w:rFonts w:hint="eastAsia"/>
                                        <w:sz w:val="21"/>
                                        <w:szCs w:val="21"/>
                                        <w:lang w:val="en-US" w:eastAsia="zh-CN"/>
                                      </w:rPr>
                                      <w:t>4.56</w:t>
                                    </w:r>
                                  </w:p>
                                </w:txbxContent>
                              </wps:txbx>
                              <wps:bodyPr upright="1"/>
                            </wps:wsp>
                            <wps:wsp>
                              <wps:cNvPr id="105" name="文本框 177"/>
                              <wps:cNvSpPr txBox="1"/>
                              <wps:spPr>
                                <a:xfrm>
                                  <a:off x="9658" y="483821"/>
                                  <a:ext cx="1050" cy="428"/>
                                </a:xfrm>
                                <a:prstGeom prst="rect">
                                  <a:avLst/>
                                </a:prstGeom>
                                <a:noFill/>
                                <a:ln>
                                  <a:noFill/>
                                </a:ln>
                              </wps:spPr>
                              <wps:txbx>
                                <w:txbxContent>
                                  <w:p w14:paraId="51391007">
                                    <w:pPr>
                                      <w:ind w:left="0" w:leftChars="0" w:firstLine="210" w:firstLineChars="100"/>
                                      <w:jc w:val="both"/>
                                      <w:rPr>
                                        <w:rFonts w:hint="default" w:eastAsia="宋体"/>
                                        <w:sz w:val="21"/>
                                        <w:szCs w:val="21"/>
                                        <w:lang w:val="en-US" w:eastAsia="zh-CN"/>
                                      </w:rPr>
                                    </w:pPr>
                                    <w:r>
                                      <w:rPr>
                                        <w:rFonts w:hint="eastAsia"/>
                                        <w:sz w:val="21"/>
                                        <w:szCs w:val="21"/>
                                        <w:lang w:val="en-US" w:eastAsia="zh-CN"/>
                                      </w:rPr>
                                      <w:t>4.56</w:t>
                                    </w:r>
                                  </w:p>
                                </w:txbxContent>
                              </wps:txbx>
                              <wps:bodyPr upright="1"/>
                            </wps:wsp>
                            <wps:wsp>
                              <wps:cNvPr id="106" name="直接连接符 172"/>
                              <wps:cNvCnPr/>
                              <wps:spPr>
                                <a:xfrm>
                                  <a:off x="11835" y="484135"/>
                                  <a:ext cx="672" cy="1"/>
                                </a:xfrm>
                                <a:prstGeom prst="line">
                                  <a:avLst/>
                                </a:prstGeom>
                                <a:ln w="9525" cap="flat" cmpd="sng">
                                  <a:solidFill>
                                    <a:srgbClr val="000000"/>
                                  </a:solidFill>
                                  <a:prstDash val="solid"/>
                                  <a:headEnd type="none" w="med" len="med"/>
                                  <a:tailEnd type="triangle" w="med" len="med"/>
                                </a:ln>
                              </wps:spPr>
                              <wps:bodyPr upright="1"/>
                            </wps:wsp>
                            <wps:wsp>
                              <wps:cNvPr id="109" name="文本框 175"/>
                              <wps:cNvSpPr txBox="1"/>
                              <wps:spPr>
                                <a:xfrm>
                                  <a:off x="12381" y="483892"/>
                                  <a:ext cx="1003" cy="468"/>
                                </a:xfrm>
                                <a:prstGeom prst="rect">
                                  <a:avLst/>
                                </a:prstGeom>
                                <a:noFill/>
                                <a:ln w="9525" cap="flat" cmpd="sng">
                                  <a:noFill/>
                                  <a:prstDash val="solid"/>
                                  <a:miter/>
                                  <a:headEnd type="none" w="med" len="med"/>
                                  <a:tailEnd type="none" w="med" len="med"/>
                                </a:ln>
                              </wps:spPr>
                              <wps:txbx>
                                <w:txbxContent>
                                  <w:p w14:paraId="5D0CFD6C">
                                    <w:pPr>
                                      <w:spacing w:line="34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兴化</w:t>
                                    </w:r>
                                    <w:r>
                                      <w:rPr>
                                        <w:rFonts w:hint="eastAsia" w:ascii="宋体" w:hAnsi="宋体" w:cs="宋体"/>
                                        <w:sz w:val="21"/>
                                        <w:szCs w:val="21"/>
                                        <w:lang w:eastAsia="zh-CN"/>
                                      </w:rPr>
                                      <w:t>湾</w:t>
                                    </w:r>
                                  </w:p>
                                  <w:p w14:paraId="6075DFEF">
                                    <w:pPr>
                                      <w:spacing w:line="300" w:lineRule="exact"/>
                                      <w:jc w:val="center"/>
                                      <w:rPr>
                                        <w:rFonts w:hint="eastAsia" w:ascii="宋体" w:hAnsi="宋体" w:cs="宋体"/>
                                        <w:szCs w:val="21"/>
                                      </w:rPr>
                                    </w:pPr>
                                  </w:p>
                                </w:txbxContent>
                              </wps:txbx>
                              <wps:bodyPr lIns="18000" tIns="10800" rIns="18000" bIns="10800" upright="1"/>
                            </wps:wsp>
                            <wps:wsp>
                              <wps:cNvPr id="110" name="文本框 175"/>
                              <wps:cNvSpPr txBox="1"/>
                              <wps:spPr>
                                <a:xfrm>
                                  <a:off x="10521" y="483802"/>
                                  <a:ext cx="1288" cy="709"/>
                                </a:xfrm>
                                <a:prstGeom prst="rect">
                                  <a:avLst/>
                                </a:prstGeom>
                                <a:noFill/>
                                <a:ln w="9525" cap="flat" cmpd="sng">
                                  <a:solidFill>
                                    <a:srgbClr val="000000"/>
                                  </a:solidFill>
                                  <a:prstDash val="solid"/>
                                  <a:miter/>
                                  <a:headEnd type="none" w="med" len="med"/>
                                  <a:tailEnd type="none" w="med" len="med"/>
                                </a:ln>
                              </wps:spPr>
                              <wps:txbx>
                                <w:txbxContent>
                                  <w:p w14:paraId="193CE2AF">
                                    <w:pPr>
                                      <w:spacing w:line="240" w:lineRule="auto"/>
                                      <w:ind w:left="0" w:lef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江阴污水处理厂</w:t>
                                    </w:r>
                                  </w:p>
                                </w:txbxContent>
                              </wps:txbx>
                              <wps:bodyPr lIns="18000" tIns="10800" rIns="18000" bIns="10800" upright="1"/>
                            </wps:wsp>
                            <wps:wsp>
                              <wps:cNvPr id="111" name="文本框 176"/>
                              <wps:cNvSpPr txBox="1"/>
                              <wps:spPr>
                                <a:xfrm>
                                  <a:off x="7886" y="483840"/>
                                  <a:ext cx="1050" cy="428"/>
                                </a:xfrm>
                                <a:prstGeom prst="rect">
                                  <a:avLst/>
                                </a:prstGeom>
                                <a:noFill/>
                                <a:ln>
                                  <a:noFill/>
                                </a:ln>
                              </wps:spPr>
                              <wps:txbx>
                                <w:txbxContent>
                                  <w:p w14:paraId="3BF7E29B">
                                    <w:pPr>
                                      <w:ind w:left="0" w:leftChars="0" w:firstLine="0" w:firstLineChars="0"/>
                                      <w:jc w:val="both"/>
                                      <w:rPr>
                                        <w:rFonts w:hint="default" w:eastAsia="宋体"/>
                                        <w:sz w:val="21"/>
                                        <w:szCs w:val="21"/>
                                        <w:lang w:val="en-US" w:eastAsia="zh-CN"/>
                                      </w:rPr>
                                    </w:pPr>
                                    <w:r>
                                      <w:rPr>
                                        <w:rFonts w:hint="eastAsia"/>
                                        <w:sz w:val="21"/>
                                        <w:szCs w:val="21"/>
                                        <w:lang w:val="en-US" w:eastAsia="zh-CN"/>
                                      </w:rPr>
                                      <w:t>4.56</w:t>
                                    </w:r>
                                  </w:p>
                                </w:txbxContent>
                              </wps:txbx>
                              <wps:bodyPr upright="1"/>
                            </wps:wsp>
                            <wps:wsp>
                              <wps:cNvPr id="114" name="文本框 175"/>
                              <wps:cNvSpPr txBox="1"/>
                              <wps:spPr>
                                <a:xfrm>
                                  <a:off x="8722" y="483802"/>
                                  <a:ext cx="1107" cy="692"/>
                                </a:xfrm>
                                <a:prstGeom prst="rect">
                                  <a:avLst/>
                                </a:prstGeom>
                                <a:noFill/>
                                <a:ln w="9525" cap="flat" cmpd="sng">
                                  <a:solidFill>
                                    <a:srgbClr val="000000"/>
                                  </a:solidFill>
                                  <a:prstDash val="solid"/>
                                  <a:miter/>
                                  <a:headEnd type="none" w="med" len="med"/>
                                  <a:tailEnd type="none" w="med" len="med"/>
                                </a:ln>
                              </wps:spPr>
                              <wps:txbx>
                                <w:txbxContent>
                                  <w:p w14:paraId="656CEA3F">
                                    <w:pPr>
                                      <w:spacing w:line="340" w:lineRule="exact"/>
                                      <w:ind w:left="0" w:leftChars="0" w:firstLine="0" w:firstLineChars="0"/>
                                      <w:jc w:val="center"/>
                                      <w:rPr>
                                        <w:rFonts w:hint="eastAsia" w:ascii="宋体" w:hAnsi="宋体" w:cs="宋体"/>
                                        <w:sz w:val="21"/>
                                        <w:szCs w:val="21"/>
                                      </w:rPr>
                                    </w:pPr>
                                    <w:r>
                                      <w:rPr>
                                        <w:rFonts w:hint="eastAsia" w:ascii="宋体" w:hAnsi="宋体" w:cs="宋体"/>
                                        <w:sz w:val="21"/>
                                        <w:szCs w:val="21"/>
                                        <w:lang w:val="en-US" w:eastAsia="zh-CN"/>
                                      </w:rPr>
                                      <w:t>地埋式三级</w:t>
                                    </w:r>
                                    <w:r>
                                      <w:rPr>
                                        <w:rFonts w:hint="eastAsia" w:ascii="宋体" w:hAnsi="宋体" w:cs="宋体"/>
                                        <w:sz w:val="21"/>
                                        <w:szCs w:val="21"/>
                                      </w:rPr>
                                      <w:t>化粪池</w:t>
                                    </w:r>
                                  </w:p>
                                  <w:p w14:paraId="610FEC6C">
                                    <w:pPr>
                                      <w:spacing w:line="300" w:lineRule="exact"/>
                                      <w:jc w:val="center"/>
                                      <w:rPr>
                                        <w:rFonts w:hint="eastAsia" w:ascii="宋体" w:hAnsi="宋体" w:cs="宋体"/>
                                        <w:szCs w:val="21"/>
                                      </w:rPr>
                                    </w:pPr>
                                  </w:p>
                                </w:txbxContent>
                              </wps:txbx>
                              <wps:bodyPr lIns="18000" tIns="10800" rIns="18000" bIns="10800" upright="1"/>
                            </wps:wsp>
                            <wps:wsp>
                              <wps:cNvPr id="117" name="文本框 174"/>
                              <wps:cNvSpPr txBox="1"/>
                              <wps:spPr>
                                <a:xfrm>
                                  <a:off x="6781" y="483948"/>
                                  <a:ext cx="1167" cy="440"/>
                                </a:xfrm>
                                <a:prstGeom prst="rect">
                                  <a:avLst/>
                                </a:prstGeom>
                                <a:noFill/>
                                <a:ln w="9525" cap="flat" cmpd="sng">
                                  <a:solidFill>
                                    <a:srgbClr val="000000"/>
                                  </a:solidFill>
                                  <a:prstDash val="solid"/>
                                  <a:miter/>
                                  <a:headEnd type="none" w="med" len="med"/>
                                  <a:tailEnd type="none" w="med" len="med"/>
                                </a:ln>
                              </wps:spPr>
                              <wps:txbx>
                                <w:txbxContent>
                                  <w:p w14:paraId="665C82AE">
                                    <w:pPr>
                                      <w:pStyle w:val="81"/>
                                      <w:ind w:firstLine="0" w:firstLineChars="0"/>
                                      <w:jc w:val="both"/>
                                      <w:rPr>
                                        <w:rFonts w:hint="eastAsia" w:ascii="宋体" w:hAnsi="宋体" w:cs="宋体"/>
                                        <w:sz w:val="21"/>
                                        <w:szCs w:val="21"/>
                                      </w:rPr>
                                    </w:pPr>
                                    <w:r>
                                      <w:rPr>
                                        <w:rFonts w:hint="eastAsia" w:ascii="宋体" w:hAnsi="宋体" w:cs="宋体"/>
                                        <w:sz w:val="21"/>
                                        <w:szCs w:val="21"/>
                                      </w:rPr>
                                      <w:t>生活</w:t>
                                    </w:r>
                                    <w:r>
                                      <w:rPr>
                                        <w:rFonts w:hint="eastAsia" w:ascii="宋体" w:hAnsi="宋体" w:cs="宋体"/>
                                        <w:sz w:val="21"/>
                                        <w:szCs w:val="21"/>
                                        <w:lang w:eastAsia="zh-CN"/>
                                      </w:rPr>
                                      <w:t>污</w:t>
                                    </w:r>
                                    <w:r>
                                      <w:rPr>
                                        <w:rFonts w:hint="eastAsia" w:ascii="宋体" w:hAnsi="宋体" w:cs="宋体"/>
                                        <w:sz w:val="21"/>
                                        <w:szCs w:val="21"/>
                                      </w:rPr>
                                      <w:t>水</w:t>
                                    </w:r>
                                  </w:p>
                                </w:txbxContent>
                              </wps:txbx>
                              <wps:bodyPr upright="1"/>
                            </wps:wsp>
                            <wps:wsp>
                              <wps:cNvPr id="118" name="直接连接符 172"/>
                              <wps:cNvCnPr/>
                              <wps:spPr>
                                <a:xfrm>
                                  <a:off x="9840" y="484150"/>
                                  <a:ext cx="672" cy="1"/>
                                </a:xfrm>
                                <a:prstGeom prst="line">
                                  <a:avLst/>
                                </a:prstGeom>
                                <a:ln w="9525" cap="flat" cmpd="sng">
                                  <a:solidFill>
                                    <a:srgbClr val="000000"/>
                                  </a:solidFill>
                                  <a:prstDash val="solid"/>
                                  <a:headEnd type="none" w="med" len="med"/>
                                  <a:tailEnd type="triangle" w="med" len="med"/>
                                </a:ln>
                              </wps:spPr>
                              <wps:bodyPr upright="1"/>
                            </wps:wsp>
                            <wps:wsp>
                              <wps:cNvPr id="121" name="直接连接符 171"/>
                              <wps:cNvCnPr/>
                              <wps:spPr>
                                <a:xfrm>
                                  <a:off x="7952" y="484162"/>
                                  <a:ext cx="716" cy="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2.25pt;margin-top:17.95pt;height:35.45pt;width:330.15pt;z-index:251671552;mso-width-relative:page;mso-height-relative:page;" coordorigin="6781,483802" coordsize="6603,709" o:gfxdata="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">
                      <o:lock v:ext="edit" aspectratio="f"/>
                      <v:shape id="文本框 177" o:spid="_x0000_s1026" o:spt="202" type="#_x0000_t202" style="position:absolute;left:11608;top:483806;height:428;width:1050;" filled="f" stroked="f" coordsize="21600,21600" o:gfxdata="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NR5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4B99020C">
                              <w:pPr>
                                <w:ind w:left="0" w:leftChars="0" w:firstLine="210" w:firstLineChars="100"/>
                                <w:jc w:val="both"/>
                                <w:rPr>
                                  <w:rFonts w:hint="default" w:eastAsia="宋体"/>
                                  <w:sz w:val="21"/>
                                  <w:szCs w:val="21"/>
                                  <w:lang w:val="en-US" w:eastAsia="zh-CN"/>
                                </w:rPr>
                              </w:pPr>
                              <w:r>
                                <w:rPr>
                                  <w:rFonts w:hint="eastAsia"/>
                                  <w:sz w:val="21"/>
                                  <w:szCs w:val="21"/>
                                  <w:lang w:val="en-US" w:eastAsia="zh-CN"/>
                                </w:rPr>
                                <w:t>4.56</w:t>
                              </w:r>
                            </w:p>
                          </w:txbxContent>
                        </v:textbox>
                      </v:shape>
                      <v:shape id="文本框 177" o:spid="_x0000_s1026" o:spt="202" type="#_x0000_t202" style="position:absolute;left:9658;top:483821;height:428;width:1050;" filled="f" stroked="f" coordsize="21600,21600" o:gfxdata="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m79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1391007">
                              <w:pPr>
                                <w:ind w:left="0" w:leftChars="0" w:firstLine="210" w:firstLineChars="100"/>
                                <w:jc w:val="both"/>
                                <w:rPr>
                                  <w:rFonts w:hint="default" w:eastAsia="宋体"/>
                                  <w:sz w:val="21"/>
                                  <w:szCs w:val="21"/>
                                  <w:lang w:val="en-US" w:eastAsia="zh-CN"/>
                                </w:rPr>
                              </w:pPr>
                              <w:r>
                                <w:rPr>
                                  <w:rFonts w:hint="eastAsia"/>
                                  <w:sz w:val="21"/>
                                  <w:szCs w:val="21"/>
                                  <w:lang w:val="en-US" w:eastAsia="zh-CN"/>
                                </w:rPr>
                                <w:t>4.56</w:t>
                              </w:r>
                            </w:p>
                          </w:txbxContent>
                        </v:textbox>
                      </v:shape>
                      <v:line id="直接连接符 172" o:spid="_x0000_s1026" o:spt="20" style="position:absolute;left:11835;top:484135;height:1;width:672;" filled="f" stroked="t" coordsize="21600,21600" o:gfxdata="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MN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175" o:spid="_x0000_s1026" o:spt="202" type="#_x0000_t202" style="position:absolute;left:12381;top:483892;height:468;width:1003;" filled="f" stroked="f" coordsize="21600,21600" o:gfxdata="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gvPpugAAANwA&#10;AAAPAAAAAAAAAAEAIAAAACIAAABkcnMvZG93bnJldi54bWxQSwECFAAUAAAACACHTuJAMy8FnjsA&#10;AAA5AAAAEAAAAAAAAAABACAAAAAJAQAAZHJzL3NoYXBleG1sLnhtbFBLBQYAAAAABgAGAFsBAACz&#10;AwAAAAA=&#10;">
                        <v:fill on="f" focussize="0,0"/>
                        <v:stroke on="f" joinstyle="miter"/>
                        <v:imagedata o:title=""/>
                        <o:lock v:ext="edit" aspectratio="f"/>
                        <v:textbox inset="0.5mm,0.3mm,0.5mm,0.3mm">
                          <w:txbxContent>
                            <w:p w14:paraId="5D0CFD6C">
                              <w:pPr>
                                <w:spacing w:line="34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兴化</w:t>
                              </w:r>
                              <w:r>
                                <w:rPr>
                                  <w:rFonts w:hint="eastAsia" w:ascii="宋体" w:hAnsi="宋体" w:cs="宋体"/>
                                  <w:sz w:val="21"/>
                                  <w:szCs w:val="21"/>
                                  <w:lang w:eastAsia="zh-CN"/>
                                </w:rPr>
                                <w:t>湾</w:t>
                              </w:r>
                            </w:p>
                            <w:p w14:paraId="6075DFEF">
                              <w:pPr>
                                <w:spacing w:line="300" w:lineRule="exact"/>
                                <w:jc w:val="center"/>
                                <w:rPr>
                                  <w:rFonts w:hint="eastAsia" w:ascii="宋体" w:hAnsi="宋体" w:cs="宋体"/>
                                  <w:szCs w:val="21"/>
                                </w:rPr>
                              </w:pPr>
                            </w:p>
                          </w:txbxContent>
                        </v:textbox>
                      </v:shape>
                      <v:shape id="文本框 175" o:spid="_x0000_s1026" o:spt="202" type="#_x0000_t202" style="position:absolute;left:10521;top:483802;height:709;width:1288;" filled="f" stroked="t" coordsize="21600,21600" o:gfxdata="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Z3v7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5mm,0.3mm,0.5mm,0.3mm">
                          <w:txbxContent>
                            <w:p w14:paraId="193CE2AF">
                              <w:pPr>
                                <w:spacing w:line="240" w:lineRule="auto"/>
                                <w:ind w:left="0" w:lef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江阴污水处理厂</w:t>
                              </w:r>
                            </w:p>
                          </w:txbxContent>
                        </v:textbox>
                      </v:shape>
                      <v:shape id="文本框 176" o:spid="_x0000_s1026" o:spt="202" type="#_x0000_t202" style="position:absolute;left:7886;top:483840;height:428;width:1050;" filled="f" stroked="f" coordsize="21600,21600" o:gfxdata="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JsrK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BF7E29B">
                              <w:pPr>
                                <w:ind w:left="0" w:leftChars="0" w:firstLine="0" w:firstLineChars="0"/>
                                <w:jc w:val="both"/>
                                <w:rPr>
                                  <w:rFonts w:hint="default" w:eastAsia="宋体"/>
                                  <w:sz w:val="21"/>
                                  <w:szCs w:val="21"/>
                                  <w:lang w:val="en-US" w:eastAsia="zh-CN"/>
                                </w:rPr>
                              </w:pPr>
                              <w:r>
                                <w:rPr>
                                  <w:rFonts w:hint="eastAsia"/>
                                  <w:sz w:val="21"/>
                                  <w:szCs w:val="21"/>
                                  <w:lang w:val="en-US" w:eastAsia="zh-CN"/>
                                </w:rPr>
                                <w:t>4.56</w:t>
                              </w:r>
                            </w:p>
                          </w:txbxContent>
                        </v:textbox>
                      </v:shape>
                      <v:shape id="文本框 175" o:spid="_x0000_s1026" o:spt="202" type="#_x0000_t202" style="position:absolute;left:8722;top:483802;height:692;width:1107;" filled="f" stroked="t" coordsize="21600,21600" o:gfxdata="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dcby5AAAA3A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inset="0.5mm,0.3mm,0.5mm,0.3mm">
                          <w:txbxContent>
                            <w:p w14:paraId="656CEA3F">
                              <w:pPr>
                                <w:spacing w:line="340" w:lineRule="exact"/>
                                <w:ind w:left="0" w:leftChars="0" w:firstLine="0" w:firstLineChars="0"/>
                                <w:jc w:val="center"/>
                                <w:rPr>
                                  <w:rFonts w:hint="eastAsia" w:ascii="宋体" w:hAnsi="宋体" w:cs="宋体"/>
                                  <w:sz w:val="21"/>
                                  <w:szCs w:val="21"/>
                                </w:rPr>
                              </w:pPr>
                              <w:r>
                                <w:rPr>
                                  <w:rFonts w:hint="eastAsia" w:ascii="宋体" w:hAnsi="宋体" w:cs="宋体"/>
                                  <w:sz w:val="21"/>
                                  <w:szCs w:val="21"/>
                                  <w:lang w:val="en-US" w:eastAsia="zh-CN"/>
                                </w:rPr>
                                <w:t>地埋式三级</w:t>
                              </w:r>
                              <w:r>
                                <w:rPr>
                                  <w:rFonts w:hint="eastAsia" w:ascii="宋体" w:hAnsi="宋体" w:cs="宋体"/>
                                  <w:sz w:val="21"/>
                                  <w:szCs w:val="21"/>
                                </w:rPr>
                                <w:t>化粪池</w:t>
                              </w:r>
                            </w:p>
                            <w:p w14:paraId="610FEC6C">
                              <w:pPr>
                                <w:spacing w:line="300" w:lineRule="exact"/>
                                <w:jc w:val="center"/>
                                <w:rPr>
                                  <w:rFonts w:hint="eastAsia" w:ascii="宋体" w:hAnsi="宋体" w:cs="宋体"/>
                                  <w:szCs w:val="21"/>
                                </w:rPr>
                              </w:pPr>
                            </w:p>
                          </w:txbxContent>
                        </v:textbox>
                      </v:shape>
                      <v:shape id="文本框 174" o:spid="_x0000_s1026" o:spt="202" type="#_x0000_t202" style="position:absolute;left:6781;top:483948;height:440;width:1167;" filled="f" stroked="t" coordsize="21600,21600" o:gfxdata="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ubwG/&#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665C82AE">
                              <w:pPr>
                                <w:pStyle w:val="81"/>
                                <w:ind w:firstLine="0" w:firstLineChars="0"/>
                                <w:jc w:val="both"/>
                                <w:rPr>
                                  <w:rFonts w:hint="eastAsia" w:ascii="宋体" w:hAnsi="宋体" w:cs="宋体"/>
                                  <w:sz w:val="21"/>
                                  <w:szCs w:val="21"/>
                                </w:rPr>
                              </w:pPr>
                              <w:r>
                                <w:rPr>
                                  <w:rFonts w:hint="eastAsia" w:ascii="宋体" w:hAnsi="宋体" w:cs="宋体"/>
                                  <w:sz w:val="21"/>
                                  <w:szCs w:val="21"/>
                                </w:rPr>
                                <w:t>生活</w:t>
                              </w:r>
                              <w:r>
                                <w:rPr>
                                  <w:rFonts w:hint="eastAsia" w:ascii="宋体" w:hAnsi="宋体" w:cs="宋体"/>
                                  <w:sz w:val="21"/>
                                  <w:szCs w:val="21"/>
                                  <w:lang w:eastAsia="zh-CN"/>
                                </w:rPr>
                                <w:t>污</w:t>
                              </w:r>
                              <w:r>
                                <w:rPr>
                                  <w:rFonts w:hint="eastAsia" w:ascii="宋体" w:hAnsi="宋体" w:cs="宋体"/>
                                  <w:sz w:val="21"/>
                                  <w:szCs w:val="21"/>
                                </w:rPr>
                                <w:t>水</w:t>
                              </w:r>
                            </w:p>
                          </w:txbxContent>
                        </v:textbox>
                      </v:shape>
                      <v:line id="直接连接符 172" o:spid="_x0000_s1026" o:spt="20" style="position:absolute;left:9840;top:484150;height:1;width:672;" filled="f" stroked="t" coordsize="21600,21600" o:gfxdata="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EmR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171" o:spid="_x0000_s1026" o:spt="20" style="position:absolute;left:7952;top:484162;height:1;width:716;" filled="f" stroked="t" coordsize="21600,21600" o:gfxdata="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QHT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14:paraId="094E3BDB">
            <w:pPr>
              <w:spacing w:after="120" w:afterLines="50" w:line="240" w:lineRule="auto"/>
              <w:ind w:firstLine="0" w:firstLineChars="0"/>
              <w:jc w:val="center"/>
              <w:rPr>
                <w:rFonts w:hint="default" w:ascii="Times New Roman" w:hAnsi="Times New Roman" w:eastAsia="宋体" w:cs="Times New Roman"/>
                <w:color w:val="auto"/>
                <w:highlight w:val="none"/>
              </w:rPr>
            </w:pPr>
          </w:p>
          <w:p w14:paraId="372F454A">
            <w:pPr>
              <w:pStyle w:val="3"/>
              <w:rPr>
                <w:rFonts w:hint="default" w:ascii="Times New Roman" w:hAnsi="Times New Roman" w:eastAsia="宋体" w:cs="Times New Roman"/>
                <w:color w:val="auto"/>
                <w:highlight w:val="none"/>
              </w:rPr>
            </w:pPr>
          </w:p>
          <w:p w14:paraId="7599D0EF">
            <w:pPr>
              <w:spacing w:after="120" w:afterLines="50" w:line="240" w:lineRule="auto"/>
              <w:ind w:firstLine="0" w:firstLineChars="0"/>
              <w:jc w:val="center"/>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color w:val="auto"/>
                <w:highlight w:val="none"/>
              </w:rPr>
              <w:t>图4.2-1</w:t>
            </w:r>
            <w:r>
              <w:rPr>
                <w:rFonts w:hint="default" w:ascii="Times New Roman" w:hAnsi="Times New Roman" w:eastAsia="宋体" w:cs="Times New Roman"/>
                <w:b/>
                <w:color w:val="auto"/>
                <w:highlight w:val="none"/>
                <w:lang w:val="en-US" w:eastAsia="zh-CN"/>
              </w:rPr>
              <w:t>生活污水</w:t>
            </w:r>
            <w:r>
              <w:rPr>
                <w:rFonts w:hint="default" w:ascii="Times New Roman" w:hAnsi="Times New Roman" w:eastAsia="宋体" w:cs="Times New Roman"/>
                <w:b/>
                <w:color w:val="auto"/>
                <w:highlight w:val="none"/>
              </w:rPr>
              <w:t>处理</w:t>
            </w:r>
            <w:r>
              <w:rPr>
                <w:rFonts w:hint="default" w:ascii="Times New Roman" w:hAnsi="Times New Roman" w:eastAsia="宋体" w:cs="Times New Roman"/>
                <w:b/>
                <w:color w:val="auto"/>
                <w:highlight w:val="none"/>
                <w:lang w:val="en-US" w:eastAsia="zh-CN"/>
              </w:rPr>
              <w:t>工艺流程</w:t>
            </w:r>
            <w:r>
              <w:rPr>
                <w:rFonts w:hint="default" w:ascii="Times New Roman" w:hAnsi="Times New Roman" w:eastAsia="宋体" w:cs="Times New Roman"/>
                <w:b/>
                <w:color w:val="auto"/>
                <w:highlight w:val="none"/>
              </w:rPr>
              <w:t>图</w:t>
            </w:r>
            <w:r>
              <w:rPr>
                <w:rFonts w:hint="default" w:ascii="Times New Roman" w:hAnsi="Times New Roman" w:eastAsia="宋体" w:cs="Times New Roman"/>
                <w:b/>
                <w:color w:val="auto"/>
                <w:highlight w:val="none"/>
                <w:lang w:eastAsia="zh-CN"/>
              </w:rPr>
              <w:t>（</w:t>
            </w:r>
            <w:r>
              <w:rPr>
                <w:rFonts w:hint="default" w:ascii="Times New Roman" w:hAnsi="Times New Roman" w:eastAsia="宋体" w:cs="Times New Roman"/>
                <w:b/>
                <w:color w:val="auto"/>
                <w:highlight w:val="none"/>
                <w:lang w:val="en-US" w:eastAsia="zh-CN"/>
              </w:rPr>
              <w:t>t/d</w:t>
            </w:r>
            <w:r>
              <w:rPr>
                <w:rFonts w:hint="default" w:ascii="Times New Roman" w:hAnsi="Times New Roman" w:eastAsia="宋体" w:cs="Times New Roman"/>
                <w:b/>
                <w:color w:val="auto"/>
                <w:highlight w:val="none"/>
                <w:lang w:eastAsia="zh-CN"/>
              </w:rPr>
              <w:t>）</w:t>
            </w:r>
          </w:p>
          <w:p w14:paraId="57BC289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bCs/>
                <w:snapToGrid w:val="0"/>
                <w:color w:val="auto"/>
                <w:highlight w:val="none"/>
              </w:rPr>
              <w:t>初期雨水</w:t>
            </w:r>
            <w:r>
              <w:rPr>
                <w:rFonts w:hint="default" w:ascii="Times New Roman" w:hAnsi="Times New Roman" w:eastAsia="宋体" w:cs="Times New Roman"/>
                <w:bCs/>
                <w:snapToGrid w:val="0"/>
                <w:color w:val="auto"/>
                <w:highlight w:val="none"/>
                <w:lang w:val="en-US" w:eastAsia="zh-CN"/>
              </w:rPr>
              <w:t>经雨水</w:t>
            </w:r>
            <w:r>
              <w:rPr>
                <w:rFonts w:hint="default" w:ascii="Times New Roman" w:hAnsi="Times New Roman" w:eastAsia="宋体" w:cs="Times New Roman"/>
                <w:color w:val="auto"/>
                <w:szCs w:val="21"/>
                <w:lang w:val="en-US" w:eastAsia="zh-CN"/>
              </w:rPr>
              <w:t>收集池进行沉淀，在初期雨水不符合排放标准时，将委托</w:t>
            </w:r>
            <w:r>
              <w:rPr>
                <w:rFonts w:hint="default" w:ascii="Times New Roman" w:hAnsi="Times New Roman" w:eastAsia="宋体" w:cs="Times New Roman"/>
                <w:color w:val="auto"/>
                <w:szCs w:val="21"/>
              </w:rPr>
              <w:t>江阴工业集中区污水处理厂</w:t>
            </w:r>
            <w:r>
              <w:rPr>
                <w:rFonts w:hint="default" w:ascii="Times New Roman" w:hAnsi="Times New Roman" w:eastAsia="宋体" w:cs="Times New Roman"/>
                <w:color w:val="auto"/>
                <w:szCs w:val="21"/>
                <w:lang w:val="en-US" w:eastAsia="zh-CN"/>
              </w:rPr>
              <w:t>进行</w:t>
            </w:r>
            <w:r>
              <w:rPr>
                <w:rFonts w:hint="default" w:ascii="Times New Roman" w:hAnsi="Times New Roman" w:eastAsia="宋体" w:cs="Times New Roman"/>
                <w:color w:val="auto"/>
                <w:szCs w:val="21"/>
              </w:rPr>
              <w:t>处理</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若是</w:t>
            </w:r>
            <w:r>
              <w:rPr>
                <w:rFonts w:hint="default" w:ascii="Times New Roman" w:hAnsi="Times New Roman" w:eastAsia="宋体" w:cs="Times New Roman"/>
                <w:color w:val="auto"/>
                <w:sz w:val="24"/>
                <w:lang w:val="en-US" w:eastAsia="zh-CN"/>
              </w:rPr>
              <w:t>符合清净雨水，则直接排放</w:t>
            </w:r>
            <w:r>
              <w:rPr>
                <w:rFonts w:hint="default" w:ascii="Times New Roman" w:hAnsi="Times New Roman" w:eastAsia="宋体" w:cs="Times New Roman"/>
                <w:color w:val="auto"/>
                <w:sz w:val="24"/>
              </w:rPr>
              <w:t>。</w:t>
            </w:r>
          </w:p>
          <w:p w14:paraId="53F81446">
            <w:pPr>
              <w:spacing w:line="360" w:lineRule="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val="en-US" w:eastAsia="zh-CN"/>
              </w:rPr>
              <w:t>2、生活污水</w:t>
            </w:r>
            <w:r>
              <w:rPr>
                <w:rFonts w:hint="default" w:ascii="Times New Roman" w:hAnsi="Times New Roman" w:eastAsia="宋体" w:cs="Times New Roman"/>
                <w:color w:val="auto"/>
                <w:sz w:val="24"/>
              </w:rPr>
              <w:t>进入江阴工业集中区污水处理厂进一步处理可行性分析</w:t>
            </w:r>
            <w:r>
              <w:rPr>
                <w:rFonts w:hint="default" w:ascii="Times New Roman" w:hAnsi="Times New Roman" w:eastAsia="宋体" w:cs="Times New Roman"/>
                <w:color w:val="auto"/>
                <w:sz w:val="24"/>
                <w:lang w:eastAsia="zh-CN"/>
              </w:rPr>
              <w:t>：</w:t>
            </w:r>
          </w:p>
          <w:p w14:paraId="78FAE09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1 \* GB3 \* MERGEFORMAT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①</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水质可行性</w:t>
            </w:r>
          </w:p>
          <w:p w14:paraId="73030CC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项目拟接入江阴工业集中区污水处理厂进一步处理的废水主要为生活污水，水质较为简单，不涉及有毒有害污染物，不涉及持久性、重金属，也不含有腐蚀成分，且生活污水拟</w:t>
            </w:r>
            <w:r>
              <w:rPr>
                <w:rFonts w:hint="default" w:ascii="Times New Roman" w:hAnsi="Times New Roman" w:eastAsia="宋体" w:cs="Times New Roman"/>
                <w:color w:val="auto"/>
                <w:sz w:val="24"/>
                <w:lang w:val="en-US" w:eastAsia="zh-CN"/>
              </w:rPr>
              <w:t>经过厂区化粪池进行</w:t>
            </w:r>
            <w:r>
              <w:rPr>
                <w:rFonts w:hint="default" w:ascii="Times New Roman" w:hAnsi="Times New Roman" w:eastAsia="宋体" w:cs="Times New Roman"/>
                <w:color w:val="auto"/>
                <w:sz w:val="24"/>
              </w:rPr>
              <w:t>处理。根据前文核算，</w:t>
            </w:r>
            <w:r>
              <w:rPr>
                <w:rFonts w:hint="default" w:ascii="Times New Roman" w:hAnsi="Times New Roman" w:eastAsia="宋体" w:cs="Times New Roman"/>
                <w:color w:val="auto"/>
                <w:sz w:val="24"/>
                <w:lang w:val="en-US" w:eastAsia="zh-CN"/>
              </w:rPr>
              <w:t>生活污水</w:t>
            </w:r>
            <w:r>
              <w:rPr>
                <w:rFonts w:hint="default" w:ascii="Times New Roman" w:hAnsi="Times New Roman" w:eastAsia="宋体" w:cs="Times New Roman"/>
                <w:color w:val="auto"/>
                <w:highlight w:val="none"/>
              </w:rPr>
              <w:t>达《污水综合排放标准》（GB8978-1996）表4中的三级标准排放标准（氨氮参照执行《污水排入城镇下水道水质标准》（GB/T31962-2015）中B等级标准）要求</w:t>
            </w:r>
            <w:r>
              <w:rPr>
                <w:rFonts w:hint="default" w:ascii="Times New Roman" w:hAnsi="Times New Roman" w:eastAsia="宋体" w:cs="Times New Roman"/>
                <w:color w:val="auto"/>
                <w:sz w:val="24"/>
              </w:rPr>
              <w:t>，可达到纳管条件，不会对江阴工业集中区污水处理厂造成水质冲击负荷影响，也不会对城市污水管道产生腐蚀影响。</w:t>
            </w:r>
          </w:p>
          <w:p w14:paraId="28246FC6">
            <w:pPr>
              <w:pStyle w:val="583"/>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2 \* GB3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②</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水量可行性</w:t>
            </w:r>
          </w:p>
          <w:p w14:paraId="02576821">
            <w:pPr>
              <w:pStyle w:val="583"/>
              <w:rPr>
                <w:rFonts w:hint="default" w:ascii="Times New Roman" w:hAnsi="Times New Roman" w:eastAsia="宋体" w:cs="Times New Roman"/>
                <w:color w:val="auto"/>
              </w:rPr>
            </w:pPr>
            <w:r>
              <w:rPr>
                <w:rFonts w:hint="default" w:ascii="Times New Roman" w:hAnsi="Times New Roman" w:eastAsia="宋体" w:cs="Times New Roman"/>
                <w:color w:val="auto"/>
              </w:rPr>
              <w:t>江阴工业集中区污水处理厂现状实际处理能力为4万t/d，实际处理量为2.5万t/d，剩余处理能力为1.5万t/d。根据工程分析，项目日最大废水排放量</w:t>
            </w:r>
            <w:r>
              <w:rPr>
                <w:rFonts w:hint="default" w:ascii="Times New Roman" w:hAnsi="Times New Roman" w:eastAsia="宋体" w:cs="Times New Roman"/>
                <w:color w:val="auto"/>
                <w:lang w:val="en-US" w:eastAsia="zh-CN"/>
              </w:rPr>
              <w:t>生活与生产共计</w:t>
            </w:r>
            <w:r>
              <w:rPr>
                <w:rFonts w:hint="default" w:ascii="Times New Roman" w:hAnsi="Times New Roman" w:eastAsia="宋体" w:cs="Times New Roman"/>
                <w:color w:val="auto"/>
              </w:rPr>
              <w:t>约为</w:t>
            </w:r>
            <w:r>
              <w:rPr>
                <w:rFonts w:hint="default" w:ascii="Times New Roman" w:hAnsi="Times New Roman" w:eastAsia="宋体" w:cs="Times New Roman"/>
                <w:color w:val="auto"/>
                <w:lang w:val="en-US" w:eastAsia="zh-CN"/>
              </w:rPr>
              <w:t>9.2</w:t>
            </w:r>
            <w:r>
              <w:rPr>
                <w:rFonts w:hint="default" w:ascii="Times New Roman" w:hAnsi="Times New Roman" w:eastAsia="宋体" w:cs="Times New Roman"/>
                <w:color w:val="auto"/>
                <w:lang w:eastAsia="zh-CN"/>
              </w:rPr>
              <w:t>m³</w:t>
            </w:r>
            <w:r>
              <w:rPr>
                <w:rFonts w:hint="default" w:ascii="Times New Roman" w:hAnsi="Times New Roman" w:eastAsia="宋体" w:cs="Times New Roman"/>
                <w:color w:val="auto"/>
              </w:rPr>
              <w:t>/d，占污水厂剩余处理规模的</w:t>
            </w:r>
            <w:r>
              <w:rPr>
                <w:rFonts w:hint="default" w:ascii="Times New Roman" w:hAnsi="Times New Roman" w:eastAsia="宋体" w:cs="Times New Roman"/>
                <w:color w:val="auto"/>
                <w:lang w:val="en-US" w:eastAsia="zh-CN"/>
              </w:rPr>
              <w:t>0.06</w:t>
            </w:r>
            <w:r>
              <w:rPr>
                <w:rFonts w:hint="default" w:ascii="Times New Roman" w:hAnsi="Times New Roman" w:eastAsia="宋体" w:cs="Times New Roman"/>
                <w:color w:val="auto"/>
              </w:rPr>
              <w:t>%，因此江阴工业集中区污水处理厂有足够的余量处理本项目废水，项目废水排放不会对江阴工业集中区污水处理厂造成水量冲击负荷影响。</w:t>
            </w:r>
          </w:p>
          <w:p w14:paraId="4DC3E033">
            <w:pPr>
              <w:pStyle w:val="583"/>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3 \* GB3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③</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管网衔接可行性</w:t>
            </w:r>
          </w:p>
          <w:p w14:paraId="068F8B6F">
            <w:pPr>
              <w:pStyle w:val="583"/>
              <w:rPr>
                <w:rFonts w:hint="default" w:ascii="Times New Roman" w:hAnsi="Times New Roman" w:eastAsia="宋体" w:cs="Times New Roman"/>
                <w:color w:val="auto"/>
              </w:rPr>
            </w:pPr>
            <w:r>
              <w:rPr>
                <w:rFonts w:hint="default" w:ascii="Times New Roman" w:hAnsi="Times New Roman" w:eastAsia="宋体" w:cs="Times New Roman"/>
                <w:color w:val="auto"/>
              </w:rPr>
              <w:t>目前，江阴工业集中区污水处理厂的污水管网已接至本项目周边。本项目将厂房和</w:t>
            </w:r>
            <w:r>
              <w:rPr>
                <w:rFonts w:hint="default" w:ascii="Times New Roman" w:hAnsi="Times New Roman" w:eastAsia="宋体" w:cs="Times New Roman"/>
                <w:color w:val="auto"/>
                <w:lang w:val="en-US" w:eastAsia="zh-CN"/>
              </w:rPr>
              <w:t>生活</w:t>
            </w:r>
            <w:r>
              <w:rPr>
                <w:rFonts w:hint="default" w:ascii="Times New Roman" w:hAnsi="Times New Roman" w:eastAsia="宋体" w:cs="Times New Roman"/>
                <w:color w:val="auto"/>
              </w:rPr>
              <w:t>污水处理设施、排水系统等相关配套设施建设完成后入驻，污水可通过厂区</w:t>
            </w:r>
            <w:r>
              <w:rPr>
                <w:rFonts w:hint="default" w:ascii="Times New Roman" w:hAnsi="Times New Roman" w:eastAsia="宋体" w:cs="Times New Roman"/>
                <w:color w:val="auto"/>
                <w:lang w:val="en-US" w:eastAsia="zh-CN"/>
              </w:rPr>
              <w:t>生活</w:t>
            </w:r>
            <w:r>
              <w:rPr>
                <w:rFonts w:hint="default" w:ascii="Times New Roman" w:hAnsi="Times New Roman" w:eastAsia="宋体" w:cs="Times New Roman"/>
                <w:color w:val="auto"/>
              </w:rPr>
              <w:t>污水排放口，排入市政污水管网，进入对江阴工业集中区污水处理厂。</w:t>
            </w:r>
          </w:p>
          <w:p w14:paraId="5BC9124C">
            <w:pPr>
              <w:pStyle w:val="583"/>
              <w:rPr>
                <w:rFonts w:hint="default" w:ascii="Times New Roman" w:hAnsi="Times New Roman" w:eastAsia="宋体" w:cs="Times New Roman"/>
                <w:color w:val="auto"/>
                <w:szCs w:val="24"/>
              </w:rPr>
            </w:pPr>
            <w:r>
              <w:rPr>
                <w:rFonts w:hint="default" w:ascii="Times New Roman" w:hAnsi="Times New Roman" w:eastAsia="宋体" w:cs="Times New Roman"/>
                <w:color w:val="auto"/>
              </w:rPr>
              <w:t>综上，本项目</w:t>
            </w:r>
            <w:r>
              <w:rPr>
                <w:rFonts w:hint="default" w:ascii="Times New Roman" w:hAnsi="Times New Roman" w:eastAsia="宋体" w:cs="Times New Roman"/>
                <w:color w:val="auto"/>
                <w:lang w:val="en-US" w:eastAsia="zh-CN"/>
              </w:rPr>
              <w:t>生活污水</w:t>
            </w:r>
            <w:r>
              <w:rPr>
                <w:rFonts w:hint="default" w:ascii="Times New Roman" w:hAnsi="Times New Roman" w:eastAsia="宋体" w:cs="Times New Roman"/>
                <w:color w:val="auto"/>
              </w:rPr>
              <w:t>经收集处理达标后可以纳入江阴工业集中区污水处理厂进一步处理，措施可行。项目外排废水</w:t>
            </w:r>
            <w:r>
              <w:rPr>
                <w:rFonts w:hint="default" w:ascii="Times New Roman" w:hAnsi="Times New Roman" w:eastAsia="宋体" w:cs="Times New Roman"/>
                <w:color w:val="auto"/>
                <w:szCs w:val="24"/>
              </w:rPr>
              <w:t>不会对区域地表水环境产生直接不利影响。</w:t>
            </w:r>
          </w:p>
          <w:p w14:paraId="45A95CD1">
            <w:pPr>
              <w:pStyle w:val="583"/>
              <w:rPr>
                <w:rFonts w:hint="default" w:ascii="Times New Roman" w:hAnsi="Times New Roman" w:eastAsia="宋体" w:cs="Times New Roman"/>
                <w:color w:val="auto"/>
                <w:highlight w:val="none"/>
              </w:rPr>
            </w:pP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highlight w:val="none"/>
                <w:lang w:val="en-US" w:eastAsia="zh-CN"/>
              </w:rPr>
              <w:t>生产废水治理设施</w:t>
            </w:r>
            <w:r>
              <w:rPr>
                <w:rFonts w:hint="default" w:ascii="Times New Roman" w:hAnsi="Times New Roman" w:eastAsia="宋体" w:cs="Times New Roman"/>
                <w:color w:val="auto"/>
                <w:highlight w:val="none"/>
              </w:rPr>
              <w:t>可行性分析</w:t>
            </w:r>
          </w:p>
          <w:p w14:paraId="19C4342D">
            <w:pPr>
              <w:keepNext w:val="0"/>
              <w:keepLines w:val="0"/>
              <w:widowControl/>
              <w:suppressLineNumbers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洗罐（箱）清洗废水主要污染物为罐体内残余杂质异氰酸酯系列、聚醚多元醇、聚甲基丙烯酸甲酯（PMMA)及清洗添加剂醋酸丁酯。异氰酸酯是异氰酸的各种酯的总称。常见有二苯基甲烷二异氰酸酯（MDI）等。异氰酸酯废水具有生化性差，浓度高等特点。针对废水水质特点采取的污水处理工艺为：人工格栅—粗效气浮隔油—pH 调节—芬顿氧化—混凝沉淀—高效气浮—水解酸化—初沉池—接触氧化—二沉池—清水池—砂滤罐—活性炭过滤。 </w:t>
            </w:r>
          </w:p>
          <w:p w14:paraId="0FA7E066">
            <w:pPr>
              <w:keepNext w:val="0"/>
              <w:keepLines w:val="0"/>
              <w:widowControl/>
              <w:suppressLineNumbers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洗罐（箱）清洗废水、设备清洗及地面冲刷废水等先经过格栅，隔除大体积的漂浮物，以防这些漂浮物进入后续单元，堵塞管道和水泵；经格栅处理后的废水进入气浮隔油池内，以隔离废水中的漂浮性油类污染物，经隔油处理后的废水进入调节池，以调节水量、均化水质，最大限度降低水量、水质的波动对后续处理单元的冲击，调节pH 值在4-6之间；而后经过芬顿氧化对废水进行催化氧化。经催化氧化反应后，废水中可能会释放出较多的油类物质，因此在芬顿后端设置一套气浮除油机，通过加药混凝和溶气气浮去除油污。再经过水解酸化将其中难生物降解的有机物转变为易生物降解的有机物，提高废水的可生化性。再经过三级处理，最终达到废水排放标准。 </w:t>
            </w:r>
          </w:p>
          <w:p w14:paraId="67791078">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708DBDBF">
            <w:pPr>
              <w:pStyle w:val="44"/>
              <w:widowControl w:val="0"/>
              <w:tabs>
                <w:tab w:val="center" w:pos="3972"/>
              </w:tabs>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color w:val="auto"/>
                <w:sz w:val="24"/>
                <w:szCs w:val="22"/>
                <w:lang w:val="en-US" w:eastAsia="zh-CN"/>
              </w:rPr>
            </w:pPr>
          </w:p>
          <w:p w14:paraId="3F6EADB8">
            <w:pPr>
              <w:pStyle w:val="583"/>
              <w:jc w:val="center"/>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rPr>
              <w:t>图4.2-</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 xml:space="preserve"> 废水处理系统工艺流程图</w:t>
            </w:r>
          </w:p>
          <w:p w14:paraId="6EFBA06A">
            <w:pPr>
              <w:keepNext w:val="0"/>
              <w:keepLines w:val="0"/>
              <w:widowControl/>
              <w:suppressLineNumbers w:val="0"/>
              <w:ind w:left="0" w:leftChars="0" w:firstLine="0" w:firstLineChars="0"/>
              <w:jc w:val="left"/>
              <w:rPr>
                <w:rFonts w:hint="default" w:ascii="Times New Roman" w:hAnsi="Times New Roman" w:eastAsia="宋体" w:cs="Times New Roman"/>
                <w:b/>
                <w:bCs/>
                <w:snapToGrid w:val="0"/>
                <w:color w:val="auto"/>
                <w:kern w:val="0"/>
                <w:sz w:val="28"/>
                <w:szCs w:val="24"/>
                <w:lang w:val="en-US" w:eastAsia="zh-CN" w:bidi="ar-SA"/>
              </w:rPr>
            </w:pPr>
            <w:r>
              <w:rPr>
                <w:rFonts w:hint="default" w:ascii="Times New Roman" w:hAnsi="Times New Roman" w:eastAsia="宋体" w:cs="Times New Roman"/>
                <w:b/>
                <w:bCs/>
                <w:snapToGrid w:val="0"/>
                <w:color w:val="auto"/>
                <w:kern w:val="0"/>
                <w:sz w:val="28"/>
                <w:szCs w:val="24"/>
                <w:lang w:val="en-US" w:eastAsia="zh-CN" w:bidi="ar-SA"/>
              </w:rPr>
              <w:t xml:space="preserve">4.2.3 小结 </w:t>
            </w:r>
          </w:p>
          <w:p w14:paraId="065B3D80">
            <w:pPr>
              <w:ind w:firstLine="480" w:firstLineChars="200"/>
              <w:rPr>
                <w:rFonts w:hint="default" w:ascii="Times New Roman" w:hAnsi="Times New Roman" w:eastAsia="宋体" w:cs="Times New Roman"/>
                <w:color w:val="auto"/>
                <w:kern w:val="2"/>
                <w:sz w:val="24"/>
                <w:lang w:val="en-US" w:eastAsia="zh-CN" w:bidi="ar-SA"/>
              </w:rPr>
            </w:pPr>
            <w:r>
              <w:rPr>
                <w:rFonts w:hint="default" w:ascii="Times New Roman" w:hAnsi="Times New Roman" w:eastAsia="宋体" w:cs="Times New Roman"/>
                <w:color w:val="auto"/>
                <w:kern w:val="0"/>
                <w:sz w:val="24"/>
                <w:szCs w:val="24"/>
                <w:lang w:val="en-US" w:eastAsia="zh-CN" w:bidi="ar"/>
              </w:rPr>
              <w:t>根据上述分析，生活污水、生产废水分别处理后达标排入市政污水管网，最终送往</w:t>
            </w:r>
            <w:r>
              <w:rPr>
                <w:rFonts w:hint="default" w:ascii="Times New Roman" w:hAnsi="Times New Roman" w:eastAsia="宋体" w:cs="Times New Roman"/>
                <w:color w:val="auto"/>
              </w:rPr>
              <w:t>江阴工业集中区污水处理厂进一步处理</w:t>
            </w:r>
            <w:r>
              <w:rPr>
                <w:rFonts w:hint="default" w:ascii="Times New Roman" w:hAnsi="Times New Roman" w:eastAsia="宋体" w:cs="Times New Roman"/>
                <w:color w:val="auto"/>
                <w:kern w:val="0"/>
                <w:sz w:val="24"/>
                <w:szCs w:val="24"/>
                <w:lang w:val="en-US" w:eastAsia="zh-CN" w:bidi="ar"/>
              </w:rPr>
              <w:t xml:space="preserve">达标后排放，项目生活污水水质、生产废水水量不会对污水处理厂造成负荷冲击；不达标的初期雨水经污水站处理后达标排放，达标雨水通过市政雨水管道排放，项目污水不直接排入地表水体，因此几乎不会对区域地表水环境产生直接不利影响。 </w:t>
            </w:r>
          </w:p>
        </w:tc>
      </w:tr>
    </w:tbl>
    <w:p w14:paraId="0C094356">
      <w:pPr>
        <w:ind w:firstLine="480"/>
        <w:rPr>
          <w:rFonts w:hint="default" w:ascii="Times New Roman" w:hAnsi="Times New Roman" w:eastAsia="宋体" w:cs="Times New Roman"/>
          <w:snapToGrid w:val="0"/>
          <w:color w:val="auto"/>
        </w:rPr>
        <w:sectPr>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26" w:charSpace="0"/>
        </w:sectPr>
      </w:pPr>
    </w:p>
    <w:tbl>
      <w:tblPr>
        <w:tblStyle w:val="4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6"/>
      </w:tblGrid>
      <w:tr w14:paraId="487DB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6" w:hRule="atLeast"/>
        </w:trPr>
        <w:tc>
          <w:tcPr>
            <w:tcW w:w="426" w:type="dxa"/>
            <w:vAlign w:val="center"/>
          </w:tcPr>
          <w:p w14:paraId="69929310">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运营</w:t>
            </w:r>
          </w:p>
          <w:p w14:paraId="3842D337">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期环</w:t>
            </w:r>
          </w:p>
          <w:p w14:paraId="6D787FBD">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境影</w:t>
            </w:r>
          </w:p>
          <w:p w14:paraId="140EF0DB">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响和</w:t>
            </w:r>
          </w:p>
          <w:p w14:paraId="1BB64B5C">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w:t>
            </w:r>
          </w:p>
          <w:p w14:paraId="2C3A9F81">
            <w:pPr>
              <w:ind w:firstLine="0" w:firstLineChars="0"/>
              <w:jc w:val="center"/>
              <w:rPr>
                <w:rFonts w:hint="default" w:ascii="Times New Roman" w:hAnsi="Times New Roman" w:eastAsia="宋体" w:cs="Times New Roman"/>
                <w:snapToGrid w:val="0"/>
                <w:color w:val="auto"/>
              </w:rPr>
            </w:pPr>
            <w:r>
              <w:rPr>
                <w:rFonts w:hint="default" w:ascii="Times New Roman" w:hAnsi="Times New Roman" w:eastAsia="宋体" w:cs="Times New Roman"/>
                <w:color w:val="auto"/>
                <w:sz w:val="21"/>
                <w:szCs w:val="21"/>
              </w:rPr>
              <w:t>措施</w:t>
            </w:r>
          </w:p>
        </w:tc>
        <w:tc>
          <w:tcPr>
            <w:tcW w:w="8634" w:type="dxa"/>
          </w:tcPr>
          <w:p w14:paraId="2282A360">
            <w:pPr>
              <w:pStyle w:val="7"/>
              <w:spacing w:before="120" w:after="120"/>
              <w:outlineLvl w:val="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4.3噪声</w:t>
            </w:r>
          </w:p>
          <w:p w14:paraId="3E8169B3">
            <w:pPr>
              <w:pStyle w:val="7"/>
              <w:spacing w:before="120" w:after="120"/>
              <w:outlineLvl w:val="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4.3.1噪声源强</w:t>
            </w:r>
          </w:p>
          <w:p w14:paraId="2899F341">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本项目生产过程中噪声源主要</w:t>
            </w:r>
            <w:r>
              <w:rPr>
                <w:rFonts w:hint="default" w:ascii="Times New Roman" w:hAnsi="Times New Roman" w:eastAsia="宋体" w:cs="Times New Roman"/>
                <w:color w:val="auto"/>
                <w:highlight w:val="none"/>
                <w:lang w:val="en-US" w:eastAsia="zh-CN"/>
              </w:rPr>
              <w:t>来自于罐区、灌装车间。</w:t>
            </w:r>
            <w:r>
              <w:rPr>
                <w:rFonts w:hint="default" w:ascii="Times New Roman" w:hAnsi="Times New Roman" w:eastAsia="宋体" w:cs="Times New Roman"/>
                <w:color w:val="auto"/>
                <w:highlight w:val="none"/>
              </w:rPr>
              <w:t>噪声声压级范围为</w:t>
            </w:r>
            <w:r>
              <w:rPr>
                <w:rFonts w:hint="default" w:ascii="Times New Roman" w:hAnsi="Times New Roman" w:eastAsia="宋体" w:cs="Times New Roman"/>
                <w:color w:val="auto"/>
                <w:highlight w:val="none"/>
                <w:lang w:val="en-US" w:eastAsia="zh-CN"/>
              </w:rPr>
              <w:t>80</w:t>
            </w:r>
            <w:r>
              <w:rPr>
                <w:rFonts w:hint="default" w:ascii="Times New Roman" w:hAnsi="Times New Roman" w:eastAsia="宋体" w:cs="Times New Roman"/>
                <w:color w:val="auto"/>
                <w:highlight w:val="none"/>
              </w:rPr>
              <w:t>-8</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dB（A），对运营期间的生产噪声采取设备基础减振、厂房隔声等综合措施进行降噪，降噪效果约为</w:t>
            </w:r>
            <w:r>
              <w:rPr>
                <w:rFonts w:hint="default" w:ascii="Times New Roman" w:hAnsi="Times New Roman" w:eastAsia="宋体" w:cs="Times New Roman"/>
                <w:color w:val="auto"/>
                <w:highlight w:val="none"/>
                <w:lang w:val="en-US" w:eastAsia="zh-CN"/>
              </w:rPr>
              <w:t>20</w:t>
            </w:r>
            <w:r>
              <w:rPr>
                <w:rFonts w:hint="default" w:ascii="Times New Roman" w:hAnsi="Times New Roman" w:eastAsia="宋体" w:cs="Times New Roman"/>
                <w:color w:val="auto"/>
                <w:highlight w:val="none"/>
              </w:rPr>
              <w:t>dB（A）。</w:t>
            </w:r>
          </w:p>
          <w:p w14:paraId="40FA725F">
            <w:pPr>
              <w:pStyle w:val="9"/>
              <w:widowControl w:val="0"/>
              <w:ind w:firstLine="482"/>
              <w:outlineLvl w:val="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表4.3-1 项目主要噪声设备情况一览表</w:t>
            </w:r>
          </w:p>
          <w:tbl>
            <w:tblPr>
              <w:tblStyle w:val="48"/>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1578"/>
              <w:gridCol w:w="914"/>
              <w:gridCol w:w="1260"/>
              <w:gridCol w:w="973"/>
              <w:gridCol w:w="1064"/>
              <w:gridCol w:w="1155"/>
              <w:gridCol w:w="1045"/>
            </w:tblGrid>
            <w:tr w14:paraId="52D749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3" w:type="pct"/>
                  <w:vAlign w:val="center"/>
                </w:tcPr>
                <w:p w14:paraId="6EC37518">
                  <w:pPr>
                    <w:pStyle w:val="1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937" w:type="pct"/>
                  <w:vAlign w:val="center"/>
                </w:tcPr>
                <w:p w14:paraId="68BAF193">
                  <w:pPr>
                    <w:pStyle w:val="1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设备名称</w:t>
                  </w:r>
                </w:p>
              </w:tc>
              <w:tc>
                <w:tcPr>
                  <w:tcW w:w="543" w:type="pct"/>
                  <w:vAlign w:val="center"/>
                </w:tcPr>
                <w:p w14:paraId="545A89C3">
                  <w:pPr>
                    <w:pStyle w:val="1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数量（台）</w:t>
                  </w:r>
                </w:p>
              </w:tc>
              <w:tc>
                <w:tcPr>
                  <w:tcW w:w="748" w:type="pct"/>
                  <w:vAlign w:val="center"/>
                </w:tcPr>
                <w:p w14:paraId="4A9B897C">
                  <w:pPr>
                    <w:pStyle w:val="112"/>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治理前等效声级dB（A）</w:t>
                  </w:r>
                </w:p>
              </w:tc>
              <w:tc>
                <w:tcPr>
                  <w:tcW w:w="578" w:type="pct"/>
                  <w:vAlign w:val="center"/>
                </w:tcPr>
                <w:p w14:paraId="5B0E2CCF">
                  <w:pPr>
                    <w:pStyle w:val="1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噪声属性及性质</w:t>
                  </w:r>
                </w:p>
              </w:tc>
              <w:tc>
                <w:tcPr>
                  <w:tcW w:w="632" w:type="pct"/>
                  <w:vAlign w:val="center"/>
                </w:tcPr>
                <w:p w14:paraId="7D430264">
                  <w:pPr>
                    <w:pStyle w:val="1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采取的措施</w:t>
                  </w:r>
                </w:p>
              </w:tc>
              <w:tc>
                <w:tcPr>
                  <w:tcW w:w="686" w:type="pct"/>
                  <w:vAlign w:val="center"/>
                </w:tcPr>
                <w:p w14:paraId="42FA0E36">
                  <w:pPr>
                    <w:pStyle w:val="25"/>
                    <w:spacing w:before="100" w:beforeAutospacing="1" w:after="100" w:afterAutospacing="1" w:line="240" w:lineRule="auto"/>
                    <w:ind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Cs w:val="21"/>
                    </w:rPr>
                    <w:t>降噪效果（dB（A））</w:t>
                  </w:r>
                </w:p>
              </w:tc>
              <w:tc>
                <w:tcPr>
                  <w:tcW w:w="620" w:type="pct"/>
                  <w:vAlign w:val="center"/>
                </w:tcPr>
                <w:p w14:paraId="12222F0F">
                  <w:pPr>
                    <w:pStyle w:val="1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持续时间(h/d)</w:t>
                  </w:r>
                </w:p>
              </w:tc>
            </w:tr>
            <w:tr w14:paraId="151AFB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3" w:type="pct"/>
                  <w:vAlign w:val="center"/>
                </w:tcPr>
                <w:p w14:paraId="4EE75766">
                  <w:pPr>
                    <w:pStyle w:val="1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937" w:type="pct"/>
                  <w:vAlign w:val="center"/>
                </w:tcPr>
                <w:p w14:paraId="6DD0B59D">
                  <w:pPr>
                    <w:pStyle w:val="1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卧式磁力泵</w:t>
                  </w:r>
                </w:p>
              </w:tc>
              <w:tc>
                <w:tcPr>
                  <w:tcW w:w="543" w:type="pct"/>
                  <w:vAlign w:val="center"/>
                </w:tcPr>
                <w:p w14:paraId="6D012169">
                  <w:pPr>
                    <w:pStyle w:val="1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16</w:t>
                  </w:r>
                  <w:r>
                    <w:rPr>
                      <w:rFonts w:hint="default" w:ascii="Times New Roman" w:hAnsi="Times New Roman" w:eastAsia="宋体" w:cs="Times New Roman"/>
                      <w:color w:val="auto"/>
                      <w:highlight w:val="none"/>
                    </w:rPr>
                    <w:t>台</w:t>
                  </w:r>
                </w:p>
              </w:tc>
              <w:tc>
                <w:tcPr>
                  <w:tcW w:w="748" w:type="pct"/>
                  <w:vAlign w:val="center"/>
                </w:tcPr>
                <w:p w14:paraId="3C798F31">
                  <w:pPr>
                    <w:pStyle w:val="11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c>
                <w:tcPr>
                  <w:tcW w:w="578" w:type="pct"/>
                  <w:vMerge w:val="restart"/>
                  <w:vAlign w:val="center"/>
                </w:tcPr>
                <w:p w14:paraId="6B5A7517">
                  <w:pPr>
                    <w:pStyle w:val="1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机械、连续、固定</w:t>
                  </w:r>
                </w:p>
              </w:tc>
              <w:tc>
                <w:tcPr>
                  <w:tcW w:w="632" w:type="pct"/>
                  <w:vMerge w:val="restart"/>
                  <w:vAlign w:val="center"/>
                </w:tcPr>
                <w:p w14:paraId="509B7797">
                  <w:pPr>
                    <w:pStyle w:val="1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墙体隔声、设备隔振机座加阻尼</w:t>
                  </w:r>
                </w:p>
              </w:tc>
              <w:tc>
                <w:tcPr>
                  <w:tcW w:w="686" w:type="pct"/>
                  <w:vAlign w:val="center"/>
                </w:tcPr>
                <w:p w14:paraId="1ADA2D1E">
                  <w:pPr>
                    <w:pStyle w:val="112"/>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20</w:t>
                  </w:r>
                </w:p>
              </w:tc>
              <w:tc>
                <w:tcPr>
                  <w:tcW w:w="620" w:type="pct"/>
                  <w:vMerge w:val="restart"/>
                  <w:vAlign w:val="center"/>
                </w:tcPr>
                <w:p w14:paraId="4D21D9E9">
                  <w:pPr>
                    <w:pStyle w:val="112"/>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24</w:t>
                  </w:r>
                </w:p>
              </w:tc>
            </w:tr>
            <w:tr w14:paraId="30ED93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3" w:type="pct"/>
                  <w:vAlign w:val="center"/>
                </w:tcPr>
                <w:p w14:paraId="22EC289E">
                  <w:pPr>
                    <w:pStyle w:val="1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937" w:type="pct"/>
                  <w:vAlign w:val="center"/>
                </w:tcPr>
                <w:p w14:paraId="70D28103">
                  <w:pPr>
                    <w:pStyle w:val="1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隔膜泵</w:t>
                  </w:r>
                </w:p>
              </w:tc>
              <w:tc>
                <w:tcPr>
                  <w:tcW w:w="543" w:type="pct"/>
                  <w:vAlign w:val="center"/>
                </w:tcPr>
                <w:p w14:paraId="0D0AEC54">
                  <w:pPr>
                    <w:pStyle w:val="11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台</w:t>
                  </w:r>
                </w:p>
              </w:tc>
              <w:tc>
                <w:tcPr>
                  <w:tcW w:w="748" w:type="pct"/>
                  <w:vAlign w:val="center"/>
                </w:tcPr>
                <w:p w14:paraId="06E92318">
                  <w:pPr>
                    <w:pStyle w:val="11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c>
                <w:tcPr>
                  <w:tcW w:w="578" w:type="pct"/>
                  <w:vMerge w:val="continue"/>
                  <w:vAlign w:val="center"/>
                </w:tcPr>
                <w:p w14:paraId="344BD4FC">
                  <w:pPr>
                    <w:pStyle w:val="112"/>
                    <w:rPr>
                      <w:rFonts w:hint="default" w:ascii="Times New Roman" w:hAnsi="Times New Roman" w:eastAsia="宋体" w:cs="Times New Roman"/>
                      <w:color w:val="auto"/>
                      <w:highlight w:val="none"/>
                    </w:rPr>
                  </w:pPr>
                </w:p>
              </w:tc>
              <w:tc>
                <w:tcPr>
                  <w:tcW w:w="632" w:type="pct"/>
                  <w:vMerge w:val="continue"/>
                  <w:vAlign w:val="center"/>
                </w:tcPr>
                <w:p w14:paraId="1248718C">
                  <w:pPr>
                    <w:pStyle w:val="112"/>
                    <w:rPr>
                      <w:rFonts w:hint="default" w:ascii="Times New Roman" w:hAnsi="Times New Roman" w:eastAsia="宋体" w:cs="Times New Roman"/>
                      <w:color w:val="auto"/>
                      <w:highlight w:val="none"/>
                    </w:rPr>
                  </w:pPr>
                </w:p>
              </w:tc>
              <w:tc>
                <w:tcPr>
                  <w:tcW w:w="686" w:type="pct"/>
                  <w:vAlign w:val="center"/>
                </w:tcPr>
                <w:p w14:paraId="48E33BB1">
                  <w:pPr>
                    <w:pStyle w:val="25"/>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20</w:t>
                  </w:r>
                </w:p>
              </w:tc>
              <w:tc>
                <w:tcPr>
                  <w:tcW w:w="620" w:type="pct"/>
                  <w:vMerge w:val="continue"/>
                  <w:vAlign w:val="center"/>
                </w:tcPr>
                <w:p w14:paraId="2CB77358">
                  <w:pPr>
                    <w:pStyle w:val="112"/>
                    <w:rPr>
                      <w:rFonts w:hint="default" w:ascii="Times New Roman" w:hAnsi="Times New Roman" w:eastAsia="宋体" w:cs="Times New Roman"/>
                      <w:color w:val="auto"/>
                      <w:highlight w:val="none"/>
                    </w:rPr>
                  </w:pPr>
                </w:p>
              </w:tc>
            </w:tr>
            <w:tr w14:paraId="5CDE12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3" w:type="pct"/>
                  <w:vAlign w:val="center"/>
                </w:tcPr>
                <w:p w14:paraId="56C42A1E">
                  <w:pPr>
                    <w:pStyle w:val="11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w:t>
                  </w:r>
                </w:p>
              </w:tc>
              <w:tc>
                <w:tcPr>
                  <w:tcW w:w="937" w:type="pct"/>
                  <w:vAlign w:val="center"/>
                </w:tcPr>
                <w:p w14:paraId="21E5C251">
                  <w:pPr>
                    <w:pStyle w:val="11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灌装机</w:t>
                  </w:r>
                </w:p>
              </w:tc>
              <w:tc>
                <w:tcPr>
                  <w:tcW w:w="543" w:type="pct"/>
                  <w:vAlign w:val="center"/>
                </w:tcPr>
                <w:p w14:paraId="30F89E74">
                  <w:pPr>
                    <w:pStyle w:val="11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台</w:t>
                  </w:r>
                </w:p>
              </w:tc>
              <w:tc>
                <w:tcPr>
                  <w:tcW w:w="748" w:type="pct"/>
                  <w:vAlign w:val="center"/>
                </w:tcPr>
                <w:p w14:paraId="2BAC5AEA">
                  <w:pPr>
                    <w:pStyle w:val="11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578" w:type="pct"/>
                  <w:vMerge w:val="continue"/>
                  <w:vAlign w:val="center"/>
                </w:tcPr>
                <w:p w14:paraId="5849A48A">
                  <w:pPr>
                    <w:pStyle w:val="112"/>
                    <w:rPr>
                      <w:rFonts w:hint="default" w:ascii="Times New Roman" w:hAnsi="Times New Roman" w:eastAsia="宋体" w:cs="Times New Roman"/>
                      <w:color w:val="auto"/>
                      <w:highlight w:val="none"/>
                    </w:rPr>
                  </w:pPr>
                </w:p>
              </w:tc>
              <w:tc>
                <w:tcPr>
                  <w:tcW w:w="632" w:type="pct"/>
                  <w:vMerge w:val="continue"/>
                  <w:vAlign w:val="center"/>
                </w:tcPr>
                <w:p w14:paraId="2D7F4334">
                  <w:pPr>
                    <w:pStyle w:val="112"/>
                    <w:rPr>
                      <w:rFonts w:hint="default" w:ascii="Times New Roman" w:hAnsi="Times New Roman" w:eastAsia="宋体" w:cs="Times New Roman"/>
                      <w:color w:val="auto"/>
                      <w:highlight w:val="none"/>
                    </w:rPr>
                  </w:pPr>
                </w:p>
              </w:tc>
              <w:tc>
                <w:tcPr>
                  <w:tcW w:w="686" w:type="pct"/>
                  <w:shd w:val="clear" w:color="auto" w:fill="auto"/>
                  <w:vAlign w:val="center"/>
                </w:tcPr>
                <w:p w14:paraId="1C5A56C9">
                  <w:pPr>
                    <w:pStyle w:val="112"/>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20</w:t>
                  </w:r>
                </w:p>
              </w:tc>
              <w:tc>
                <w:tcPr>
                  <w:tcW w:w="620" w:type="pct"/>
                  <w:vMerge w:val="continue"/>
                  <w:vAlign w:val="center"/>
                </w:tcPr>
                <w:p w14:paraId="09773270">
                  <w:pPr>
                    <w:pStyle w:val="112"/>
                    <w:rPr>
                      <w:rFonts w:hint="default" w:ascii="Times New Roman" w:hAnsi="Times New Roman" w:eastAsia="宋体" w:cs="Times New Roman"/>
                      <w:color w:val="auto"/>
                      <w:highlight w:val="none"/>
                    </w:rPr>
                  </w:pPr>
                </w:p>
              </w:tc>
            </w:tr>
            <w:tr w14:paraId="455E38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3" w:type="pct"/>
                  <w:vAlign w:val="center"/>
                </w:tcPr>
                <w:p w14:paraId="272DFD2C">
                  <w:pPr>
                    <w:pStyle w:val="11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w:t>
                  </w:r>
                </w:p>
              </w:tc>
              <w:tc>
                <w:tcPr>
                  <w:tcW w:w="937" w:type="pct"/>
                  <w:vAlign w:val="center"/>
                </w:tcPr>
                <w:p w14:paraId="03533D33">
                  <w:pPr>
                    <w:pStyle w:val="11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分装机</w:t>
                  </w:r>
                </w:p>
              </w:tc>
              <w:tc>
                <w:tcPr>
                  <w:tcW w:w="543" w:type="pct"/>
                  <w:vAlign w:val="center"/>
                </w:tcPr>
                <w:p w14:paraId="3ACFA19F">
                  <w:pPr>
                    <w:pStyle w:val="11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台</w:t>
                  </w:r>
                </w:p>
              </w:tc>
              <w:tc>
                <w:tcPr>
                  <w:tcW w:w="748" w:type="pct"/>
                  <w:vAlign w:val="center"/>
                </w:tcPr>
                <w:p w14:paraId="77DDE551">
                  <w:pPr>
                    <w:pStyle w:val="11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578" w:type="pct"/>
                  <w:vMerge w:val="continue"/>
                  <w:vAlign w:val="center"/>
                </w:tcPr>
                <w:p w14:paraId="49ABFF15">
                  <w:pPr>
                    <w:pStyle w:val="112"/>
                    <w:rPr>
                      <w:rFonts w:hint="default" w:ascii="Times New Roman" w:hAnsi="Times New Roman" w:eastAsia="宋体" w:cs="Times New Roman"/>
                      <w:color w:val="auto"/>
                      <w:highlight w:val="none"/>
                    </w:rPr>
                  </w:pPr>
                </w:p>
              </w:tc>
              <w:tc>
                <w:tcPr>
                  <w:tcW w:w="632" w:type="pct"/>
                  <w:vMerge w:val="continue"/>
                  <w:vAlign w:val="center"/>
                </w:tcPr>
                <w:p w14:paraId="1E339F90">
                  <w:pPr>
                    <w:pStyle w:val="112"/>
                    <w:rPr>
                      <w:rFonts w:hint="default" w:ascii="Times New Roman" w:hAnsi="Times New Roman" w:eastAsia="宋体" w:cs="Times New Roman"/>
                      <w:color w:val="auto"/>
                      <w:highlight w:val="none"/>
                    </w:rPr>
                  </w:pPr>
                </w:p>
              </w:tc>
              <w:tc>
                <w:tcPr>
                  <w:tcW w:w="686" w:type="pct"/>
                  <w:shd w:val="clear" w:color="auto" w:fill="auto"/>
                  <w:vAlign w:val="center"/>
                </w:tcPr>
                <w:p w14:paraId="552CC8F4">
                  <w:pPr>
                    <w:pStyle w:val="25"/>
                    <w:spacing w:before="100" w:beforeAutospacing="1" w:after="100" w:afterAutospacing="1"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20</w:t>
                  </w:r>
                </w:p>
              </w:tc>
              <w:tc>
                <w:tcPr>
                  <w:tcW w:w="620" w:type="pct"/>
                  <w:vMerge w:val="continue"/>
                  <w:vAlign w:val="center"/>
                </w:tcPr>
                <w:p w14:paraId="44263110">
                  <w:pPr>
                    <w:pStyle w:val="112"/>
                    <w:rPr>
                      <w:rFonts w:hint="default" w:ascii="Times New Roman" w:hAnsi="Times New Roman" w:eastAsia="宋体" w:cs="Times New Roman"/>
                      <w:color w:val="auto"/>
                      <w:highlight w:val="none"/>
                    </w:rPr>
                  </w:pPr>
                </w:p>
              </w:tc>
            </w:tr>
          </w:tbl>
          <w:p w14:paraId="64C89366">
            <w:pPr>
              <w:pStyle w:val="7"/>
              <w:spacing w:before="120" w:after="120"/>
              <w:outlineLvl w:val="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4.3.2运营期声环境影响分析</w:t>
            </w:r>
          </w:p>
          <w:p w14:paraId="07A62D7D">
            <w:pPr>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项目噪声预测模式采用《环境影响评价技术导则</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声环境》(HJ2.4-20</w:t>
            </w:r>
            <w:r>
              <w:rPr>
                <w:rFonts w:hint="default"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eastAsia="zh-CN"/>
              </w:rPr>
              <w:t>附录</w:t>
            </w:r>
            <w:r>
              <w:rPr>
                <w:rFonts w:hint="default" w:ascii="Times New Roman" w:hAnsi="Times New Roman" w:eastAsia="宋体" w:cs="Times New Roman"/>
                <w:color w:val="auto"/>
                <w:sz w:val="24"/>
                <w:szCs w:val="24"/>
                <w:highlight w:val="none"/>
                <w:lang w:val="en-US" w:eastAsia="zh-CN"/>
              </w:rPr>
              <w:t>A户外声传播的衰减及附录B典型行业噪声预测模型进行分析。</w:t>
            </w:r>
          </w:p>
          <w:p w14:paraId="73235F78">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（1）噪声源调查</w:t>
            </w:r>
          </w:p>
          <w:p w14:paraId="28A0FE73">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根据现场勘查，</w:t>
            </w:r>
            <w:r>
              <w:rPr>
                <w:rFonts w:hint="default" w:ascii="Times New Roman" w:hAnsi="Times New Roman" w:eastAsia="宋体" w:cs="Times New Roman"/>
                <w:color w:val="auto"/>
                <w:kern w:val="0"/>
                <w:sz w:val="24"/>
                <w:szCs w:val="24"/>
                <w:highlight w:val="none"/>
              </w:rPr>
              <w:t>项目噪声主要来自</w:t>
            </w:r>
            <w:r>
              <w:rPr>
                <w:rFonts w:hint="default" w:ascii="Times New Roman" w:hAnsi="Times New Roman" w:eastAsia="宋体" w:cs="Times New Roman"/>
                <w:color w:val="auto"/>
                <w:kern w:val="0"/>
                <w:sz w:val="24"/>
                <w:szCs w:val="24"/>
                <w:highlight w:val="none"/>
                <w:lang w:eastAsia="zh-CN"/>
              </w:rPr>
              <w:t>设备运行</w:t>
            </w:r>
            <w:r>
              <w:rPr>
                <w:rFonts w:hint="default" w:ascii="Times New Roman" w:hAnsi="Times New Roman" w:eastAsia="宋体" w:cs="Times New Roman"/>
                <w:color w:val="auto"/>
                <w:kern w:val="0"/>
                <w:sz w:val="24"/>
                <w:szCs w:val="24"/>
                <w:highlight w:val="none"/>
              </w:rPr>
              <w:t>机械噪声，</w:t>
            </w:r>
            <w:r>
              <w:rPr>
                <w:rFonts w:hint="default" w:ascii="Times New Roman" w:hAnsi="Times New Roman" w:eastAsia="宋体" w:cs="Times New Roman"/>
                <w:color w:val="auto"/>
                <w:sz w:val="24"/>
                <w:szCs w:val="24"/>
                <w:highlight w:val="none"/>
              </w:rPr>
              <w:t>坐标原点以</w:t>
            </w:r>
            <w:r>
              <w:rPr>
                <w:rFonts w:hint="default" w:ascii="Times New Roman" w:hAnsi="Times New Roman" w:eastAsia="宋体" w:cs="Times New Roman"/>
                <w:color w:val="auto"/>
                <w:sz w:val="24"/>
                <w:szCs w:val="24"/>
                <w:highlight w:val="none"/>
                <w:lang w:eastAsia="zh-CN"/>
              </w:rPr>
              <w:t>车间一</w:t>
            </w:r>
            <w:r>
              <w:rPr>
                <w:rFonts w:hint="default" w:ascii="Times New Roman" w:hAnsi="Times New Roman" w:eastAsia="宋体" w:cs="Times New Roman"/>
                <w:color w:val="auto"/>
                <w:sz w:val="24"/>
                <w:szCs w:val="24"/>
                <w:highlight w:val="none"/>
              </w:rPr>
              <w:t>中心点位为原点。</w:t>
            </w:r>
          </w:p>
          <w:p w14:paraId="5EF2F4C9">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（2）噪声预测分析</w:t>
            </w:r>
          </w:p>
          <w:p w14:paraId="289D3B4D">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根据《环境影响评价技术导则 声环境》（HJ2.4-2021）推荐方法，</w:t>
            </w:r>
            <w:r>
              <w:rPr>
                <w:rFonts w:hint="default" w:ascii="Times New Roman" w:hAnsi="Times New Roman" w:eastAsia="宋体" w:cs="Times New Roman"/>
                <w:color w:val="auto"/>
                <w:kern w:val="2"/>
                <w:sz w:val="24"/>
                <w:szCs w:val="20"/>
                <w:highlight w:val="none"/>
                <w:lang w:val="en-US" w:eastAsia="zh-CN" w:bidi="ar-SA"/>
              </w:rPr>
              <w:t>本次评价采用的噪声预测模型如下：</w:t>
            </w:r>
          </w:p>
          <w:p w14:paraId="4076510C">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1) 单个室外的点声源在预测点产生的声级计算基本公式</w:t>
            </w:r>
          </w:p>
          <w:p w14:paraId="7D874AEC">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某个声源在预测点的倍频带声压级的计算公式如下：</w:t>
            </w:r>
          </w:p>
          <w:p w14:paraId="219CB5E1">
            <w:pPr>
              <w:adjustRightInd w:val="0"/>
              <w:snapToGrid w:val="0"/>
              <w:spacing w:line="360" w:lineRule="auto"/>
              <w:ind w:firstLine="480" w:firstLineChars="200"/>
              <w:jc w:val="center"/>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Lp(r)=Lp(r</w:t>
            </w:r>
            <w:r>
              <w:rPr>
                <w:rFonts w:hint="default" w:ascii="Times New Roman" w:hAnsi="Times New Roman" w:eastAsia="宋体" w:cs="Times New Roman"/>
                <w:color w:val="auto"/>
                <w:sz w:val="24"/>
                <w:szCs w:val="20"/>
                <w:highlight w:val="none"/>
                <w:vertAlign w:val="subscript"/>
              </w:rPr>
              <w:t>0</w:t>
            </w:r>
            <w:r>
              <w:rPr>
                <w:rFonts w:hint="default" w:ascii="Times New Roman" w:hAnsi="Times New Roman" w:eastAsia="宋体" w:cs="Times New Roman"/>
                <w:color w:val="auto"/>
                <w:sz w:val="24"/>
                <w:szCs w:val="20"/>
                <w:highlight w:val="none"/>
              </w:rPr>
              <w:t>)+Dc-A</w:t>
            </w:r>
            <w:r>
              <w:rPr>
                <w:rFonts w:hint="default" w:ascii="Times New Roman" w:hAnsi="Times New Roman" w:eastAsia="宋体" w:cs="Times New Roman"/>
                <w:color w:val="auto"/>
                <w:sz w:val="24"/>
                <w:szCs w:val="20"/>
                <w:highlight w:val="none"/>
                <w:vertAlign w:val="subscript"/>
              </w:rPr>
              <w:t>div</w:t>
            </w:r>
            <w:r>
              <w:rPr>
                <w:rFonts w:hint="default" w:ascii="Times New Roman" w:hAnsi="Times New Roman" w:eastAsia="宋体" w:cs="Times New Roman"/>
                <w:color w:val="auto"/>
                <w:sz w:val="24"/>
                <w:szCs w:val="20"/>
                <w:highlight w:val="none"/>
              </w:rPr>
              <w:t>+A</w:t>
            </w:r>
            <w:r>
              <w:rPr>
                <w:rFonts w:hint="default" w:ascii="Times New Roman" w:hAnsi="Times New Roman" w:eastAsia="宋体" w:cs="Times New Roman"/>
                <w:color w:val="auto"/>
                <w:sz w:val="24"/>
                <w:szCs w:val="20"/>
                <w:highlight w:val="none"/>
                <w:vertAlign w:val="subscript"/>
              </w:rPr>
              <w:t>atm</w:t>
            </w:r>
            <w:r>
              <w:rPr>
                <w:rFonts w:hint="default" w:ascii="Times New Roman" w:hAnsi="Times New Roman" w:eastAsia="宋体" w:cs="Times New Roman"/>
                <w:color w:val="auto"/>
                <w:sz w:val="24"/>
                <w:szCs w:val="20"/>
                <w:highlight w:val="none"/>
              </w:rPr>
              <w:t>+A</w:t>
            </w:r>
            <w:r>
              <w:rPr>
                <w:rFonts w:hint="default" w:ascii="Times New Roman" w:hAnsi="Times New Roman" w:eastAsia="宋体" w:cs="Times New Roman"/>
                <w:color w:val="auto"/>
                <w:sz w:val="24"/>
                <w:szCs w:val="20"/>
                <w:highlight w:val="none"/>
                <w:vertAlign w:val="subscript"/>
              </w:rPr>
              <w:t>gr</w:t>
            </w:r>
            <w:r>
              <w:rPr>
                <w:rFonts w:hint="default" w:ascii="Times New Roman" w:hAnsi="Times New Roman" w:eastAsia="宋体" w:cs="Times New Roman"/>
                <w:color w:val="auto"/>
                <w:sz w:val="24"/>
                <w:szCs w:val="20"/>
                <w:highlight w:val="none"/>
              </w:rPr>
              <w:t>+A</w:t>
            </w:r>
            <w:r>
              <w:rPr>
                <w:rFonts w:hint="default" w:ascii="Times New Roman" w:hAnsi="Times New Roman" w:eastAsia="宋体" w:cs="Times New Roman"/>
                <w:color w:val="auto"/>
                <w:sz w:val="24"/>
                <w:szCs w:val="20"/>
                <w:highlight w:val="none"/>
                <w:vertAlign w:val="subscript"/>
              </w:rPr>
              <w:t>bar</w:t>
            </w:r>
            <w:r>
              <w:rPr>
                <w:rFonts w:hint="default" w:ascii="Times New Roman" w:hAnsi="Times New Roman" w:eastAsia="宋体" w:cs="Times New Roman"/>
                <w:color w:val="auto"/>
                <w:sz w:val="24"/>
                <w:szCs w:val="20"/>
                <w:highlight w:val="none"/>
              </w:rPr>
              <w:t>+A</w:t>
            </w:r>
            <w:r>
              <w:rPr>
                <w:rFonts w:hint="default" w:ascii="Times New Roman" w:hAnsi="Times New Roman" w:eastAsia="宋体" w:cs="Times New Roman"/>
                <w:color w:val="auto"/>
                <w:sz w:val="24"/>
                <w:szCs w:val="20"/>
                <w:highlight w:val="none"/>
                <w:vertAlign w:val="subscript"/>
              </w:rPr>
              <w:t>misc</w:t>
            </w:r>
          </w:p>
          <w:p w14:paraId="7EDA131E">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式中：</w:t>
            </w:r>
          </w:p>
          <w:p w14:paraId="51309959">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Lp(r)—预测点处声压级，dB；</w:t>
            </w:r>
          </w:p>
          <w:p w14:paraId="4CFF62E7">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Lp(r</w:t>
            </w:r>
            <w:r>
              <w:rPr>
                <w:rFonts w:hint="default" w:ascii="Times New Roman" w:hAnsi="Times New Roman" w:eastAsia="宋体" w:cs="Times New Roman"/>
                <w:color w:val="auto"/>
                <w:sz w:val="24"/>
                <w:szCs w:val="20"/>
                <w:highlight w:val="none"/>
                <w:vertAlign w:val="subscript"/>
              </w:rPr>
              <w:t>0</w:t>
            </w:r>
            <w:r>
              <w:rPr>
                <w:rFonts w:hint="default" w:ascii="Times New Roman" w:hAnsi="Times New Roman" w:eastAsia="宋体" w:cs="Times New Roman"/>
                <w:color w:val="auto"/>
                <w:sz w:val="24"/>
                <w:szCs w:val="20"/>
                <w:highlight w:val="none"/>
              </w:rPr>
              <w:t>)—参考位置r</w:t>
            </w:r>
            <w:r>
              <w:rPr>
                <w:rFonts w:hint="default" w:ascii="Times New Roman" w:hAnsi="Times New Roman" w:eastAsia="宋体" w:cs="Times New Roman"/>
                <w:color w:val="auto"/>
                <w:sz w:val="24"/>
                <w:szCs w:val="20"/>
                <w:highlight w:val="none"/>
                <w:vertAlign w:val="subscript"/>
              </w:rPr>
              <w:t>0</w:t>
            </w:r>
            <w:r>
              <w:rPr>
                <w:rFonts w:hint="default" w:ascii="Times New Roman" w:hAnsi="Times New Roman" w:eastAsia="宋体" w:cs="Times New Roman"/>
                <w:color w:val="auto"/>
                <w:sz w:val="24"/>
                <w:szCs w:val="20"/>
                <w:highlight w:val="none"/>
              </w:rPr>
              <w:t>处声压级，dB；</w:t>
            </w:r>
          </w:p>
          <w:p w14:paraId="71F1401D">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Dc--指向性校正，它描述点声源的等效连续声压级与产生声功率级Lw的全向点声源在规定方向的声级的偏差程度，dB，Dc=0dB；</w:t>
            </w:r>
          </w:p>
          <w:p w14:paraId="268E1B06">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A</w:t>
            </w:r>
            <w:r>
              <w:rPr>
                <w:rFonts w:hint="default" w:ascii="Times New Roman" w:hAnsi="Times New Roman" w:eastAsia="宋体" w:cs="Times New Roman"/>
                <w:color w:val="auto"/>
                <w:sz w:val="24"/>
                <w:szCs w:val="20"/>
                <w:highlight w:val="none"/>
                <w:vertAlign w:val="subscript"/>
              </w:rPr>
              <w:t>div-</w:t>
            </w:r>
            <w:r>
              <w:rPr>
                <w:rFonts w:hint="default" w:ascii="Times New Roman" w:hAnsi="Times New Roman" w:eastAsia="宋体" w:cs="Times New Roman"/>
                <w:color w:val="auto"/>
                <w:sz w:val="24"/>
                <w:szCs w:val="20"/>
                <w:highlight w:val="none"/>
              </w:rPr>
              <w:t xml:space="preserve">-几何发散引起的倍频带衰减，dB； </w:t>
            </w:r>
          </w:p>
          <w:p w14:paraId="2AB2F52F">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A</w:t>
            </w:r>
            <w:r>
              <w:rPr>
                <w:rFonts w:hint="default" w:ascii="Times New Roman" w:hAnsi="Times New Roman" w:eastAsia="宋体" w:cs="Times New Roman"/>
                <w:color w:val="auto"/>
                <w:sz w:val="24"/>
                <w:szCs w:val="20"/>
                <w:highlight w:val="none"/>
                <w:vertAlign w:val="subscript"/>
              </w:rPr>
              <w:t>atm</w:t>
            </w:r>
            <w:r>
              <w:rPr>
                <w:rFonts w:hint="default" w:ascii="Times New Roman" w:hAnsi="Times New Roman" w:eastAsia="宋体" w:cs="Times New Roman"/>
                <w:color w:val="auto"/>
                <w:sz w:val="24"/>
                <w:szCs w:val="20"/>
                <w:highlight w:val="none"/>
              </w:rPr>
              <w:t xml:space="preserve">--大气吸收引起的倍频带衰减，dB； </w:t>
            </w:r>
          </w:p>
          <w:p w14:paraId="2AB6E7B1">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A</w:t>
            </w:r>
            <w:r>
              <w:rPr>
                <w:rFonts w:hint="default" w:ascii="Times New Roman" w:hAnsi="Times New Roman" w:eastAsia="宋体" w:cs="Times New Roman"/>
                <w:color w:val="auto"/>
                <w:sz w:val="24"/>
                <w:szCs w:val="20"/>
                <w:highlight w:val="none"/>
                <w:vertAlign w:val="subscript"/>
              </w:rPr>
              <w:t>gr</w:t>
            </w:r>
            <w:r>
              <w:rPr>
                <w:rFonts w:hint="default" w:ascii="Times New Roman" w:hAnsi="Times New Roman" w:eastAsia="宋体" w:cs="Times New Roman"/>
                <w:color w:val="auto"/>
                <w:sz w:val="24"/>
                <w:szCs w:val="20"/>
                <w:highlight w:val="none"/>
              </w:rPr>
              <w:t>--地面效应引起的倍频带衰减，dB；</w:t>
            </w:r>
          </w:p>
          <w:p w14:paraId="45979A6A">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A</w:t>
            </w:r>
            <w:r>
              <w:rPr>
                <w:rFonts w:hint="default" w:ascii="Times New Roman" w:hAnsi="Times New Roman" w:eastAsia="宋体" w:cs="Times New Roman"/>
                <w:color w:val="auto"/>
                <w:sz w:val="24"/>
                <w:szCs w:val="20"/>
                <w:highlight w:val="none"/>
                <w:vertAlign w:val="subscript"/>
              </w:rPr>
              <w:t>bar</w:t>
            </w:r>
            <w:r>
              <w:rPr>
                <w:rFonts w:hint="default" w:ascii="Times New Roman" w:hAnsi="Times New Roman" w:eastAsia="宋体" w:cs="Times New Roman"/>
                <w:color w:val="auto"/>
                <w:sz w:val="24"/>
                <w:szCs w:val="20"/>
                <w:highlight w:val="none"/>
              </w:rPr>
              <w:t>--障碍物屏蔽引起的衰减，dB；</w:t>
            </w:r>
          </w:p>
          <w:p w14:paraId="4D11E3C2">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A</w:t>
            </w:r>
            <w:r>
              <w:rPr>
                <w:rFonts w:hint="default" w:ascii="Times New Roman" w:hAnsi="Times New Roman" w:eastAsia="宋体" w:cs="Times New Roman"/>
                <w:color w:val="auto"/>
                <w:sz w:val="24"/>
                <w:szCs w:val="20"/>
                <w:highlight w:val="none"/>
                <w:vertAlign w:val="subscript"/>
              </w:rPr>
              <w:t>misc-</w:t>
            </w:r>
            <w:r>
              <w:rPr>
                <w:rFonts w:hint="default" w:ascii="Times New Roman" w:hAnsi="Times New Roman" w:eastAsia="宋体" w:cs="Times New Roman"/>
                <w:color w:val="auto"/>
                <w:sz w:val="24"/>
                <w:szCs w:val="20"/>
                <w:highlight w:val="none"/>
              </w:rPr>
              <w:t>-其他多方面效应引起的倍频带衰减，dB。</w:t>
            </w:r>
          </w:p>
          <w:p w14:paraId="65C60CFA">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衰减项计算按导则附录A相关模式计算。</w:t>
            </w:r>
          </w:p>
          <w:p w14:paraId="3575B575">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预测点的A声级LA(r)，可利用8个倍频带的声压级按下式计算：</w:t>
            </w:r>
          </w:p>
          <w:p w14:paraId="72326E5B">
            <w:pPr>
              <w:adjustRightInd w:val="0"/>
              <w:snapToGrid w:val="0"/>
              <w:spacing w:line="360" w:lineRule="auto"/>
              <w:ind w:firstLine="2640" w:firstLineChars="11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pict>
                <v:shape id="Object 33285" o:spid="_x0000_s2058" o:spt="75" type="#_x0000_t75" style="position:absolute;left:0pt;margin-left:132.1pt;margin-top:0.3pt;height:33.75pt;width:149.25pt;z-index:-251642880;mso-width-relative:page;mso-height-relative:page;" o:ole="t" filled="f" o:preferrelative="t" stroked="f" coordsize="21600,21600">
                  <v:path/>
                  <v:fill on="f" focussize="0,0"/>
                  <v:stroke on="f"/>
                  <v:imagedata r:id="rId47" o:title=""/>
                  <o:lock v:ext="edit" grouping="f" rotation="f" text="f" aspectratio="t"/>
                </v:shape>
                <o:OLEObject Type="Embed" ProgID="Equation.3" ShapeID="Object 33285" DrawAspect="Content" ObjectID="_1468075732" r:id="rId46">
                  <o:LockedField>false</o:LockedField>
                </o:OLEObject>
              </w:pict>
            </w:r>
          </w:p>
          <w:p w14:paraId="25FA13B1">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p>
          <w:p w14:paraId="1E335009">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式中：</w:t>
            </w:r>
          </w:p>
          <w:p w14:paraId="596E40BB">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L</w:t>
            </w:r>
            <w:r>
              <w:rPr>
                <w:rFonts w:hint="default" w:ascii="Times New Roman" w:hAnsi="Times New Roman" w:eastAsia="宋体" w:cs="Times New Roman"/>
                <w:color w:val="auto"/>
                <w:sz w:val="24"/>
                <w:szCs w:val="20"/>
                <w:highlight w:val="none"/>
                <w:vertAlign w:val="subscript"/>
              </w:rPr>
              <w:t>A</w:t>
            </w:r>
            <w:r>
              <w:rPr>
                <w:rFonts w:hint="default" w:ascii="Times New Roman" w:hAnsi="Times New Roman" w:eastAsia="宋体" w:cs="Times New Roman"/>
                <w:color w:val="auto"/>
                <w:sz w:val="24"/>
                <w:szCs w:val="20"/>
                <w:highlight w:val="none"/>
              </w:rPr>
              <w:t>(r)—距离声源r处的A声级，dB（A）；</w:t>
            </w:r>
          </w:p>
          <w:p w14:paraId="342DF3A3">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Lpi(r)--预测点(r)处，第i倍频带声压级，dB；</w:t>
            </w:r>
          </w:p>
          <w:p w14:paraId="12C94F0D">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△Li--i倍频带A计算网络修正值，dB。</w:t>
            </w:r>
          </w:p>
          <w:p w14:paraId="33596485">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2)室内声源等效室外声源声功率级计算方法</w:t>
            </w:r>
          </w:p>
          <w:p w14:paraId="2503ABE2">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①如下图所示，声源位于室内，室内声源可采用等效室外声源声功率级法进行计算。设靠近开口处(或窗户)室内、室外某倍频带的声压级分别为Lp1和Lp2。若声源所在室内声场为近似扩散声场，则室内的倍频带声压级可按下式近似求出：</w:t>
            </w:r>
          </w:p>
          <w:p w14:paraId="7A7920B8">
            <w:pPr>
              <w:adjustRightInd w:val="0"/>
              <w:snapToGrid w:val="0"/>
              <w:spacing w:line="360" w:lineRule="auto"/>
              <w:ind w:firstLine="3000" w:firstLineChars="125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pict>
                <v:shape id="Object 33286" o:spid="_x0000_s2059" o:spt="75" type="#_x0000_t75" style="position:absolute;left:0pt;margin-left:150.25pt;margin-top:0.3pt;height:18.75pt;width:98.25pt;z-index:-251641856;mso-width-relative:page;mso-height-relative:page;" o:ole="t" filled="f" o:preferrelative="t" stroked="f" coordsize="21600,21600">
                  <v:path/>
                  <v:fill on="f" focussize="0,0"/>
                  <v:stroke on="f"/>
                  <v:imagedata r:id="rId49" o:title=""/>
                  <o:lock v:ext="edit" grouping="f" rotation="f" text="f" aspectratio="t"/>
                </v:shape>
                <o:OLEObject Type="Embed" ProgID="Equation.3" ShapeID="Object 33286" DrawAspect="Content" ObjectID="_1468075733" r:id="rId48">
                  <o:LockedField>false</o:LockedField>
                </o:OLEObject>
              </w:pict>
            </w:r>
          </w:p>
          <w:p w14:paraId="4454C642">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式中：</w:t>
            </w:r>
          </w:p>
          <w:p w14:paraId="6E2F2FC2">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Lp</w:t>
            </w:r>
            <w:r>
              <w:rPr>
                <w:rFonts w:hint="default" w:ascii="Times New Roman" w:hAnsi="Times New Roman" w:eastAsia="宋体" w:cs="Times New Roman"/>
                <w:color w:val="auto"/>
                <w:sz w:val="24"/>
                <w:szCs w:val="20"/>
                <w:highlight w:val="none"/>
                <w:vertAlign w:val="subscript"/>
              </w:rPr>
              <w:t>1</w:t>
            </w:r>
            <w:r>
              <w:rPr>
                <w:rFonts w:hint="default" w:ascii="Times New Roman" w:hAnsi="Times New Roman" w:eastAsia="宋体" w:cs="Times New Roman"/>
                <w:color w:val="auto"/>
                <w:sz w:val="24"/>
                <w:szCs w:val="20"/>
                <w:highlight w:val="none"/>
              </w:rPr>
              <w:t>--靠近开口处（或窗户）室内某倍频带的声压级或A声级，dB；</w:t>
            </w:r>
          </w:p>
          <w:p w14:paraId="64D2FDCF">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Lp</w:t>
            </w:r>
            <w:r>
              <w:rPr>
                <w:rFonts w:hint="default" w:ascii="Times New Roman" w:hAnsi="Times New Roman" w:eastAsia="宋体" w:cs="Times New Roman"/>
                <w:color w:val="auto"/>
                <w:sz w:val="24"/>
                <w:szCs w:val="20"/>
                <w:highlight w:val="none"/>
                <w:vertAlign w:val="subscript"/>
              </w:rPr>
              <w:t>2</w:t>
            </w:r>
            <w:r>
              <w:rPr>
                <w:rFonts w:hint="default" w:ascii="Times New Roman" w:hAnsi="Times New Roman" w:eastAsia="宋体" w:cs="Times New Roman"/>
                <w:color w:val="auto"/>
                <w:sz w:val="24"/>
                <w:szCs w:val="20"/>
                <w:highlight w:val="none"/>
              </w:rPr>
              <w:t>--靠近开口处（或窗户）室外某倍频带的声压级或A声级，dB；</w:t>
            </w:r>
          </w:p>
          <w:p w14:paraId="54EA10D4">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TL--隔墙(或窗户)倍频带的隔声量，dB。</w:t>
            </w:r>
          </w:p>
          <w:p w14:paraId="63E88967">
            <w:pPr>
              <w:adjustRightInd w:val="0"/>
              <w:snapToGrid w:val="0"/>
              <w:spacing w:line="360" w:lineRule="auto"/>
              <w:ind w:firstLine="1828" w:firstLineChars="762"/>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 w:val="24"/>
                <w:szCs w:val="20"/>
                <w:highlight w:val="none"/>
              </w:rPr>
              <w:drawing>
                <wp:inline distT="0" distB="0" distL="114300" distR="114300">
                  <wp:extent cx="2743200" cy="1419225"/>
                  <wp:effectExtent l="0" t="0" r="0" b="952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50"/>
                          <a:srcRect l="1706" t="3087" b="4938"/>
                          <a:stretch>
                            <a:fillRect/>
                          </a:stretch>
                        </pic:blipFill>
                        <pic:spPr>
                          <a:xfrm>
                            <a:off x="0" y="0"/>
                            <a:ext cx="2743200" cy="1419225"/>
                          </a:xfrm>
                          <a:prstGeom prst="rect">
                            <a:avLst/>
                          </a:prstGeom>
                          <a:noFill/>
                          <a:ln>
                            <a:noFill/>
                          </a:ln>
                        </pic:spPr>
                      </pic:pic>
                    </a:graphicData>
                  </a:graphic>
                </wp:inline>
              </w:drawing>
            </w:r>
          </w:p>
          <w:p w14:paraId="5459A2C3">
            <w:pPr>
              <w:adjustRightInd w:val="0"/>
              <w:snapToGrid w:val="0"/>
              <w:spacing w:line="360" w:lineRule="auto"/>
              <w:ind w:left="0" w:leftChars="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室内声源等效室外声源图例</w:t>
            </w:r>
          </w:p>
          <w:p w14:paraId="0CC9248A">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也可按下式计算某一室内声源靠近围护结构处产生的倍频带声压级或A声级：</w:t>
            </w:r>
          </w:p>
          <w:p w14:paraId="463E9B24">
            <w:pPr>
              <w:adjustRightInd w:val="0"/>
              <w:snapToGrid w:val="0"/>
              <w:spacing w:line="360" w:lineRule="auto"/>
              <w:ind w:firstLine="2880" w:firstLineChars="1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pict>
                <v:shape id="Object 33287" o:spid="_x0000_s2060" o:spt="75" type="#_x0000_t75" style="position:absolute;left:0pt;margin-left:144pt;margin-top:0pt;height:38.25pt;width:135pt;z-index:-251640832;mso-width-relative:page;mso-height-relative:page;" o:ole="t" filled="f" o:preferrelative="t" stroked="f" coordsize="21600,21600">
                  <v:path/>
                  <v:fill on="f" focussize="0,0"/>
                  <v:stroke on="f"/>
                  <v:imagedata r:id="rId52" o:title=""/>
                  <o:lock v:ext="edit" grouping="f" rotation="f" text="f" aspectratio="t"/>
                </v:shape>
                <o:OLEObject Type="Embed" ProgID="Equation.3" ShapeID="Object 33287" DrawAspect="Content" ObjectID="_1468075734" r:id="rId51">
                  <o:LockedField>false</o:LockedField>
                </o:OLEObject>
              </w:pict>
            </w:r>
          </w:p>
          <w:p w14:paraId="3E6030BC">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p>
          <w:p w14:paraId="08AF2726">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式中：</w:t>
            </w:r>
          </w:p>
          <w:p w14:paraId="69A5B5CC">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Lp</w:t>
            </w:r>
            <w:r>
              <w:rPr>
                <w:rFonts w:hint="default" w:ascii="Times New Roman" w:hAnsi="Times New Roman" w:eastAsia="宋体" w:cs="Times New Roman"/>
                <w:color w:val="auto"/>
                <w:sz w:val="24"/>
                <w:szCs w:val="20"/>
                <w:highlight w:val="none"/>
                <w:vertAlign w:val="subscript"/>
              </w:rPr>
              <w:t>1</w:t>
            </w:r>
            <w:r>
              <w:rPr>
                <w:rFonts w:hint="default" w:ascii="Times New Roman" w:hAnsi="Times New Roman" w:eastAsia="宋体" w:cs="Times New Roman"/>
                <w:color w:val="auto"/>
                <w:sz w:val="24"/>
                <w:szCs w:val="20"/>
                <w:highlight w:val="none"/>
              </w:rPr>
              <w:t>--靠近开口处（或窗户）室内某倍频带的声压级或A声级，dB；</w:t>
            </w:r>
          </w:p>
          <w:p w14:paraId="0D03DC43">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Lw--点声源声功率级（A计权或倍频带），dB；</w:t>
            </w:r>
          </w:p>
          <w:p w14:paraId="1B177F0A">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Q--指向性因素；通常对无指向性声源，当声源放在房间中心时，Q=1；当放在一面墙的中心时，Q=2；当放在两面墙夹角处时；Q=4；当放在三面墙夹角处时，Q=8。</w:t>
            </w:r>
          </w:p>
          <w:p w14:paraId="5FA2371B">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R--房间系数；R=Sα/(1-α)，S为房间内表面面积，m</w:t>
            </w:r>
            <w:r>
              <w:rPr>
                <w:rFonts w:hint="default" w:ascii="Times New Roman" w:hAnsi="Times New Roman" w:eastAsia="宋体" w:cs="Times New Roman"/>
                <w:color w:val="auto"/>
                <w:sz w:val="24"/>
                <w:szCs w:val="20"/>
                <w:highlight w:val="none"/>
                <w:vertAlign w:val="superscript"/>
              </w:rPr>
              <w:t>2</w:t>
            </w:r>
            <w:r>
              <w:rPr>
                <w:rFonts w:hint="default" w:ascii="Times New Roman" w:hAnsi="Times New Roman" w:eastAsia="宋体" w:cs="Times New Roman"/>
                <w:color w:val="auto"/>
                <w:sz w:val="24"/>
                <w:szCs w:val="20"/>
                <w:highlight w:val="none"/>
              </w:rPr>
              <w:t>；α为平均吸声系数。</w:t>
            </w:r>
          </w:p>
          <w:p w14:paraId="54D2263A">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r--声源到靠近围护结构某点处的距离，m。</w:t>
            </w:r>
          </w:p>
          <w:p w14:paraId="0371671B">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②计算出所有室内声源在靠近围护结构处产生的i倍频带叠加声压级：</w:t>
            </w:r>
          </w:p>
          <w:p w14:paraId="0A507010">
            <w:pPr>
              <w:adjustRightInd w:val="0"/>
              <w:snapToGrid w:val="0"/>
              <w:spacing w:line="360" w:lineRule="auto"/>
              <w:ind w:firstLine="2880" w:firstLineChars="1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pict>
                <v:shape id="Object 33288" o:spid="_x0000_s2061" o:spt="75" type="#_x0000_t75" style="position:absolute;left:0pt;margin-left:144pt;margin-top:0pt;height:38.25pt;width:132.75pt;z-index:-251639808;mso-width-relative:page;mso-height-relative:page;" o:ole="t" filled="f" o:preferrelative="t" stroked="f" coordsize="21600,21600">
                  <v:path/>
                  <v:fill on="f" focussize="0,0"/>
                  <v:stroke on="f"/>
                  <v:imagedata r:id="rId54" o:title=""/>
                  <o:lock v:ext="edit" grouping="f" rotation="f" text="f" aspectratio="t"/>
                </v:shape>
                <o:OLEObject Type="Embed" ProgID="Equation.3" ShapeID="Object 33288" DrawAspect="Content" ObjectID="_1468075735" r:id="rId53">
                  <o:LockedField>false</o:LockedField>
                </o:OLEObject>
              </w:pict>
            </w:r>
          </w:p>
          <w:p w14:paraId="23E03F62">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p>
          <w:p w14:paraId="6A25F3AA">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式中：</w:t>
            </w:r>
          </w:p>
          <w:p w14:paraId="6C9280A4">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L</w:t>
            </w:r>
            <w:r>
              <w:rPr>
                <w:rFonts w:hint="default" w:ascii="Times New Roman" w:hAnsi="Times New Roman" w:eastAsia="宋体" w:cs="Times New Roman"/>
                <w:color w:val="auto"/>
                <w:sz w:val="24"/>
                <w:szCs w:val="20"/>
                <w:highlight w:val="none"/>
                <w:vertAlign w:val="subscript"/>
              </w:rPr>
              <w:t>p1i</w:t>
            </w:r>
            <w:r>
              <w:rPr>
                <w:rFonts w:hint="default" w:ascii="Times New Roman" w:hAnsi="Times New Roman" w:eastAsia="宋体" w:cs="Times New Roman"/>
                <w:color w:val="auto"/>
                <w:sz w:val="24"/>
                <w:szCs w:val="20"/>
                <w:highlight w:val="none"/>
              </w:rPr>
              <w:t>(T)---靠近围护结构处室内N个声源i倍频带的叠加声压级，dB；</w:t>
            </w:r>
          </w:p>
          <w:p w14:paraId="444EB366">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L</w:t>
            </w:r>
            <w:r>
              <w:rPr>
                <w:rFonts w:hint="default" w:ascii="Times New Roman" w:hAnsi="Times New Roman" w:eastAsia="宋体" w:cs="Times New Roman"/>
                <w:color w:val="auto"/>
                <w:sz w:val="24"/>
                <w:szCs w:val="20"/>
                <w:highlight w:val="none"/>
                <w:vertAlign w:val="subscript"/>
              </w:rPr>
              <w:t>p1ij</w:t>
            </w:r>
            <w:r>
              <w:rPr>
                <w:rFonts w:hint="default" w:ascii="Times New Roman" w:hAnsi="Times New Roman" w:eastAsia="宋体" w:cs="Times New Roman"/>
                <w:color w:val="auto"/>
                <w:sz w:val="24"/>
                <w:szCs w:val="20"/>
                <w:highlight w:val="none"/>
              </w:rPr>
              <w:t>---室内j声源i倍频带的声压级，dB；</w:t>
            </w:r>
          </w:p>
          <w:p w14:paraId="2CC80233">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N---室内声源总数。</w:t>
            </w:r>
          </w:p>
          <w:p w14:paraId="00863788">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③在室内近似为扩散声场时，计算出室外靠近围护结构处的声压级：</w:t>
            </w:r>
          </w:p>
          <w:p w14:paraId="21CFA735">
            <w:pPr>
              <w:adjustRightInd w:val="0"/>
              <w:snapToGrid w:val="0"/>
              <w:spacing w:line="360" w:lineRule="auto"/>
              <w:ind w:firstLine="2880" w:firstLineChars="1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pict>
                <v:shape id="Object 33289" o:spid="_x0000_s2062" o:spt="75" type="#_x0000_t75" style="position:absolute;left:0pt;margin-left:144pt;margin-top:0.55pt;height:18.75pt;width:140.25pt;z-index:-251638784;mso-width-relative:page;mso-height-relative:page;" o:ole="t" filled="f" o:preferrelative="t" stroked="f" coordsize="21600,21600">
                  <v:path/>
                  <v:fill on="f" focussize="0,0"/>
                  <v:stroke on="f"/>
                  <v:imagedata r:id="rId56" o:title=""/>
                  <o:lock v:ext="edit" grouping="f" rotation="f" text="f" aspectratio="t"/>
                </v:shape>
                <o:OLEObject Type="Embed" ProgID="Equation.3" ShapeID="Object 33289" DrawAspect="Content" ObjectID="_1468075736" r:id="rId55">
                  <o:LockedField>false</o:LockedField>
                </o:OLEObject>
              </w:pict>
            </w:r>
          </w:p>
          <w:p w14:paraId="7E4CD734">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式中：</w:t>
            </w:r>
          </w:p>
          <w:p w14:paraId="4951F1DA">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L</w:t>
            </w:r>
            <w:r>
              <w:rPr>
                <w:rFonts w:hint="default" w:ascii="Times New Roman" w:hAnsi="Times New Roman" w:eastAsia="宋体" w:cs="Times New Roman"/>
                <w:color w:val="auto"/>
                <w:sz w:val="24"/>
                <w:szCs w:val="20"/>
                <w:highlight w:val="none"/>
                <w:vertAlign w:val="subscript"/>
              </w:rPr>
              <w:t>p1i</w:t>
            </w:r>
            <w:r>
              <w:rPr>
                <w:rFonts w:hint="default" w:ascii="Times New Roman" w:hAnsi="Times New Roman" w:eastAsia="宋体" w:cs="Times New Roman"/>
                <w:color w:val="auto"/>
                <w:sz w:val="24"/>
                <w:szCs w:val="20"/>
                <w:highlight w:val="none"/>
              </w:rPr>
              <w:t>(T)---靠近围护结构处室内N个声源i倍频带的叠加声压级，dB；</w:t>
            </w:r>
          </w:p>
          <w:p w14:paraId="633724B4">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L</w:t>
            </w:r>
            <w:r>
              <w:rPr>
                <w:rFonts w:hint="default" w:ascii="Times New Roman" w:hAnsi="Times New Roman" w:eastAsia="宋体" w:cs="Times New Roman"/>
                <w:color w:val="auto"/>
                <w:sz w:val="24"/>
                <w:szCs w:val="20"/>
                <w:highlight w:val="none"/>
                <w:vertAlign w:val="subscript"/>
              </w:rPr>
              <w:t>p2i</w:t>
            </w:r>
            <w:r>
              <w:rPr>
                <w:rFonts w:hint="default" w:ascii="Times New Roman" w:hAnsi="Times New Roman" w:eastAsia="宋体" w:cs="Times New Roman"/>
                <w:color w:val="auto"/>
                <w:sz w:val="24"/>
                <w:szCs w:val="20"/>
                <w:highlight w:val="none"/>
              </w:rPr>
              <w:t>(T)--靠近围护结构处室内N个声源i倍频带的叠加声压级，dB；</w:t>
            </w:r>
          </w:p>
          <w:p w14:paraId="504F8F4C">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TLi--围护结构i倍频带的隔声量，dB。</w:t>
            </w:r>
          </w:p>
          <w:p w14:paraId="453D24B0">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④将室外声源的声压级和透过面积换算成等效的室外声源，计算出中心位置位于透声面积(S)处的等效声源的倍频带的声功率级：</w:t>
            </w:r>
          </w:p>
          <w:p w14:paraId="08CFD0F2">
            <w:pPr>
              <w:adjustRightInd w:val="0"/>
              <w:snapToGrid w:val="0"/>
              <w:spacing w:line="360" w:lineRule="auto"/>
              <w:ind w:firstLine="3240" w:firstLineChars="135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pict>
                <v:shape id="Object 33290" o:spid="_x0000_s2063" o:spt="75" type="#_x0000_t75" style="position:absolute;left:0pt;margin-left:162.15pt;margin-top:0.55pt;height:18.75pt;width:105pt;z-index:-251637760;mso-width-relative:page;mso-height-relative:page;" o:ole="t" filled="f" o:preferrelative="t" stroked="f" coordsize="21600,21600">
                  <v:path/>
                  <v:fill on="f" focussize="0,0"/>
                  <v:stroke on="f"/>
                  <v:imagedata r:id="rId58" o:title=""/>
                  <o:lock v:ext="edit" grouping="f" rotation="f" text="f" aspectratio="t"/>
                </v:shape>
                <o:OLEObject Type="Embed" ProgID="Equation.3" ShapeID="Object 33290" DrawAspect="Content" ObjectID="_1468075737" r:id="rId57">
                  <o:LockedField>false</o:LockedField>
                </o:OLEObject>
              </w:pict>
            </w:r>
          </w:p>
          <w:p w14:paraId="5B3DA0FA">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式中：</w:t>
            </w:r>
          </w:p>
          <w:p w14:paraId="3D199765">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Lw---中心位置位于透声面积（S）处的等效声源的倍频带声功率级，dB；</w:t>
            </w:r>
          </w:p>
          <w:p w14:paraId="4DF52373">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L</w:t>
            </w:r>
            <w:r>
              <w:rPr>
                <w:rFonts w:hint="default" w:ascii="Times New Roman" w:hAnsi="Times New Roman" w:eastAsia="宋体" w:cs="Times New Roman"/>
                <w:color w:val="auto"/>
                <w:sz w:val="24"/>
                <w:szCs w:val="20"/>
                <w:highlight w:val="none"/>
                <w:vertAlign w:val="subscript"/>
              </w:rPr>
              <w:t>p1i</w:t>
            </w:r>
            <w:r>
              <w:rPr>
                <w:rFonts w:hint="default" w:ascii="Times New Roman" w:hAnsi="Times New Roman" w:eastAsia="宋体" w:cs="Times New Roman"/>
                <w:color w:val="auto"/>
                <w:sz w:val="24"/>
                <w:szCs w:val="20"/>
                <w:highlight w:val="none"/>
              </w:rPr>
              <w:t>(T)---靠近围护结构处室内N个声源i倍频带的叠加声压级，dB；</w:t>
            </w:r>
          </w:p>
          <w:p w14:paraId="79D075D4">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S---透声面积，m</w:t>
            </w:r>
            <w:r>
              <w:rPr>
                <w:rFonts w:hint="default" w:ascii="Times New Roman" w:hAnsi="Times New Roman" w:eastAsia="宋体" w:cs="Times New Roman"/>
                <w:color w:val="auto"/>
                <w:sz w:val="24"/>
                <w:szCs w:val="20"/>
                <w:highlight w:val="none"/>
                <w:vertAlign w:val="superscript"/>
              </w:rPr>
              <w:t>2</w:t>
            </w:r>
            <w:r>
              <w:rPr>
                <w:rFonts w:hint="default" w:ascii="Times New Roman" w:hAnsi="Times New Roman" w:eastAsia="宋体" w:cs="Times New Roman"/>
                <w:color w:val="auto"/>
                <w:sz w:val="24"/>
                <w:szCs w:val="20"/>
                <w:highlight w:val="none"/>
              </w:rPr>
              <w:t>。</w:t>
            </w:r>
          </w:p>
          <w:p w14:paraId="643476D7">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⑤然后按室外声源预测方法计算预测点处的A声级。</w:t>
            </w:r>
          </w:p>
          <w:p w14:paraId="65437869">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(3)噪声贡献值计算</w:t>
            </w:r>
          </w:p>
          <w:p w14:paraId="4CBEF386">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设第i个室外声源在预测点产生的A声级为L</w:t>
            </w:r>
            <w:r>
              <w:rPr>
                <w:rFonts w:hint="default" w:ascii="Times New Roman" w:hAnsi="Times New Roman" w:eastAsia="宋体" w:cs="Times New Roman"/>
                <w:color w:val="auto"/>
                <w:sz w:val="24"/>
                <w:szCs w:val="20"/>
                <w:highlight w:val="none"/>
                <w:vertAlign w:val="subscript"/>
              </w:rPr>
              <w:t>Ai</w:t>
            </w:r>
            <w:r>
              <w:rPr>
                <w:rFonts w:hint="default" w:ascii="Times New Roman" w:hAnsi="Times New Roman" w:eastAsia="宋体" w:cs="Times New Roman"/>
                <w:color w:val="auto"/>
                <w:sz w:val="24"/>
                <w:szCs w:val="20"/>
                <w:highlight w:val="none"/>
              </w:rPr>
              <w:t>，在T时间内该声源工作时间为t</w:t>
            </w:r>
            <w:r>
              <w:rPr>
                <w:rFonts w:hint="default" w:ascii="Times New Roman" w:hAnsi="Times New Roman" w:eastAsia="宋体" w:cs="Times New Roman"/>
                <w:color w:val="auto"/>
                <w:sz w:val="24"/>
                <w:szCs w:val="20"/>
                <w:highlight w:val="none"/>
                <w:vertAlign w:val="subscript"/>
              </w:rPr>
              <w:t>i</w:t>
            </w:r>
            <w:r>
              <w:rPr>
                <w:rFonts w:hint="default" w:ascii="Times New Roman" w:hAnsi="Times New Roman" w:eastAsia="宋体" w:cs="Times New Roman"/>
                <w:color w:val="auto"/>
                <w:sz w:val="24"/>
                <w:szCs w:val="20"/>
                <w:highlight w:val="none"/>
              </w:rPr>
              <w:t>；第j个等效室外声源在预测点产生的A声级为L</w:t>
            </w:r>
            <w:r>
              <w:rPr>
                <w:rFonts w:hint="default" w:ascii="Times New Roman" w:hAnsi="Times New Roman" w:eastAsia="宋体" w:cs="Times New Roman"/>
                <w:color w:val="auto"/>
                <w:sz w:val="24"/>
                <w:szCs w:val="20"/>
                <w:highlight w:val="none"/>
                <w:vertAlign w:val="subscript"/>
              </w:rPr>
              <w:t>A,j</w:t>
            </w:r>
            <w:r>
              <w:rPr>
                <w:rFonts w:hint="default" w:ascii="Times New Roman" w:hAnsi="Times New Roman" w:eastAsia="宋体" w:cs="Times New Roman"/>
                <w:color w:val="auto"/>
                <w:sz w:val="24"/>
                <w:szCs w:val="20"/>
                <w:highlight w:val="none"/>
              </w:rPr>
              <w:t xml:space="preserve">，在T时间内该声源工作时间为t </w:t>
            </w:r>
            <w:r>
              <w:rPr>
                <w:rFonts w:hint="default" w:ascii="Times New Roman" w:hAnsi="Times New Roman" w:eastAsia="宋体" w:cs="Times New Roman"/>
                <w:color w:val="auto"/>
                <w:sz w:val="24"/>
                <w:szCs w:val="20"/>
                <w:highlight w:val="none"/>
                <w:vertAlign w:val="subscript"/>
              </w:rPr>
              <w:t>j</w:t>
            </w:r>
            <w:r>
              <w:rPr>
                <w:rFonts w:hint="default" w:ascii="Times New Roman" w:hAnsi="Times New Roman" w:eastAsia="宋体" w:cs="Times New Roman"/>
                <w:color w:val="auto"/>
                <w:sz w:val="24"/>
                <w:szCs w:val="20"/>
                <w:highlight w:val="none"/>
              </w:rPr>
              <w:t>，在拟建工程声源对预测点产生的贡献值(Leqg)为：</w:t>
            </w:r>
          </w:p>
          <w:p w14:paraId="78DF7402">
            <w:pPr>
              <w:adjustRightInd w:val="0"/>
              <w:snapToGrid w:val="0"/>
              <w:spacing w:line="360" w:lineRule="auto"/>
              <w:ind w:firstLine="2280" w:firstLineChars="95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pict>
                <v:shape id="Object 33291" o:spid="_x0000_s2064" o:spt="75" type="#_x0000_t75" style="position:absolute;left:0pt;margin-left:114.25pt;margin-top:0pt;height:38.25pt;width:216.75pt;z-index:-251636736;mso-width-relative:page;mso-height-relative:page;" o:ole="t" filled="f" o:preferrelative="t" stroked="f" coordsize="21600,21600">
                  <v:path/>
                  <v:fill on="f" focussize="0,0"/>
                  <v:stroke on="f"/>
                  <v:imagedata r:id="rId60" o:title=""/>
                  <o:lock v:ext="edit" grouping="f" rotation="f" text="f" aspectratio="t"/>
                </v:shape>
                <o:OLEObject Type="Embed" ProgID="Equation.3" ShapeID="Object 33291" DrawAspect="Content" ObjectID="_1468075738" r:id="rId59">
                  <o:LockedField>false</o:LockedField>
                </o:OLEObject>
              </w:pict>
            </w:r>
          </w:p>
          <w:p w14:paraId="645A25C9">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p>
          <w:p w14:paraId="256C6F81">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式中：</w:t>
            </w:r>
          </w:p>
          <w:p w14:paraId="1E97F8D4">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Leqg--建设项目声源在预测点产生的噪声贡献值，dB</w:t>
            </w:r>
          </w:p>
          <w:p w14:paraId="155FA013">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T--用于计算等效声级的时间，s；</w:t>
            </w:r>
          </w:p>
          <w:p w14:paraId="35141EE8">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N--室外声源个数；</w:t>
            </w:r>
          </w:p>
          <w:p w14:paraId="312EE7A1">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t</w:t>
            </w:r>
            <w:r>
              <w:rPr>
                <w:rFonts w:hint="default" w:ascii="Times New Roman" w:hAnsi="Times New Roman" w:eastAsia="宋体" w:cs="Times New Roman"/>
                <w:color w:val="auto"/>
                <w:sz w:val="24"/>
                <w:szCs w:val="20"/>
                <w:highlight w:val="none"/>
                <w:vertAlign w:val="subscript"/>
              </w:rPr>
              <w:t>i</w:t>
            </w:r>
            <w:r>
              <w:rPr>
                <w:rFonts w:hint="default" w:ascii="Times New Roman" w:hAnsi="Times New Roman" w:eastAsia="宋体" w:cs="Times New Roman"/>
                <w:color w:val="auto"/>
                <w:sz w:val="24"/>
                <w:szCs w:val="20"/>
                <w:highlight w:val="none"/>
              </w:rPr>
              <w:t>--在T时间内i声源工作时间，s；</w:t>
            </w:r>
          </w:p>
          <w:p w14:paraId="55B58C97">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M--室内声源个数；</w:t>
            </w:r>
          </w:p>
          <w:p w14:paraId="0422AC0D">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t</w:t>
            </w:r>
            <w:r>
              <w:rPr>
                <w:rFonts w:hint="default" w:ascii="Times New Roman" w:hAnsi="Times New Roman" w:eastAsia="宋体" w:cs="Times New Roman"/>
                <w:color w:val="auto"/>
                <w:sz w:val="24"/>
                <w:szCs w:val="20"/>
                <w:highlight w:val="none"/>
                <w:vertAlign w:val="subscript"/>
              </w:rPr>
              <w:t>j</w:t>
            </w:r>
            <w:r>
              <w:rPr>
                <w:rFonts w:hint="default" w:ascii="Times New Roman" w:hAnsi="Times New Roman" w:eastAsia="宋体" w:cs="Times New Roman"/>
                <w:color w:val="auto"/>
                <w:sz w:val="24"/>
                <w:szCs w:val="20"/>
                <w:highlight w:val="none"/>
              </w:rPr>
              <w:t>--在T时间内j声源工作时间，s。</w:t>
            </w:r>
          </w:p>
          <w:p w14:paraId="52FD12E3">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（4）预测值计算</w:t>
            </w:r>
          </w:p>
          <w:p w14:paraId="2C9DA172">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预测点的预测等效声级(Leq)计算公式为：</w:t>
            </w:r>
          </w:p>
          <w:p w14:paraId="354A1787">
            <w:pPr>
              <w:adjustRightInd w:val="0"/>
              <w:snapToGrid w:val="0"/>
              <w:spacing w:line="360" w:lineRule="auto"/>
              <w:ind w:firstLine="2880" w:firstLineChars="1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pict>
                <v:shape id="Object 33292" o:spid="_x0000_s2065" o:spt="75" type="#_x0000_t75" style="position:absolute;left:0pt;margin-left:144pt;margin-top:0pt;height:21pt;width:141pt;z-index:-251635712;mso-width-relative:page;mso-height-relative:page;" o:ole="t" filled="f" o:preferrelative="t" stroked="f" coordsize="21600,21600">
                  <v:path/>
                  <v:fill on="f" focussize="0,0"/>
                  <v:stroke on="f"/>
                  <v:imagedata r:id="rId62" o:title=""/>
                  <o:lock v:ext="edit" grouping="f" rotation="f" text="f" aspectratio="t"/>
                </v:shape>
                <o:OLEObject Type="Embed" ProgID="Equation.3" ShapeID="Object 33292" DrawAspect="Content" ObjectID="_1468075739" r:id="rId61">
                  <o:LockedField>false</o:LockedField>
                </o:OLEObject>
              </w:pict>
            </w:r>
          </w:p>
          <w:p w14:paraId="30BE23C3">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式中：</w:t>
            </w:r>
          </w:p>
          <w:p w14:paraId="0CF5B837">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Leqg---建设项目声源在预测点的等效声级贡献值，dB；</w:t>
            </w:r>
          </w:p>
          <w:p w14:paraId="3192261D">
            <w:pPr>
              <w:adjustRightInd w:val="0"/>
              <w:snapToGrid w:val="0"/>
              <w:spacing w:line="360" w:lineRule="auto"/>
              <w:ind w:firstLine="480" w:firstLineChars="200"/>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color w:val="auto"/>
                <w:sz w:val="24"/>
                <w:szCs w:val="20"/>
                <w:highlight w:val="none"/>
              </w:rPr>
              <w:t>Leqb---预测点的背景值，dB。</w:t>
            </w:r>
          </w:p>
          <w:p w14:paraId="30E182D7">
            <w:pPr>
              <w:keepNext w:val="0"/>
              <w:keepLines w:val="0"/>
              <w:pageBreakBefore w:val="0"/>
              <w:kinsoku/>
              <w:wordWrap/>
              <w:overflowPunct/>
              <w:topLinePunct w:val="0"/>
              <w:autoSpaceDE/>
              <w:autoSpaceDN/>
              <w:bidi w:val="0"/>
              <w:adjustRightInd/>
              <w:snapToGrid/>
              <w:spacing w:line="360" w:lineRule="auto"/>
              <w:ind w:firstLine="480" w:firstLineChars="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（5）厂界噪声</w:t>
            </w:r>
            <w:r>
              <w:rPr>
                <w:rFonts w:hint="default" w:ascii="Times New Roman" w:hAnsi="Times New Roman" w:eastAsia="宋体" w:cs="Times New Roman"/>
                <w:color w:val="auto"/>
                <w:sz w:val="24"/>
                <w:szCs w:val="24"/>
                <w:highlight w:val="none"/>
                <w:lang w:val="zh-CN"/>
              </w:rPr>
              <w:t>预测结果分析</w:t>
            </w:r>
          </w:p>
          <w:p w14:paraId="45CA01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利用上述模式，本项目各厂界噪声的噪声影响预测(综合贡献值)计算结果见表，具体预测结果见</w:t>
            </w:r>
            <w:r>
              <w:rPr>
                <w:rFonts w:hint="default" w:ascii="Times New Roman" w:hAnsi="Times New Roman" w:eastAsia="宋体"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lang w:val="zh-CN"/>
              </w:rPr>
              <w:t>表所示。</w:t>
            </w:r>
          </w:p>
          <w:p w14:paraId="4833CFD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color w:val="auto"/>
                <w:spacing w:val="8"/>
                <w:sz w:val="24"/>
                <w:szCs w:val="24"/>
                <w:highlight w:val="none"/>
                <w:lang w:bidi="ar"/>
              </w:rPr>
            </w:pPr>
            <w:r>
              <w:rPr>
                <w:rFonts w:hint="default" w:ascii="Times New Roman" w:hAnsi="Times New Roman" w:eastAsia="宋体" w:cs="Times New Roman"/>
                <w:b/>
                <w:bCs/>
                <w:color w:val="auto"/>
                <w:spacing w:val="8"/>
                <w:sz w:val="24"/>
                <w:szCs w:val="24"/>
                <w:highlight w:val="none"/>
                <w:lang w:bidi="ar"/>
              </w:rPr>
              <w:t>表</w:t>
            </w:r>
            <w:r>
              <w:rPr>
                <w:rFonts w:hint="default" w:ascii="Times New Roman" w:hAnsi="Times New Roman" w:eastAsia="宋体" w:cs="Times New Roman"/>
                <w:b/>
                <w:bCs/>
                <w:color w:val="auto"/>
                <w:spacing w:val="8"/>
                <w:sz w:val="24"/>
                <w:szCs w:val="24"/>
                <w:highlight w:val="none"/>
                <w:lang w:val="en-US" w:eastAsia="zh-CN" w:bidi="ar"/>
              </w:rPr>
              <w:t>4.3-2</w:t>
            </w:r>
            <w:r>
              <w:rPr>
                <w:rFonts w:hint="default" w:ascii="Times New Roman" w:hAnsi="Times New Roman" w:eastAsia="宋体" w:cs="Times New Roman"/>
                <w:b/>
                <w:bCs/>
                <w:color w:val="auto"/>
                <w:spacing w:val="8"/>
                <w:sz w:val="24"/>
                <w:szCs w:val="24"/>
                <w:highlight w:val="none"/>
                <w:lang w:bidi="ar"/>
              </w:rPr>
              <w:t xml:space="preserve">  厂界噪声预测结果   单位：dB(A)</w:t>
            </w:r>
          </w:p>
          <w:p w14:paraId="43BC8C36">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79352037">
            <w:pPr>
              <w:pStyle w:val="44"/>
              <w:widowControl w:val="0"/>
              <w:tabs>
                <w:tab w:val="center" w:pos="3972"/>
              </w:tabs>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color w:val="auto"/>
                <w:sz w:val="24"/>
                <w:szCs w:val="22"/>
                <w:lang w:val="en-US" w:eastAsia="zh-CN"/>
              </w:rPr>
            </w:pPr>
          </w:p>
          <w:p w14:paraId="191D7FB8">
            <w:pPr>
              <w:spacing w:before="120" w:beforeLines="50" w:line="360" w:lineRule="auto"/>
              <w:ind w:firstLine="482"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厂界达标分析：根据表</w:t>
            </w:r>
            <w:r>
              <w:rPr>
                <w:rFonts w:hint="default" w:ascii="Times New Roman" w:hAnsi="Times New Roman" w:eastAsia="宋体" w:cs="Times New Roman"/>
                <w:color w:val="auto"/>
                <w:sz w:val="24"/>
                <w:szCs w:val="24"/>
                <w:highlight w:val="none"/>
                <w:lang w:val="en-US" w:eastAsia="zh-CN"/>
              </w:rPr>
              <w:t>4.3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预测结果表明，项目主要噪声源在采取有效的降噪措施前提下，项目厂界噪声均可满足《工业企业厂界环境噪声排放标准》(GB12348-2008)中</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w:t>
            </w:r>
          </w:p>
          <w:p w14:paraId="6414E078">
            <w:pPr>
              <w:widowControl/>
              <w:spacing w:line="360" w:lineRule="auto"/>
              <w:ind w:firstLine="480" w:firstLineChars="200"/>
              <w:jc w:val="left"/>
              <w:rPr>
                <w:rFonts w:hint="default" w:ascii="Times New Roman" w:hAnsi="Times New Roman" w:eastAsia="宋体" w:cs="Times New Roman"/>
                <w:color w:val="auto"/>
                <w:kern w:val="0"/>
                <w:sz w:val="24"/>
                <w:szCs w:val="24"/>
                <w:highlight w:val="none"/>
                <w:lang w:val="zh-CN" w:eastAsia="zh-CN" w:bidi="ar-SA"/>
              </w:rPr>
            </w:pPr>
            <w:r>
              <w:rPr>
                <w:rFonts w:hint="default" w:ascii="Times New Roman" w:hAnsi="Times New Roman" w:eastAsia="宋体" w:cs="Times New Roman"/>
                <w:color w:val="auto"/>
                <w:kern w:val="0"/>
                <w:sz w:val="24"/>
                <w:szCs w:val="24"/>
                <w:highlight w:val="none"/>
                <w:lang w:val="en-US" w:eastAsia="zh-CN" w:bidi="ar-SA"/>
              </w:rPr>
              <w:t>（6）</w:t>
            </w:r>
            <w:r>
              <w:rPr>
                <w:rFonts w:hint="default" w:ascii="Times New Roman" w:hAnsi="Times New Roman" w:eastAsia="宋体" w:cs="Times New Roman"/>
                <w:color w:val="auto"/>
                <w:kern w:val="0"/>
                <w:sz w:val="24"/>
                <w:szCs w:val="24"/>
                <w:highlight w:val="none"/>
                <w:lang w:val="zh-CN" w:eastAsia="zh-CN" w:bidi="ar-SA"/>
              </w:rPr>
              <w:t>敏感点噪声预测结果分析</w:t>
            </w:r>
          </w:p>
          <w:p w14:paraId="3A14F41D">
            <w:pPr>
              <w:spacing w:line="360" w:lineRule="auto"/>
              <w:ind w:firstLine="480" w:firstLineChars="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根据现场勘查，项目周边</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0m范围内</w:t>
            </w:r>
            <w:r>
              <w:rPr>
                <w:rFonts w:hint="default" w:ascii="Times New Roman" w:hAnsi="Times New Roman" w:eastAsia="宋体" w:cs="Times New Roman"/>
                <w:color w:val="auto"/>
                <w:sz w:val="24"/>
                <w:szCs w:val="24"/>
                <w:highlight w:val="none"/>
                <w:lang w:eastAsia="zh-CN"/>
              </w:rPr>
              <w:t>无</w:t>
            </w:r>
            <w:r>
              <w:rPr>
                <w:rFonts w:hint="default" w:ascii="Times New Roman" w:hAnsi="Times New Roman" w:eastAsia="宋体" w:cs="Times New Roman"/>
                <w:color w:val="auto"/>
                <w:sz w:val="24"/>
                <w:szCs w:val="24"/>
                <w:highlight w:val="none"/>
              </w:rPr>
              <w:t>声环境</w:t>
            </w:r>
            <w:r>
              <w:rPr>
                <w:rFonts w:hint="default" w:ascii="Times New Roman" w:hAnsi="Times New Roman" w:eastAsia="宋体" w:cs="Times New Roman"/>
                <w:color w:val="auto"/>
                <w:sz w:val="24"/>
                <w:szCs w:val="24"/>
                <w:highlight w:val="none"/>
                <w:lang w:eastAsia="zh-CN"/>
              </w:rPr>
              <w:t>保护目标</w:t>
            </w:r>
            <w:r>
              <w:rPr>
                <w:rFonts w:hint="default" w:ascii="Times New Roman" w:hAnsi="Times New Roman" w:eastAsia="宋体" w:cs="Times New Roman"/>
                <w:color w:val="auto"/>
                <w:sz w:val="24"/>
                <w:szCs w:val="24"/>
                <w:highlight w:val="none"/>
                <w:lang w:val="zh-CN"/>
              </w:rPr>
              <w:t>。</w:t>
            </w:r>
          </w:p>
          <w:p w14:paraId="5E45FA9A">
            <w:pPr>
              <w:pStyle w:val="7"/>
              <w:spacing w:before="120" w:after="120"/>
              <w:outlineLvl w:val="2"/>
              <w:rPr>
                <w:rFonts w:hint="default" w:ascii="Times New Roman" w:hAnsi="Times New Roman" w:eastAsia="宋体" w:cs="Times New Roman"/>
                <w:color w:val="auto"/>
              </w:rPr>
            </w:pPr>
            <w:r>
              <w:rPr>
                <w:rFonts w:hint="default" w:ascii="Times New Roman" w:hAnsi="Times New Roman" w:eastAsia="宋体" w:cs="Times New Roman"/>
                <w:color w:val="auto"/>
              </w:rPr>
              <w:t>4.3.</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达标排放分析</w:t>
            </w:r>
          </w:p>
          <w:p w14:paraId="5A686AC0">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本项目由预测结果可以看出，建设项目营运期厂界噪声值在经距离自然衰减的情况下，可满足《工业企业厂界环境噪声排放标准》（GB12348-2008）中3类标准要求，项目周边50m范围内</w:t>
            </w:r>
            <w:r>
              <w:rPr>
                <w:rFonts w:hint="default" w:ascii="Times New Roman" w:hAnsi="Times New Roman" w:eastAsia="宋体" w:cs="Times New Roman"/>
                <w:color w:val="auto"/>
                <w:lang w:eastAsia="zh-CN"/>
              </w:rPr>
              <w:t>无</w:t>
            </w:r>
            <w:r>
              <w:rPr>
                <w:rFonts w:hint="default" w:ascii="Times New Roman" w:hAnsi="Times New Roman" w:eastAsia="宋体" w:cs="Times New Roman"/>
                <w:color w:val="auto"/>
              </w:rPr>
              <w:t>声环境敏感点，因此，项目生产机械设备噪声对周边声环境影响较小。</w:t>
            </w:r>
          </w:p>
          <w:p w14:paraId="058DD824">
            <w:pPr>
              <w:ind w:firstLine="0" w:firstLineChars="0"/>
              <w:rPr>
                <w:rFonts w:hint="default" w:ascii="Times New Roman" w:hAnsi="Times New Roman" w:eastAsia="宋体" w:cs="Times New Roman"/>
                <w:b/>
                <w:bCs/>
                <w:snapToGrid w:val="0"/>
                <w:color w:val="auto"/>
                <w:kern w:val="0"/>
                <w:sz w:val="28"/>
                <w:szCs w:val="24"/>
              </w:rPr>
            </w:pPr>
            <w:r>
              <w:rPr>
                <w:rFonts w:hint="default" w:ascii="Times New Roman" w:hAnsi="Times New Roman" w:eastAsia="宋体" w:cs="Times New Roman"/>
                <w:b/>
                <w:bCs/>
                <w:snapToGrid w:val="0"/>
                <w:color w:val="auto"/>
                <w:kern w:val="0"/>
                <w:sz w:val="28"/>
                <w:szCs w:val="24"/>
              </w:rPr>
              <w:t>4.3.</w:t>
            </w:r>
            <w:r>
              <w:rPr>
                <w:rFonts w:hint="default" w:ascii="Times New Roman" w:hAnsi="Times New Roman" w:eastAsia="宋体" w:cs="Times New Roman"/>
                <w:b/>
                <w:bCs/>
                <w:snapToGrid w:val="0"/>
                <w:color w:val="auto"/>
                <w:kern w:val="0"/>
                <w:sz w:val="28"/>
                <w:szCs w:val="24"/>
                <w:lang w:val="en-US" w:eastAsia="zh-CN"/>
              </w:rPr>
              <w:t>4</w:t>
            </w:r>
            <w:r>
              <w:rPr>
                <w:rFonts w:hint="default" w:ascii="Times New Roman" w:hAnsi="Times New Roman" w:eastAsia="宋体" w:cs="Times New Roman"/>
                <w:b/>
                <w:bCs/>
                <w:snapToGrid w:val="0"/>
                <w:color w:val="auto"/>
                <w:kern w:val="0"/>
                <w:sz w:val="28"/>
                <w:szCs w:val="24"/>
              </w:rPr>
              <w:t>治理措施可行性</w:t>
            </w:r>
          </w:p>
          <w:p w14:paraId="41F171B5">
            <w:pPr>
              <w:pStyle w:val="6"/>
              <w:spacing w:before="0" w:beforeLines="0" w:after="0" w:afterLines="0"/>
              <w:ind w:firstLine="480" w:firstLineChars="200"/>
              <w:outlineLvl w:val="1"/>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本项目噪声主要为设备噪声，经隔声、减振处理后能有效的减少设备生产过程中产生的噪音。因此，本项目采取的降噪措施可行。</w:t>
            </w:r>
          </w:p>
          <w:p w14:paraId="2D89EDE9">
            <w:pPr>
              <w:pStyle w:val="6"/>
              <w:spacing w:before="120" w:after="120"/>
              <w:outlineLvl w:val="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4.4固废</w:t>
            </w:r>
          </w:p>
          <w:p w14:paraId="527A93AF">
            <w:pPr>
              <w:ind w:firstLine="0" w:firstLineChars="0"/>
              <w:rPr>
                <w:rFonts w:hint="default" w:ascii="Times New Roman" w:hAnsi="Times New Roman" w:eastAsia="宋体" w:cs="Times New Roman"/>
                <w:b/>
                <w:bCs/>
                <w:snapToGrid w:val="0"/>
                <w:color w:val="auto"/>
                <w:kern w:val="0"/>
                <w:sz w:val="28"/>
                <w:szCs w:val="24"/>
                <w:highlight w:val="none"/>
              </w:rPr>
            </w:pPr>
            <w:r>
              <w:rPr>
                <w:rFonts w:hint="default" w:ascii="Times New Roman" w:hAnsi="Times New Roman" w:eastAsia="宋体" w:cs="Times New Roman"/>
                <w:b/>
                <w:bCs/>
                <w:snapToGrid w:val="0"/>
                <w:color w:val="auto"/>
                <w:kern w:val="0"/>
                <w:sz w:val="28"/>
                <w:szCs w:val="24"/>
                <w:highlight w:val="none"/>
              </w:rPr>
              <w:t>4.4.1固体废物源强</w:t>
            </w:r>
          </w:p>
          <w:p w14:paraId="408AC8F3">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项目固体废物主要为职工生活垃圾和生产过程中产生的</w:t>
            </w:r>
            <w:r>
              <w:rPr>
                <w:rFonts w:hint="default" w:ascii="Times New Roman" w:hAnsi="Times New Roman" w:eastAsia="宋体" w:cs="Times New Roman"/>
                <w:color w:val="auto"/>
                <w:highlight w:val="none"/>
                <w:lang w:val="en-US" w:eastAsia="zh-CN"/>
              </w:rPr>
              <w:t>危险</w:t>
            </w:r>
            <w:r>
              <w:rPr>
                <w:rFonts w:hint="default" w:ascii="Times New Roman" w:hAnsi="Times New Roman" w:eastAsia="宋体" w:cs="Times New Roman"/>
                <w:color w:val="auto"/>
                <w:highlight w:val="none"/>
              </w:rPr>
              <w:t>废物。</w:t>
            </w:r>
          </w:p>
          <w:p w14:paraId="5FB03E91">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（1）员工生活垃圾</w:t>
            </w:r>
          </w:p>
          <w:p w14:paraId="1435ECFE">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本项目职工</w:t>
            </w:r>
            <w:r>
              <w:rPr>
                <w:rFonts w:hint="default" w:ascii="Times New Roman" w:hAnsi="Times New Roman" w:eastAsia="宋体" w:cs="Times New Roman"/>
                <w:color w:val="auto"/>
                <w:highlight w:val="none"/>
                <w:lang w:val="en-US" w:eastAsia="zh-CN"/>
              </w:rPr>
              <w:t>50</w:t>
            </w:r>
            <w:r>
              <w:rPr>
                <w:rFonts w:hint="default" w:ascii="Times New Roman" w:hAnsi="Times New Roman" w:eastAsia="宋体" w:cs="Times New Roman"/>
                <w:color w:val="auto"/>
                <w:highlight w:val="none"/>
              </w:rPr>
              <w:t>人，均不住厂，依照我国不住厂职工生活污染物排放系数0.5kg/人•天，则生活垃圾产生量为</w:t>
            </w:r>
            <w:r>
              <w:rPr>
                <w:rFonts w:hint="default" w:ascii="Times New Roman" w:hAnsi="Times New Roman" w:eastAsia="宋体" w:cs="Times New Roman"/>
                <w:color w:val="auto"/>
                <w:highlight w:val="none"/>
                <w:lang w:val="en-US" w:eastAsia="zh-CN"/>
              </w:rPr>
              <w:t>8.25</w:t>
            </w:r>
            <w:r>
              <w:rPr>
                <w:rFonts w:hint="default" w:ascii="Times New Roman" w:hAnsi="Times New Roman" w:eastAsia="宋体" w:cs="Times New Roman"/>
                <w:color w:val="auto"/>
                <w:highlight w:val="none"/>
              </w:rPr>
              <w:t>t/a，委托环卫部门清运处置。</w:t>
            </w:r>
          </w:p>
          <w:p w14:paraId="33DDF744">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r>
              <w:rPr>
                <w:rFonts w:hint="default" w:ascii="Times New Roman" w:hAnsi="Times New Roman" w:eastAsia="宋体" w:cs="Times New Roman"/>
                <w:color w:val="auto"/>
                <w:highlight w:val="none"/>
                <w:lang w:val="en-US" w:eastAsia="zh-CN"/>
              </w:rPr>
              <w:t>危险</w:t>
            </w:r>
            <w:r>
              <w:rPr>
                <w:rFonts w:hint="default" w:ascii="Times New Roman" w:hAnsi="Times New Roman" w:eastAsia="宋体" w:cs="Times New Roman"/>
                <w:color w:val="auto"/>
                <w:highlight w:val="none"/>
              </w:rPr>
              <w:t>废物</w:t>
            </w:r>
          </w:p>
          <w:p w14:paraId="525A3B38">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6745B4CD">
            <w:pPr>
              <w:pStyle w:val="44"/>
              <w:widowControl w:val="0"/>
              <w:tabs>
                <w:tab w:val="center" w:pos="3972"/>
              </w:tabs>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color w:val="auto"/>
                <w:sz w:val="24"/>
                <w:szCs w:val="22"/>
                <w:lang w:val="en-US" w:eastAsia="zh-CN"/>
              </w:rPr>
            </w:pPr>
          </w:p>
          <w:p w14:paraId="2D232C6E">
            <w:pPr>
              <w:keepNext w:val="0"/>
              <w:keepLines w:val="0"/>
              <w:pageBreakBefore w:val="0"/>
              <w:widowControl w:val="0"/>
              <w:kinsoku/>
              <w:wordWrap/>
              <w:overflowPunct/>
              <w:topLinePunct w:val="0"/>
              <w:autoSpaceDE/>
              <w:autoSpaceDN/>
              <w:bidi w:val="0"/>
              <w:adjustRightInd/>
              <w:snapToGrid/>
              <w:spacing w:before="327" w:beforeLines="100"/>
              <w:ind w:firstLine="0" w:firstLineChars="0"/>
              <w:textAlignment w:val="auto"/>
              <w:rPr>
                <w:rFonts w:hint="default" w:ascii="Times New Roman" w:hAnsi="Times New Roman" w:eastAsia="宋体" w:cs="Times New Roman"/>
                <w:b/>
                <w:bCs/>
                <w:snapToGrid w:val="0"/>
                <w:color w:val="auto"/>
                <w:kern w:val="0"/>
                <w:sz w:val="28"/>
                <w:szCs w:val="24"/>
              </w:rPr>
            </w:pPr>
            <w:r>
              <w:rPr>
                <w:rFonts w:hint="default" w:ascii="Times New Roman" w:hAnsi="Times New Roman" w:eastAsia="宋体" w:cs="Times New Roman"/>
                <w:b/>
                <w:bCs/>
                <w:snapToGrid w:val="0"/>
                <w:color w:val="auto"/>
                <w:kern w:val="0"/>
                <w:sz w:val="28"/>
                <w:szCs w:val="24"/>
              </w:rPr>
              <w:t>4.4.2固体废物管理要求</w:t>
            </w:r>
          </w:p>
          <w:p w14:paraId="1A0AF0B0">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（1）一般工业固体废物的贮存和管理</w:t>
            </w:r>
          </w:p>
          <w:p w14:paraId="141C6332">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根据国家《一般工业固体废物贮存和填埋污染控制标准》（GB18599-2020），一般工业固体废物的贮存和管理应做到：</w:t>
            </w:r>
          </w:p>
          <w:p w14:paraId="6A90A0A6">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①一般工业固体废物应按Ⅰ类和Ⅱ类废物分别储存，建立分类收集房。不允许将危险废物和生活垃圾混入。</w:t>
            </w:r>
          </w:p>
          <w:p w14:paraId="6022F076">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②尽量将可利用的一般工业固体废物回收、利用。</w:t>
            </w:r>
          </w:p>
          <w:p w14:paraId="046BA97B">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③临时储存地点必须建有雨棚，不允许露天堆放，以防止雨水冲刷，雨水应通过场地四周导流渠流向雨水排放管；临时堆放场地为水泥铺设地面，以防渗漏。</w:t>
            </w:r>
          </w:p>
          <w:p w14:paraId="2DD81ADE">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④为加强管理监督，贮存、处置场所地应按《环境保护图形标志－固体废物贮存（处置）场所》（GB15562.2-1995）设置环境保护图形标志。</w:t>
            </w:r>
          </w:p>
          <w:p w14:paraId="38503CE5">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（2）危险废物的贮存和管理</w:t>
            </w:r>
          </w:p>
          <w:p w14:paraId="3E613472">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w:t>
            </w:r>
            <w:r>
              <w:rPr>
                <w:rFonts w:hint="default" w:ascii="Times New Roman" w:hAnsi="Times New Roman" w:eastAsia="宋体" w:cs="Times New Roman"/>
                <w:bCs/>
                <w:color w:val="auto"/>
                <w:sz w:val="24"/>
                <w:szCs w:val="24"/>
                <w:highlight w:val="none"/>
                <w:lang w:val="en-US"/>
              </w:rPr>
              <w:t>拟设置一</w:t>
            </w:r>
            <w:r>
              <w:rPr>
                <w:rFonts w:hint="default" w:ascii="Times New Roman" w:hAnsi="Times New Roman" w:eastAsia="宋体" w:cs="Times New Roman"/>
                <w:bCs/>
                <w:color w:val="auto"/>
                <w:sz w:val="24"/>
                <w:szCs w:val="24"/>
                <w:highlight w:val="none"/>
                <w:lang w:val="en-US" w:eastAsia="zh-CN"/>
              </w:rPr>
              <w:t>间</w:t>
            </w:r>
            <w:r>
              <w:rPr>
                <w:rFonts w:hint="default" w:ascii="Times New Roman" w:hAnsi="Times New Roman" w:eastAsia="宋体" w:cs="Times New Roman"/>
                <w:bCs/>
                <w:color w:val="auto"/>
                <w:sz w:val="24"/>
                <w:szCs w:val="24"/>
                <w:highlight w:val="none"/>
                <w:lang w:val="en-US"/>
              </w:rPr>
              <w:t>危废</w:t>
            </w:r>
            <w:r>
              <w:rPr>
                <w:rFonts w:hint="default" w:ascii="Times New Roman" w:hAnsi="Times New Roman" w:eastAsia="宋体" w:cs="Times New Roman"/>
                <w:bCs/>
                <w:color w:val="auto"/>
                <w:sz w:val="24"/>
                <w:szCs w:val="24"/>
                <w:highlight w:val="none"/>
                <w:lang w:val="en-US" w:eastAsia="zh-CN"/>
              </w:rPr>
              <w:t>暂存间（位于厂区东侧），</w:t>
            </w:r>
            <w:r>
              <w:rPr>
                <w:rFonts w:hint="default" w:ascii="Times New Roman" w:hAnsi="Times New Roman" w:eastAsia="宋体" w:cs="Times New Roman"/>
                <w:bCs/>
                <w:color w:val="auto"/>
                <w:sz w:val="24"/>
                <w:szCs w:val="24"/>
                <w:highlight w:val="none"/>
                <w:lang w:val="en-US"/>
              </w:rPr>
              <w:t>危险废物收集后分类分区贮存于危废贮存间并委托有资质单位处置。危险废物在厂区内贮存执行《危险废物贮存污染控制标准》（GB18597-2023）</w:t>
            </w:r>
            <w:r>
              <w:rPr>
                <w:rFonts w:hint="default" w:ascii="Times New Roman" w:hAnsi="Times New Roman" w:eastAsia="宋体" w:cs="Times New Roman"/>
                <w:bCs/>
                <w:color w:val="auto"/>
                <w:sz w:val="24"/>
                <w:szCs w:val="24"/>
                <w:highlight w:val="none"/>
                <w:lang w:val="en-US" w:eastAsia="zh-CN"/>
              </w:rPr>
              <w:t>。</w:t>
            </w:r>
          </w:p>
          <w:p w14:paraId="075A2560">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Cs/>
                <w:color w:val="auto"/>
                <w:sz w:val="24"/>
                <w:szCs w:val="24"/>
                <w:highlight w:val="none"/>
                <w:lang w:val="en-US"/>
              </w:rPr>
              <w:t>①危险废物的收集和临时贮存要求</w:t>
            </w:r>
          </w:p>
          <w:p w14:paraId="3E3DC118">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Cs/>
                <w:color w:val="auto"/>
                <w:sz w:val="24"/>
                <w:szCs w:val="24"/>
                <w:highlight w:val="none"/>
                <w:lang w:val="en-US"/>
              </w:rPr>
              <w:t>危废贮存间应严格按照《危险废物贮存污染控制标准》（GB18597-2023）中的有关规定执行及建设，同时还需委托有资质的单位处置。根据《中华人民共和国固体废物污染环境防治法》、《危险废物收集、贮存、运输技术规范》（HJ2025-2012）、《危险废物贮存污染控制标准》（18597-2023），项目在运营过程中，按照以下要求管理危险废物：</w:t>
            </w:r>
          </w:p>
          <w:p w14:paraId="069E4644">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Cs/>
                <w:color w:val="auto"/>
                <w:sz w:val="24"/>
                <w:szCs w:val="24"/>
                <w:highlight w:val="none"/>
                <w:lang w:val="en-US"/>
              </w:rPr>
              <w:t>a.加强危险废物管理，制定危险废物管理计划，并报当地生态环境部门备案。对员工进行培训，提高全体人员对危险废物管理的认识。确保相关管理人员和从事危废收集、运送、贮存等工作的人员掌握国家相关法律法规、规章和有关规范性文件的规定，熟悉本单位制定的危险废物管理规章制度、工作流程等各项工作要求；掌握危险废物分类收集、运送、贮存的正确方法和操作程序，提高安全防护和应急处置能力。</w:t>
            </w:r>
          </w:p>
          <w:p w14:paraId="1C4E0193">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Cs/>
                <w:color w:val="auto"/>
                <w:sz w:val="24"/>
                <w:szCs w:val="24"/>
                <w:highlight w:val="none"/>
                <w:lang w:val="en-US"/>
              </w:rPr>
              <w:t>b.建设单位必须严格按照《危险废物收集贮存运输技术规范》（HJ2025-2012）的要求来进行危险废物的收集、贮存和运输。危险废物的收集、贮存，须按照其特性分类进行。禁止混合收集、贮存、运输、处置性质不相容而未经安全性处置的危废。盛装危废的容器和包装物，要确保无破损、泄漏和其他缺陷，并依据《危险废物贮存污染控制标准》（GB18597-2023）的规范建设危废贮存场所并设置危废标识。危险废物运输应由持有危险废物经营许可证的单位按照其许可证的经营范围组织实施，承担危险废物运输的单位应获得交通运输部门颁发的危险货物运输资质。</w:t>
            </w:r>
          </w:p>
          <w:p w14:paraId="58B2262E">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Cs/>
                <w:color w:val="auto"/>
                <w:sz w:val="24"/>
                <w:szCs w:val="24"/>
                <w:highlight w:val="none"/>
                <w:lang w:val="en-US"/>
              </w:rPr>
              <w:t>c.规范建设危废贮存间。危废贮存间应设置明显标志，并对地面进行硬化，并具有防雨淋、防日晒、防渗漏、密闭等措施，并建立健全危险废物管理台账、专人管理。禁止将危废混入非危险废物中贮存。并且，贮存时间不得超过一年。</w:t>
            </w:r>
          </w:p>
          <w:p w14:paraId="71DA17CD">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Cs/>
                <w:color w:val="auto"/>
                <w:sz w:val="24"/>
                <w:szCs w:val="24"/>
                <w:highlight w:val="none"/>
                <w:lang w:val="en-US"/>
              </w:rPr>
              <w:t>d.严格执行危险废物转移管理制度，禁止将危险废物提供或委托给无危险废物经营许可证的单位从事收集、贮存、利用、处置等经营活动。</w:t>
            </w:r>
          </w:p>
          <w:p w14:paraId="5EF48741">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Cs/>
                <w:color w:val="auto"/>
                <w:sz w:val="24"/>
                <w:szCs w:val="24"/>
                <w:highlight w:val="none"/>
                <w:lang w:val="en-US"/>
              </w:rPr>
              <w:t>②危险废物规范化管理要求</w:t>
            </w:r>
          </w:p>
          <w:p w14:paraId="1E04F174">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Cs/>
                <w:color w:val="auto"/>
                <w:sz w:val="24"/>
                <w:szCs w:val="24"/>
                <w:highlight w:val="none"/>
                <w:lang w:val="en-US"/>
              </w:rPr>
              <w:t>根据《危险废物规范化管理指标体系》的规定，本项目在生产中产生的危险废物具体管理要求如下：</w:t>
            </w:r>
          </w:p>
          <w:p w14:paraId="6A139509">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Cs/>
                <w:color w:val="auto"/>
                <w:sz w:val="24"/>
                <w:szCs w:val="24"/>
                <w:highlight w:val="none"/>
                <w:lang w:val="en-US"/>
              </w:rPr>
              <w:t>a.污染防治责任制度：</w:t>
            </w:r>
          </w:p>
          <w:p w14:paraId="143B5D53">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Cs/>
                <w:color w:val="auto"/>
                <w:sz w:val="24"/>
                <w:szCs w:val="24"/>
                <w:highlight w:val="none"/>
                <w:lang w:val="en-US"/>
              </w:rPr>
              <w:t>在危废暂存场所的显著位置张贴危险废物污染防治责任信息，且张贴信息能够</w:t>
            </w:r>
            <w:r>
              <w:rPr>
                <w:rFonts w:hint="default" w:ascii="Times New Roman" w:hAnsi="Times New Roman" w:eastAsia="宋体" w:cs="Times New Roman"/>
                <w:bCs/>
                <w:color w:val="auto"/>
                <w:sz w:val="24"/>
                <w:szCs w:val="24"/>
                <w:highlight w:val="none"/>
                <w:lang w:val="en-US" w:eastAsia="zh-CN"/>
              </w:rPr>
              <w:t>标明</w:t>
            </w:r>
            <w:r>
              <w:rPr>
                <w:rFonts w:hint="default" w:ascii="Times New Roman" w:hAnsi="Times New Roman" w:eastAsia="宋体" w:cs="Times New Roman"/>
                <w:bCs/>
                <w:color w:val="auto"/>
                <w:sz w:val="24"/>
                <w:szCs w:val="24"/>
                <w:highlight w:val="none"/>
                <w:lang w:val="en-US"/>
              </w:rPr>
              <w:t>危险废物产生环节、危险特性、去向及责任人等。</w:t>
            </w:r>
          </w:p>
          <w:p w14:paraId="0239AF6E">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Cs/>
                <w:color w:val="auto"/>
                <w:sz w:val="24"/>
                <w:szCs w:val="24"/>
                <w:highlight w:val="none"/>
                <w:lang w:val="en-US"/>
              </w:rPr>
              <w:t>b.标识制度：</w:t>
            </w:r>
          </w:p>
          <w:p w14:paraId="71F55A4F">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rPr>
              <w:t>危险废物标签、贮存分区标志和物贮存、利用、处置设施等标志根据《危险废物识别标志设置技术规范（HJ 1276—2022）的要求设置。危险废物标签应以醒目的字样标注“危险废物”</w:t>
            </w:r>
            <w:r>
              <w:rPr>
                <w:rFonts w:hint="default"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rPr>
              <w:t>危险废物标签应包含废物名称、废物类别、废物代码、废物形态、危险特性、主要成分、有害成分、注意事项、产生/收集单位名称、联系人、联系方式、产生日期、废物重量和备注</w:t>
            </w:r>
            <w:r>
              <w:rPr>
                <w:rFonts w:hint="default"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rPr>
              <w:t>危险废物标签宜设置危险废物数字识别码和二维码</w:t>
            </w:r>
            <w:r>
              <w:rPr>
                <w:rFonts w:hint="default" w:ascii="Times New Roman" w:hAnsi="Times New Roman" w:eastAsia="宋体" w:cs="Times New Roman"/>
                <w:bCs/>
                <w:color w:val="auto"/>
                <w:sz w:val="24"/>
                <w:szCs w:val="24"/>
                <w:highlight w:val="none"/>
                <w:lang w:val="en-US" w:eastAsia="zh-CN"/>
              </w:rPr>
              <w:t>。</w:t>
            </w:r>
          </w:p>
          <w:p w14:paraId="2ACB3926">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Cs/>
                <w:color w:val="auto"/>
                <w:sz w:val="24"/>
                <w:szCs w:val="24"/>
                <w:highlight w:val="none"/>
                <w:lang w:val="en-US"/>
              </w:rPr>
              <w:t>c.管理计划制度：</w:t>
            </w:r>
          </w:p>
          <w:p w14:paraId="7317C880">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Cs/>
                <w:color w:val="auto"/>
                <w:sz w:val="24"/>
                <w:szCs w:val="24"/>
                <w:highlight w:val="none"/>
                <w:lang w:val="en-US"/>
              </w:rPr>
              <w:t>制定危险废物管理计划。管理计划应包括减少危险废物产生量和危害性的措施，以及危险废物贮存、利用、处置措施；报当地环保部门备案，若管理计划内容有重大改变，及时报当地环保部门重新备案。管理计划内容有重大改变的情形包括：①变更法人名称、法定代表人和地址；②增加或减少危险废物产生类别；③危险废物产生数量变化幅度超过20%；④新、改、扩建或拆除原有危险废物贮存、利用和处置设施。</w:t>
            </w:r>
          </w:p>
          <w:p w14:paraId="2A985DDA">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Cs/>
                <w:color w:val="auto"/>
                <w:sz w:val="24"/>
                <w:szCs w:val="24"/>
                <w:highlight w:val="none"/>
                <w:lang w:val="en-US"/>
              </w:rPr>
              <w:t>d.申报登记制度：</w:t>
            </w:r>
          </w:p>
          <w:p w14:paraId="33AE6E24">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Cs/>
                <w:color w:val="auto"/>
                <w:sz w:val="24"/>
                <w:szCs w:val="24"/>
                <w:highlight w:val="none"/>
                <w:lang w:val="en-US"/>
              </w:rPr>
              <w:t>如实地向当地生态环境部门申报危险废物的种类、产生量、流向、贮存、处置等有关资料。可提供证明材料，如环评文件、竣工验收文件、危险废物管理台账、危险废物转移联单、危险废物处置利用合同、财务数据等；申报事项有重大改变的，应当及时申报；按照危险废物特性分类进行收集，且不同类废物间有明显的间隔（如过道等）；危险废物转移采取网上申报；对管理人员和从事危险废物收集、运输、暂存、利用和处置等工作的人员进行了培训；参加培训人员对本单位的危险废物管理制度、工作流程等各项要求，掌握危险废物分类收集、运输、暂存的正确方法和操作程序；贮存场所地面硬化及防渗处理；；装载危险废物的容器完好无损；建立危险废物贮存台账，并如实和规范记录危险废物贮存情况。</w:t>
            </w:r>
          </w:p>
          <w:p w14:paraId="3120A130">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Cs/>
                <w:color w:val="auto"/>
                <w:sz w:val="24"/>
                <w:szCs w:val="24"/>
                <w:highlight w:val="none"/>
                <w:lang w:val="en-US"/>
              </w:rPr>
              <w:t>③危险废物转移</w:t>
            </w:r>
          </w:p>
          <w:p w14:paraId="07ABE050">
            <w:pPr>
              <w:adjustRightInd w:val="0"/>
              <w:snapToGri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bCs/>
                <w:color w:val="auto"/>
                <w:sz w:val="24"/>
                <w:szCs w:val="24"/>
                <w:highlight w:val="none"/>
                <w:lang w:val="en-US"/>
              </w:rPr>
              <w:t>建设单位按照危废转移要求，在转移危废前通过登录福建省固体废物环境监管平台申请电子转移联单，申报转移计划。</w:t>
            </w:r>
          </w:p>
          <w:p w14:paraId="4E9CE203">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Cs/>
                <w:color w:val="auto"/>
                <w:sz w:val="24"/>
                <w:szCs w:val="24"/>
                <w:highlight w:val="none"/>
                <w:lang w:val="en-US"/>
              </w:rPr>
              <w:t>④制定危险废物管理计划和危险废物台账管理</w:t>
            </w:r>
          </w:p>
          <w:p w14:paraId="3F71C4DB">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Cs/>
                <w:color w:val="auto"/>
                <w:sz w:val="24"/>
                <w:szCs w:val="24"/>
                <w:highlight w:val="none"/>
                <w:lang w:val="en-US"/>
              </w:rPr>
              <w:t>建设单位按照《危险废物管理计划和管理台账制定技术导则》（HJ 1259 —2022）制定危险废物管理计划和危险废物台账管理。</w:t>
            </w:r>
          </w:p>
          <w:p w14:paraId="5EBCEAB0">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Cs/>
                <w:color w:val="auto"/>
                <w:sz w:val="24"/>
                <w:szCs w:val="24"/>
                <w:highlight w:val="none"/>
                <w:lang w:val="en-US"/>
              </w:rPr>
              <w:t>a.建设单位制定年度危险废物管理计划，危险废物管理计划中记录了上年度产生的和本年度计划产生的危险废物名称、危废代码、废物类别、有害物质名称、危险特性、危废产生来源及生产工序。</w:t>
            </w:r>
          </w:p>
          <w:p w14:paraId="106432F9">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Cs/>
                <w:color w:val="auto"/>
                <w:sz w:val="24"/>
                <w:szCs w:val="24"/>
                <w:highlight w:val="none"/>
                <w:lang w:val="en-US"/>
              </w:rPr>
              <w:t>b.制定危险废物减量化的计划和措施。</w:t>
            </w:r>
          </w:p>
          <w:p w14:paraId="7E4BB32B">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Cs/>
                <w:color w:val="auto"/>
                <w:sz w:val="24"/>
                <w:szCs w:val="24"/>
                <w:highlight w:val="none"/>
                <w:lang w:val="en-US"/>
              </w:rPr>
              <w:t>c.填报危险废物转移情况，包括危险废物贮存措施、运输措施和转移计划等。</w:t>
            </w:r>
          </w:p>
          <w:p w14:paraId="21D350A9">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rPr>
            </w:pPr>
            <w:r>
              <w:rPr>
                <w:rFonts w:hint="default" w:ascii="Times New Roman" w:hAnsi="Times New Roman" w:eastAsia="宋体" w:cs="Times New Roman"/>
                <w:bCs/>
                <w:color w:val="auto"/>
                <w:sz w:val="24"/>
                <w:szCs w:val="24"/>
                <w:highlight w:val="none"/>
                <w:lang w:val="en-US"/>
              </w:rPr>
              <w:t>d.填报危险废物委托利用或处置措施。</w:t>
            </w:r>
          </w:p>
          <w:p w14:paraId="5311A8D2">
            <w:pPr>
              <w:keepNext w:val="0"/>
              <w:keepLines w:val="0"/>
              <w:pageBreakBefore w:val="0"/>
              <w:widowControl w:val="0"/>
              <w:kinsoku/>
              <w:wordWrap/>
              <w:overflowPunct/>
              <w:topLinePunct w:val="0"/>
              <w:autoSpaceDE/>
              <w:autoSpaceDN/>
              <w:bidi w:val="0"/>
              <w:adjustRightInd/>
              <w:snapToGrid/>
              <w:spacing w:before="327" w:beforeLines="100"/>
              <w:ind w:firstLine="0" w:firstLineChars="0"/>
              <w:textAlignment w:val="auto"/>
              <w:rPr>
                <w:rFonts w:hint="default" w:ascii="Times New Roman" w:hAnsi="Times New Roman" w:eastAsia="宋体" w:cs="Times New Roman"/>
                <w:b/>
                <w:bCs/>
                <w:snapToGrid w:val="0"/>
                <w:color w:val="auto"/>
                <w:kern w:val="0"/>
                <w:sz w:val="28"/>
                <w:szCs w:val="24"/>
                <w:highlight w:val="none"/>
                <w:lang w:val="en-US" w:eastAsia="zh-CN"/>
              </w:rPr>
            </w:pPr>
            <w:r>
              <w:rPr>
                <w:rFonts w:hint="default" w:ascii="Times New Roman" w:hAnsi="Times New Roman" w:eastAsia="宋体" w:cs="Times New Roman"/>
                <w:b/>
                <w:bCs/>
                <w:snapToGrid w:val="0"/>
                <w:color w:val="auto"/>
                <w:kern w:val="0"/>
                <w:sz w:val="28"/>
                <w:szCs w:val="24"/>
                <w:highlight w:val="none"/>
                <w:lang w:val="en-US" w:eastAsia="zh-CN"/>
              </w:rPr>
              <w:t>4.4.3环境风险分析</w:t>
            </w:r>
          </w:p>
          <w:p w14:paraId="0B7A989B">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项目环境风险内容详见环境风险评价专章。</w:t>
            </w:r>
          </w:p>
          <w:p w14:paraId="248E7802">
            <w:pPr>
              <w:keepNext w:val="0"/>
              <w:keepLines w:val="0"/>
              <w:pageBreakBefore w:val="0"/>
              <w:widowControl w:val="0"/>
              <w:kinsoku/>
              <w:wordWrap/>
              <w:overflowPunct/>
              <w:topLinePunct w:val="0"/>
              <w:autoSpaceDE/>
              <w:autoSpaceDN/>
              <w:bidi w:val="0"/>
              <w:adjustRightInd/>
              <w:snapToGrid/>
              <w:spacing w:before="327" w:beforeLines="100"/>
              <w:ind w:firstLine="0" w:firstLineChars="0"/>
              <w:textAlignment w:val="auto"/>
              <w:rPr>
                <w:rFonts w:hint="default" w:ascii="Times New Roman" w:hAnsi="Times New Roman" w:eastAsia="宋体" w:cs="Times New Roman"/>
                <w:b/>
                <w:bCs/>
                <w:color w:val="auto"/>
                <w:kern w:val="2"/>
                <w:sz w:val="32"/>
                <w:szCs w:val="32"/>
                <w:highlight w:val="none"/>
                <w:lang w:val="en-US" w:eastAsia="zh-CN" w:bidi="ar-SA"/>
              </w:rPr>
            </w:pPr>
            <w:r>
              <w:rPr>
                <w:rFonts w:hint="default" w:ascii="Times New Roman" w:hAnsi="Times New Roman" w:eastAsia="宋体" w:cs="Times New Roman"/>
                <w:b/>
                <w:bCs/>
                <w:color w:val="auto"/>
                <w:kern w:val="2"/>
                <w:sz w:val="32"/>
                <w:szCs w:val="32"/>
                <w:highlight w:val="none"/>
                <w:lang w:val="en-US" w:eastAsia="zh-CN" w:bidi="ar-SA"/>
              </w:rPr>
              <w:t>4.5运营期地下水保护措施</w:t>
            </w:r>
          </w:p>
          <w:p w14:paraId="590214EB">
            <w:pPr>
              <w:pStyle w:val="7"/>
              <w:tabs>
                <w:tab w:val="left" w:pos="5400"/>
              </w:tabs>
              <w:spacing w:before="1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4.5.1分区防渗</w:t>
            </w:r>
          </w:p>
          <w:p w14:paraId="2E6AF462">
            <w:pPr>
              <w:pStyle w:val="572"/>
              <w:adjustRightInd w:val="0"/>
              <w:snapToGrid w:val="0"/>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（1）防渗区划分标准</w:t>
            </w:r>
          </w:p>
          <w:p w14:paraId="3B344F2D">
            <w:pPr>
              <w:pStyle w:val="572"/>
              <w:adjustRightInd w:val="0"/>
              <w:snapToGrid w:val="0"/>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根据场区各生产、生活功能单元可能产生污染的地区，划分为重点污染防治区、一般污染防治区和简单污染防治区。</w:t>
            </w:r>
          </w:p>
          <w:p w14:paraId="5481C42D">
            <w:pPr>
              <w:pStyle w:val="572"/>
              <w:adjustRightInd w:val="0"/>
              <w:snapToGrid w:val="0"/>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重点污染防治区：指对地下水环境有污染的物料或污染物泄漏后，不能及时发现或处理的区域或部位。例如处于地下或半地下的生产功能单元，包括埋地管道、地下容器、（半）地下污水池等区域或部位。这些区域或部位一旦出现设备腐蚀穿孔、地基不均匀沉降造成管道和罐基础地基变形等情况，就会发生物料和污染物泄漏，并渗入土壤，进入地下水，对地下水环境造成污染。此类工程隐蔽区内，一旦出现渗漏现象，又不容易被人发现，不容易得到及时的处理，因此，将此类隐蔽工程区域定位为重点污染防治区。</w:t>
            </w:r>
          </w:p>
          <w:p w14:paraId="734FD0EC">
            <w:pPr>
              <w:pStyle w:val="572"/>
              <w:adjustRightInd w:val="0"/>
              <w:snapToGrid w:val="0"/>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一般污染防治区：指对地下水环境有污染的物料或污染物泄漏后，不可及时发现或处理的区域或部位。例如裸露于地面之上的生产功能单元，包括架空设备、容器、管道，地面明沟等。这些设备、区域发生损坏，出现物料和污染物泄漏现象，可及时被人或仪器发现与报警，及时得到处理，即使物料和污染物泄漏出来，也首先落在地面上，在短时间内不会大量渗入土壤及地下水。</w:t>
            </w:r>
          </w:p>
          <w:p w14:paraId="3C0097B0">
            <w:pPr>
              <w:pStyle w:val="572"/>
              <w:adjustRightInd w:val="0"/>
              <w:snapToGrid w:val="0"/>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非污染防治区：指除污染防治区以外的区域。该区域没有物料或污染物泄漏，不会对地下水环境造成污染。如管理区、集中控制室等辅助区域，装置区以外的系统管廊区和雨水明沟等。本区可不采取专门针对地下水污染的防治措施，但装置区外系统管廊区地基处理应分层压实。</w:t>
            </w:r>
          </w:p>
          <w:p w14:paraId="2B5A6B3C">
            <w:pPr>
              <w:pStyle w:val="572"/>
              <w:adjustRightInd w:val="0"/>
              <w:snapToGrid w:val="0"/>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4）特殊污染防治区：项目危险废物暂存库防渗要求按特殊污染防治区进行划定，其防渗要求按照《危险废物贮存污染控制标准》（GB 18597-2001）及2013年修改单的要求设置防渗层。</w:t>
            </w:r>
          </w:p>
          <w:p w14:paraId="65B4FDB0">
            <w:pPr>
              <w:pStyle w:val="572"/>
              <w:adjustRightInd w:val="0"/>
              <w:snapToGrid w:val="0"/>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（2）项目污染防治分区要求</w:t>
            </w:r>
          </w:p>
          <w:p w14:paraId="1DC6243D">
            <w:pPr>
              <w:pStyle w:val="572"/>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根据本项目的工程组成情况，项目污染分区防渗划分情况见表4.5-1。</w:t>
            </w:r>
          </w:p>
          <w:p w14:paraId="0762FB8E">
            <w:pPr>
              <w:adjustRightInd w:val="0"/>
              <w:snapToGrid w:val="0"/>
              <w:spacing w:line="240" w:lineRule="auto"/>
              <w:ind w:firstLine="0" w:firstLineChars="0"/>
              <w:jc w:val="center"/>
              <w:rPr>
                <w:rFonts w:hint="default" w:ascii="Times New Roman" w:hAnsi="Times New Roman" w:eastAsia="宋体" w:cs="Times New Roman"/>
                <w:b/>
                <w:color w:val="auto"/>
                <w:szCs w:val="21"/>
              </w:rPr>
            </w:pPr>
            <w:bookmarkStart w:id="14" w:name="_Ref53999528"/>
            <w:r>
              <w:rPr>
                <w:rFonts w:hint="default" w:ascii="Times New Roman" w:hAnsi="Times New Roman" w:eastAsia="宋体" w:cs="Times New Roman"/>
                <w:b/>
                <w:color w:val="auto"/>
                <w:szCs w:val="21"/>
              </w:rPr>
              <w:t>表</w:t>
            </w:r>
            <w:bookmarkEnd w:id="14"/>
            <w:r>
              <w:rPr>
                <w:rFonts w:hint="default" w:ascii="Times New Roman" w:hAnsi="Times New Roman" w:eastAsia="宋体" w:cs="Times New Roman"/>
                <w:b/>
                <w:color w:val="auto"/>
                <w:szCs w:val="21"/>
              </w:rPr>
              <w:t>4.</w:t>
            </w:r>
            <w:r>
              <w:rPr>
                <w:rFonts w:hint="default" w:ascii="Times New Roman" w:hAnsi="Times New Roman" w:eastAsia="宋体" w:cs="Times New Roman"/>
                <w:b/>
                <w:color w:val="auto"/>
                <w:szCs w:val="21"/>
                <w:lang w:val="en-US" w:eastAsia="zh-CN"/>
              </w:rPr>
              <w:t>5</w:t>
            </w:r>
            <w:r>
              <w:rPr>
                <w:rFonts w:hint="default" w:ascii="Times New Roman" w:hAnsi="Times New Roman" w:eastAsia="宋体" w:cs="Times New Roman"/>
                <w:b/>
                <w:color w:val="auto"/>
                <w:szCs w:val="21"/>
              </w:rPr>
              <w:t>-1本项目污染防治分区划分表</w:t>
            </w:r>
          </w:p>
          <w:tbl>
            <w:tblPr>
              <w:tblStyle w:val="4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2895"/>
              <w:gridCol w:w="2265"/>
              <w:gridCol w:w="2284"/>
            </w:tblGrid>
            <w:tr w14:paraId="611504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2326CAEA">
                  <w:pPr>
                    <w:pStyle w:val="81"/>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区域</w:t>
                  </w:r>
                </w:p>
              </w:tc>
              <w:tc>
                <w:tcPr>
                  <w:tcW w:w="2895" w:type="dxa"/>
                  <w:noWrap w:val="0"/>
                  <w:vAlign w:val="center"/>
                </w:tcPr>
                <w:p w14:paraId="60BC8B0F">
                  <w:pPr>
                    <w:pStyle w:val="81"/>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装置、单元名称</w:t>
                  </w:r>
                </w:p>
              </w:tc>
              <w:tc>
                <w:tcPr>
                  <w:tcW w:w="2265" w:type="dxa"/>
                  <w:noWrap w:val="0"/>
                  <w:vAlign w:val="center"/>
                </w:tcPr>
                <w:p w14:paraId="1257F261">
                  <w:pPr>
                    <w:pStyle w:val="81"/>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污染防治区域及部位</w:t>
                  </w:r>
                </w:p>
              </w:tc>
              <w:tc>
                <w:tcPr>
                  <w:tcW w:w="2284" w:type="dxa"/>
                  <w:noWrap w:val="0"/>
                  <w:vAlign w:val="center"/>
                </w:tcPr>
                <w:p w14:paraId="48F3F572">
                  <w:pPr>
                    <w:pStyle w:val="81"/>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污染防治区类别</w:t>
                  </w:r>
                </w:p>
              </w:tc>
            </w:tr>
            <w:tr w14:paraId="34AF0F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Merge w:val="restart"/>
                  <w:noWrap w:val="0"/>
                  <w:vAlign w:val="center"/>
                </w:tcPr>
                <w:p w14:paraId="0C98566D">
                  <w:pPr>
                    <w:pStyle w:val="81"/>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项目厂界内</w:t>
                  </w:r>
                </w:p>
              </w:tc>
              <w:tc>
                <w:tcPr>
                  <w:tcW w:w="2895" w:type="dxa"/>
                  <w:noWrap w:val="0"/>
                  <w:vAlign w:val="center"/>
                </w:tcPr>
                <w:p w14:paraId="1E2CCE64">
                  <w:pPr>
                    <w:pStyle w:val="81"/>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乙类、丙类仓库、</w:t>
                  </w:r>
                  <w:r>
                    <w:rPr>
                      <w:rFonts w:hint="default" w:ascii="Times New Roman" w:hAnsi="Times New Roman" w:eastAsia="宋体" w:cs="Times New Roman"/>
                      <w:color w:val="auto"/>
                      <w:sz w:val="21"/>
                      <w:szCs w:val="21"/>
                      <w:lang w:eastAsia="zh-CN"/>
                    </w:rPr>
                    <w:t>罐组围堰区</w:t>
                  </w:r>
                </w:p>
              </w:tc>
              <w:tc>
                <w:tcPr>
                  <w:tcW w:w="2265" w:type="dxa"/>
                  <w:noWrap w:val="0"/>
                  <w:vAlign w:val="center"/>
                </w:tcPr>
                <w:p w14:paraId="03BFDE73">
                  <w:pPr>
                    <w:pStyle w:val="81"/>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地面底板及围堰四壁</w:t>
                  </w:r>
                </w:p>
              </w:tc>
              <w:tc>
                <w:tcPr>
                  <w:tcW w:w="2284" w:type="dxa"/>
                  <w:noWrap w:val="0"/>
                  <w:vAlign w:val="center"/>
                </w:tcPr>
                <w:p w14:paraId="61613F92">
                  <w:pPr>
                    <w:pStyle w:val="81"/>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一般污染防治区</w:t>
                  </w:r>
                </w:p>
              </w:tc>
            </w:tr>
            <w:tr w14:paraId="2542AE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Merge w:val="continue"/>
                  <w:noWrap w:val="0"/>
                  <w:vAlign w:val="center"/>
                </w:tcPr>
                <w:p w14:paraId="0079EC89">
                  <w:pPr>
                    <w:pStyle w:val="81"/>
                    <w:spacing w:line="240" w:lineRule="auto"/>
                    <w:ind w:firstLine="0" w:firstLineChars="0"/>
                    <w:jc w:val="center"/>
                    <w:rPr>
                      <w:rFonts w:hint="default" w:ascii="Times New Roman" w:hAnsi="Times New Roman" w:eastAsia="宋体" w:cs="Times New Roman"/>
                      <w:color w:val="auto"/>
                      <w:sz w:val="21"/>
                      <w:szCs w:val="21"/>
                      <w:lang w:eastAsia="zh-CN"/>
                    </w:rPr>
                  </w:pPr>
                </w:p>
              </w:tc>
              <w:tc>
                <w:tcPr>
                  <w:tcW w:w="2895" w:type="dxa"/>
                  <w:noWrap w:val="0"/>
                  <w:vAlign w:val="center"/>
                </w:tcPr>
                <w:p w14:paraId="49A08971">
                  <w:pPr>
                    <w:pStyle w:val="81"/>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仓库、</w:t>
                  </w:r>
                  <w:r>
                    <w:rPr>
                      <w:rFonts w:hint="default" w:ascii="Times New Roman" w:hAnsi="Times New Roman" w:eastAsia="宋体" w:cs="Times New Roman"/>
                      <w:color w:val="auto"/>
                      <w:sz w:val="21"/>
                      <w:szCs w:val="21"/>
                      <w:lang w:eastAsia="zh-CN"/>
                    </w:rPr>
                    <w:t>初期雨水池</w:t>
                  </w:r>
                  <w:r>
                    <w:rPr>
                      <w:rFonts w:hint="eastAsia" w:cs="Times New Roman"/>
                      <w:color w:val="auto"/>
                      <w:sz w:val="21"/>
                      <w:szCs w:val="21"/>
                      <w:lang w:eastAsia="zh-CN"/>
                    </w:rPr>
                    <w:t>、</w:t>
                  </w:r>
                  <w:r>
                    <w:rPr>
                      <w:rFonts w:hint="eastAsia" w:cs="Times New Roman"/>
                      <w:color w:val="auto"/>
                      <w:sz w:val="21"/>
                      <w:szCs w:val="21"/>
                      <w:lang w:val="en-US" w:eastAsia="zh-CN"/>
                    </w:rPr>
                    <w:t>危废间</w:t>
                  </w:r>
                </w:p>
              </w:tc>
              <w:tc>
                <w:tcPr>
                  <w:tcW w:w="2265" w:type="dxa"/>
                  <w:noWrap w:val="0"/>
                  <w:vAlign w:val="center"/>
                </w:tcPr>
                <w:p w14:paraId="492EBB02">
                  <w:pPr>
                    <w:pStyle w:val="81"/>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地面底板及围堰四壁</w:t>
                  </w:r>
                </w:p>
              </w:tc>
              <w:tc>
                <w:tcPr>
                  <w:tcW w:w="2284" w:type="dxa"/>
                  <w:noWrap w:val="0"/>
                  <w:vAlign w:val="center"/>
                </w:tcPr>
                <w:p w14:paraId="31D5640D">
                  <w:pPr>
                    <w:pStyle w:val="81"/>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重点污染防治区</w:t>
                  </w:r>
                </w:p>
              </w:tc>
            </w:tr>
            <w:tr w14:paraId="7D68F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Merge w:val="continue"/>
                  <w:noWrap w:val="0"/>
                  <w:vAlign w:val="center"/>
                </w:tcPr>
                <w:p w14:paraId="6D3D7FD4">
                  <w:pPr>
                    <w:pStyle w:val="81"/>
                    <w:spacing w:line="240" w:lineRule="auto"/>
                    <w:ind w:firstLine="0" w:firstLineChars="0"/>
                    <w:jc w:val="center"/>
                    <w:rPr>
                      <w:rFonts w:hint="default" w:ascii="Times New Roman" w:hAnsi="Times New Roman" w:eastAsia="宋体" w:cs="Times New Roman"/>
                      <w:color w:val="auto"/>
                      <w:sz w:val="21"/>
                      <w:szCs w:val="21"/>
                      <w:lang w:eastAsia="zh-CN"/>
                    </w:rPr>
                  </w:pPr>
                </w:p>
              </w:tc>
              <w:tc>
                <w:tcPr>
                  <w:tcW w:w="2895" w:type="dxa"/>
                  <w:noWrap w:val="0"/>
                  <w:vAlign w:val="center"/>
                </w:tcPr>
                <w:p w14:paraId="32CDB960">
                  <w:pPr>
                    <w:pStyle w:val="81"/>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消防水池、事故池</w:t>
                  </w:r>
                </w:p>
              </w:tc>
              <w:tc>
                <w:tcPr>
                  <w:tcW w:w="2265" w:type="dxa"/>
                  <w:vMerge w:val="restart"/>
                  <w:noWrap w:val="0"/>
                  <w:vAlign w:val="center"/>
                </w:tcPr>
                <w:p w14:paraId="038F2205">
                  <w:pPr>
                    <w:pStyle w:val="81"/>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地面底板及池内四壁</w:t>
                  </w:r>
                </w:p>
              </w:tc>
              <w:tc>
                <w:tcPr>
                  <w:tcW w:w="2284" w:type="dxa"/>
                  <w:noWrap w:val="0"/>
                  <w:vAlign w:val="center"/>
                </w:tcPr>
                <w:p w14:paraId="74FF7FB1">
                  <w:pPr>
                    <w:pStyle w:val="81"/>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一般污染防治区</w:t>
                  </w:r>
                </w:p>
              </w:tc>
            </w:tr>
            <w:tr w14:paraId="782DC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Merge w:val="continue"/>
                  <w:noWrap w:val="0"/>
                  <w:vAlign w:val="center"/>
                </w:tcPr>
                <w:p w14:paraId="36214360">
                  <w:pPr>
                    <w:pStyle w:val="81"/>
                    <w:spacing w:line="240" w:lineRule="auto"/>
                    <w:ind w:firstLine="0" w:firstLineChars="0"/>
                    <w:jc w:val="center"/>
                    <w:rPr>
                      <w:rFonts w:hint="default" w:ascii="Times New Roman" w:hAnsi="Times New Roman" w:eastAsia="宋体" w:cs="Times New Roman"/>
                      <w:color w:val="auto"/>
                      <w:sz w:val="21"/>
                      <w:szCs w:val="21"/>
                      <w:lang w:eastAsia="zh-CN"/>
                    </w:rPr>
                  </w:pPr>
                </w:p>
              </w:tc>
              <w:tc>
                <w:tcPr>
                  <w:tcW w:w="2895" w:type="dxa"/>
                  <w:noWrap w:val="0"/>
                  <w:vAlign w:val="center"/>
                </w:tcPr>
                <w:p w14:paraId="1B2F7EE0">
                  <w:pPr>
                    <w:pStyle w:val="81"/>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明沟</w:t>
                  </w:r>
                </w:p>
              </w:tc>
              <w:tc>
                <w:tcPr>
                  <w:tcW w:w="2265" w:type="dxa"/>
                  <w:vMerge w:val="continue"/>
                  <w:noWrap w:val="0"/>
                  <w:vAlign w:val="center"/>
                </w:tcPr>
                <w:p w14:paraId="43351B90">
                  <w:pPr>
                    <w:pStyle w:val="81"/>
                    <w:spacing w:line="240" w:lineRule="auto"/>
                    <w:ind w:firstLine="0" w:firstLineChars="0"/>
                    <w:jc w:val="center"/>
                    <w:rPr>
                      <w:rFonts w:hint="default" w:ascii="Times New Roman" w:hAnsi="Times New Roman" w:eastAsia="宋体" w:cs="Times New Roman"/>
                      <w:color w:val="auto"/>
                      <w:sz w:val="21"/>
                      <w:szCs w:val="21"/>
                      <w:lang w:eastAsia="zh-CN"/>
                    </w:rPr>
                  </w:pPr>
                </w:p>
              </w:tc>
              <w:tc>
                <w:tcPr>
                  <w:tcW w:w="2284" w:type="dxa"/>
                  <w:noWrap w:val="0"/>
                  <w:vAlign w:val="center"/>
                </w:tcPr>
                <w:p w14:paraId="5B307800">
                  <w:pPr>
                    <w:pStyle w:val="81"/>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一般污染防治区</w:t>
                  </w:r>
                </w:p>
              </w:tc>
            </w:tr>
          </w:tbl>
          <w:p w14:paraId="795F1AED">
            <w:pPr>
              <w:pStyle w:val="7"/>
              <w:tabs>
                <w:tab w:val="left" w:pos="5400"/>
              </w:tabs>
              <w:spacing w:before="120"/>
              <w:ind w:firstLine="480" w:firstLineChars="200"/>
              <w:rPr>
                <w:rFonts w:hint="default" w:ascii="Times New Roman" w:hAnsi="Times New Roman" w:eastAsia="宋体" w:cs="Times New Roman"/>
                <w:b w:val="0"/>
                <w:bCs w:val="0"/>
                <w:snapToGrid/>
                <w:color w:val="auto"/>
                <w:kern w:val="2"/>
                <w:sz w:val="24"/>
                <w:lang w:val="en-US" w:eastAsia="zh-CN" w:bidi="ar-SA"/>
              </w:rPr>
            </w:pPr>
            <w:r>
              <w:rPr>
                <w:rFonts w:hint="default" w:ascii="Times New Roman" w:hAnsi="Times New Roman" w:eastAsia="宋体" w:cs="Times New Roman"/>
                <w:b w:val="0"/>
                <w:bCs w:val="0"/>
                <w:snapToGrid/>
                <w:color w:val="auto"/>
                <w:kern w:val="2"/>
                <w:sz w:val="24"/>
                <w:lang w:val="en-US" w:eastAsia="zh-CN" w:bidi="ar-SA"/>
              </w:rPr>
              <w:t>分区防渗示意图见附图9。</w:t>
            </w:r>
          </w:p>
          <w:p w14:paraId="107B29F7">
            <w:pPr>
              <w:pStyle w:val="7"/>
              <w:tabs>
                <w:tab w:val="left" w:pos="5400"/>
              </w:tabs>
              <w:spacing w:before="1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4.5.2防渗技术要求</w:t>
            </w:r>
          </w:p>
          <w:p w14:paraId="746C686F">
            <w:pPr>
              <w:pStyle w:val="572"/>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一般防渗区的防渗性能不应低于1.5m厚，渗透系数为1×10</w:t>
            </w:r>
            <w:r>
              <w:rPr>
                <w:rFonts w:hint="default" w:ascii="Times New Roman" w:hAnsi="Times New Roman" w:eastAsia="宋体" w:cs="Times New Roman"/>
                <w:color w:val="auto"/>
                <w:vertAlign w:val="superscript"/>
                <w:lang w:val="en-US" w:eastAsia="zh-CN"/>
              </w:rPr>
              <w:t>-7</w:t>
            </w:r>
            <w:r>
              <w:rPr>
                <w:rFonts w:hint="default" w:ascii="Times New Roman" w:hAnsi="Times New Roman" w:eastAsia="宋体" w:cs="Times New Roman"/>
                <w:color w:val="auto"/>
                <w:lang w:val="en-US" w:eastAsia="zh-CN"/>
              </w:rPr>
              <w:t>cm/s的黏土层的防渗性能。重点防渗区的防渗性能不应低于6.0m厚，渗透系数为1×10</w:t>
            </w:r>
            <w:r>
              <w:rPr>
                <w:rFonts w:hint="default" w:ascii="Times New Roman" w:hAnsi="Times New Roman" w:eastAsia="宋体" w:cs="Times New Roman"/>
                <w:color w:val="auto"/>
                <w:vertAlign w:val="superscript"/>
                <w:lang w:val="en-US" w:eastAsia="zh-CN"/>
              </w:rPr>
              <w:t>-7</w:t>
            </w:r>
            <w:r>
              <w:rPr>
                <w:rFonts w:hint="default" w:ascii="Times New Roman" w:hAnsi="Times New Roman" w:eastAsia="宋体" w:cs="Times New Roman"/>
                <w:color w:val="auto"/>
                <w:lang w:val="en-US" w:eastAsia="zh-CN"/>
              </w:rPr>
              <w:t>cm/s的黏土层的防渗性能。</w:t>
            </w:r>
          </w:p>
          <w:p w14:paraId="7B2A4100">
            <w:pPr>
              <w:pStyle w:val="572"/>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防渗结构型式选择应结合当地土壤包气带防污性能、环境水文地质条件、工程地质条件、污染防治区划分等，综合选择。为保证防渗工程正常施工、运行，达到设计防渗等级，应对工程质量进行管理控制：</w:t>
            </w:r>
          </w:p>
          <w:p w14:paraId="7225CB0E">
            <w:pPr>
              <w:pStyle w:val="572"/>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（1）选择具有相应资质的设计单位对工程进行设计，防渗工程的设计符合相应要求及设计规范；</w:t>
            </w:r>
          </w:p>
          <w:p w14:paraId="561C92A1">
            <w:pPr>
              <w:pStyle w:val="572"/>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（2）工程材料符合设计要求，并按照有关规定和要求进行质量检验，保证使用材料全部合格；</w:t>
            </w:r>
          </w:p>
          <w:p w14:paraId="7D5F1CB2">
            <w:pPr>
              <w:pStyle w:val="572"/>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（3）聘请优秀专业施工队伍，施工方法符合规范要求；</w:t>
            </w:r>
          </w:p>
          <w:p w14:paraId="6E051110">
            <w:pPr>
              <w:pStyle w:val="572"/>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（4）工程完工后进行质量检测；</w:t>
            </w:r>
          </w:p>
          <w:p w14:paraId="7024E715">
            <w:pPr>
              <w:pStyle w:val="572"/>
              <w:adjustRightInd w:val="0"/>
              <w:snapToGrid w:val="0"/>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（5）在防渗设施投入使用后，要加强日常的维护管理。</w:t>
            </w:r>
          </w:p>
          <w:p w14:paraId="0A24A2E2">
            <w:pPr>
              <w:pStyle w:val="572"/>
              <w:adjustRightInd w:val="0"/>
              <w:snapToGrid w:val="0"/>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采取上述措施后，本项目对项目周边地下水环境影响较小，措施可行。</w:t>
            </w:r>
          </w:p>
          <w:p w14:paraId="0F14A557">
            <w:pPr>
              <w:pStyle w:val="7"/>
              <w:tabs>
                <w:tab w:val="left" w:pos="5400"/>
              </w:tabs>
              <w:spacing w:before="1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4.5.3 地下水监控</w:t>
            </w:r>
          </w:p>
          <w:p w14:paraId="4E2EC3F8">
            <w:pPr>
              <w:pStyle w:val="572"/>
              <w:adjustRightInd w:val="0"/>
              <w:snapToGrid w:val="0"/>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为了防止污染物渗漏引进的地下水污染，采取以下防控措施：</w:t>
            </w:r>
          </w:p>
          <w:p w14:paraId="7653B9DA">
            <w:pPr>
              <w:pStyle w:val="572"/>
              <w:adjustRightInd w:val="0"/>
              <w:snapToGrid w:val="0"/>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结合本项目所在区域的水文地质条件、厂区及周边的现有情况，在厂区、上下游共设置3个日常监控井。监测项目以pH、甲苯、苯等项目为主，监测频率不少于每年一次。当发生泄漏事故时，应加密监测。监测结果应按有关规定及时建立档案。发现污染和水质恶化时，要及时进行处理，开展系统调查，并上报相关部门。</w:t>
            </w:r>
          </w:p>
          <w:p w14:paraId="1253EA11">
            <w:pPr>
              <w:pStyle w:val="572"/>
              <w:adjustRightInd w:val="0"/>
              <w:snapToGrid w:val="0"/>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（2）若发生污染突发泄漏事故对地下水造成污染时，可采取在现场去除污染物，必要时应更换受污染的土壤，防止污染地下水向下游扩散。</w:t>
            </w:r>
          </w:p>
          <w:p w14:paraId="3DE8BBC1">
            <w:pPr>
              <w:keepNext w:val="0"/>
              <w:keepLines w:val="0"/>
              <w:pageBreakBefore w:val="0"/>
              <w:widowControl w:val="0"/>
              <w:kinsoku/>
              <w:wordWrap/>
              <w:overflowPunct/>
              <w:topLinePunct w:val="0"/>
              <w:autoSpaceDE/>
              <w:autoSpaceDN/>
              <w:bidi w:val="0"/>
              <w:adjustRightInd/>
              <w:snapToGrid/>
              <w:spacing w:before="327" w:beforeLines="100"/>
              <w:ind w:firstLine="0" w:firstLineChars="0"/>
              <w:textAlignment w:val="auto"/>
              <w:rPr>
                <w:rFonts w:hint="default" w:ascii="Times New Roman" w:hAnsi="Times New Roman" w:eastAsia="宋体" w:cs="Times New Roman"/>
                <w:b/>
                <w:bCs/>
                <w:color w:val="auto"/>
                <w:kern w:val="2"/>
                <w:sz w:val="32"/>
                <w:szCs w:val="32"/>
                <w:lang w:val="en-US" w:eastAsia="zh-CN" w:bidi="ar-SA"/>
              </w:rPr>
            </w:pPr>
            <w:r>
              <w:rPr>
                <w:rFonts w:hint="default" w:ascii="Times New Roman" w:hAnsi="Times New Roman" w:eastAsia="宋体" w:cs="Times New Roman"/>
                <w:b/>
                <w:bCs/>
                <w:color w:val="auto"/>
                <w:kern w:val="2"/>
                <w:sz w:val="32"/>
                <w:szCs w:val="32"/>
                <w:lang w:val="en-US" w:eastAsia="zh-CN" w:bidi="ar-SA"/>
              </w:rPr>
              <w:t>4.6自行监测及环境管理</w:t>
            </w:r>
          </w:p>
          <w:p w14:paraId="4A5BC2F6">
            <w:pPr>
              <w:pStyle w:val="7"/>
              <w:tabs>
                <w:tab w:val="left" w:pos="5400"/>
              </w:tabs>
              <w:spacing w:before="1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4.6.1 自行监测</w:t>
            </w:r>
          </w:p>
          <w:p w14:paraId="0B7A5F4B">
            <w:pPr>
              <w:pStyle w:val="210"/>
              <w:spacing w:line="360" w:lineRule="auto"/>
              <w:jc w:val="left"/>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根据《固定污染源排污许可分类管理名录（2019年版）》，本项目为登记管理，未明确要求开展自行监测。企业根据自身生产情况，为加强企业自身污染源管理，依据《排污许可证申请与核发技术规范 总则》（HJ 942-2018）等相关规范的要求，对本项目大气污染物进行自行监测，以满足江阴港城经济区VOCs总量控制的要求。</w:t>
            </w:r>
          </w:p>
          <w:p w14:paraId="70D19B7C">
            <w:pPr>
              <w:adjustRightInd w:val="0"/>
              <w:snapToGrid w:val="0"/>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w:t>
            </w:r>
            <w:r>
              <w:rPr>
                <w:rFonts w:hint="default" w:ascii="Times New Roman" w:hAnsi="Times New Roman" w:eastAsia="宋体" w:cs="Times New Roman"/>
                <w:b/>
                <w:color w:val="auto"/>
                <w:szCs w:val="21"/>
                <w:lang w:val="en-US" w:eastAsia="zh-CN"/>
              </w:rPr>
              <w:t>4.6</w:t>
            </w:r>
            <w:r>
              <w:rPr>
                <w:rFonts w:hint="default" w:ascii="Times New Roman" w:hAnsi="Times New Roman" w:eastAsia="宋体" w:cs="Times New Roman"/>
                <w:b/>
                <w:color w:val="auto"/>
                <w:szCs w:val="21"/>
              </w:rPr>
              <w:t>-1</w:t>
            </w:r>
            <w:r>
              <w:rPr>
                <w:rFonts w:hint="default" w:ascii="Times New Roman" w:hAnsi="Times New Roman" w:eastAsia="宋体" w:cs="Times New Roman"/>
                <w:b/>
                <w:color w:val="auto"/>
                <w:szCs w:val="21"/>
                <w:lang w:val="en-US" w:eastAsia="zh-CN"/>
              </w:rPr>
              <w:t xml:space="preserve"> </w:t>
            </w:r>
            <w:r>
              <w:rPr>
                <w:rFonts w:hint="default" w:ascii="Times New Roman" w:hAnsi="Times New Roman" w:eastAsia="宋体" w:cs="Times New Roman"/>
                <w:b/>
                <w:color w:val="auto"/>
                <w:szCs w:val="21"/>
              </w:rPr>
              <w:t>运营期监测计划表</w:t>
            </w:r>
          </w:p>
          <w:p w14:paraId="1221D5E9">
            <w:pPr>
              <w:pStyle w:val="112"/>
              <w:spacing w:line="360" w:lineRule="auto"/>
              <w:ind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370E2FB3">
            <w:pPr>
              <w:pStyle w:val="44"/>
              <w:widowControl w:val="0"/>
              <w:tabs>
                <w:tab w:val="center" w:pos="3972"/>
              </w:tabs>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color w:val="auto"/>
                <w:sz w:val="24"/>
                <w:szCs w:val="22"/>
                <w:lang w:val="en-US" w:eastAsia="zh-CN"/>
              </w:rPr>
            </w:pPr>
          </w:p>
          <w:p w14:paraId="5970506D">
            <w:pPr>
              <w:pStyle w:val="7"/>
              <w:tabs>
                <w:tab w:val="left" w:pos="5400"/>
              </w:tabs>
              <w:spacing w:before="120"/>
              <w:rPr>
                <w:rFonts w:hint="default" w:ascii="Times New Roman" w:hAnsi="Times New Roman" w:eastAsia="宋体" w:cs="Times New Roman"/>
                <w:color w:val="auto"/>
                <w:lang w:val="en-US" w:eastAsia="zh-CN"/>
              </w:rPr>
            </w:pPr>
            <w:bookmarkStart w:id="35" w:name="_GoBack"/>
            <w:bookmarkEnd w:id="35"/>
            <w:r>
              <w:rPr>
                <w:rFonts w:hint="default" w:ascii="Times New Roman" w:hAnsi="Times New Roman" w:eastAsia="宋体" w:cs="Times New Roman"/>
                <w:color w:val="auto"/>
                <w:lang w:val="en-US" w:eastAsia="zh-CN"/>
              </w:rPr>
              <w:t>4.6.2 环境管理</w:t>
            </w:r>
          </w:p>
          <w:p w14:paraId="69C5F050">
            <w:pPr>
              <w:pStyle w:val="58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0"/>
                <w:lang w:val="en-US" w:eastAsia="zh-CN" w:bidi="ar-SA"/>
              </w:rPr>
            </w:pPr>
            <w:bookmarkStart w:id="15" w:name="_Toc522182567"/>
            <w:bookmarkStart w:id="16" w:name="_Toc27070"/>
            <w:bookmarkStart w:id="17" w:name="_Toc519504000"/>
            <w:bookmarkStart w:id="18" w:name="_Toc8447"/>
            <w:r>
              <w:rPr>
                <w:rFonts w:hint="default" w:ascii="Times New Roman" w:hAnsi="Times New Roman" w:eastAsia="宋体" w:cs="Times New Roman"/>
                <w:color w:val="auto"/>
                <w:kern w:val="2"/>
                <w:sz w:val="24"/>
                <w:szCs w:val="20"/>
                <w:lang w:val="en-US" w:eastAsia="zh-CN" w:bidi="ar-SA"/>
              </w:rPr>
              <w:t>（1）环境管理机构与职能</w:t>
            </w:r>
            <w:bookmarkEnd w:id="15"/>
            <w:bookmarkEnd w:id="16"/>
            <w:bookmarkEnd w:id="17"/>
            <w:bookmarkEnd w:id="18"/>
          </w:p>
          <w:p w14:paraId="0610F1AF">
            <w:pPr>
              <w:pStyle w:val="58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建设单位的法定负责人是本项目的环境管理法律责任者，必须重视本项目的环境管理工作，控制环境污染，保护好项目周围的生态环境，以保证环境管理工作的顺利开展。</w:t>
            </w:r>
          </w:p>
          <w:p w14:paraId="5461FDEE">
            <w:pPr>
              <w:pStyle w:val="58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0"/>
                <w:lang w:val="en-US" w:eastAsia="zh-CN" w:bidi="ar-SA"/>
              </w:rPr>
            </w:pPr>
            <w:bookmarkStart w:id="19" w:name="_Toc26138"/>
            <w:bookmarkStart w:id="20" w:name="_Toc519504001"/>
            <w:bookmarkStart w:id="21" w:name="_Toc522182568"/>
            <w:bookmarkStart w:id="22" w:name="_Toc6919"/>
            <w:r>
              <w:rPr>
                <w:rFonts w:hint="default" w:ascii="Times New Roman" w:hAnsi="Times New Roman" w:eastAsia="宋体" w:cs="Times New Roman"/>
                <w:color w:val="auto"/>
                <w:kern w:val="2"/>
                <w:sz w:val="24"/>
                <w:szCs w:val="20"/>
                <w:lang w:val="en-US" w:eastAsia="zh-CN" w:bidi="ar-SA"/>
              </w:rPr>
              <w:t>（2）环境管理机构及其职责</w:t>
            </w:r>
            <w:bookmarkEnd w:id="19"/>
            <w:bookmarkEnd w:id="20"/>
            <w:bookmarkEnd w:id="21"/>
            <w:bookmarkEnd w:id="22"/>
          </w:p>
          <w:p w14:paraId="454B35B6">
            <w:pPr>
              <w:pStyle w:val="58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根据工程环境管理的需要，公司应指定机构和专人具体负责本工程的日常的环境管理和监督工作。主要职责是：</w:t>
            </w:r>
          </w:p>
          <w:p w14:paraId="370FD063">
            <w:pPr>
              <w:pStyle w:val="58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1）宣传和贯彻执行国家、省、市的有关环保法律、法规、政策和要求；</w:t>
            </w:r>
          </w:p>
          <w:p w14:paraId="771C31D7">
            <w:pPr>
              <w:pStyle w:val="58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2）制定项目环境管理规章制度和各专项环境管理办法，并对其实施情况进行监督、检查；</w:t>
            </w:r>
          </w:p>
          <w:p w14:paraId="373B5466">
            <w:pPr>
              <w:pStyle w:val="58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3）负责本报告表提出的各项环保措施在工程中的落实、实施；</w:t>
            </w:r>
          </w:p>
          <w:p w14:paraId="23B02213">
            <w:pPr>
              <w:pStyle w:val="58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4）在施工期对各施工单位和各重要施工场所的环境保护措施实施情况进行检查、指导、监督；</w:t>
            </w:r>
          </w:p>
          <w:p w14:paraId="0C50BEF1">
            <w:pPr>
              <w:pStyle w:val="58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5）在营运期负责本项目的环境保护（大气污染防治、噪声控制、固废分类收集处置等）、卫生、绿化的管理、维护和监督工作；</w:t>
            </w:r>
          </w:p>
          <w:p w14:paraId="4DFE6071">
            <w:pPr>
              <w:pStyle w:val="58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6）负责对本项目各环保设施运行状况的例行监测和检查工作，及时纠正违规行为；</w:t>
            </w:r>
          </w:p>
          <w:p w14:paraId="06DA57D5">
            <w:pPr>
              <w:pStyle w:val="58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7）负责本项目的环保资料的收集、汇总、保管、归档工作。</w:t>
            </w:r>
          </w:p>
          <w:p w14:paraId="2D8D86FA">
            <w:pPr>
              <w:pStyle w:val="58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0"/>
                <w:lang w:val="en-US" w:eastAsia="zh-CN" w:bidi="ar-SA"/>
              </w:rPr>
            </w:pPr>
            <w:bookmarkStart w:id="23" w:name="_Toc11482"/>
            <w:bookmarkStart w:id="24" w:name="_Toc519504003"/>
            <w:bookmarkStart w:id="25" w:name="_Toc5428"/>
            <w:bookmarkStart w:id="26" w:name="_Toc522182570"/>
            <w:r>
              <w:rPr>
                <w:rFonts w:hint="default" w:ascii="Times New Roman" w:hAnsi="Times New Roman" w:eastAsia="宋体" w:cs="Times New Roman"/>
                <w:color w:val="auto"/>
                <w:kern w:val="2"/>
                <w:sz w:val="24"/>
                <w:szCs w:val="20"/>
                <w:lang w:val="en-US" w:eastAsia="zh-CN" w:bidi="ar-SA"/>
              </w:rPr>
              <w:t>（3）运营期的环境管理</w:t>
            </w:r>
            <w:bookmarkEnd w:id="23"/>
            <w:bookmarkEnd w:id="24"/>
            <w:bookmarkEnd w:id="25"/>
            <w:bookmarkEnd w:id="26"/>
          </w:p>
          <w:p w14:paraId="7667D8FA">
            <w:pPr>
              <w:pStyle w:val="58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运营期的环境管理的重点是各项环境保护措施的落实，环保设施运行的管理和维护，日常的监测及污染事故的防范和应急处理。</w:t>
            </w:r>
          </w:p>
          <w:p w14:paraId="7C40FD74">
            <w:pPr>
              <w:pStyle w:val="58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1）运营期环境管理要求</w:t>
            </w:r>
          </w:p>
          <w:p w14:paraId="3A6423D6">
            <w:pPr>
              <w:pStyle w:val="58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①严格、认真地贯彻执行国家、省、市的有关环保法律、法规、政策、条例、标准。制订工程环境保护管理规章制度。</w:t>
            </w:r>
          </w:p>
          <w:p w14:paraId="2D0C239E">
            <w:pPr>
              <w:pStyle w:val="58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②制订各环保设施操作规程，定期维修制度，使各项环保设施在营运过程中处于良好的运行状态；</w:t>
            </w:r>
          </w:p>
          <w:p w14:paraId="48E083FD">
            <w:pPr>
              <w:pStyle w:val="58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③加强对环保设施的运行管理，如环保设施出现故障，应立即停止排污并进行检修，严禁非正常排放；</w:t>
            </w:r>
          </w:p>
          <w:p w14:paraId="76C61A22">
            <w:pPr>
              <w:pStyle w:val="58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④制订营运期环境监测计划与污染源监测计划，并组织实施；</w:t>
            </w:r>
          </w:p>
          <w:p w14:paraId="78534CF2">
            <w:pPr>
              <w:pStyle w:val="58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⑤制定环保资料的存贮建档与上报的计划。</w:t>
            </w:r>
          </w:p>
          <w:p w14:paraId="58A9394D">
            <w:pPr>
              <w:pStyle w:val="58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2）运营期环境管理重点</w:t>
            </w:r>
          </w:p>
          <w:p w14:paraId="03AB7C52">
            <w:pPr>
              <w:pStyle w:val="58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①项目废气经处理后由15m排气筒高空排放。</w:t>
            </w:r>
          </w:p>
          <w:p w14:paraId="786DB9EB">
            <w:pPr>
              <w:pStyle w:val="58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②项目生产过程中产生的一般固体废物应根据《一般工业固体废物贮存和填埋污染控制标准》(GB18599-2020)要求处置，危险废物根据《危险废物贮存污染控制标准》（GB18597-2023），同时按照《危险废物规范化管理指标体系》（环办[2015]99号）进行规范化管理。</w:t>
            </w:r>
          </w:p>
          <w:p w14:paraId="72A28C16">
            <w:pPr>
              <w:pStyle w:val="58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③应做好安全生产和消防工作，防止生产过程的风险导致火灾爆炸等事故风险发生。</w:t>
            </w:r>
          </w:p>
          <w:p w14:paraId="7EB4877F">
            <w:pPr>
              <w:pStyle w:val="572"/>
              <w:adjustRightInd w:val="0"/>
              <w:snapToGrid w:val="0"/>
              <w:ind w:firstLine="480"/>
              <w:rPr>
                <w:rFonts w:hint="default" w:ascii="Times New Roman" w:hAnsi="Times New Roman" w:eastAsia="宋体" w:cs="Times New Roman"/>
                <w:color w:val="auto"/>
                <w:lang w:val="en-US" w:eastAsia="zh-CN"/>
              </w:rPr>
            </w:pPr>
          </w:p>
        </w:tc>
      </w:tr>
    </w:tbl>
    <w:p w14:paraId="24CA47A3">
      <w:pPr>
        <w:ind w:firstLine="480"/>
        <w:rPr>
          <w:rFonts w:hint="default" w:ascii="Times New Roman" w:hAnsi="Times New Roman" w:eastAsia="宋体" w:cs="Times New Roman"/>
          <w:snapToGrid w:val="0"/>
          <w:color w:val="auto"/>
        </w:rPr>
        <w:sectPr>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26" w:charSpace="0"/>
        </w:sectPr>
      </w:pPr>
    </w:p>
    <w:p w14:paraId="78320699">
      <w:pPr>
        <w:pStyle w:val="5"/>
        <w:keepNext w:val="0"/>
        <w:keepLines w:val="0"/>
        <w:pageBreakBefore w:val="0"/>
        <w:widowControl w:val="0"/>
        <w:numPr>
          <w:ilvl w:val="0"/>
          <w:numId w:val="9"/>
        </w:numPr>
        <w:kinsoku/>
        <w:wordWrap/>
        <w:overflowPunct/>
        <w:topLinePunct w:val="0"/>
        <w:autoSpaceDE/>
        <w:autoSpaceDN/>
        <w:bidi w:val="0"/>
        <w:adjustRightInd/>
        <w:snapToGrid/>
        <w:ind w:left="0" w:leftChars="0" w:firstLineChars="0"/>
        <w:jc w:val="center"/>
        <w:textAlignment w:val="auto"/>
        <w:rPr>
          <w:rFonts w:hint="default" w:ascii="Times New Roman" w:hAnsi="Times New Roman" w:eastAsia="宋体" w:cs="Times New Roman"/>
          <w:snapToGrid w:val="0"/>
          <w:color w:val="auto"/>
          <w:sz w:val="28"/>
          <w:szCs w:val="28"/>
          <w:highlight w:val="none"/>
        </w:rPr>
      </w:pPr>
      <w:bookmarkStart w:id="27" w:name="_Hlk54167917"/>
      <w:r>
        <w:rPr>
          <w:rFonts w:hint="default" w:ascii="Times New Roman" w:hAnsi="Times New Roman" w:eastAsia="宋体" w:cs="Times New Roman"/>
          <w:snapToGrid w:val="0"/>
          <w:color w:val="auto"/>
          <w:sz w:val="28"/>
          <w:szCs w:val="28"/>
          <w:highlight w:val="none"/>
        </w:rPr>
        <w:t>环境保护措施监督检查清单</w:t>
      </w:r>
      <w:bookmarkEnd w:id="27"/>
    </w:p>
    <w:p w14:paraId="30F5B150">
      <w:pPr>
        <w:keepNext w:val="0"/>
        <w:keepLines w:val="0"/>
        <w:suppressLineNumbers w:val="0"/>
        <w:autoSpaceDE w:val="0"/>
        <w:autoSpaceDN w:val="0"/>
        <w:adjustRightInd w:val="0"/>
        <w:spacing w:before="0" w:beforeAutospacing="0" w:after="0" w:afterAutospacing="0" w:line="360" w:lineRule="auto"/>
        <w:ind w:left="0" w:right="0" w:firstLine="480" w:firstLineChars="200"/>
        <w:jc w:val="center"/>
        <w:rPr>
          <w:rFonts w:hint="eastAsia" w:cs="Times New Roman"/>
          <w:color w:val="auto"/>
          <w:sz w:val="24"/>
          <w:szCs w:val="24"/>
          <w:shd w:val="clear" w:color="auto" w:fill="auto"/>
          <w:lang w:val="en-US" w:eastAsia="zh-CN"/>
        </w:rPr>
      </w:pPr>
    </w:p>
    <w:p w14:paraId="44E59F57">
      <w:pPr>
        <w:pStyle w:val="545"/>
        <w:jc w:val="center"/>
        <w:rPr>
          <w:rFonts w:hint="default" w:ascii="Times New Roman" w:hAnsi="Times New Roman" w:eastAsia="宋体" w:cs="Times New Roman"/>
          <w:snapToGrid w:val="0"/>
          <w:color w:val="auto"/>
        </w:rPr>
        <w:sectPr>
          <w:footerReference r:id="rId15" w:type="default"/>
          <w:pgSz w:w="11905"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26" w:charSpace="0"/>
        </w:sectPr>
      </w:pPr>
      <w:r>
        <w:rPr>
          <w:rFonts w:hint="eastAsia" w:cs="Times New Roman"/>
          <w:color w:val="auto"/>
          <w:sz w:val="24"/>
          <w:szCs w:val="24"/>
          <w:shd w:val="clear" w:color="auto" w:fill="auto"/>
          <w:lang w:val="en-US" w:eastAsia="zh-CN"/>
        </w:rPr>
        <w:t>***(涉密删除）</w:t>
      </w:r>
    </w:p>
    <w:p w14:paraId="620DF7A2">
      <w:pPr>
        <w:pStyle w:val="5"/>
        <w:keepNext w:val="0"/>
        <w:keepLines w:val="0"/>
        <w:pageBreakBefore w:val="0"/>
        <w:widowControl w:val="0"/>
        <w:numPr>
          <w:ilvl w:val="0"/>
          <w:numId w:val="9"/>
        </w:numPr>
        <w:kinsoku/>
        <w:wordWrap/>
        <w:overflowPunct/>
        <w:topLinePunct w:val="0"/>
        <w:autoSpaceDE/>
        <w:autoSpaceDN/>
        <w:bidi w:val="0"/>
        <w:adjustRightInd/>
        <w:snapToGrid/>
        <w:ind w:left="0" w:leftChars="0" w:firstLineChars="0"/>
        <w:jc w:val="center"/>
        <w:textAlignment w:val="auto"/>
        <w:rPr>
          <w:rFonts w:hint="default" w:ascii="Times New Roman" w:hAnsi="Times New Roman" w:eastAsia="宋体" w:cs="Times New Roman"/>
          <w:snapToGrid w:val="0"/>
          <w:color w:val="auto"/>
        </w:rPr>
      </w:pPr>
      <w:r>
        <w:drawing>
          <wp:anchor distT="0" distB="0" distL="114300" distR="114300" simplePos="0" relativeHeight="251684864" behindDoc="0" locked="0" layoutInCell="1" allowOverlap="1">
            <wp:simplePos x="0" y="0"/>
            <wp:positionH relativeFrom="column">
              <wp:posOffset>-43180</wp:posOffset>
            </wp:positionH>
            <wp:positionV relativeFrom="paragraph">
              <wp:posOffset>20955</wp:posOffset>
            </wp:positionV>
            <wp:extent cx="6090920" cy="8851265"/>
            <wp:effectExtent l="0" t="0" r="5080" b="6985"/>
            <wp:wrapNone/>
            <wp:docPr id="2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3"/>
                    <pic:cNvPicPr>
                      <a:picLocks noChangeAspect="1"/>
                    </pic:cNvPicPr>
                  </pic:nvPicPr>
                  <pic:blipFill>
                    <a:blip r:embed="rId63"/>
                    <a:stretch>
                      <a:fillRect/>
                    </a:stretch>
                  </pic:blipFill>
                  <pic:spPr>
                    <a:xfrm>
                      <a:off x="0" y="0"/>
                      <a:ext cx="6090920" cy="8851265"/>
                    </a:xfrm>
                    <a:prstGeom prst="rect">
                      <a:avLst/>
                    </a:prstGeom>
                    <a:noFill/>
                    <a:ln>
                      <a:noFill/>
                    </a:ln>
                  </pic:spPr>
                </pic:pic>
              </a:graphicData>
            </a:graphic>
          </wp:anchor>
        </w:drawing>
      </w:r>
      <w:r>
        <w:rPr>
          <w:rFonts w:hint="default" w:ascii="Times New Roman" w:hAnsi="Times New Roman" w:eastAsia="宋体" w:cs="Times New Roman"/>
          <w:snapToGrid w:val="0"/>
          <w:color w:val="auto"/>
        </w:rPr>
        <w:t>结论</w:t>
      </w:r>
    </w:p>
    <w:tbl>
      <w:tblPr>
        <w:tblStyle w:val="48"/>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21DF3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26" w:hRule="atLeast"/>
          <w:jc w:val="center"/>
        </w:trPr>
        <w:tc>
          <w:tcPr>
            <w:tcW w:w="8865" w:type="dxa"/>
            <w:vAlign w:val="top"/>
          </w:tcPr>
          <w:p w14:paraId="570E7248">
            <w:pPr>
              <w:pStyle w:val="82"/>
              <w:ind w:left="0" w:leftChars="0" w:firstLine="720" w:firstLineChars="30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密尔克卫（福建）危险化学品供应链一体化基地项目</w:t>
            </w:r>
            <w:r>
              <w:rPr>
                <w:rFonts w:hint="default" w:ascii="Times New Roman" w:hAnsi="Times New Roman" w:eastAsia="宋体" w:cs="Times New Roman"/>
                <w:color w:val="auto"/>
              </w:rPr>
              <w:t>位于</w:t>
            </w:r>
            <w:r>
              <w:rPr>
                <w:rFonts w:hint="default" w:ascii="Times New Roman" w:hAnsi="Times New Roman" w:eastAsia="宋体" w:cs="Times New Roman"/>
                <w:color w:val="auto"/>
                <w:lang w:eastAsia="zh-CN"/>
              </w:rPr>
              <w:t>福州市福清市江阴镇江阴港城经济区南部片区（福州密尔克卫供应链管理有限公司厂区内）</w:t>
            </w:r>
            <w:r>
              <w:rPr>
                <w:rFonts w:hint="default" w:ascii="Times New Roman" w:hAnsi="Times New Roman" w:eastAsia="宋体" w:cs="Times New Roman"/>
                <w:color w:val="auto"/>
              </w:rPr>
              <w:t>，项目建设符合国家相关产业政策，符合</w:t>
            </w:r>
            <w:r>
              <w:rPr>
                <w:rFonts w:hint="default" w:ascii="Times New Roman" w:hAnsi="Times New Roman" w:eastAsia="宋体" w:cs="Times New Roman"/>
                <w:color w:val="auto"/>
                <w:sz w:val="24"/>
              </w:rPr>
              <w:t>《福州江阴港城总体规划（2018-2035年）》</w:t>
            </w:r>
            <w:r>
              <w:rPr>
                <w:rFonts w:hint="default" w:ascii="Times New Roman" w:hAnsi="Times New Roman" w:eastAsia="宋体" w:cs="Times New Roman"/>
                <w:color w:val="auto"/>
              </w:rPr>
              <w:t>审查意见要求，其选址较为合理，总平布置基本合理，并符合</w:t>
            </w:r>
            <w:r>
              <w:rPr>
                <w:rFonts w:hint="eastAsia" w:cs="Times New Roman"/>
                <w:color w:val="auto"/>
                <w:lang w:val="en-US" w:eastAsia="zh-CN"/>
              </w:rPr>
              <w:t>分区管控控制</w:t>
            </w:r>
            <w:r>
              <w:rPr>
                <w:rFonts w:hint="default" w:ascii="Times New Roman" w:hAnsi="Times New Roman" w:eastAsia="宋体" w:cs="Times New Roman"/>
                <w:color w:val="auto"/>
              </w:rPr>
              <w:t>要求。通过采取有效的污染防治措施，可实现污染物稳定达标排放，区域环境质量满足环境功能区划要求。因此，本评价认为，该项目的建设在采取本报告表中提出的一系列环保行动计划，认真执行“三同时”制度，加强环境管理前提下，从环境保护角度分析论证，本项目建设可行。</w:t>
            </w:r>
          </w:p>
          <w:p w14:paraId="144A16CA">
            <w:pPr>
              <w:ind w:firstLine="480"/>
              <w:jc w:val="both"/>
              <w:rPr>
                <w:rFonts w:hint="default" w:ascii="Times New Roman" w:hAnsi="Times New Roman" w:eastAsia="宋体" w:cs="Times New Roman"/>
                <w:color w:val="auto"/>
              </w:rPr>
            </w:pPr>
          </w:p>
          <w:p w14:paraId="71A1F348">
            <w:pPr>
              <w:pStyle w:val="25"/>
              <w:jc w:val="both"/>
              <w:rPr>
                <w:rFonts w:hint="default" w:ascii="Times New Roman" w:hAnsi="Times New Roman" w:eastAsia="宋体" w:cs="Times New Roman"/>
                <w:color w:val="auto"/>
              </w:rPr>
            </w:pPr>
          </w:p>
          <w:p w14:paraId="542E6265">
            <w:pPr>
              <w:ind w:firstLine="480"/>
              <w:jc w:val="both"/>
              <w:rPr>
                <w:rFonts w:hint="default" w:ascii="Times New Roman" w:hAnsi="Times New Roman" w:eastAsia="宋体" w:cs="Times New Roman"/>
                <w:color w:val="auto"/>
              </w:rPr>
            </w:pPr>
          </w:p>
          <w:p w14:paraId="667FE5B3">
            <w:pPr>
              <w:ind w:firstLine="482"/>
              <w:jc w:val="right"/>
              <w:rPr>
                <w:rFonts w:hint="default" w:ascii="Times New Roman" w:hAnsi="Times New Roman" w:eastAsia="宋体" w:cs="Times New Roman"/>
                <w:b/>
                <w:color w:val="auto"/>
                <w:highlight w:val="none"/>
                <w:lang w:eastAsia="zh-CN"/>
              </w:rPr>
            </w:pPr>
            <w:r>
              <w:rPr>
                <w:rFonts w:hint="eastAsia" w:cs="Times New Roman"/>
                <w:b/>
                <w:color w:val="auto"/>
                <w:highlight w:val="none"/>
                <w:lang w:eastAsia="zh-CN"/>
              </w:rPr>
              <w:t>福建连嘉环保科技有限公司</w:t>
            </w:r>
          </w:p>
          <w:p w14:paraId="43B52289">
            <w:pPr>
              <w:ind w:firstLine="482"/>
              <w:jc w:val="right"/>
              <w:rPr>
                <w:rFonts w:hint="default" w:ascii="Times New Roman" w:hAnsi="Times New Roman" w:eastAsia="宋体" w:cs="Times New Roman"/>
                <w:b/>
                <w:color w:val="auto"/>
              </w:rPr>
            </w:pPr>
            <w:r>
              <w:rPr>
                <w:rFonts w:hint="default" w:ascii="Times New Roman" w:hAnsi="Times New Roman" w:eastAsia="宋体" w:cs="Times New Roman"/>
                <w:b/>
                <w:color w:val="auto"/>
                <w:highlight w:val="none"/>
                <w:lang w:eastAsia="zh-CN"/>
              </w:rPr>
              <w:t>2024年</w:t>
            </w:r>
            <w:r>
              <w:rPr>
                <w:rFonts w:hint="default" w:ascii="Times New Roman" w:hAnsi="Times New Roman" w:eastAsia="宋体" w:cs="Times New Roman"/>
                <w:b/>
                <w:color w:val="auto"/>
                <w:highlight w:val="none"/>
                <w:lang w:val="en-US" w:eastAsia="zh-CN"/>
              </w:rPr>
              <w:t>1</w:t>
            </w:r>
            <w:r>
              <w:rPr>
                <w:rFonts w:hint="default" w:ascii="Times New Roman" w:hAnsi="Times New Roman" w:eastAsia="宋体" w:cs="Times New Roman"/>
                <w:b/>
                <w:color w:val="auto"/>
                <w:lang w:val="en-US" w:eastAsia="zh-CN"/>
              </w:rPr>
              <w:t>2</w:t>
            </w:r>
            <w:r>
              <w:rPr>
                <w:rFonts w:hint="default" w:ascii="Times New Roman" w:hAnsi="Times New Roman" w:eastAsia="宋体" w:cs="Times New Roman"/>
                <w:b/>
                <w:color w:val="auto"/>
              </w:rPr>
              <w:t>月</w:t>
            </w:r>
          </w:p>
        </w:tc>
      </w:tr>
    </w:tbl>
    <w:p w14:paraId="710BA3D2">
      <w:pPr>
        <w:spacing w:before="120" w:after="120"/>
        <w:ind w:firstLine="562"/>
        <w:jc w:val="center"/>
        <w:rPr>
          <w:rFonts w:hint="default" w:ascii="Times New Roman" w:hAnsi="Times New Roman" w:eastAsia="宋体" w:cs="Times New Roman"/>
          <w:b/>
          <w:color w:val="auto"/>
          <w:sz w:val="28"/>
          <w:szCs w:val="28"/>
        </w:rPr>
        <w:sectPr>
          <w:footerReference r:id="rId16" w:type="default"/>
          <w:pgSz w:w="11905"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26" w:charSpace="0"/>
        </w:sectPr>
      </w:pPr>
    </w:p>
    <w:p w14:paraId="07DD31B6">
      <w:pPr>
        <w:pStyle w:val="5"/>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附表</w:t>
      </w:r>
    </w:p>
    <w:p w14:paraId="64E8D230">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ind w:left="240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38"/>
          <w:szCs w:val="38"/>
          <w:highlight w:val="none"/>
        </w:rPr>
        <w:t>建设项目污染物排放量汇总表</w:t>
      </w:r>
    </w:p>
    <w:tbl>
      <w:tblPr>
        <w:tblStyle w:val="48"/>
        <w:tblW w:w="13788" w:type="dxa"/>
        <w:tblInd w:w="8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717"/>
        <w:gridCol w:w="1470"/>
        <w:gridCol w:w="1238"/>
        <w:gridCol w:w="1822"/>
        <w:gridCol w:w="2117"/>
        <w:gridCol w:w="1424"/>
        <w:gridCol w:w="1575"/>
        <w:gridCol w:w="1547"/>
      </w:tblGrid>
      <w:tr w14:paraId="758F8A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8" w:type="dxa"/>
            <w:tcBorders>
              <w:top w:val="single" w:color="auto" w:sz="8" w:space="0"/>
              <w:left w:val="single" w:color="auto" w:sz="8" w:space="0"/>
              <w:bottom w:val="single" w:color="auto" w:sz="4" w:space="0"/>
              <w:right w:val="single" w:color="auto" w:sz="4" w:space="0"/>
            </w:tcBorders>
            <w:tcMar>
              <w:top w:w="0" w:type="dxa"/>
              <w:left w:w="28" w:type="dxa"/>
              <w:bottom w:w="0" w:type="dxa"/>
              <w:right w:w="28" w:type="dxa"/>
            </w:tcMar>
            <w:vAlign w:val="center"/>
          </w:tcPr>
          <w:p w14:paraId="07907089">
            <w:pPr>
              <w:pStyle w:val="96"/>
              <w:spacing w:line="240" w:lineRule="auto"/>
              <w:ind w:firstLine="0" w:firstLineChars="0"/>
              <w:rPr>
                <w:rFonts w:hint="default" w:ascii="Times New Roman" w:hAnsi="Times New Roman" w:eastAsia="宋体" w:cs="Times New Roman"/>
                <w:color w:val="auto"/>
                <w:spacing w:val="-6"/>
                <w:kern w:val="21"/>
                <w:highlight w:val="none"/>
              </w:rPr>
            </w:pPr>
            <w:r>
              <w:rPr>
                <w:rFonts w:hint="default" w:ascii="Times New Roman" w:hAnsi="Times New Roman" w:eastAsia="宋体" w:cs="Times New Roman"/>
                <w:color w:val="auto"/>
                <w:spacing w:val="-6"/>
                <w:kern w:val="21"/>
                <w:highlight w:val="none"/>
              </w:rPr>
              <w:t>项目</w:t>
            </w:r>
          </w:p>
          <w:p w14:paraId="3D6BFF1E">
            <w:pPr>
              <w:pStyle w:val="96"/>
              <w:spacing w:line="240" w:lineRule="auto"/>
              <w:ind w:firstLine="0" w:firstLineChars="0"/>
              <w:rPr>
                <w:rFonts w:hint="default" w:ascii="Times New Roman" w:hAnsi="Times New Roman" w:eastAsia="宋体" w:cs="Times New Roman"/>
                <w:color w:val="auto"/>
                <w:spacing w:val="-6"/>
                <w:kern w:val="21"/>
                <w:highlight w:val="none"/>
              </w:rPr>
            </w:pPr>
            <w:r>
              <w:rPr>
                <w:rFonts w:hint="default" w:ascii="Times New Roman" w:hAnsi="Times New Roman" w:eastAsia="宋体" w:cs="Times New Roman"/>
                <w:color w:val="auto"/>
                <w:spacing w:val="-6"/>
                <w:kern w:val="21"/>
                <w:highlight w:val="none"/>
              </w:rPr>
              <w:t>分类</w:t>
            </w:r>
          </w:p>
        </w:tc>
        <w:tc>
          <w:tcPr>
            <w:tcW w:w="1717"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46762969">
            <w:pPr>
              <w:pStyle w:val="96"/>
              <w:spacing w:line="240" w:lineRule="auto"/>
              <w:ind w:firstLine="0" w:firstLineChars="0"/>
              <w:rPr>
                <w:rFonts w:hint="default" w:ascii="Times New Roman" w:hAnsi="Times New Roman" w:eastAsia="宋体" w:cs="Times New Roman"/>
                <w:color w:val="auto"/>
                <w:spacing w:val="-6"/>
                <w:kern w:val="21"/>
                <w:highlight w:val="none"/>
              </w:rPr>
            </w:pPr>
            <w:r>
              <w:rPr>
                <w:rFonts w:hint="default" w:ascii="Times New Roman" w:hAnsi="Times New Roman" w:eastAsia="宋体" w:cs="Times New Roman"/>
                <w:color w:val="auto"/>
                <w:spacing w:val="-6"/>
                <w:kern w:val="21"/>
                <w:highlight w:val="none"/>
              </w:rPr>
              <w:t>污染物名称</w:t>
            </w:r>
          </w:p>
        </w:tc>
        <w:tc>
          <w:tcPr>
            <w:tcW w:w="1470"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3470D846">
            <w:pPr>
              <w:pStyle w:val="96"/>
              <w:spacing w:line="240" w:lineRule="auto"/>
              <w:ind w:firstLine="0" w:firstLineChars="0"/>
              <w:rPr>
                <w:rFonts w:hint="default" w:ascii="Times New Roman" w:hAnsi="Times New Roman" w:eastAsia="宋体" w:cs="Times New Roman"/>
                <w:color w:val="auto"/>
                <w:spacing w:val="-6"/>
                <w:kern w:val="21"/>
                <w:highlight w:val="none"/>
              </w:rPr>
            </w:pPr>
            <w:r>
              <w:rPr>
                <w:rFonts w:hint="default" w:ascii="Times New Roman" w:hAnsi="Times New Roman" w:eastAsia="宋体" w:cs="Times New Roman"/>
                <w:color w:val="auto"/>
                <w:spacing w:val="-6"/>
                <w:kern w:val="21"/>
                <w:highlight w:val="none"/>
              </w:rPr>
              <w:t>现有工程</w:t>
            </w:r>
          </w:p>
          <w:p w14:paraId="4721A6C9">
            <w:pPr>
              <w:pStyle w:val="96"/>
              <w:spacing w:line="240" w:lineRule="auto"/>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spacing w:val="-6"/>
                <w:kern w:val="21"/>
                <w:highlight w:val="none"/>
              </w:rPr>
              <w:t>排放量（固体废物产生量）①</w:t>
            </w:r>
          </w:p>
        </w:tc>
        <w:tc>
          <w:tcPr>
            <w:tcW w:w="1238"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3539FA31">
            <w:pPr>
              <w:pStyle w:val="96"/>
              <w:spacing w:line="240" w:lineRule="auto"/>
              <w:ind w:firstLine="0" w:firstLineChars="0"/>
              <w:rPr>
                <w:rFonts w:hint="default" w:ascii="Times New Roman" w:hAnsi="Times New Roman" w:eastAsia="宋体" w:cs="Times New Roman"/>
                <w:color w:val="auto"/>
                <w:spacing w:val="-6"/>
                <w:kern w:val="21"/>
                <w:highlight w:val="none"/>
              </w:rPr>
            </w:pPr>
            <w:r>
              <w:rPr>
                <w:rFonts w:hint="default" w:ascii="Times New Roman" w:hAnsi="Times New Roman" w:eastAsia="宋体" w:cs="Times New Roman"/>
                <w:color w:val="auto"/>
                <w:spacing w:val="-6"/>
                <w:kern w:val="21"/>
                <w:highlight w:val="none"/>
              </w:rPr>
              <w:t>现有工程</w:t>
            </w:r>
          </w:p>
          <w:p w14:paraId="3452D005">
            <w:pPr>
              <w:pStyle w:val="96"/>
              <w:spacing w:line="240" w:lineRule="auto"/>
              <w:ind w:firstLine="0" w:firstLineChars="0"/>
              <w:rPr>
                <w:rFonts w:hint="default" w:ascii="Times New Roman" w:hAnsi="Times New Roman" w:eastAsia="宋体" w:cs="Times New Roman"/>
                <w:color w:val="auto"/>
                <w:spacing w:val="-6"/>
                <w:kern w:val="21"/>
                <w:highlight w:val="none"/>
              </w:rPr>
            </w:pPr>
            <w:r>
              <w:rPr>
                <w:rFonts w:hint="default" w:ascii="Times New Roman" w:hAnsi="Times New Roman" w:eastAsia="宋体" w:cs="Times New Roman"/>
                <w:color w:val="auto"/>
                <w:spacing w:val="-6"/>
                <w:kern w:val="21"/>
                <w:highlight w:val="none"/>
              </w:rPr>
              <w:t>许可排放量</w:t>
            </w:r>
          </w:p>
          <w:p w14:paraId="29994285">
            <w:pPr>
              <w:pStyle w:val="96"/>
              <w:spacing w:line="240" w:lineRule="auto"/>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spacing w:val="-6"/>
                <w:kern w:val="21"/>
                <w:highlight w:val="none"/>
              </w:rPr>
              <w:t>②</w:t>
            </w:r>
          </w:p>
        </w:tc>
        <w:tc>
          <w:tcPr>
            <w:tcW w:w="1822"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2DE16B6F">
            <w:pPr>
              <w:pStyle w:val="96"/>
              <w:spacing w:line="240" w:lineRule="auto"/>
              <w:ind w:firstLine="0" w:firstLineChars="0"/>
              <w:rPr>
                <w:rFonts w:hint="default" w:ascii="Times New Roman" w:hAnsi="Times New Roman" w:eastAsia="宋体" w:cs="Times New Roman"/>
                <w:color w:val="auto"/>
                <w:spacing w:val="-6"/>
                <w:kern w:val="21"/>
                <w:highlight w:val="none"/>
              </w:rPr>
            </w:pPr>
            <w:r>
              <w:rPr>
                <w:rFonts w:hint="default" w:ascii="Times New Roman" w:hAnsi="Times New Roman" w:eastAsia="宋体" w:cs="Times New Roman"/>
                <w:color w:val="auto"/>
                <w:spacing w:val="-6"/>
                <w:kern w:val="21"/>
                <w:highlight w:val="none"/>
              </w:rPr>
              <w:t>在建工程</w:t>
            </w:r>
          </w:p>
          <w:p w14:paraId="2BD83021">
            <w:pPr>
              <w:pStyle w:val="96"/>
              <w:spacing w:line="240" w:lineRule="auto"/>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spacing w:val="-6"/>
                <w:kern w:val="21"/>
                <w:highlight w:val="none"/>
              </w:rPr>
              <w:t>排放量（固体废物产生量）③</w:t>
            </w:r>
          </w:p>
        </w:tc>
        <w:tc>
          <w:tcPr>
            <w:tcW w:w="2117"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632B9B5E">
            <w:pPr>
              <w:pStyle w:val="96"/>
              <w:spacing w:line="240" w:lineRule="auto"/>
              <w:ind w:firstLine="0" w:firstLineChars="0"/>
              <w:rPr>
                <w:rFonts w:hint="default" w:ascii="Times New Roman" w:hAnsi="Times New Roman" w:eastAsia="宋体" w:cs="Times New Roman"/>
                <w:color w:val="auto"/>
                <w:spacing w:val="-6"/>
                <w:kern w:val="21"/>
                <w:highlight w:val="none"/>
              </w:rPr>
            </w:pPr>
            <w:r>
              <w:rPr>
                <w:rFonts w:hint="default" w:ascii="Times New Roman" w:hAnsi="Times New Roman" w:eastAsia="宋体" w:cs="Times New Roman"/>
                <w:color w:val="auto"/>
                <w:spacing w:val="-6"/>
                <w:kern w:val="21"/>
                <w:highlight w:val="none"/>
              </w:rPr>
              <w:t>本项目</w:t>
            </w:r>
          </w:p>
          <w:p w14:paraId="61B16B36">
            <w:pPr>
              <w:pStyle w:val="96"/>
              <w:spacing w:line="240" w:lineRule="auto"/>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spacing w:val="-6"/>
                <w:kern w:val="21"/>
                <w:highlight w:val="none"/>
              </w:rPr>
              <w:t>排放量（固体废物产生量）④</w:t>
            </w:r>
          </w:p>
        </w:tc>
        <w:tc>
          <w:tcPr>
            <w:tcW w:w="1424"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172BC49A">
            <w:pPr>
              <w:pStyle w:val="96"/>
              <w:spacing w:line="240" w:lineRule="auto"/>
              <w:ind w:firstLine="0" w:firstLineChars="0"/>
              <w:rPr>
                <w:rFonts w:hint="default" w:ascii="Times New Roman" w:hAnsi="Times New Roman" w:eastAsia="宋体" w:cs="Times New Roman"/>
                <w:color w:val="auto"/>
                <w:spacing w:val="-16"/>
                <w:kern w:val="21"/>
                <w:highlight w:val="none"/>
              </w:rPr>
            </w:pPr>
            <w:r>
              <w:rPr>
                <w:rFonts w:hint="default" w:ascii="Times New Roman" w:hAnsi="Times New Roman" w:eastAsia="宋体" w:cs="Times New Roman"/>
                <w:color w:val="auto"/>
                <w:spacing w:val="-16"/>
                <w:kern w:val="21"/>
                <w:highlight w:val="none"/>
              </w:rPr>
              <w:t>以新带老削减量</w:t>
            </w:r>
          </w:p>
          <w:p w14:paraId="3A7915FC">
            <w:pPr>
              <w:pStyle w:val="96"/>
              <w:spacing w:line="240" w:lineRule="auto"/>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spacing w:val="-16"/>
                <w:kern w:val="21"/>
                <w:highlight w:val="none"/>
              </w:rPr>
              <w:t>（新建项目不填）⑤</w:t>
            </w:r>
          </w:p>
        </w:tc>
        <w:tc>
          <w:tcPr>
            <w:tcW w:w="1575"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4C1C78F9">
            <w:pPr>
              <w:pStyle w:val="96"/>
              <w:spacing w:line="240" w:lineRule="auto"/>
              <w:ind w:firstLine="0" w:firstLineChars="0"/>
              <w:rPr>
                <w:rFonts w:hint="default" w:ascii="Times New Roman" w:hAnsi="Times New Roman" w:eastAsia="宋体" w:cs="Times New Roman"/>
                <w:color w:val="auto"/>
                <w:spacing w:val="-16"/>
                <w:kern w:val="21"/>
                <w:highlight w:val="none"/>
              </w:rPr>
            </w:pPr>
            <w:r>
              <w:rPr>
                <w:rFonts w:hint="default" w:ascii="Times New Roman" w:hAnsi="Times New Roman" w:eastAsia="宋体" w:cs="Times New Roman"/>
                <w:color w:val="auto"/>
                <w:spacing w:val="-16"/>
                <w:kern w:val="21"/>
                <w:highlight w:val="none"/>
              </w:rPr>
              <w:t>本项目建成后</w:t>
            </w:r>
          </w:p>
          <w:p w14:paraId="15D32194">
            <w:pPr>
              <w:pStyle w:val="96"/>
              <w:spacing w:line="240" w:lineRule="auto"/>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spacing w:val="-16"/>
                <w:kern w:val="21"/>
                <w:highlight w:val="none"/>
              </w:rPr>
              <w:t>全厂排放量（固体废物产生量）⑥</w:t>
            </w:r>
          </w:p>
        </w:tc>
        <w:tc>
          <w:tcPr>
            <w:tcW w:w="1547" w:type="dxa"/>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14:paraId="1EB8649F">
            <w:pPr>
              <w:pStyle w:val="96"/>
              <w:spacing w:line="240" w:lineRule="auto"/>
              <w:ind w:firstLine="0" w:firstLineChars="0"/>
              <w:rPr>
                <w:rFonts w:hint="default" w:ascii="Times New Roman" w:hAnsi="Times New Roman" w:eastAsia="宋体" w:cs="Times New Roman"/>
                <w:color w:val="auto"/>
                <w:spacing w:val="-6"/>
                <w:kern w:val="21"/>
                <w:highlight w:val="none"/>
              </w:rPr>
            </w:pPr>
            <w:r>
              <w:rPr>
                <w:rFonts w:hint="default" w:ascii="Times New Roman" w:hAnsi="Times New Roman" w:eastAsia="宋体" w:cs="Times New Roman"/>
                <w:color w:val="auto"/>
                <w:spacing w:val="-6"/>
                <w:kern w:val="21"/>
                <w:highlight w:val="none"/>
              </w:rPr>
              <w:t>变化量</w:t>
            </w:r>
          </w:p>
          <w:p w14:paraId="199B5537">
            <w:pPr>
              <w:pStyle w:val="96"/>
              <w:spacing w:line="240" w:lineRule="auto"/>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spacing w:val="-6"/>
                <w:kern w:val="21"/>
                <w:highlight w:val="none"/>
              </w:rPr>
              <w:t>⑦</w:t>
            </w:r>
          </w:p>
        </w:tc>
      </w:tr>
      <w:tr w14:paraId="705994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8" w:type="dxa"/>
            <w:vMerge w:val="restart"/>
            <w:tcBorders>
              <w:top w:val="single" w:color="auto" w:sz="4" w:space="0"/>
              <w:left w:val="single" w:color="auto" w:sz="8" w:space="0"/>
              <w:right w:val="single" w:color="auto" w:sz="4" w:space="0"/>
            </w:tcBorders>
            <w:vAlign w:val="center"/>
          </w:tcPr>
          <w:p w14:paraId="12BD5B18">
            <w:pPr>
              <w:pStyle w:val="96"/>
              <w:spacing w:line="240" w:lineRule="auto"/>
              <w:ind w:firstLine="0" w:firstLineChars="0"/>
              <w:rPr>
                <w:rFonts w:hint="default" w:ascii="Times New Roman" w:hAnsi="Times New Roman" w:eastAsia="宋体" w:cs="Times New Roman"/>
                <w:color w:val="auto"/>
                <w:kern w:val="21"/>
                <w:highlight w:val="none"/>
              </w:rPr>
            </w:pPr>
            <w:r>
              <w:rPr>
                <w:rFonts w:hint="default" w:ascii="Times New Roman" w:hAnsi="Times New Roman" w:eastAsia="宋体" w:cs="Times New Roman"/>
                <w:color w:val="auto"/>
                <w:kern w:val="21"/>
                <w:highlight w:val="none"/>
              </w:rPr>
              <w:t>废气</w:t>
            </w:r>
          </w:p>
          <w:p w14:paraId="62B9DFFF">
            <w:pPr>
              <w:pStyle w:val="96"/>
              <w:spacing w:line="240" w:lineRule="auto"/>
              <w:ind w:firstLine="0" w:firstLineChars="0"/>
              <w:rPr>
                <w:rFonts w:hint="default" w:ascii="Times New Roman" w:hAnsi="Times New Roman" w:eastAsia="宋体" w:cs="Times New Roman"/>
                <w:color w:val="auto"/>
                <w:kern w:val="21"/>
                <w:highlight w:val="none"/>
              </w:rPr>
            </w:pPr>
            <w:r>
              <w:rPr>
                <w:rFonts w:hint="default" w:ascii="Times New Roman" w:hAnsi="Times New Roman" w:eastAsia="宋体" w:cs="Times New Roman"/>
                <w:color w:val="auto"/>
                <w:kern w:val="21"/>
                <w:highlight w:val="none"/>
                <w:lang w:eastAsia="zh-CN"/>
              </w:rPr>
              <w:t>（</w:t>
            </w:r>
            <w:r>
              <w:rPr>
                <w:rFonts w:hint="default" w:ascii="Times New Roman" w:hAnsi="Times New Roman" w:eastAsia="宋体" w:cs="Times New Roman"/>
                <w:color w:val="auto"/>
                <w:kern w:val="21"/>
                <w:highlight w:val="none"/>
              </w:rPr>
              <w:t>t/a</w:t>
            </w:r>
            <w:r>
              <w:rPr>
                <w:rFonts w:hint="default" w:ascii="Times New Roman" w:hAnsi="Times New Roman" w:eastAsia="宋体" w:cs="Times New Roman"/>
                <w:color w:val="auto"/>
                <w:kern w:val="21"/>
                <w:highlight w:val="none"/>
                <w:lang w:eastAsia="zh-CN"/>
              </w:rPr>
              <w:t>）</w:t>
            </w:r>
          </w:p>
        </w:tc>
        <w:tc>
          <w:tcPr>
            <w:tcW w:w="1717" w:type="dxa"/>
            <w:tcBorders>
              <w:top w:val="single" w:color="auto" w:sz="4" w:space="0"/>
              <w:left w:val="single" w:color="auto" w:sz="4" w:space="0"/>
              <w:bottom w:val="single" w:color="auto" w:sz="4" w:space="0"/>
              <w:right w:val="single" w:color="auto" w:sz="4" w:space="0"/>
            </w:tcBorders>
            <w:shd w:val="clear" w:color="auto" w:fill="auto"/>
            <w:vAlign w:val="center"/>
          </w:tcPr>
          <w:p w14:paraId="7573177F">
            <w:pPr>
              <w:pStyle w:val="96"/>
              <w:spacing w:line="240" w:lineRule="auto"/>
              <w:ind w:firstLine="0" w:firstLineChars="0"/>
              <w:rPr>
                <w:rFonts w:hint="default" w:ascii="Times New Roman" w:hAnsi="Times New Roman" w:eastAsia="宋体" w:cs="Times New Roman"/>
                <w:color w:val="auto"/>
                <w:kern w:val="21"/>
                <w:highlight w:val="none"/>
                <w:lang w:val="en-US" w:eastAsia="zh-CN"/>
              </w:rPr>
            </w:pPr>
            <w:r>
              <w:rPr>
                <w:rFonts w:hint="default" w:ascii="Times New Roman" w:hAnsi="Times New Roman" w:eastAsia="宋体" w:cs="Times New Roman"/>
                <w:color w:val="auto"/>
                <w:kern w:val="21"/>
                <w:highlight w:val="none"/>
                <w:lang w:val="en-US" w:eastAsia="zh-CN"/>
              </w:rPr>
              <w:t>甲苯</w:t>
            </w:r>
          </w:p>
        </w:tc>
        <w:tc>
          <w:tcPr>
            <w:tcW w:w="1470" w:type="dxa"/>
            <w:tcBorders>
              <w:top w:val="single" w:color="auto" w:sz="4" w:space="0"/>
              <w:left w:val="single" w:color="auto" w:sz="4" w:space="0"/>
              <w:bottom w:val="single" w:color="auto" w:sz="4" w:space="0"/>
              <w:right w:val="single" w:color="auto" w:sz="4" w:space="0"/>
            </w:tcBorders>
            <w:shd w:val="clear" w:color="auto" w:fill="auto"/>
            <w:vAlign w:val="center"/>
          </w:tcPr>
          <w:p w14:paraId="4BB6737E">
            <w:pPr>
              <w:pStyle w:val="96"/>
              <w:spacing w:line="240" w:lineRule="auto"/>
              <w:ind w:firstLine="0" w:firstLineChars="0"/>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highlight w:val="none"/>
              </w:rPr>
              <w:t>0</w:t>
            </w:r>
          </w:p>
        </w:tc>
        <w:tc>
          <w:tcPr>
            <w:tcW w:w="1238" w:type="dxa"/>
            <w:tcBorders>
              <w:top w:val="single" w:color="auto" w:sz="4" w:space="0"/>
              <w:left w:val="single" w:color="auto" w:sz="4" w:space="0"/>
              <w:bottom w:val="single" w:color="auto" w:sz="4" w:space="0"/>
              <w:right w:val="single" w:color="auto" w:sz="4" w:space="0"/>
            </w:tcBorders>
            <w:vAlign w:val="center"/>
          </w:tcPr>
          <w:p w14:paraId="6FCB2ED9">
            <w:pPr>
              <w:pStyle w:val="96"/>
              <w:spacing w:line="240" w:lineRule="auto"/>
              <w:ind w:firstLine="0" w:firstLineChars="0"/>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highlight w:val="none"/>
              </w:rPr>
              <w:t>0</w:t>
            </w:r>
          </w:p>
        </w:tc>
        <w:tc>
          <w:tcPr>
            <w:tcW w:w="1822" w:type="dxa"/>
            <w:tcBorders>
              <w:top w:val="single" w:color="auto" w:sz="4" w:space="0"/>
              <w:left w:val="single" w:color="auto" w:sz="4" w:space="0"/>
              <w:bottom w:val="single" w:color="auto" w:sz="4" w:space="0"/>
              <w:right w:val="single" w:color="auto" w:sz="4" w:space="0"/>
            </w:tcBorders>
            <w:vAlign w:val="center"/>
          </w:tcPr>
          <w:p w14:paraId="28DD6E0A">
            <w:pPr>
              <w:pStyle w:val="96"/>
              <w:spacing w:line="240" w:lineRule="auto"/>
              <w:ind w:firstLine="0" w:firstLineChars="0"/>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highlight w:val="none"/>
              </w:rPr>
              <w:t>0</w:t>
            </w:r>
          </w:p>
        </w:tc>
        <w:tc>
          <w:tcPr>
            <w:tcW w:w="2117" w:type="dxa"/>
            <w:tcBorders>
              <w:top w:val="single" w:color="auto" w:sz="4" w:space="0"/>
              <w:left w:val="single" w:color="auto" w:sz="4" w:space="0"/>
              <w:bottom w:val="single" w:color="auto" w:sz="4" w:space="0"/>
              <w:right w:val="single" w:color="auto" w:sz="4" w:space="0"/>
            </w:tcBorders>
            <w:vAlign w:val="center"/>
          </w:tcPr>
          <w:p w14:paraId="57F47530">
            <w:pPr>
              <w:pStyle w:val="96"/>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424" w:type="dxa"/>
            <w:tcBorders>
              <w:top w:val="single" w:color="auto" w:sz="4" w:space="0"/>
              <w:left w:val="single" w:color="auto" w:sz="4" w:space="0"/>
              <w:bottom w:val="single" w:color="auto" w:sz="4" w:space="0"/>
              <w:right w:val="single" w:color="auto" w:sz="4" w:space="0"/>
            </w:tcBorders>
            <w:vAlign w:val="center"/>
          </w:tcPr>
          <w:p w14:paraId="4AA0925D">
            <w:pPr>
              <w:pStyle w:val="96"/>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575" w:type="dxa"/>
            <w:tcBorders>
              <w:top w:val="single" w:color="auto" w:sz="4" w:space="0"/>
              <w:left w:val="single" w:color="auto" w:sz="4" w:space="0"/>
              <w:bottom w:val="single" w:color="auto" w:sz="4" w:space="0"/>
              <w:right w:val="single" w:color="auto" w:sz="4" w:space="0"/>
            </w:tcBorders>
            <w:vAlign w:val="center"/>
          </w:tcPr>
          <w:p w14:paraId="050D0624">
            <w:pPr>
              <w:pStyle w:val="96"/>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547" w:type="dxa"/>
            <w:tcBorders>
              <w:top w:val="single" w:color="auto" w:sz="4" w:space="0"/>
              <w:left w:val="single" w:color="auto" w:sz="4" w:space="0"/>
              <w:bottom w:val="single" w:color="auto" w:sz="4" w:space="0"/>
              <w:right w:val="single" w:color="auto" w:sz="8" w:space="0"/>
            </w:tcBorders>
            <w:vAlign w:val="center"/>
          </w:tcPr>
          <w:p w14:paraId="575A40EB">
            <w:pPr>
              <w:pStyle w:val="96"/>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r>
      <w:tr w14:paraId="1CBEAB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8" w:type="dxa"/>
            <w:vMerge w:val="continue"/>
            <w:tcBorders>
              <w:left w:val="single" w:color="auto" w:sz="8" w:space="0"/>
              <w:right w:val="single" w:color="auto" w:sz="4" w:space="0"/>
            </w:tcBorders>
            <w:vAlign w:val="center"/>
          </w:tcPr>
          <w:p w14:paraId="0D8E2B12">
            <w:pPr>
              <w:pStyle w:val="96"/>
              <w:spacing w:line="240" w:lineRule="auto"/>
              <w:ind w:firstLine="0" w:firstLineChars="0"/>
              <w:rPr>
                <w:rFonts w:hint="default" w:ascii="Times New Roman" w:hAnsi="Times New Roman" w:eastAsia="宋体" w:cs="Times New Roman"/>
                <w:color w:val="auto"/>
                <w:kern w:val="21"/>
                <w:highlight w:val="none"/>
              </w:rPr>
            </w:pPr>
          </w:p>
        </w:tc>
        <w:tc>
          <w:tcPr>
            <w:tcW w:w="1717" w:type="dxa"/>
            <w:tcBorders>
              <w:top w:val="single" w:color="auto" w:sz="4" w:space="0"/>
              <w:left w:val="single" w:color="auto" w:sz="4" w:space="0"/>
              <w:bottom w:val="single" w:color="auto" w:sz="4" w:space="0"/>
              <w:right w:val="single" w:color="auto" w:sz="4" w:space="0"/>
            </w:tcBorders>
            <w:shd w:val="clear" w:color="auto" w:fill="auto"/>
            <w:vAlign w:val="center"/>
          </w:tcPr>
          <w:p w14:paraId="6C4B846F">
            <w:pPr>
              <w:pStyle w:val="96"/>
              <w:spacing w:line="240" w:lineRule="auto"/>
              <w:ind w:firstLine="0" w:firstLineChars="0"/>
              <w:rPr>
                <w:rFonts w:hint="default" w:ascii="Times New Roman" w:hAnsi="Times New Roman" w:eastAsia="宋体" w:cs="Times New Roman"/>
                <w:color w:val="auto"/>
                <w:kern w:val="21"/>
                <w:highlight w:val="none"/>
                <w:lang w:val="en-US" w:eastAsia="zh-CN"/>
              </w:rPr>
            </w:pPr>
            <w:r>
              <w:rPr>
                <w:rFonts w:hint="default" w:ascii="Times New Roman" w:hAnsi="Times New Roman" w:eastAsia="宋体" w:cs="Times New Roman"/>
                <w:color w:val="auto"/>
                <w:kern w:val="21"/>
                <w:highlight w:val="none"/>
                <w:lang w:val="en-US" w:eastAsia="zh-CN"/>
              </w:rPr>
              <w:t>二甲苯</w:t>
            </w:r>
          </w:p>
        </w:tc>
        <w:tc>
          <w:tcPr>
            <w:tcW w:w="1470" w:type="dxa"/>
            <w:tcBorders>
              <w:top w:val="single" w:color="auto" w:sz="4" w:space="0"/>
              <w:left w:val="single" w:color="auto" w:sz="4" w:space="0"/>
              <w:bottom w:val="single" w:color="auto" w:sz="4" w:space="0"/>
              <w:right w:val="single" w:color="auto" w:sz="4" w:space="0"/>
            </w:tcBorders>
            <w:shd w:val="clear" w:color="auto" w:fill="auto"/>
            <w:vAlign w:val="center"/>
          </w:tcPr>
          <w:p w14:paraId="69253A3A">
            <w:pPr>
              <w:pStyle w:val="96"/>
              <w:spacing w:line="240" w:lineRule="auto"/>
              <w:ind w:firstLine="0" w:firstLineChars="0"/>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highlight w:val="none"/>
              </w:rPr>
              <w:t>0</w:t>
            </w:r>
          </w:p>
        </w:tc>
        <w:tc>
          <w:tcPr>
            <w:tcW w:w="1238" w:type="dxa"/>
            <w:tcBorders>
              <w:top w:val="single" w:color="auto" w:sz="4" w:space="0"/>
              <w:left w:val="single" w:color="auto" w:sz="4" w:space="0"/>
              <w:bottom w:val="single" w:color="auto" w:sz="4" w:space="0"/>
              <w:right w:val="single" w:color="auto" w:sz="4" w:space="0"/>
            </w:tcBorders>
            <w:vAlign w:val="center"/>
          </w:tcPr>
          <w:p w14:paraId="5949EBDE">
            <w:pPr>
              <w:pStyle w:val="96"/>
              <w:spacing w:line="240" w:lineRule="auto"/>
              <w:ind w:firstLine="0" w:firstLineChars="0"/>
              <w:rPr>
                <w:rFonts w:hint="default" w:ascii="Times New Roman" w:hAnsi="Times New Roman" w:eastAsia="宋体" w:cs="Times New Roman"/>
                <w:color w:val="auto"/>
                <w:kern w:val="21"/>
                <w:highlight w:val="none"/>
              </w:rPr>
            </w:pPr>
            <w:r>
              <w:rPr>
                <w:rFonts w:hint="default" w:ascii="Times New Roman" w:hAnsi="Times New Roman" w:eastAsia="宋体" w:cs="Times New Roman"/>
                <w:color w:val="auto"/>
                <w:kern w:val="21"/>
                <w:highlight w:val="none"/>
              </w:rPr>
              <w:t>0</w:t>
            </w:r>
          </w:p>
        </w:tc>
        <w:tc>
          <w:tcPr>
            <w:tcW w:w="1822" w:type="dxa"/>
            <w:tcBorders>
              <w:top w:val="single" w:color="auto" w:sz="4" w:space="0"/>
              <w:left w:val="single" w:color="auto" w:sz="4" w:space="0"/>
              <w:bottom w:val="single" w:color="auto" w:sz="4" w:space="0"/>
              <w:right w:val="single" w:color="auto" w:sz="4" w:space="0"/>
            </w:tcBorders>
            <w:vAlign w:val="center"/>
          </w:tcPr>
          <w:p w14:paraId="79B4D6F8">
            <w:pPr>
              <w:pStyle w:val="96"/>
              <w:spacing w:line="240" w:lineRule="auto"/>
              <w:ind w:firstLine="0" w:firstLineChars="0"/>
              <w:rPr>
                <w:rFonts w:hint="default" w:ascii="Times New Roman" w:hAnsi="Times New Roman" w:eastAsia="宋体" w:cs="Times New Roman"/>
                <w:color w:val="auto"/>
                <w:kern w:val="21"/>
                <w:highlight w:val="none"/>
              </w:rPr>
            </w:pPr>
            <w:r>
              <w:rPr>
                <w:rFonts w:hint="default" w:ascii="Times New Roman" w:hAnsi="Times New Roman" w:eastAsia="宋体" w:cs="Times New Roman"/>
                <w:color w:val="auto"/>
                <w:kern w:val="21"/>
                <w:highlight w:val="none"/>
              </w:rPr>
              <w:t>0</w:t>
            </w:r>
          </w:p>
        </w:tc>
        <w:tc>
          <w:tcPr>
            <w:tcW w:w="2117" w:type="dxa"/>
            <w:tcBorders>
              <w:top w:val="single" w:color="auto" w:sz="4" w:space="0"/>
              <w:left w:val="single" w:color="auto" w:sz="4" w:space="0"/>
              <w:bottom w:val="single" w:color="auto" w:sz="4" w:space="0"/>
              <w:right w:val="single" w:color="auto" w:sz="4" w:space="0"/>
            </w:tcBorders>
            <w:vAlign w:val="center"/>
          </w:tcPr>
          <w:p w14:paraId="4B3CDC76">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424" w:type="dxa"/>
            <w:tcBorders>
              <w:top w:val="single" w:color="auto" w:sz="4" w:space="0"/>
              <w:left w:val="single" w:color="auto" w:sz="4" w:space="0"/>
              <w:bottom w:val="single" w:color="auto" w:sz="4" w:space="0"/>
              <w:right w:val="single" w:color="auto" w:sz="4" w:space="0"/>
            </w:tcBorders>
            <w:vAlign w:val="center"/>
          </w:tcPr>
          <w:p w14:paraId="442A4698">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575" w:type="dxa"/>
            <w:tcBorders>
              <w:top w:val="single" w:color="auto" w:sz="4" w:space="0"/>
              <w:left w:val="single" w:color="auto" w:sz="4" w:space="0"/>
              <w:bottom w:val="single" w:color="auto" w:sz="4" w:space="0"/>
              <w:right w:val="single" w:color="auto" w:sz="4" w:space="0"/>
            </w:tcBorders>
            <w:vAlign w:val="center"/>
          </w:tcPr>
          <w:p w14:paraId="3A2EF19E">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547" w:type="dxa"/>
            <w:tcBorders>
              <w:top w:val="single" w:color="auto" w:sz="4" w:space="0"/>
              <w:left w:val="single" w:color="auto" w:sz="4" w:space="0"/>
              <w:bottom w:val="single" w:color="auto" w:sz="4" w:space="0"/>
              <w:right w:val="single" w:color="auto" w:sz="8" w:space="0"/>
            </w:tcBorders>
            <w:vAlign w:val="center"/>
          </w:tcPr>
          <w:p w14:paraId="366E91BC">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r>
      <w:tr w14:paraId="0B1FC3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8" w:type="dxa"/>
            <w:vMerge w:val="continue"/>
            <w:tcBorders>
              <w:left w:val="single" w:color="auto" w:sz="8" w:space="0"/>
              <w:right w:val="single" w:color="auto" w:sz="4" w:space="0"/>
            </w:tcBorders>
            <w:vAlign w:val="center"/>
          </w:tcPr>
          <w:p w14:paraId="25BC6FF4">
            <w:pPr>
              <w:pStyle w:val="96"/>
              <w:spacing w:line="240" w:lineRule="auto"/>
              <w:ind w:firstLine="0" w:firstLineChars="0"/>
              <w:rPr>
                <w:rFonts w:hint="default" w:ascii="Times New Roman" w:hAnsi="Times New Roman" w:eastAsia="宋体" w:cs="Times New Roman"/>
                <w:color w:val="auto"/>
                <w:kern w:val="21"/>
                <w:highlight w:val="none"/>
              </w:rPr>
            </w:pPr>
          </w:p>
        </w:tc>
        <w:tc>
          <w:tcPr>
            <w:tcW w:w="1717" w:type="dxa"/>
            <w:tcBorders>
              <w:top w:val="single" w:color="auto" w:sz="4" w:space="0"/>
              <w:left w:val="single" w:color="auto" w:sz="4" w:space="0"/>
              <w:bottom w:val="single" w:color="auto" w:sz="4" w:space="0"/>
              <w:right w:val="single" w:color="auto" w:sz="4" w:space="0"/>
            </w:tcBorders>
            <w:shd w:val="clear" w:color="auto" w:fill="auto"/>
            <w:vAlign w:val="center"/>
          </w:tcPr>
          <w:p w14:paraId="2726E319">
            <w:pPr>
              <w:pStyle w:val="96"/>
              <w:spacing w:line="240" w:lineRule="auto"/>
              <w:ind w:firstLine="0" w:firstLineChars="0"/>
              <w:rPr>
                <w:rFonts w:hint="default" w:ascii="Times New Roman" w:hAnsi="Times New Roman" w:eastAsia="宋体" w:cs="Times New Roman"/>
                <w:color w:val="auto"/>
                <w:kern w:val="21"/>
                <w:highlight w:val="none"/>
                <w:lang w:val="en-US" w:eastAsia="zh-CN"/>
              </w:rPr>
            </w:pPr>
            <w:r>
              <w:rPr>
                <w:rFonts w:hint="default" w:ascii="Times New Roman" w:hAnsi="Times New Roman" w:eastAsia="宋体" w:cs="Times New Roman"/>
                <w:color w:val="auto"/>
                <w:kern w:val="21"/>
                <w:highlight w:val="none"/>
                <w:lang w:val="en-US" w:eastAsia="zh-CN"/>
              </w:rPr>
              <w:t>VOCs</w:t>
            </w:r>
          </w:p>
          <w:p w14:paraId="3A14BED2">
            <w:pPr>
              <w:pStyle w:val="96"/>
              <w:spacing w:line="240" w:lineRule="auto"/>
              <w:ind w:firstLine="0" w:firstLineChars="0"/>
              <w:rPr>
                <w:rFonts w:hint="default" w:ascii="Times New Roman" w:hAnsi="Times New Roman" w:eastAsia="宋体" w:cs="Times New Roman"/>
                <w:color w:val="auto"/>
                <w:kern w:val="21"/>
                <w:highlight w:val="none"/>
                <w:lang w:val="en-US" w:eastAsia="zh-CN"/>
              </w:rPr>
            </w:pPr>
            <w:r>
              <w:rPr>
                <w:rFonts w:hint="default" w:ascii="Times New Roman" w:hAnsi="Times New Roman" w:eastAsia="宋体" w:cs="Times New Roman"/>
                <w:color w:val="auto"/>
                <w:kern w:val="21"/>
                <w:highlight w:val="none"/>
                <w:lang w:val="en-US" w:eastAsia="zh-CN"/>
              </w:rPr>
              <w:t>（非甲烷总烃）</w:t>
            </w:r>
          </w:p>
        </w:tc>
        <w:tc>
          <w:tcPr>
            <w:tcW w:w="1470" w:type="dxa"/>
            <w:tcBorders>
              <w:top w:val="single" w:color="auto" w:sz="4" w:space="0"/>
              <w:left w:val="single" w:color="auto" w:sz="4" w:space="0"/>
              <w:bottom w:val="single" w:color="auto" w:sz="4" w:space="0"/>
              <w:right w:val="single" w:color="auto" w:sz="4" w:space="0"/>
            </w:tcBorders>
            <w:shd w:val="clear" w:color="auto" w:fill="auto"/>
            <w:vAlign w:val="center"/>
          </w:tcPr>
          <w:p w14:paraId="6CFDD7FE">
            <w:pPr>
              <w:pStyle w:val="96"/>
              <w:spacing w:line="240" w:lineRule="auto"/>
              <w:ind w:firstLine="0" w:firstLineChars="0"/>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highlight w:val="none"/>
              </w:rPr>
              <w:t>0</w:t>
            </w:r>
          </w:p>
        </w:tc>
        <w:tc>
          <w:tcPr>
            <w:tcW w:w="1238" w:type="dxa"/>
            <w:tcBorders>
              <w:top w:val="single" w:color="auto" w:sz="4" w:space="0"/>
              <w:left w:val="single" w:color="auto" w:sz="4" w:space="0"/>
              <w:bottom w:val="single" w:color="auto" w:sz="4" w:space="0"/>
              <w:right w:val="single" w:color="auto" w:sz="4" w:space="0"/>
            </w:tcBorders>
            <w:vAlign w:val="center"/>
          </w:tcPr>
          <w:p w14:paraId="1A8F6431">
            <w:pPr>
              <w:pStyle w:val="96"/>
              <w:spacing w:line="240" w:lineRule="auto"/>
              <w:ind w:firstLine="0" w:firstLineChars="0"/>
              <w:rPr>
                <w:rFonts w:hint="default" w:ascii="Times New Roman" w:hAnsi="Times New Roman" w:eastAsia="宋体" w:cs="Times New Roman"/>
                <w:color w:val="auto"/>
                <w:kern w:val="21"/>
                <w:highlight w:val="none"/>
              </w:rPr>
            </w:pPr>
            <w:r>
              <w:rPr>
                <w:rFonts w:hint="default" w:ascii="Times New Roman" w:hAnsi="Times New Roman" w:eastAsia="宋体" w:cs="Times New Roman"/>
                <w:color w:val="auto"/>
                <w:kern w:val="21"/>
                <w:highlight w:val="none"/>
              </w:rPr>
              <w:t>0</w:t>
            </w:r>
          </w:p>
        </w:tc>
        <w:tc>
          <w:tcPr>
            <w:tcW w:w="1822" w:type="dxa"/>
            <w:tcBorders>
              <w:top w:val="single" w:color="auto" w:sz="4" w:space="0"/>
              <w:left w:val="single" w:color="auto" w:sz="4" w:space="0"/>
              <w:bottom w:val="single" w:color="auto" w:sz="4" w:space="0"/>
              <w:right w:val="single" w:color="auto" w:sz="4" w:space="0"/>
            </w:tcBorders>
            <w:vAlign w:val="center"/>
          </w:tcPr>
          <w:p w14:paraId="0D274580">
            <w:pPr>
              <w:pStyle w:val="96"/>
              <w:spacing w:line="240" w:lineRule="auto"/>
              <w:ind w:firstLine="0" w:firstLineChars="0"/>
              <w:rPr>
                <w:rFonts w:hint="default" w:ascii="Times New Roman" w:hAnsi="Times New Roman" w:eastAsia="宋体" w:cs="Times New Roman"/>
                <w:color w:val="auto"/>
                <w:kern w:val="21"/>
                <w:highlight w:val="none"/>
              </w:rPr>
            </w:pPr>
            <w:r>
              <w:rPr>
                <w:rFonts w:hint="default" w:ascii="Times New Roman" w:hAnsi="Times New Roman" w:eastAsia="宋体" w:cs="Times New Roman"/>
                <w:color w:val="auto"/>
                <w:kern w:val="21"/>
                <w:highlight w:val="none"/>
              </w:rPr>
              <w:t>0</w:t>
            </w:r>
          </w:p>
        </w:tc>
        <w:tc>
          <w:tcPr>
            <w:tcW w:w="2117" w:type="dxa"/>
            <w:tcBorders>
              <w:top w:val="single" w:color="auto" w:sz="4" w:space="0"/>
              <w:left w:val="single" w:color="auto" w:sz="4" w:space="0"/>
              <w:bottom w:val="single" w:color="auto" w:sz="4" w:space="0"/>
              <w:right w:val="single" w:color="auto" w:sz="4" w:space="0"/>
            </w:tcBorders>
            <w:vAlign w:val="center"/>
          </w:tcPr>
          <w:p w14:paraId="2E974C99">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424" w:type="dxa"/>
            <w:tcBorders>
              <w:top w:val="single" w:color="auto" w:sz="4" w:space="0"/>
              <w:left w:val="single" w:color="auto" w:sz="4" w:space="0"/>
              <w:bottom w:val="single" w:color="auto" w:sz="4" w:space="0"/>
              <w:right w:val="single" w:color="auto" w:sz="4" w:space="0"/>
            </w:tcBorders>
            <w:vAlign w:val="center"/>
          </w:tcPr>
          <w:p w14:paraId="29A1D32E">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575" w:type="dxa"/>
            <w:tcBorders>
              <w:top w:val="single" w:color="auto" w:sz="4" w:space="0"/>
              <w:left w:val="single" w:color="auto" w:sz="4" w:space="0"/>
              <w:bottom w:val="single" w:color="auto" w:sz="4" w:space="0"/>
              <w:right w:val="single" w:color="auto" w:sz="4" w:space="0"/>
            </w:tcBorders>
            <w:vAlign w:val="center"/>
          </w:tcPr>
          <w:p w14:paraId="63996CF0">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547" w:type="dxa"/>
            <w:tcBorders>
              <w:top w:val="single" w:color="auto" w:sz="4" w:space="0"/>
              <w:left w:val="single" w:color="auto" w:sz="4" w:space="0"/>
              <w:bottom w:val="single" w:color="auto" w:sz="4" w:space="0"/>
              <w:right w:val="single" w:color="auto" w:sz="8" w:space="0"/>
            </w:tcBorders>
            <w:vAlign w:val="center"/>
          </w:tcPr>
          <w:p w14:paraId="205EABB8">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r>
      <w:tr w14:paraId="7D02C5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8" w:type="dxa"/>
            <w:vMerge w:val="restart"/>
            <w:tcBorders>
              <w:top w:val="single" w:color="auto" w:sz="4" w:space="0"/>
              <w:left w:val="single" w:color="auto" w:sz="8" w:space="0"/>
              <w:right w:val="single" w:color="auto" w:sz="4" w:space="0"/>
            </w:tcBorders>
            <w:vAlign w:val="center"/>
          </w:tcPr>
          <w:p w14:paraId="7705299F">
            <w:pPr>
              <w:pStyle w:val="96"/>
              <w:spacing w:line="240" w:lineRule="auto"/>
              <w:ind w:firstLine="0" w:firstLineChars="0"/>
              <w:rPr>
                <w:rFonts w:hint="default" w:ascii="Times New Roman" w:hAnsi="Times New Roman" w:eastAsia="宋体" w:cs="Times New Roman"/>
                <w:color w:val="auto"/>
                <w:kern w:val="21"/>
                <w:highlight w:val="none"/>
              </w:rPr>
            </w:pPr>
            <w:r>
              <w:rPr>
                <w:rFonts w:hint="default" w:ascii="Times New Roman" w:hAnsi="Times New Roman" w:eastAsia="宋体" w:cs="Times New Roman"/>
                <w:color w:val="auto"/>
                <w:kern w:val="21"/>
                <w:highlight w:val="none"/>
              </w:rPr>
              <w:t>废水</w:t>
            </w:r>
          </w:p>
          <w:p w14:paraId="6CA79E77">
            <w:pPr>
              <w:pStyle w:val="96"/>
              <w:spacing w:line="240" w:lineRule="auto"/>
              <w:ind w:firstLine="0" w:firstLineChars="0"/>
              <w:rPr>
                <w:rFonts w:hint="default" w:ascii="Times New Roman" w:hAnsi="Times New Roman" w:eastAsia="宋体" w:cs="Times New Roman"/>
                <w:color w:val="auto"/>
                <w:kern w:val="21"/>
                <w:highlight w:val="none"/>
              </w:rPr>
            </w:pPr>
            <w:r>
              <w:rPr>
                <w:rFonts w:hint="default" w:ascii="Times New Roman" w:hAnsi="Times New Roman" w:eastAsia="宋体" w:cs="Times New Roman"/>
                <w:color w:val="auto"/>
                <w:kern w:val="21"/>
                <w:highlight w:val="none"/>
                <w:lang w:eastAsia="zh-CN"/>
              </w:rPr>
              <w:t>（</w:t>
            </w:r>
            <w:r>
              <w:rPr>
                <w:rFonts w:hint="default" w:ascii="Times New Roman" w:hAnsi="Times New Roman" w:eastAsia="宋体" w:cs="Times New Roman"/>
                <w:color w:val="auto"/>
                <w:kern w:val="21"/>
                <w:highlight w:val="none"/>
              </w:rPr>
              <w:t>t/a</w:t>
            </w:r>
            <w:r>
              <w:rPr>
                <w:rFonts w:hint="default" w:ascii="Times New Roman" w:hAnsi="Times New Roman" w:eastAsia="宋体" w:cs="Times New Roman"/>
                <w:color w:val="auto"/>
                <w:kern w:val="21"/>
                <w:highlight w:val="none"/>
                <w:lang w:eastAsia="zh-CN"/>
              </w:rPr>
              <w:t>）</w:t>
            </w:r>
          </w:p>
        </w:tc>
        <w:tc>
          <w:tcPr>
            <w:tcW w:w="1717" w:type="dxa"/>
            <w:tcBorders>
              <w:top w:val="single" w:color="auto" w:sz="4" w:space="0"/>
              <w:left w:val="single" w:color="auto" w:sz="4" w:space="0"/>
              <w:bottom w:val="single" w:color="auto" w:sz="4" w:space="0"/>
              <w:right w:val="single" w:color="auto" w:sz="4" w:space="0"/>
            </w:tcBorders>
            <w:vAlign w:val="center"/>
          </w:tcPr>
          <w:p w14:paraId="5CDBD757">
            <w:pPr>
              <w:pStyle w:val="96"/>
              <w:spacing w:line="240" w:lineRule="auto"/>
              <w:ind w:firstLine="0" w:firstLineChars="0"/>
              <w:rPr>
                <w:rFonts w:hint="default" w:ascii="Times New Roman" w:hAnsi="Times New Roman" w:eastAsia="宋体" w:cs="Times New Roman"/>
                <w:color w:val="auto"/>
                <w:kern w:val="21"/>
                <w:highlight w:val="none"/>
              </w:rPr>
            </w:pPr>
            <w:r>
              <w:rPr>
                <w:rFonts w:hint="default" w:ascii="Times New Roman" w:hAnsi="Times New Roman" w:eastAsia="宋体" w:cs="Times New Roman"/>
                <w:color w:val="auto"/>
                <w:kern w:val="21"/>
                <w:highlight w:val="none"/>
              </w:rPr>
              <w:t>废水量</w:t>
            </w:r>
          </w:p>
        </w:tc>
        <w:tc>
          <w:tcPr>
            <w:tcW w:w="1470" w:type="dxa"/>
            <w:tcBorders>
              <w:top w:val="single" w:color="auto" w:sz="4" w:space="0"/>
              <w:left w:val="single" w:color="auto" w:sz="4" w:space="0"/>
              <w:bottom w:val="single" w:color="auto" w:sz="4" w:space="0"/>
              <w:right w:val="single" w:color="auto" w:sz="4" w:space="0"/>
            </w:tcBorders>
            <w:shd w:val="clear" w:color="auto" w:fill="auto"/>
            <w:vAlign w:val="center"/>
          </w:tcPr>
          <w:p w14:paraId="316E2252">
            <w:pPr>
              <w:pStyle w:val="96"/>
              <w:spacing w:line="240" w:lineRule="auto"/>
              <w:ind w:firstLine="0" w:firstLineChars="0"/>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highlight w:val="none"/>
              </w:rPr>
              <w:t>0</w:t>
            </w:r>
          </w:p>
        </w:tc>
        <w:tc>
          <w:tcPr>
            <w:tcW w:w="1238" w:type="dxa"/>
            <w:tcBorders>
              <w:top w:val="single" w:color="auto" w:sz="4" w:space="0"/>
              <w:left w:val="single" w:color="auto" w:sz="4" w:space="0"/>
              <w:bottom w:val="single" w:color="auto" w:sz="4" w:space="0"/>
              <w:right w:val="single" w:color="auto" w:sz="4" w:space="0"/>
            </w:tcBorders>
            <w:vAlign w:val="center"/>
          </w:tcPr>
          <w:p w14:paraId="080CDF52">
            <w:pPr>
              <w:pStyle w:val="96"/>
              <w:spacing w:line="240" w:lineRule="auto"/>
              <w:ind w:firstLine="0" w:firstLineChars="0"/>
              <w:rPr>
                <w:rFonts w:hint="default" w:ascii="Times New Roman" w:hAnsi="Times New Roman" w:eastAsia="宋体" w:cs="Times New Roman"/>
                <w:color w:val="auto"/>
                <w:kern w:val="21"/>
                <w:highlight w:val="none"/>
              </w:rPr>
            </w:pPr>
            <w:r>
              <w:rPr>
                <w:rFonts w:hint="default" w:ascii="Times New Roman" w:hAnsi="Times New Roman" w:eastAsia="宋体" w:cs="Times New Roman"/>
                <w:color w:val="auto"/>
                <w:kern w:val="21"/>
                <w:highlight w:val="none"/>
              </w:rPr>
              <w:t>0</w:t>
            </w:r>
          </w:p>
        </w:tc>
        <w:tc>
          <w:tcPr>
            <w:tcW w:w="1822" w:type="dxa"/>
            <w:tcBorders>
              <w:top w:val="single" w:color="auto" w:sz="4" w:space="0"/>
              <w:left w:val="single" w:color="auto" w:sz="4" w:space="0"/>
              <w:bottom w:val="single" w:color="auto" w:sz="4" w:space="0"/>
              <w:right w:val="single" w:color="auto" w:sz="4" w:space="0"/>
            </w:tcBorders>
            <w:vAlign w:val="center"/>
          </w:tcPr>
          <w:p w14:paraId="44B6DEEF">
            <w:pPr>
              <w:pStyle w:val="96"/>
              <w:spacing w:line="240" w:lineRule="auto"/>
              <w:ind w:firstLine="0" w:firstLineChars="0"/>
              <w:rPr>
                <w:rFonts w:hint="default" w:ascii="Times New Roman" w:hAnsi="Times New Roman" w:eastAsia="宋体" w:cs="Times New Roman"/>
                <w:color w:val="auto"/>
                <w:kern w:val="21"/>
                <w:highlight w:val="none"/>
              </w:rPr>
            </w:pPr>
            <w:r>
              <w:rPr>
                <w:rFonts w:hint="default" w:ascii="Times New Roman" w:hAnsi="Times New Roman" w:eastAsia="宋体" w:cs="Times New Roman"/>
                <w:color w:val="auto"/>
                <w:kern w:val="21"/>
                <w:highlight w:val="none"/>
              </w:rPr>
              <w:t>0</w:t>
            </w:r>
          </w:p>
        </w:tc>
        <w:tc>
          <w:tcPr>
            <w:tcW w:w="2117" w:type="dxa"/>
            <w:tcBorders>
              <w:top w:val="single" w:color="auto" w:sz="4" w:space="0"/>
              <w:left w:val="single" w:color="auto" w:sz="4" w:space="0"/>
              <w:bottom w:val="single" w:color="auto" w:sz="4" w:space="0"/>
              <w:right w:val="single" w:color="auto" w:sz="4" w:space="0"/>
            </w:tcBorders>
            <w:vAlign w:val="center"/>
          </w:tcPr>
          <w:p w14:paraId="75ADE161">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lang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424" w:type="dxa"/>
            <w:tcBorders>
              <w:top w:val="single" w:color="auto" w:sz="4" w:space="0"/>
              <w:left w:val="single" w:color="auto" w:sz="4" w:space="0"/>
              <w:bottom w:val="single" w:color="auto" w:sz="4" w:space="0"/>
              <w:right w:val="single" w:color="auto" w:sz="4" w:space="0"/>
            </w:tcBorders>
            <w:vAlign w:val="center"/>
          </w:tcPr>
          <w:p w14:paraId="2BB5681C">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rPr>
            </w:pPr>
            <w:r>
              <w:rPr>
                <w:rFonts w:hint="eastAsia" w:ascii="Times New Roman" w:hAnsi="Times New Roman" w:eastAsia="宋体" w:cs="Times New Roman"/>
                <w:snapToGrid w:val="0"/>
                <w:color w:val="auto"/>
                <w:kern w:val="21"/>
                <w:sz w:val="21"/>
                <w:szCs w:val="21"/>
                <w:highlight w:val="none"/>
                <w:lang w:val="en-US" w:eastAsia="zh-CN"/>
              </w:rPr>
              <w:t>***</w:t>
            </w:r>
          </w:p>
        </w:tc>
        <w:tc>
          <w:tcPr>
            <w:tcW w:w="1575" w:type="dxa"/>
            <w:tcBorders>
              <w:top w:val="single" w:color="auto" w:sz="4" w:space="0"/>
              <w:left w:val="single" w:color="auto" w:sz="4" w:space="0"/>
              <w:bottom w:val="single" w:color="auto" w:sz="4" w:space="0"/>
              <w:right w:val="single" w:color="auto" w:sz="4" w:space="0"/>
            </w:tcBorders>
            <w:vAlign w:val="center"/>
          </w:tcPr>
          <w:p w14:paraId="2D111ACA">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lang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547" w:type="dxa"/>
            <w:tcBorders>
              <w:top w:val="single" w:color="auto" w:sz="4" w:space="0"/>
              <w:left w:val="single" w:color="auto" w:sz="4" w:space="0"/>
              <w:bottom w:val="single" w:color="auto" w:sz="4" w:space="0"/>
              <w:right w:val="single" w:color="auto" w:sz="8" w:space="0"/>
            </w:tcBorders>
            <w:vAlign w:val="center"/>
          </w:tcPr>
          <w:p w14:paraId="73795736">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lang w:eastAsia="zh-CN"/>
              </w:rPr>
            </w:pPr>
            <w:r>
              <w:rPr>
                <w:rFonts w:hint="eastAsia" w:ascii="Times New Roman" w:hAnsi="Times New Roman" w:eastAsia="宋体" w:cs="Times New Roman"/>
                <w:snapToGrid w:val="0"/>
                <w:color w:val="auto"/>
                <w:kern w:val="21"/>
                <w:sz w:val="21"/>
                <w:szCs w:val="21"/>
                <w:highlight w:val="none"/>
                <w:lang w:val="en-US" w:eastAsia="zh-CN"/>
              </w:rPr>
              <w:t>***</w:t>
            </w:r>
          </w:p>
        </w:tc>
      </w:tr>
      <w:tr w14:paraId="569D4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8" w:type="dxa"/>
            <w:vMerge w:val="continue"/>
            <w:tcBorders>
              <w:left w:val="single" w:color="auto" w:sz="8" w:space="0"/>
              <w:right w:val="single" w:color="auto" w:sz="4" w:space="0"/>
            </w:tcBorders>
            <w:vAlign w:val="center"/>
          </w:tcPr>
          <w:p w14:paraId="2F5BA0C1">
            <w:pPr>
              <w:pStyle w:val="96"/>
              <w:spacing w:line="240" w:lineRule="auto"/>
              <w:ind w:firstLine="0" w:firstLineChars="0"/>
              <w:rPr>
                <w:rFonts w:hint="default" w:ascii="Times New Roman" w:hAnsi="Times New Roman" w:eastAsia="宋体" w:cs="Times New Roman"/>
                <w:color w:val="auto"/>
                <w:kern w:val="21"/>
                <w:highlight w:val="none"/>
              </w:rPr>
            </w:pPr>
          </w:p>
        </w:tc>
        <w:tc>
          <w:tcPr>
            <w:tcW w:w="1717" w:type="dxa"/>
            <w:tcBorders>
              <w:top w:val="single" w:color="auto" w:sz="4" w:space="0"/>
              <w:left w:val="single" w:color="auto" w:sz="4" w:space="0"/>
              <w:bottom w:val="single" w:color="auto" w:sz="4" w:space="0"/>
              <w:right w:val="single" w:color="auto" w:sz="4" w:space="0"/>
            </w:tcBorders>
            <w:vAlign w:val="center"/>
          </w:tcPr>
          <w:p w14:paraId="2BF374AC">
            <w:pPr>
              <w:pStyle w:val="96"/>
              <w:spacing w:line="240" w:lineRule="auto"/>
              <w:ind w:firstLine="0" w:firstLineChars="0"/>
              <w:rPr>
                <w:rFonts w:hint="default" w:ascii="Times New Roman" w:hAnsi="Times New Roman" w:eastAsia="宋体" w:cs="Times New Roman"/>
                <w:color w:val="auto"/>
                <w:kern w:val="21"/>
                <w:highlight w:val="none"/>
              </w:rPr>
            </w:pPr>
            <w:r>
              <w:rPr>
                <w:rFonts w:hint="default" w:ascii="Times New Roman" w:hAnsi="Times New Roman" w:eastAsia="宋体" w:cs="Times New Roman"/>
                <w:color w:val="auto"/>
                <w:kern w:val="21"/>
                <w:highlight w:val="none"/>
              </w:rPr>
              <w:t>COD</w:t>
            </w:r>
          </w:p>
        </w:tc>
        <w:tc>
          <w:tcPr>
            <w:tcW w:w="1470" w:type="dxa"/>
            <w:tcBorders>
              <w:top w:val="single" w:color="auto" w:sz="4" w:space="0"/>
              <w:left w:val="single" w:color="auto" w:sz="4" w:space="0"/>
              <w:bottom w:val="single" w:color="auto" w:sz="4" w:space="0"/>
              <w:right w:val="single" w:color="auto" w:sz="4" w:space="0"/>
            </w:tcBorders>
            <w:vAlign w:val="center"/>
          </w:tcPr>
          <w:p w14:paraId="446EFC48">
            <w:pPr>
              <w:pStyle w:val="96"/>
              <w:spacing w:line="240" w:lineRule="auto"/>
              <w:ind w:firstLine="0" w:firstLineChars="0"/>
              <w:rPr>
                <w:rFonts w:hint="default" w:ascii="Times New Roman" w:hAnsi="Times New Roman" w:eastAsia="宋体" w:cs="Times New Roman"/>
                <w:color w:val="auto"/>
                <w:kern w:val="21"/>
                <w:highlight w:val="none"/>
              </w:rPr>
            </w:pPr>
            <w:r>
              <w:rPr>
                <w:rFonts w:hint="default" w:ascii="Times New Roman" w:hAnsi="Times New Roman" w:eastAsia="宋体" w:cs="Times New Roman"/>
                <w:color w:val="auto"/>
                <w:kern w:val="21"/>
                <w:highlight w:val="none"/>
              </w:rPr>
              <w:t>0</w:t>
            </w:r>
          </w:p>
        </w:tc>
        <w:tc>
          <w:tcPr>
            <w:tcW w:w="1238" w:type="dxa"/>
            <w:tcBorders>
              <w:top w:val="single" w:color="auto" w:sz="4" w:space="0"/>
              <w:left w:val="single" w:color="auto" w:sz="4" w:space="0"/>
              <w:bottom w:val="single" w:color="auto" w:sz="4" w:space="0"/>
              <w:right w:val="single" w:color="auto" w:sz="4" w:space="0"/>
            </w:tcBorders>
            <w:vAlign w:val="center"/>
          </w:tcPr>
          <w:p w14:paraId="64BD0408">
            <w:pPr>
              <w:pStyle w:val="96"/>
              <w:spacing w:line="240" w:lineRule="auto"/>
              <w:ind w:firstLine="0" w:firstLineChars="0"/>
              <w:rPr>
                <w:rFonts w:hint="default" w:ascii="Times New Roman" w:hAnsi="Times New Roman" w:eastAsia="宋体" w:cs="Times New Roman"/>
                <w:color w:val="auto"/>
                <w:kern w:val="21"/>
                <w:highlight w:val="none"/>
              </w:rPr>
            </w:pPr>
            <w:r>
              <w:rPr>
                <w:rFonts w:hint="default" w:ascii="Times New Roman" w:hAnsi="Times New Roman" w:eastAsia="宋体" w:cs="Times New Roman"/>
                <w:color w:val="auto"/>
                <w:kern w:val="21"/>
                <w:highlight w:val="none"/>
              </w:rPr>
              <w:t>0</w:t>
            </w:r>
          </w:p>
        </w:tc>
        <w:tc>
          <w:tcPr>
            <w:tcW w:w="1822" w:type="dxa"/>
            <w:tcBorders>
              <w:top w:val="single" w:color="auto" w:sz="4" w:space="0"/>
              <w:left w:val="single" w:color="auto" w:sz="4" w:space="0"/>
              <w:bottom w:val="single" w:color="auto" w:sz="4" w:space="0"/>
              <w:right w:val="single" w:color="auto" w:sz="4" w:space="0"/>
            </w:tcBorders>
            <w:vAlign w:val="center"/>
          </w:tcPr>
          <w:p w14:paraId="570827D4">
            <w:pPr>
              <w:pStyle w:val="96"/>
              <w:spacing w:line="240" w:lineRule="auto"/>
              <w:ind w:firstLine="0" w:firstLineChars="0"/>
              <w:rPr>
                <w:rFonts w:hint="default" w:ascii="Times New Roman" w:hAnsi="Times New Roman" w:eastAsia="宋体" w:cs="Times New Roman"/>
                <w:color w:val="auto"/>
                <w:kern w:val="21"/>
                <w:highlight w:val="none"/>
              </w:rPr>
            </w:pPr>
            <w:r>
              <w:rPr>
                <w:rFonts w:hint="default" w:ascii="Times New Roman" w:hAnsi="Times New Roman" w:eastAsia="宋体" w:cs="Times New Roman"/>
                <w:color w:val="auto"/>
                <w:kern w:val="21"/>
                <w:highlight w:val="none"/>
              </w:rPr>
              <w:t>0</w:t>
            </w:r>
          </w:p>
        </w:tc>
        <w:tc>
          <w:tcPr>
            <w:tcW w:w="2117" w:type="dxa"/>
            <w:tcBorders>
              <w:top w:val="single" w:color="auto" w:sz="4" w:space="0"/>
              <w:left w:val="single" w:color="auto" w:sz="4" w:space="0"/>
              <w:bottom w:val="single" w:color="auto" w:sz="4" w:space="0"/>
              <w:right w:val="single" w:color="auto" w:sz="4" w:space="0"/>
            </w:tcBorders>
            <w:vAlign w:val="center"/>
          </w:tcPr>
          <w:p w14:paraId="7C4EB6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lang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424" w:type="dxa"/>
            <w:tcBorders>
              <w:top w:val="single" w:color="auto" w:sz="4" w:space="0"/>
              <w:left w:val="single" w:color="auto" w:sz="4" w:space="0"/>
              <w:bottom w:val="single" w:color="auto" w:sz="4" w:space="0"/>
              <w:right w:val="single" w:color="auto" w:sz="4" w:space="0"/>
            </w:tcBorders>
            <w:vAlign w:val="center"/>
          </w:tcPr>
          <w:p w14:paraId="53E032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rPr>
            </w:pPr>
            <w:r>
              <w:rPr>
                <w:rFonts w:hint="eastAsia" w:ascii="Times New Roman" w:hAnsi="Times New Roman" w:eastAsia="宋体" w:cs="Times New Roman"/>
                <w:snapToGrid w:val="0"/>
                <w:color w:val="auto"/>
                <w:kern w:val="21"/>
                <w:sz w:val="21"/>
                <w:szCs w:val="21"/>
                <w:highlight w:val="none"/>
                <w:lang w:val="en-US" w:eastAsia="zh-CN"/>
              </w:rPr>
              <w:t>***</w:t>
            </w:r>
          </w:p>
        </w:tc>
        <w:tc>
          <w:tcPr>
            <w:tcW w:w="1575" w:type="dxa"/>
            <w:tcBorders>
              <w:top w:val="single" w:color="auto" w:sz="4" w:space="0"/>
              <w:left w:val="single" w:color="auto" w:sz="4" w:space="0"/>
              <w:bottom w:val="single" w:color="auto" w:sz="4" w:space="0"/>
              <w:right w:val="single" w:color="auto" w:sz="4" w:space="0"/>
            </w:tcBorders>
            <w:vAlign w:val="center"/>
          </w:tcPr>
          <w:p w14:paraId="68DB6E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lang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547" w:type="dxa"/>
            <w:tcBorders>
              <w:top w:val="single" w:color="auto" w:sz="4" w:space="0"/>
              <w:left w:val="single" w:color="auto" w:sz="4" w:space="0"/>
              <w:bottom w:val="single" w:color="auto" w:sz="4" w:space="0"/>
              <w:right w:val="single" w:color="auto" w:sz="8" w:space="0"/>
            </w:tcBorders>
            <w:vAlign w:val="center"/>
          </w:tcPr>
          <w:p w14:paraId="0F8F6F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lang w:eastAsia="zh-CN"/>
              </w:rPr>
            </w:pPr>
            <w:r>
              <w:rPr>
                <w:rFonts w:hint="eastAsia" w:ascii="Times New Roman" w:hAnsi="Times New Roman" w:eastAsia="宋体" w:cs="Times New Roman"/>
                <w:snapToGrid w:val="0"/>
                <w:color w:val="auto"/>
                <w:kern w:val="21"/>
                <w:sz w:val="21"/>
                <w:szCs w:val="21"/>
                <w:highlight w:val="none"/>
                <w:lang w:val="en-US" w:eastAsia="zh-CN"/>
              </w:rPr>
              <w:t>***</w:t>
            </w:r>
          </w:p>
        </w:tc>
      </w:tr>
      <w:tr w14:paraId="0FF97A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8" w:type="dxa"/>
            <w:vMerge w:val="continue"/>
            <w:tcBorders>
              <w:left w:val="single" w:color="auto" w:sz="8" w:space="0"/>
              <w:bottom w:val="single" w:color="auto" w:sz="4" w:space="0"/>
              <w:right w:val="single" w:color="auto" w:sz="4" w:space="0"/>
            </w:tcBorders>
            <w:vAlign w:val="center"/>
          </w:tcPr>
          <w:p w14:paraId="20591AD8">
            <w:pPr>
              <w:pStyle w:val="96"/>
              <w:spacing w:line="240" w:lineRule="auto"/>
              <w:ind w:firstLine="0" w:firstLineChars="0"/>
              <w:rPr>
                <w:rFonts w:hint="default" w:ascii="Times New Roman" w:hAnsi="Times New Roman" w:eastAsia="宋体" w:cs="Times New Roman"/>
                <w:color w:val="auto"/>
                <w:kern w:val="21"/>
                <w:highlight w:val="none"/>
              </w:rPr>
            </w:pPr>
          </w:p>
        </w:tc>
        <w:tc>
          <w:tcPr>
            <w:tcW w:w="1717" w:type="dxa"/>
            <w:tcBorders>
              <w:top w:val="single" w:color="auto" w:sz="4" w:space="0"/>
              <w:left w:val="single" w:color="auto" w:sz="4" w:space="0"/>
              <w:bottom w:val="single" w:color="auto" w:sz="4" w:space="0"/>
              <w:right w:val="single" w:color="auto" w:sz="4" w:space="0"/>
            </w:tcBorders>
            <w:vAlign w:val="center"/>
          </w:tcPr>
          <w:p w14:paraId="2CC459D6">
            <w:pPr>
              <w:pStyle w:val="96"/>
              <w:spacing w:line="240" w:lineRule="auto"/>
              <w:ind w:firstLine="0" w:firstLineChars="0"/>
              <w:rPr>
                <w:rFonts w:hint="default" w:ascii="Times New Roman" w:hAnsi="Times New Roman" w:eastAsia="宋体" w:cs="Times New Roman"/>
                <w:color w:val="auto"/>
                <w:kern w:val="21"/>
                <w:highlight w:val="none"/>
              </w:rPr>
            </w:pPr>
            <w:r>
              <w:rPr>
                <w:rFonts w:hint="default" w:ascii="Times New Roman" w:hAnsi="Times New Roman" w:eastAsia="宋体" w:cs="Times New Roman"/>
                <w:color w:val="auto"/>
                <w:kern w:val="21"/>
                <w:highlight w:val="none"/>
              </w:rPr>
              <w:t>氨氮</w:t>
            </w:r>
          </w:p>
        </w:tc>
        <w:tc>
          <w:tcPr>
            <w:tcW w:w="1470" w:type="dxa"/>
            <w:tcBorders>
              <w:top w:val="single" w:color="auto" w:sz="4" w:space="0"/>
              <w:left w:val="single" w:color="auto" w:sz="4" w:space="0"/>
              <w:bottom w:val="single" w:color="auto" w:sz="4" w:space="0"/>
              <w:right w:val="single" w:color="auto" w:sz="4" w:space="0"/>
            </w:tcBorders>
            <w:vAlign w:val="center"/>
          </w:tcPr>
          <w:p w14:paraId="39BD0631">
            <w:pPr>
              <w:pStyle w:val="96"/>
              <w:spacing w:line="240" w:lineRule="auto"/>
              <w:ind w:firstLine="0" w:firstLineChars="0"/>
              <w:rPr>
                <w:rFonts w:hint="default" w:ascii="Times New Roman" w:hAnsi="Times New Roman" w:eastAsia="宋体" w:cs="Times New Roman"/>
                <w:color w:val="auto"/>
                <w:kern w:val="21"/>
                <w:highlight w:val="none"/>
              </w:rPr>
            </w:pPr>
            <w:r>
              <w:rPr>
                <w:rFonts w:hint="default" w:ascii="Times New Roman" w:hAnsi="Times New Roman" w:eastAsia="宋体" w:cs="Times New Roman"/>
                <w:color w:val="auto"/>
                <w:kern w:val="21"/>
                <w:highlight w:val="none"/>
              </w:rPr>
              <w:t>0</w:t>
            </w:r>
          </w:p>
        </w:tc>
        <w:tc>
          <w:tcPr>
            <w:tcW w:w="1238" w:type="dxa"/>
            <w:tcBorders>
              <w:top w:val="single" w:color="auto" w:sz="4" w:space="0"/>
              <w:left w:val="single" w:color="auto" w:sz="4" w:space="0"/>
              <w:bottom w:val="single" w:color="auto" w:sz="4" w:space="0"/>
              <w:right w:val="single" w:color="auto" w:sz="4" w:space="0"/>
            </w:tcBorders>
            <w:vAlign w:val="center"/>
          </w:tcPr>
          <w:p w14:paraId="7A763148">
            <w:pPr>
              <w:pStyle w:val="96"/>
              <w:spacing w:line="240" w:lineRule="auto"/>
              <w:ind w:firstLine="0" w:firstLineChars="0"/>
              <w:rPr>
                <w:rFonts w:hint="default" w:ascii="Times New Roman" w:hAnsi="Times New Roman" w:eastAsia="宋体" w:cs="Times New Roman"/>
                <w:color w:val="auto"/>
                <w:kern w:val="21"/>
                <w:highlight w:val="none"/>
              </w:rPr>
            </w:pPr>
            <w:r>
              <w:rPr>
                <w:rFonts w:hint="default" w:ascii="Times New Roman" w:hAnsi="Times New Roman" w:eastAsia="宋体" w:cs="Times New Roman"/>
                <w:color w:val="auto"/>
                <w:kern w:val="21"/>
                <w:highlight w:val="none"/>
              </w:rPr>
              <w:t>0</w:t>
            </w:r>
          </w:p>
        </w:tc>
        <w:tc>
          <w:tcPr>
            <w:tcW w:w="1822" w:type="dxa"/>
            <w:tcBorders>
              <w:top w:val="single" w:color="auto" w:sz="4" w:space="0"/>
              <w:left w:val="single" w:color="auto" w:sz="4" w:space="0"/>
              <w:bottom w:val="single" w:color="auto" w:sz="4" w:space="0"/>
              <w:right w:val="single" w:color="auto" w:sz="4" w:space="0"/>
            </w:tcBorders>
            <w:vAlign w:val="center"/>
          </w:tcPr>
          <w:p w14:paraId="2D574D98">
            <w:pPr>
              <w:pStyle w:val="96"/>
              <w:spacing w:line="240" w:lineRule="auto"/>
              <w:ind w:firstLine="0" w:firstLineChars="0"/>
              <w:rPr>
                <w:rFonts w:hint="default" w:ascii="Times New Roman" w:hAnsi="Times New Roman" w:eastAsia="宋体" w:cs="Times New Roman"/>
                <w:color w:val="auto"/>
                <w:kern w:val="21"/>
                <w:highlight w:val="none"/>
              </w:rPr>
            </w:pPr>
            <w:r>
              <w:rPr>
                <w:rFonts w:hint="default" w:ascii="Times New Roman" w:hAnsi="Times New Roman" w:eastAsia="宋体" w:cs="Times New Roman"/>
                <w:color w:val="auto"/>
                <w:kern w:val="21"/>
                <w:highlight w:val="none"/>
              </w:rPr>
              <w:t>0</w:t>
            </w:r>
          </w:p>
        </w:tc>
        <w:tc>
          <w:tcPr>
            <w:tcW w:w="2117" w:type="dxa"/>
            <w:tcBorders>
              <w:top w:val="single" w:color="auto" w:sz="4" w:space="0"/>
              <w:left w:val="single" w:color="auto" w:sz="4" w:space="0"/>
              <w:bottom w:val="single" w:color="auto" w:sz="4" w:space="0"/>
              <w:right w:val="single" w:color="auto" w:sz="4" w:space="0"/>
            </w:tcBorders>
            <w:vAlign w:val="center"/>
          </w:tcPr>
          <w:p w14:paraId="374A57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lang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424" w:type="dxa"/>
            <w:tcBorders>
              <w:top w:val="single" w:color="auto" w:sz="4" w:space="0"/>
              <w:left w:val="single" w:color="auto" w:sz="4" w:space="0"/>
              <w:bottom w:val="single" w:color="auto" w:sz="4" w:space="0"/>
              <w:right w:val="single" w:color="auto" w:sz="4" w:space="0"/>
            </w:tcBorders>
            <w:vAlign w:val="center"/>
          </w:tcPr>
          <w:p w14:paraId="1AD12E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rPr>
            </w:pPr>
            <w:r>
              <w:rPr>
                <w:rFonts w:hint="eastAsia" w:ascii="Times New Roman" w:hAnsi="Times New Roman" w:eastAsia="宋体" w:cs="Times New Roman"/>
                <w:snapToGrid w:val="0"/>
                <w:color w:val="auto"/>
                <w:kern w:val="21"/>
                <w:sz w:val="21"/>
                <w:szCs w:val="21"/>
                <w:highlight w:val="none"/>
                <w:lang w:val="en-US" w:eastAsia="zh-CN"/>
              </w:rPr>
              <w:t>***</w:t>
            </w:r>
          </w:p>
        </w:tc>
        <w:tc>
          <w:tcPr>
            <w:tcW w:w="1575" w:type="dxa"/>
            <w:tcBorders>
              <w:top w:val="single" w:color="auto" w:sz="4" w:space="0"/>
              <w:left w:val="single" w:color="auto" w:sz="4" w:space="0"/>
              <w:bottom w:val="single" w:color="auto" w:sz="4" w:space="0"/>
              <w:right w:val="single" w:color="auto" w:sz="4" w:space="0"/>
            </w:tcBorders>
            <w:vAlign w:val="center"/>
          </w:tcPr>
          <w:p w14:paraId="61233A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lang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547" w:type="dxa"/>
            <w:tcBorders>
              <w:top w:val="single" w:color="auto" w:sz="4" w:space="0"/>
              <w:left w:val="single" w:color="auto" w:sz="4" w:space="0"/>
              <w:bottom w:val="single" w:color="auto" w:sz="4" w:space="0"/>
              <w:right w:val="single" w:color="auto" w:sz="8" w:space="0"/>
            </w:tcBorders>
            <w:vAlign w:val="center"/>
          </w:tcPr>
          <w:p w14:paraId="1FCC02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lang w:eastAsia="zh-CN"/>
              </w:rPr>
            </w:pPr>
            <w:r>
              <w:rPr>
                <w:rFonts w:hint="eastAsia" w:ascii="Times New Roman" w:hAnsi="Times New Roman" w:eastAsia="宋体" w:cs="Times New Roman"/>
                <w:snapToGrid w:val="0"/>
                <w:color w:val="auto"/>
                <w:kern w:val="21"/>
                <w:sz w:val="21"/>
                <w:szCs w:val="21"/>
                <w:highlight w:val="none"/>
                <w:lang w:val="en-US" w:eastAsia="zh-CN"/>
              </w:rPr>
              <w:t>***</w:t>
            </w:r>
          </w:p>
        </w:tc>
      </w:tr>
      <w:tr w14:paraId="2868D0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8" w:type="dxa"/>
            <w:vMerge w:val="restart"/>
            <w:tcBorders>
              <w:top w:val="single" w:color="auto" w:sz="4" w:space="0"/>
              <w:left w:val="single" w:color="auto" w:sz="8" w:space="0"/>
              <w:right w:val="single" w:color="auto" w:sz="4" w:space="0"/>
            </w:tcBorders>
            <w:vAlign w:val="center"/>
          </w:tcPr>
          <w:p w14:paraId="2F37A967">
            <w:pPr>
              <w:pStyle w:val="96"/>
              <w:spacing w:line="240" w:lineRule="auto"/>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kern w:val="21"/>
                <w:highlight w:val="none"/>
              </w:rPr>
              <w:t>危险废物</w:t>
            </w:r>
            <w:r>
              <w:rPr>
                <w:rFonts w:hint="default" w:ascii="Times New Roman" w:hAnsi="Times New Roman" w:eastAsia="宋体" w:cs="Times New Roman"/>
                <w:color w:val="auto"/>
                <w:kern w:val="21"/>
                <w:highlight w:val="none"/>
                <w:lang w:eastAsia="zh-CN"/>
              </w:rPr>
              <w:t>（</w:t>
            </w:r>
            <w:r>
              <w:rPr>
                <w:rFonts w:hint="default" w:ascii="Times New Roman" w:hAnsi="Times New Roman" w:eastAsia="宋体" w:cs="Times New Roman"/>
                <w:color w:val="auto"/>
                <w:kern w:val="21"/>
                <w:highlight w:val="none"/>
              </w:rPr>
              <w:t>t/a</w:t>
            </w:r>
            <w:r>
              <w:rPr>
                <w:rFonts w:hint="default" w:ascii="Times New Roman" w:hAnsi="Times New Roman" w:eastAsia="宋体" w:cs="Times New Roman"/>
                <w:color w:val="auto"/>
                <w:kern w:val="21"/>
                <w:highlight w:val="none"/>
                <w:lang w:eastAsia="zh-CN"/>
              </w:rPr>
              <w:t>）</w:t>
            </w:r>
          </w:p>
        </w:tc>
        <w:tc>
          <w:tcPr>
            <w:tcW w:w="1717" w:type="dxa"/>
            <w:tcBorders>
              <w:top w:val="single" w:color="auto" w:sz="4" w:space="0"/>
              <w:left w:val="single" w:color="auto" w:sz="4" w:space="0"/>
              <w:bottom w:val="single" w:color="auto" w:sz="4" w:space="0"/>
              <w:right w:val="single" w:color="auto" w:sz="4" w:space="0"/>
            </w:tcBorders>
            <w:vAlign w:val="center"/>
          </w:tcPr>
          <w:p w14:paraId="39B0C71F">
            <w:pPr>
              <w:pStyle w:val="112"/>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废矿物油</w:t>
            </w:r>
          </w:p>
        </w:tc>
        <w:tc>
          <w:tcPr>
            <w:tcW w:w="1470" w:type="dxa"/>
            <w:tcBorders>
              <w:top w:val="single" w:color="auto" w:sz="4" w:space="0"/>
              <w:left w:val="single" w:color="auto" w:sz="4" w:space="0"/>
              <w:bottom w:val="single" w:color="auto" w:sz="4" w:space="0"/>
              <w:right w:val="single" w:color="auto" w:sz="4" w:space="0"/>
            </w:tcBorders>
            <w:vAlign w:val="center"/>
          </w:tcPr>
          <w:p w14:paraId="70A71713">
            <w:pPr>
              <w:pStyle w:val="96"/>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1"/>
                <w:highlight w:val="none"/>
              </w:rPr>
              <w:t>0</w:t>
            </w:r>
          </w:p>
        </w:tc>
        <w:tc>
          <w:tcPr>
            <w:tcW w:w="1238" w:type="dxa"/>
            <w:tcBorders>
              <w:top w:val="single" w:color="auto" w:sz="4" w:space="0"/>
              <w:left w:val="single" w:color="auto" w:sz="4" w:space="0"/>
              <w:bottom w:val="single" w:color="auto" w:sz="4" w:space="0"/>
              <w:right w:val="single" w:color="auto" w:sz="4" w:space="0"/>
            </w:tcBorders>
            <w:vAlign w:val="center"/>
          </w:tcPr>
          <w:p w14:paraId="0D2372B1">
            <w:pPr>
              <w:pStyle w:val="96"/>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1"/>
                <w:highlight w:val="none"/>
              </w:rPr>
              <w:t>0</w:t>
            </w:r>
          </w:p>
        </w:tc>
        <w:tc>
          <w:tcPr>
            <w:tcW w:w="1822" w:type="dxa"/>
            <w:tcBorders>
              <w:top w:val="single" w:color="auto" w:sz="4" w:space="0"/>
              <w:left w:val="single" w:color="auto" w:sz="4" w:space="0"/>
              <w:bottom w:val="single" w:color="auto" w:sz="4" w:space="0"/>
              <w:right w:val="single" w:color="auto" w:sz="4" w:space="0"/>
            </w:tcBorders>
            <w:vAlign w:val="center"/>
          </w:tcPr>
          <w:p w14:paraId="3A5268DA">
            <w:pPr>
              <w:pStyle w:val="96"/>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1"/>
                <w:highlight w:val="none"/>
              </w:rPr>
              <w:t>0</w:t>
            </w:r>
          </w:p>
        </w:tc>
        <w:tc>
          <w:tcPr>
            <w:tcW w:w="2117" w:type="dxa"/>
            <w:tcBorders>
              <w:top w:val="single" w:color="auto" w:sz="4" w:space="0"/>
              <w:left w:val="single" w:color="auto" w:sz="4" w:space="0"/>
              <w:bottom w:val="single" w:color="auto" w:sz="4" w:space="0"/>
              <w:right w:val="single" w:color="auto" w:sz="4" w:space="0"/>
            </w:tcBorders>
            <w:vAlign w:val="center"/>
          </w:tcPr>
          <w:p w14:paraId="238E5D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424" w:type="dxa"/>
            <w:tcBorders>
              <w:top w:val="single" w:color="auto" w:sz="4" w:space="0"/>
              <w:left w:val="single" w:color="auto" w:sz="4" w:space="0"/>
              <w:bottom w:val="single" w:color="auto" w:sz="4" w:space="0"/>
              <w:right w:val="single" w:color="auto" w:sz="4" w:space="0"/>
            </w:tcBorders>
            <w:vAlign w:val="center"/>
          </w:tcPr>
          <w:p w14:paraId="63031A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575" w:type="dxa"/>
            <w:tcBorders>
              <w:top w:val="single" w:color="auto" w:sz="4" w:space="0"/>
              <w:left w:val="single" w:color="auto" w:sz="4" w:space="0"/>
              <w:bottom w:val="single" w:color="auto" w:sz="4" w:space="0"/>
              <w:right w:val="single" w:color="auto" w:sz="4" w:space="0"/>
            </w:tcBorders>
            <w:vAlign w:val="center"/>
          </w:tcPr>
          <w:p w14:paraId="294DA7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547" w:type="dxa"/>
            <w:tcBorders>
              <w:top w:val="single" w:color="auto" w:sz="4" w:space="0"/>
              <w:left w:val="single" w:color="auto" w:sz="4" w:space="0"/>
              <w:bottom w:val="single" w:color="auto" w:sz="4" w:space="0"/>
              <w:right w:val="single" w:color="auto" w:sz="8" w:space="0"/>
            </w:tcBorders>
            <w:vAlign w:val="center"/>
          </w:tcPr>
          <w:p w14:paraId="19FAF8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r>
      <w:tr w14:paraId="0CECB3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8" w:type="dxa"/>
            <w:vMerge w:val="continue"/>
            <w:tcBorders>
              <w:left w:val="single" w:color="auto" w:sz="8" w:space="0"/>
              <w:right w:val="single" w:color="auto" w:sz="4" w:space="0"/>
            </w:tcBorders>
            <w:vAlign w:val="center"/>
          </w:tcPr>
          <w:p w14:paraId="48A5BC03">
            <w:pPr>
              <w:pStyle w:val="96"/>
              <w:spacing w:line="240" w:lineRule="auto"/>
              <w:ind w:firstLine="420"/>
              <w:rPr>
                <w:rFonts w:hint="default" w:ascii="Times New Roman" w:hAnsi="Times New Roman" w:eastAsia="宋体" w:cs="Times New Roman"/>
                <w:color w:val="auto"/>
                <w:kern w:val="21"/>
                <w:highlight w:val="none"/>
              </w:rPr>
            </w:pPr>
          </w:p>
        </w:tc>
        <w:tc>
          <w:tcPr>
            <w:tcW w:w="1717" w:type="dxa"/>
            <w:tcBorders>
              <w:top w:val="single" w:color="auto" w:sz="4" w:space="0"/>
              <w:left w:val="single" w:color="auto" w:sz="4" w:space="0"/>
              <w:bottom w:val="single" w:color="auto" w:sz="4" w:space="0"/>
              <w:right w:val="single" w:color="auto" w:sz="4" w:space="0"/>
            </w:tcBorders>
            <w:vAlign w:val="center"/>
          </w:tcPr>
          <w:p w14:paraId="4751F5AE">
            <w:pPr>
              <w:pStyle w:val="112"/>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废包装物（吨袋）</w:t>
            </w:r>
          </w:p>
        </w:tc>
        <w:tc>
          <w:tcPr>
            <w:tcW w:w="1470" w:type="dxa"/>
            <w:tcBorders>
              <w:top w:val="single" w:color="auto" w:sz="4" w:space="0"/>
              <w:left w:val="single" w:color="auto" w:sz="4" w:space="0"/>
              <w:bottom w:val="single" w:color="auto" w:sz="4" w:space="0"/>
              <w:right w:val="single" w:color="auto" w:sz="4" w:space="0"/>
            </w:tcBorders>
            <w:vAlign w:val="center"/>
          </w:tcPr>
          <w:p w14:paraId="374DAAC5">
            <w:pPr>
              <w:pStyle w:val="96"/>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1"/>
                <w:highlight w:val="none"/>
              </w:rPr>
              <w:t>0</w:t>
            </w:r>
          </w:p>
        </w:tc>
        <w:tc>
          <w:tcPr>
            <w:tcW w:w="1238" w:type="dxa"/>
            <w:tcBorders>
              <w:top w:val="single" w:color="auto" w:sz="4" w:space="0"/>
              <w:left w:val="single" w:color="auto" w:sz="4" w:space="0"/>
              <w:bottom w:val="single" w:color="auto" w:sz="4" w:space="0"/>
              <w:right w:val="single" w:color="auto" w:sz="4" w:space="0"/>
            </w:tcBorders>
            <w:vAlign w:val="center"/>
          </w:tcPr>
          <w:p w14:paraId="3233BF60">
            <w:pPr>
              <w:pStyle w:val="96"/>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1"/>
                <w:highlight w:val="none"/>
              </w:rPr>
              <w:t>0</w:t>
            </w:r>
          </w:p>
        </w:tc>
        <w:tc>
          <w:tcPr>
            <w:tcW w:w="1822" w:type="dxa"/>
            <w:tcBorders>
              <w:top w:val="single" w:color="auto" w:sz="4" w:space="0"/>
              <w:left w:val="single" w:color="auto" w:sz="4" w:space="0"/>
              <w:bottom w:val="single" w:color="auto" w:sz="4" w:space="0"/>
              <w:right w:val="single" w:color="auto" w:sz="4" w:space="0"/>
            </w:tcBorders>
            <w:vAlign w:val="center"/>
          </w:tcPr>
          <w:p w14:paraId="284C93DE">
            <w:pPr>
              <w:pStyle w:val="96"/>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1"/>
                <w:highlight w:val="none"/>
              </w:rPr>
              <w:t>0</w:t>
            </w:r>
          </w:p>
        </w:tc>
        <w:tc>
          <w:tcPr>
            <w:tcW w:w="2117" w:type="dxa"/>
            <w:tcBorders>
              <w:top w:val="single" w:color="auto" w:sz="4" w:space="0"/>
              <w:left w:val="single" w:color="auto" w:sz="4" w:space="0"/>
              <w:bottom w:val="single" w:color="auto" w:sz="4" w:space="0"/>
              <w:right w:val="single" w:color="auto" w:sz="4" w:space="0"/>
            </w:tcBorders>
            <w:vAlign w:val="center"/>
          </w:tcPr>
          <w:p w14:paraId="7A55AD71">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424" w:type="dxa"/>
            <w:tcBorders>
              <w:top w:val="single" w:color="auto" w:sz="4" w:space="0"/>
              <w:left w:val="single" w:color="auto" w:sz="4" w:space="0"/>
              <w:bottom w:val="single" w:color="auto" w:sz="4" w:space="0"/>
              <w:right w:val="single" w:color="auto" w:sz="4" w:space="0"/>
            </w:tcBorders>
            <w:vAlign w:val="center"/>
          </w:tcPr>
          <w:p w14:paraId="1439E2C8">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575" w:type="dxa"/>
            <w:tcBorders>
              <w:top w:val="single" w:color="auto" w:sz="4" w:space="0"/>
              <w:left w:val="single" w:color="auto" w:sz="4" w:space="0"/>
              <w:bottom w:val="single" w:color="auto" w:sz="4" w:space="0"/>
              <w:right w:val="single" w:color="auto" w:sz="4" w:space="0"/>
            </w:tcBorders>
            <w:vAlign w:val="center"/>
          </w:tcPr>
          <w:p w14:paraId="26AC351B">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547" w:type="dxa"/>
            <w:tcBorders>
              <w:top w:val="single" w:color="auto" w:sz="4" w:space="0"/>
              <w:left w:val="single" w:color="auto" w:sz="4" w:space="0"/>
              <w:bottom w:val="single" w:color="auto" w:sz="4" w:space="0"/>
              <w:right w:val="single" w:color="auto" w:sz="8" w:space="0"/>
            </w:tcBorders>
            <w:vAlign w:val="center"/>
          </w:tcPr>
          <w:p w14:paraId="12C00F4D">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r>
      <w:tr w14:paraId="7B65B5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8" w:type="dxa"/>
            <w:vMerge w:val="continue"/>
            <w:tcBorders>
              <w:left w:val="single" w:color="auto" w:sz="8" w:space="0"/>
              <w:right w:val="single" w:color="auto" w:sz="4" w:space="0"/>
            </w:tcBorders>
            <w:vAlign w:val="center"/>
          </w:tcPr>
          <w:p w14:paraId="33081632">
            <w:pPr>
              <w:pStyle w:val="96"/>
              <w:spacing w:line="240" w:lineRule="auto"/>
              <w:ind w:firstLine="420"/>
              <w:rPr>
                <w:rFonts w:hint="default" w:ascii="Times New Roman" w:hAnsi="Times New Roman" w:eastAsia="宋体" w:cs="Times New Roman"/>
                <w:color w:val="auto"/>
                <w:kern w:val="21"/>
                <w:highlight w:val="none"/>
              </w:rPr>
            </w:pPr>
          </w:p>
        </w:tc>
        <w:tc>
          <w:tcPr>
            <w:tcW w:w="1717" w:type="dxa"/>
            <w:tcBorders>
              <w:top w:val="single" w:color="auto" w:sz="4" w:space="0"/>
              <w:left w:val="single" w:color="auto" w:sz="4" w:space="0"/>
              <w:bottom w:val="single" w:color="auto" w:sz="4" w:space="0"/>
              <w:right w:val="single" w:color="auto" w:sz="4" w:space="0"/>
            </w:tcBorders>
            <w:vAlign w:val="center"/>
          </w:tcPr>
          <w:p w14:paraId="571CD918">
            <w:pPr>
              <w:pStyle w:val="112"/>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废活性炭</w:t>
            </w:r>
          </w:p>
        </w:tc>
        <w:tc>
          <w:tcPr>
            <w:tcW w:w="1470" w:type="dxa"/>
            <w:tcBorders>
              <w:top w:val="single" w:color="auto" w:sz="4" w:space="0"/>
              <w:left w:val="single" w:color="auto" w:sz="4" w:space="0"/>
              <w:bottom w:val="single" w:color="auto" w:sz="4" w:space="0"/>
              <w:right w:val="single" w:color="auto" w:sz="4" w:space="0"/>
            </w:tcBorders>
            <w:vAlign w:val="center"/>
          </w:tcPr>
          <w:p w14:paraId="2D58EDDC">
            <w:pPr>
              <w:pStyle w:val="96"/>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1"/>
                <w:highlight w:val="none"/>
              </w:rPr>
              <w:t>0</w:t>
            </w:r>
          </w:p>
        </w:tc>
        <w:tc>
          <w:tcPr>
            <w:tcW w:w="1238" w:type="dxa"/>
            <w:tcBorders>
              <w:top w:val="single" w:color="auto" w:sz="4" w:space="0"/>
              <w:left w:val="single" w:color="auto" w:sz="4" w:space="0"/>
              <w:bottom w:val="single" w:color="auto" w:sz="4" w:space="0"/>
              <w:right w:val="single" w:color="auto" w:sz="4" w:space="0"/>
            </w:tcBorders>
            <w:vAlign w:val="center"/>
          </w:tcPr>
          <w:p w14:paraId="4B467A49">
            <w:pPr>
              <w:pStyle w:val="96"/>
              <w:spacing w:line="240" w:lineRule="auto"/>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1"/>
                <w:highlight w:val="none"/>
              </w:rPr>
              <w:t>0</w:t>
            </w:r>
          </w:p>
        </w:tc>
        <w:tc>
          <w:tcPr>
            <w:tcW w:w="1822" w:type="dxa"/>
            <w:tcBorders>
              <w:top w:val="single" w:color="auto" w:sz="4" w:space="0"/>
              <w:left w:val="single" w:color="auto" w:sz="4" w:space="0"/>
              <w:bottom w:val="single" w:color="auto" w:sz="4" w:space="0"/>
              <w:right w:val="single" w:color="auto" w:sz="4" w:space="0"/>
            </w:tcBorders>
            <w:vAlign w:val="center"/>
          </w:tcPr>
          <w:p w14:paraId="7068DAAB">
            <w:pPr>
              <w:pStyle w:val="96"/>
              <w:spacing w:line="240" w:lineRule="auto"/>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1"/>
                <w:highlight w:val="none"/>
              </w:rPr>
              <w:t>0</w:t>
            </w:r>
          </w:p>
        </w:tc>
        <w:tc>
          <w:tcPr>
            <w:tcW w:w="2117" w:type="dxa"/>
            <w:tcBorders>
              <w:top w:val="single" w:color="auto" w:sz="4" w:space="0"/>
              <w:left w:val="single" w:color="auto" w:sz="4" w:space="0"/>
              <w:bottom w:val="single" w:color="auto" w:sz="4" w:space="0"/>
              <w:right w:val="single" w:color="auto" w:sz="4" w:space="0"/>
            </w:tcBorders>
            <w:vAlign w:val="center"/>
          </w:tcPr>
          <w:p w14:paraId="44CC2ACA">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424" w:type="dxa"/>
            <w:tcBorders>
              <w:top w:val="single" w:color="auto" w:sz="4" w:space="0"/>
              <w:left w:val="single" w:color="auto" w:sz="4" w:space="0"/>
              <w:bottom w:val="single" w:color="auto" w:sz="4" w:space="0"/>
              <w:right w:val="single" w:color="auto" w:sz="4" w:space="0"/>
            </w:tcBorders>
            <w:vAlign w:val="center"/>
          </w:tcPr>
          <w:p w14:paraId="1480068C">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575" w:type="dxa"/>
            <w:tcBorders>
              <w:top w:val="single" w:color="auto" w:sz="4" w:space="0"/>
              <w:left w:val="single" w:color="auto" w:sz="4" w:space="0"/>
              <w:bottom w:val="single" w:color="auto" w:sz="4" w:space="0"/>
              <w:right w:val="single" w:color="auto" w:sz="4" w:space="0"/>
            </w:tcBorders>
            <w:vAlign w:val="center"/>
          </w:tcPr>
          <w:p w14:paraId="709A48C5">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547" w:type="dxa"/>
            <w:tcBorders>
              <w:top w:val="single" w:color="auto" w:sz="4" w:space="0"/>
              <w:left w:val="single" w:color="auto" w:sz="4" w:space="0"/>
              <w:bottom w:val="single" w:color="auto" w:sz="4" w:space="0"/>
              <w:right w:val="single" w:color="auto" w:sz="8" w:space="0"/>
            </w:tcBorders>
            <w:vAlign w:val="center"/>
          </w:tcPr>
          <w:p w14:paraId="5BC9A215">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r>
      <w:tr w14:paraId="6311B0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8" w:type="dxa"/>
            <w:vMerge w:val="continue"/>
            <w:tcBorders>
              <w:left w:val="single" w:color="auto" w:sz="8" w:space="0"/>
              <w:right w:val="single" w:color="auto" w:sz="4" w:space="0"/>
            </w:tcBorders>
            <w:vAlign w:val="center"/>
          </w:tcPr>
          <w:p w14:paraId="3C801FB8">
            <w:pPr>
              <w:pStyle w:val="96"/>
              <w:spacing w:line="240" w:lineRule="auto"/>
              <w:ind w:firstLine="420"/>
              <w:rPr>
                <w:rFonts w:hint="default" w:ascii="Times New Roman" w:hAnsi="Times New Roman" w:eastAsia="宋体" w:cs="Times New Roman"/>
                <w:color w:val="auto"/>
                <w:kern w:val="21"/>
                <w:highlight w:val="none"/>
              </w:rPr>
            </w:pPr>
          </w:p>
        </w:tc>
        <w:tc>
          <w:tcPr>
            <w:tcW w:w="1717" w:type="dxa"/>
            <w:tcBorders>
              <w:top w:val="single" w:color="auto" w:sz="4" w:space="0"/>
              <w:left w:val="single" w:color="auto" w:sz="4" w:space="0"/>
              <w:bottom w:val="single" w:color="auto" w:sz="4" w:space="0"/>
              <w:right w:val="single" w:color="auto" w:sz="4" w:space="0"/>
            </w:tcBorders>
            <w:vAlign w:val="center"/>
          </w:tcPr>
          <w:p w14:paraId="5C745486">
            <w:pPr>
              <w:pStyle w:val="112"/>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废过滤棉</w:t>
            </w:r>
          </w:p>
        </w:tc>
        <w:tc>
          <w:tcPr>
            <w:tcW w:w="1470" w:type="dxa"/>
            <w:tcBorders>
              <w:top w:val="single" w:color="auto" w:sz="4" w:space="0"/>
              <w:left w:val="single" w:color="auto" w:sz="4" w:space="0"/>
              <w:bottom w:val="single" w:color="auto" w:sz="4" w:space="0"/>
              <w:right w:val="single" w:color="auto" w:sz="4" w:space="0"/>
            </w:tcBorders>
            <w:vAlign w:val="center"/>
          </w:tcPr>
          <w:p w14:paraId="05E8967F">
            <w:pPr>
              <w:pStyle w:val="96"/>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1"/>
                <w:highlight w:val="none"/>
              </w:rPr>
              <w:t>0</w:t>
            </w:r>
          </w:p>
        </w:tc>
        <w:tc>
          <w:tcPr>
            <w:tcW w:w="1238" w:type="dxa"/>
            <w:tcBorders>
              <w:top w:val="single" w:color="auto" w:sz="4" w:space="0"/>
              <w:left w:val="single" w:color="auto" w:sz="4" w:space="0"/>
              <w:bottom w:val="single" w:color="auto" w:sz="4" w:space="0"/>
              <w:right w:val="single" w:color="auto" w:sz="4" w:space="0"/>
            </w:tcBorders>
            <w:vAlign w:val="center"/>
          </w:tcPr>
          <w:p w14:paraId="102DDAD6">
            <w:pPr>
              <w:pStyle w:val="96"/>
              <w:spacing w:line="240" w:lineRule="auto"/>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1"/>
                <w:highlight w:val="none"/>
              </w:rPr>
              <w:t>0</w:t>
            </w:r>
          </w:p>
        </w:tc>
        <w:tc>
          <w:tcPr>
            <w:tcW w:w="1822" w:type="dxa"/>
            <w:tcBorders>
              <w:top w:val="single" w:color="auto" w:sz="4" w:space="0"/>
              <w:left w:val="single" w:color="auto" w:sz="4" w:space="0"/>
              <w:bottom w:val="single" w:color="auto" w:sz="4" w:space="0"/>
              <w:right w:val="single" w:color="auto" w:sz="4" w:space="0"/>
            </w:tcBorders>
            <w:vAlign w:val="center"/>
          </w:tcPr>
          <w:p w14:paraId="3B55B173">
            <w:pPr>
              <w:pStyle w:val="96"/>
              <w:spacing w:line="240" w:lineRule="auto"/>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1"/>
                <w:highlight w:val="none"/>
              </w:rPr>
              <w:t>0</w:t>
            </w:r>
          </w:p>
        </w:tc>
        <w:tc>
          <w:tcPr>
            <w:tcW w:w="2117" w:type="dxa"/>
            <w:tcBorders>
              <w:top w:val="single" w:color="auto" w:sz="4" w:space="0"/>
              <w:left w:val="single" w:color="auto" w:sz="4" w:space="0"/>
              <w:bottom w:val="single" w:color="auto" w:sz="4" w:space="0"/>
              <w:right w:val="single" w:color="auto" w:sz="4" w:space="0"/>
            </w:tcBorders>
            <w:vAlign w:val="center"/>
          </w:tcPr>
          <w:p w14:paraId="7D2403E6">
            <w:pPr>
              <w:pStyle w:val="96"/>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424" w:type="dxa"/>
            <w:tcBorders>
              <w:top w:val="single" w:color="auto" w:sz="4" w:space="0"/>
              <w:left w:val="single" w:color="auto" w:sz="4" w:space="0"/>
              <w:bottom w:val="single" w:color="auto" w:sz="4" w:space="0"/>
              <w:right w:val="single" w:color="auto" w:sz="4" w:space="0"/>
            </w:tcBorders>
            <w:vAlign w:val="center"/>
          </w:tcPr>
          <w:p w14:paraId="333FF568">
            <w:pPr>
              <w:pStyle w:val="96"/>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575" w:type="dxa"/>
            <w:tcBorders>
              <w:top w:val="single" w:color="auto" w:sz="4" w:space="0"/>
              <w:left w:val="single" w:color="auto" w:sz="4" w:space="0"/>
              <w:bottom w:val="single" w:color="auto" w:sz="4" w:space="0"/>
              <w:right w:val="single" w:color="auto" w:sz="4" w:space="0"/>
            </w:tcBorders>
            <w:vAlign w:val="center"/>
          </w:tcPr>
          <w:p w14:paraId="42FEAC0D">
            <w:pPr>
              <w:pStyle w:val="96"/>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547" w:type="dxa"/>
            <w:tcBorders>
              <w:top w:val="single" w:color="auto" w:sz="4" w:space="0"/>
              <w:left w:val="single" w:color="auto" w:sz="4" w:space="0"/>
              <w:bottom w:val="single" w:color="auto" w:sz="4" w:space="0"/>
              <w:right w:val="single" w:color="auto" w:sz="8" w:space="0"/>
            </w:tcBorders>
            <w:vAlign w:val="center"/>
          </w:tcPr>
          <w:p w14:paraId="4E02B36B">
            <w:pPr>
              <w:pStyle w:val="96"/>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r>
      <w:tr w14:paraId="40DD47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95" w:type="dxa"/>
            <w:gridSpan w:val="2"/>
            <w:tcBorders>
              <w:top w:val="single" w:color="auto" w:sz="4" w:space="0"/>
              <w:left w:val="single" w:color="auto" w:sz="8" w:space="0"/>
              <w:bottom w:val="single" w:color="auto" w:sz="4" w:space="0"/>
              <w:right w:val="single" w:color="auto" w:sz="4" w:space="0"/>
            </w:tcBorders>
            <w:vAlign w:val="center"/>
          </w:tcPr>
          <w:p w14:paraId="19D23DA5">
            <w:pPr>
              <w:pStyle w:val="112"/>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生活垃圾</w:t>
            </w:r>
          </w:p>
        </w:tc>
        <w:tc>
          <w:tcPr>
            <w:tcW w:w="1470" w:type="dxa"/>
            <w:tcBorders>
              <w:top w:val="single" w:color="auto" w:sz="4" w:space="0"/>
              <w:left w:val="single" w:color="auto" w:sz="4" w:space="0"/>
              <w:bottom w:val="single" w:color="auto" w:sz="4" w:space="0"/>
              <w:right w:val="single" w:color="auto" w:sz="4" w:space="0"/>
            </w:tcBorders>
            <w:vAlign w:val="center"/>
          </w:tcPr>
          <w:p w14:paraId="4598F68F">
            <w:pPr>
              <w:pStyle w:val="96"/>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1"/>
                <w:highlight w:val="none"/>
              </w:rPr>
              <w:t>0</w:t>
            </w:r>
          </w:p>
        </w:tc>
        <w:tc>
          <w:tcPr>
            <w:tcW w:w="1238" w:type="dxa"/>
            <w:tcBorders>
              <w:top w:val="single" w:color="auto" w:sz="4" w:space="0"/>
              <w:left w:val="single" w:color="auto" w:sz="4" w:space="0"/>
              <w:bottom w:val="single" w:color="auto" w:sz="4" w:space="0"/>
              <w:right w:val="single" w:color="auto" w:sz="4" w:space="0"/>
            </w:tcBorders>
            <w:vAlign w:val="center"/>
          </w:tcPr>
          <w:p w14:paraId="5921DA3D">
            <w:pPr>
              <w:pStyle w:val="96"/>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1"/>
                <w:highlight w:val="none"/>
              </w:rPr>
              <w:t>0</w:t>
            </w:r>
          </w:p>
        </w:tc>
        <w:tc>
          <w:tcPr>
            <w:tcW w:w="1822" w:type="dxa"/>
            <w:tcBorders>
              <w:top w:val="single" w:color="auto" w:sz="4" w:space="0"/>
              <w:left w:val="single" w:color="auto" w:sz="4" w:space="0"/>
              <w:bottom w:val="single" w:color="auto" w:sz="4" w:space="0"/>
              <w:right w:val="single" w:color="auto" w:sz="4" w:space="0"/>
            </w:tcBorders>
            <w:vAlign w:val="center"/>
          </w:tcPr>
          <w:p w14:paraId="584841A4">
            <w:pPr>
              <w:pStyle w:val="96"/>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1"/>
                <w:highlight w:val="none"/>
              </w:rPr>
              <w:t>0</w:t>
            </w:r>
          </w:p>
        </w:tc>
        <w:tc>
          <w:tcPr>
            <w:tcW w:w="2117" w:type="dxa"/>
            <w:tcBorders>
              <w:top w:val="single" w:color="auto" w:sz="4" w:space="0"/>
              <w:left w:val="single" w:color="auto" w:sz="4" w:space="0"/>
              <w:bottom w:val="single" w:color="auto" w:sz="4" w:space="0"/>
              <w:right w:val="single" w:color="auto" w:sz="4" w:space="0"/>
            </w:tcBorders>
            <w:vAlign w:val="center"/>
          </w:tcPr>
          <w:p w14:paraId="5D0C6B58">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424" w:type="dxa"/>
            <w:tcBorders>
              <w:top w:val="single" w:color="auto" w:sz="4" w:space="0"/>
              <w:left w:val="single" w:color="auto" w:sz="4" w:space="0"/>
              <w:bottom w:val="single" w:color="auto" w:sz="4" w:space="0"/>
              <w:right w:val="single" w:color="auto" w:sz="4" w:space="0"/>
            </w:tcBorders>
            <w:vAlign w:val="center"/>
          </w:tcPr>
          <w:p w14:paraId="075B9375">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575" w:type="dxa"/>
            <w:tcBorders>
              <w:top w:val="single" w:color="auto" w:sz="4" w:space="0"/>
              <w:left w:val="single" w:color="auto" w:sz="4" w:space="0"/>
              <w:bottom w:val="single" w:color="auto" w:sz="4" w:space="0"/>
              <w:right w:val="single" w:color="auto" w:sz="4" w:space="0"/>
            </w:tcBorders>
            <w:vAlign w:val="center"/>
          </w:tcPr>
          <w:p w14:paraId="40FFB864">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547" w:type="dxa"/>
            <w:tcBorders>
              <w:top w:val="single" w:color="auto" w:sz="4" w:space="0"/>
              <w:left w:val="single" w:color="auto" w:sz="4" w:space="0"/>
              <w:bottom w:val="single" w:color="auto" w:sz="4" w:space="0"/>
              <w:right w:val="single" w:color="auto" w:sz="8" w:space="0"/>
            </w:tcBorders>
            <w:vAlign w:val="center"/>
          </w:tcPr>
          <w:p w14:paraId="179498B4">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r>
    </w:tbl>
    <w:p w14:paraId="0370273A">
      <w:pPr>
        <w:ind w:firstLine="4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1"/>
        </w:rPr>
        <w:t>注：</w:t>
      </w:r>
      <w:r>
        <w:rPr>
          <w:rFonts w:hint="default" w:ascii="Times New Roman" w:hAnsi="Times New Roman" w:eastAsia="宋体" w:cs="Times New Roman"/>
          <w:color w:val="auto"/>
        </w:rPr>
        <w:t>⑥</w:t>
      </w:r>
      <w:r>
        <w:rPr>
          <w:rFonts w:hint="default" w:ascii="Times New Roman" w:hAnsi="Times New Roman" w:eastAsia="宋体" w:cs="Times New Roman"/>
          <w:color w:val="auto"/>
          <w:spacing w:val="-16"/>
          <w:kern w:val="21"/>
        </w:rPr>
        <w:t>=</w:t>
      </w:r>
      <w:r>
        <w:rPr>
          <w:rFonts w:hint="default" w:ascii="Times New Roman" w:hAnsi="Times New Roman" w:eastAsia="宋体" w:cs="Times New Roman"/>
          <w:color w:val="auto"/>
        </w:rPr>
        <w:t>①</w:t>
      </w:r>
      <w:r>
        <w:rPr>
          <w:rFonts w:hint="default" w:ascii="Times New Roman" w:hAnsi="Times New Roman" w:eastAsia="宋体" w:cs="Times New Roman"/>
          <w:color w:val="auto"/>
          <w:spacing w:val="-6"/>
          <w:kern w:val="21"/>
        </w:rPr>
        <w:t>+</w:t>
      </w:r>
      <w:r>
        <w:rPr>
          <w:rFonts w:hint="default" w:ascii="Times New Roman" w:hAnsi="Times New Roman" w:eastAsia="宋体" w:cs="Times New Roman"/>
          <w:color w:val="auto"/>
        </w:rPr>
        <w:t>③</w:t>
      </w:r>
      <w:r>
        <w:rPr>
          <w:rFonts w:hint="default" w:ascii="Times New Roman" w:hAnsi="Times New Roman" w:eastAsia="宋体" w:cs="Times New Roman"/>
          <w:color w:val="auto"/>
          <w:spacing w:val="-6"/>
          <w:kern w:val="21"/>
        </w:rPr>
        <w:t>+</w:t>
      </w:r>
      <w:r>
        <w:rPr>
          <w:rFonts w:hint="default" w:ascii="Times New Roman" w:hAnsi="Times New Roman" w:eastAsia="宋体" w:cs="Times New Roman"/>
          <w:color w:val="auto"/>
        </w:rPr>
        <w:t>④</w:t>
      </w:r>
      <w:r>
        <w:rPr>
          <w:rFonts w:hint="default" w:ascii="Times New Roman" w:hAnsi="Times New Roman" w:eastAsia="宋体" w:cs="Times New Roman"/>
          <w:color w:val="auto"/>
          <w:spacing w:val="-6"/>
          <w:kern w:val="21"/>
        </w:rPr>
        <w:t>-</w:t>
      </w:r>
      <w:r>
        <w:rPr>
          <w:rFonts w:hint="default" w:ascii="Times New Roman" w:hAnsi="Times New Roman" w:eastAsia="宋体" w:cs="Times New Roman"/>
          <w:color w:val="auto"/>
        </w:rPr>
        <w:t>⑤</w:t>
      </w:r>
      <w:r>
        <w:rPr>
          <w:rFonts w:hint="default" w:ascii="Times New Roman" w:hAnsi="Times New Roman" w:eastAsia="宋体" w:cs="Times New Roman"/>
          <w:color w:val="auto"/>
          <w:spacing w:val="-16"/>
          <w:kern w:val="21"/>
        </w:rPr>
        <w:t>；</w:t>
      </w:r>
      <w:r>
        <w:rPr>
          <w:rFonts w:hint="default" w:ascii="Times New Roman" w:hAnsi="Times New Roman" w:eastAsia="宋体" w:cs="Times New Roman"/>
          <w:color w:val="auto"/>
        </w:rPr>
        <w:t>⑦</w:t>
      </w:r>
      <w:r>
        <w:rPr>
          <w:rFonts w:hint="default" w:ascii="Times New Roman" w:hAnsi="Times New Roman" w:eastAsia="宋体" w:cs="Times New Roman"/>
          <w:color w:val="auto"/>
          <w:spacing w:val="-6"/>
          <w:kern w:val="21"/>
        </w:rPr>
        <w:t>=</w:t>
      </w:r>
      <w:r>
        <w:rPr>
          <w:rFonts w:hint="default" w:ascii="Times New Roman" w:hAnsi="Times New Roman" w:eastAsia="宋体" w:cs="Times New Roman"/>
          <w:color w:val="auto"/>
        </w:rPr>
        <w:t>⑥</w:t>
      </w:r>
      <w:r>
        <w:rPr>
          <w:rFonts w:hint="default" w:ascii="Times New Roman" w:hAnsi="Times New Roman" w:eastAsia="宋体" w:cs="Times New Roman"/>
          <w:color w:val="auto"/>
          <w:spacing w:val="-16"/>
          <w:kern w:val="21"/>
        </w:rPr>
        <w:t>-</w:t>
      </w:r>
      <w:r>
        <w:rPr>
          <w:rFonts w:hint="default" w:ascii="Times New Roman" w:hAnsi="Times New Roman" w:eastAsia="宋体" w:cs="Times New Roman"/>
          <w:color w:val="auto"/>
        </w:rPr>
        <w:t>①</w:t>
      </w:r>
    </w:p>
    <w:p w14:paraId="216D4C28">
      <w:pPr>
        <w:ind w:firstLine="0" w:firstLineChars="0"/>
        <w:rPr>
          <w:rFonts w:hint="default" w:ascii="Times New Roman" w:hAnsi="Times New Roman" w:eastAsia="宋体" w:cs="Times New Roman"/>
          <w:color w:val="auto"/>
        </w:rPr>
        <w:sectPr>
          <w:footerReference r:id="rId17" w:type="default"/>
          <w:pgSz w:w="16838" w:h="11905" w:orient="landscape"/>
          <w:pgMar w:top="1417" w:right="1417" w:bottom="1701" w:left="1587" w:header="850" w:footer="850" w:gutter="0"/>
          <w:pgBorders>
            <w:top w:val="none" w:sz="0" w:space="0"/>
            <w:left w:val="none" w:sz="0" w:space="0"/>
            <w:bottom w:val="none" w:sz="0" w:space="0"/>
            <w:right w:val="none" w:sz="0" w:space="0"/>
          </w:pgBorders>
          <w:pgNumType w:fmt="decimal"/>
          <w:cols w:space="720" w:num="1"/>
          <w:docGrid w:linePitch="326" w:charSpace="0"/>
        </w:sectPr>
      </w:pPr>
    </w:p>
    <w:p w14:paraId="22AC1AAB">
      <w:pPr>
        <w:pStyle w:val="5"/>
        <w:numPr>
          <w:ilvl w:val="0"/>
          <w:numId w:val="9"/>
        </w:numPr>
        <w:ind w:left="2400" w:leftChars="0" w:firstLineChars="0"/>
        <w:jc w:val="left"/>
        <w:rPr>
          <w:rFonts w:hint="default" w:ascii="Times New Roman" w:hAnsi="Times New Roman" w:eastAsia="宋体" w:cs="Times New Roman"/>
          <w:color w:val="auto"/>
        </w:rPr>
      </w:pPr>
      <w:r>
        <w:rPr>
          <w:rFonts w:hint="default" w:ascii="Times New Roman" w:hAnsi="Times New Roman" w:eastAsia="宋体" w:cs="Times New Roman"/>
          <w:color w:val="auto"/>
          <w:sz w:val="38"/>
          <w:szCs w:val="38"/>
          <w:lang w:val="en-US" w:eastAsia="zh-CN"/>
        </w:rPr>
        <w:t>环境风险专项评价</w:t>
      </w:r>
    </w:p>
    <w:p w14:paraId="3D41FF4E">
      <w:pPr>
        <w:keepNext w:val="0"/>
        <w:keepLines w:val="0"/>
        <w:suppressLineNumbers w:val="0"/>
        <w:autoSpaceDE w:val="0"/>
        <w:autoSpaceDN w:val="0"/>
        <w:adjustRightInd w:val="0"/>
        <w:spacing w:before="0" w:beforeAutospacing="0" w:after="0" w:afterAutospacing="0" w:line="360" w:lineRule="auto"/>
        <w:ind w:left="0" w:right="0"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34A06A07">
      <w:pPr>
        <w:pStyle w:val="3"/>
        <w:rPr>
          <w:rFonts w:hint="eastAsia"/>
          <w:lang w:val="en-US" w:eastAsia="zh-CN"/>
        </w:rPr>
      </w:pPr>
    </w:p>
    <w:p w14:paraId="1A015BB5">
      <w:pPr>
        <w:pStyle w:val="5"/>
        <w:numPr>
          <w:ilvl w:val="0"/>
          <w:numId w:val="9"/>
        </w:numPr>
        <w:ind w:left="2400" w:leftChars="0" w:firstLineChars="0"/>
        <w:jc w:val="left"/>
        <w:rPr>
          <w:rFonts w:hint="default" w:ascii="Times New Roman" w:hAnsi="Times New Roman" w:eastAsia="宋体" w:cs="Times New Roman"/>
          <w:color w:val="auto"/>
        </w:rPr>
        <w:sectPr>
          <w:headerReference r:id="rId18" w:type="default"/>
          <w:footerReference r:id="rId19" w:type="default"/>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p>
    <w:p w14:paraId="1CDD1AD3">
      <w:pPr>
        <w:pStyle w:val="5"/>
        <w:numPr>
          <w:ilvl w:val="0"/>
          <w:numId w:val="9"/>
        </w:numPr>
        <w:ind w:left="2400" w:leftChars="0" w:firstLineChars="0"/>
        <w:jc w:val="left"/>
        <w:rPr>
          <w:rFonts w:hint="default" w:ascii="Times New Roman" w:hAnsi="Times New Roman" w:eastAsia="宋体" w:cs="Times New Roman"/>
          <w:color w:val="auto"/>
        </w:rPr>
      </w:pPr>
      <w:r>
        <w:rPr>
          <w:rFonts w:hint="default" w:ascii="Times New Roman" w:hAnsi="Times New Roman" w:eastAsia="宋体" w:cs="Times New Roman"/>
          <w:color w:val="auto"/>
        </w:rPr>
        <w:t>附图及附件</w:t>
      </w:r>
    </w:p>
    <w:p w14:paraId="3BB23CCE">
      <w:pPr>
        <w:keepNext w:val="0"/>
        <w:keepLines w:val="0"/>
        <w:suppressLineNumbers w:val="0"/>
        <w:autoSpaceDE w:val="0"/>
        <w:autoSpaceDN w:val="0"/>
        <w:adjustRightInd w:val="0"/>
        <w:spacing w:before="0" w:beforeAutospacing="0" w:after="0" w:afterAutospacing="0" w:line="360" w:lineRule="auto"/>
        <w:ind w:left="0" w:right="0"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465799CF">
      <w:pPr>
        <w:numPr>
          <w:ilvl w:val="0"/>
          <w:numId w:val="0"/>
        </w:numPr>
        <w:jc w:val="left"/>
        <w:outlineLvl w:val="9"/>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drawing>
          <wp:anchor distT="0" distB="0" distL="114300" distR="114300" simplePos="0" relativeHeight="251660288" behindDoc="0" locked="0" layoutInCell="1" allowOverlap="1">
            <wp:simplePos x="0" y="0"/>
            <wp:positionH relativeFrom="column">
              <wp:posOffset>8145145</wp:posOffset>
            </wp:positionH>
            <wp:positionV relativeFrom="paragraph">
              <wp:posOffset>-156210</wp:posOffset>
            </wp:positionV>
            <wp:extent cx="723900" cy="857250"/>
            <wp:effectExtent l="0" t="0" r="0" b="0"/>
            <wp:wrapNone/>
            <wp:docPr id="337" name="图片 77" descr="e7337352d5e204479927deb544f7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77" descr="e7337352d5e204479927deb544f755a"/>
                    <pic:cNvPicPr>
                      <a:picLocks noChangeAspect="1"/>
                    </pic:cNvPicPr>
                  </pic:nvPicPr>
                  <pic:blipFill>
                    <a:blip r:embed="rId64"/>
                    <a:stretch>
                      <a:fillRect/>
                    </a:stretch>
                  </pic:blipFill>
                  <pic:spPr>
                    <a:xfrm>
                      <a:off x="0" y="0"/>
                      <a:ext cx="723900" cy="857250"/>
                    </a:xfrm>
                    <a:prstGeom prst="rect">
                      <a:avLst/>
                    </a:prstGeom>
                    <a:noFill/>
                    <a:ln>
                      <a:noFill/>
                    </a:ln>
                  </pic:spPr>
                </pic:pic>
              </a:graphicData>
            </a:graphic>
          </wp:anchor>
        </w:drawing>
      </w:r>
    </w:p>
    <w:p w14:paraId="035BB2B5">
      <w:pPr>
        <w:spacing w:line="360" w:lineRule="auto"/>
        <w:jc w:val="center"/>
        <w:outlineLvl w:val="0"/>
        <w:rPr>
          <w:rStyle w:val="61"/>
          <w:rFonts w:hint="default" w:ascii="Times New Roman" w:hAnsi="Times New Roman" w:eastAsia="宋体" w:cs="Times New Roman"/>
          <w:color w:val="auto"/>
          <w:sz w:val="24"/>
          <w:szCs w:val="24"/>
          <w:lang w:val="en-US" w:eastAsia="zh-CN" w:bidi="ar-SA"/>
        </w:rPr>
      </w:pPr>
      <w:bookmarkStart w:id="28" w:name="_Toc32416"/>
      <w:bookmarkStart w:id="29" w:name="_Toc29836"/>
      <w:r>
        <w:rPr>
          <w:rStyle w:val="61"/>
          <w:rFonts w:hint="default" w:ascii="Times New Roman" w:hAnsi="Times New Roman" w:eastAsia="宋体" w:cs="Times New Roman"/>
          <w:color w:val="auto"/>
          <w:sz w:val="24"/>
          <w:szCs w:val="24"/>
          <w:lang w:val="en-US" w:eastAsia="zh-CN" w:bidi="ar-SA"/>
        </w:rPr>
        <w:t>附图1 项目地理位置图</w:t>
      </w:r>
      <w:bookmarkEnd w:id="28"/>
      <w:bookmarkEnd w:id="29"/>
      <w:bookmarkStart w:id="30" w:name="_Toc3411"/>
      <w:bookmarkStart w:id="31" w:name="_Toc28711"/>
    </w:p>
    <w:p w14:paraId="2B234103">
      <w:pPr>
        <w:spacing w:line="360" w:lineRule="auto"/>
        <w:jc w:val="center"/>
        <w:outlineLvl w:val="9"/>
        <w:rPr>
          <w:rFonts w:hint="default" w:ascii="Times New Roman" w:hAnsi="Times New Roman" w:eastAsia="宋体" w:cs="Times New Roman"/>
          <w:color w:val="auto"/>
        </w:rPr>
        <w:sectPr>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p>
    <w:p w14:paraId="612844EB">
      <w:pPr>
        <w:keepNext w:val="0"/>
        <w:keepLines w:val="0"/>
        <w:suppressLineNumbers w:val="0"/>
        <w:autoSpaceDE w:val="0"/>
        <w:autoSpaceDN w:val="0"/>
        <w:adjustRightInd w:val="0"/>
        <w:spacing w:before="0" w:beforeAutospacing="0" w:after="0" w:afterAutospacing="0" w:line="360" w:lineRule="auto"/>
        <w:ind w:left="0" w:right="0"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08FC2DCB">
      <w:pPr>
        <w:spacing w:line="360" w:lineRule="auto"/>
        <w:jc w:val="center"/>
        <w:outlineLvl w:val="0"/>
        <w:rPr>
          <w:rStyle w:val="61"/>
          <w:rFonts w:hint="default" w:ascii="Times New Roman" w:hAnsi="Times New Roman" w:eastAsia="宋体" w:cs="Times New Roman"/>
          <w:color w:val="auto"/>
          <w:sz w:val="24"/>
          <w:szCs w:val="24"/>
          <w:lang w:val="en-US" w:eastAsia="zh-CN" w:bidi="ar-SA"/>
        </w:rPr>
      </w:pPr>
      <w:r>
        <w:rPr>
          <w:rStyle w:val="61"/>
          <w:rFonts w:hint="default" w:ascii="Times New Roman" w:hAnsi="Times New Roman" w:eastAsia="宋体" w:cs="Times New Roman"/>
          <w:color w:val="auto"/>
          <w:sz w:val="24"/>
          <w:szCs w:val="24"/>
          <w:lang w:val="en-US" w:eastAsia="zh-CN" w:bidi="ar-SA"/>
        </w:rPr>
        <w:t>附图2</w:t>
      </w:r>
      <w:bookmarkEnd w:id="30"/>
      <w:r>
        <w:rPr>
          <w:rStyle w:val="61"/>
          <w:rFonts w:hint="default" w:ascii="Times New Roman" w:hAnsi="Times New Roman" w:eastAsia="宋体" w:cs="Times New Roman"/>
          <w:color w:val="auto"/>
          <w:sz w:val="24"/>
          <w:szCs w:val="24"/>
          <w:lang w:val="en-US" w:eastAsia="zh-CN" w:bidi="ar-SA"/>
        </w:rPr>
        <w:t xml:space="preserve"> 项目周边环境关系图</w:t>
      </w:r>
      <w:bookmarkEnd w:id="31"/>
    </w:p>
    <w:p w14:paraId="7B0E0F91">
      <w:pPr>
        <w:pStyle w:val="558"/>
        <w:ind w:left="0" w:leftChars="0" w:firstLine="0" w:firstLineChars="0"/>
        <w:outlineLvl w:val="9"/>
        <w:rPr>
          <w:rFonts w:hint="default" w:ascii="Times New Roman" w:hAnsi="Times New Roman" w:eastAsia="宋体" w:cs="Times New Roman"/>
          <w:b/>
          <w:bCs/>
          <w:color w:val="auto"/>
        </w:rPr>
        <w:sectPr>
          <w:pgSz w:w="16838" w:h="11906" w:orient="landscape"/>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p>
    <w:p w14:paraId="0B647679">
      <w:pPr>
        <w:keepNext w:val="0"/>
        <w:keepLines w:val="0"/>
        <w:suppressLineNumbers w:val="0"/>
        <w:autoSpaceDE w:val="0"/>
        <w:autoSpaceDN w:val="0"/>
        <w:adjustRightInd w:val="0"/>
        <w:spacing w:before="0" w:beforeAutospacing="0" w:after="0" w:afterAutospacing="0" w:line="360" w:lineRule="auto"/>
        <w:ind w:left="0" w:right="0"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551E0958">
      <w:pPr>
        <w:spacing w:line="360" w:lineRule="auto"/>
        <w:jc w:val="center"/>
        <w:outlineLvl w:val="0"/>
        <w:rPr>
          <w:rStyle w:val="61"/>
          <w:rFonts w:hint="default" w:ascii="Times New Roman" w:hAnsi="Times New Roman" w:eastAsia="宋体" w:cs="Times New Roman"/>
          <w:color w:val="auto"/>
          <w:sz w:val="24"/>
          <w:szCs w:val="24"/>
          <w:lang w:val="en-US" w:eastAsia="zh-CN" w:bidi="ar-SA"/>
        </w:rPr>
      </w:pPr>
      <w:r>
        <w:rPr>
          <w:rStyle w:val="61"/>
          <w:rFonts w:hint="default" w:ascii="Times New Roman" w:hAnsi="Times New Roman" w:eastAsia="宋体" w:cs="Times New Roman"/>
          <w:color w:val="auto"/>
          <w:sz w:val="24"/>
          <w:szCs w:val="24"/>
          <w:lang w:val="en-US" w:eastAsia="zh-CN" w:bidi="ar-SA"/>
        </w:rPr>
        <w:t>附图3 大气监测点位图（引用）</w:t>
      </w:r>
    </w:p>
    <w:p w14:paraId="699F7D88">
      <w:pPr>
        <w:pStyle w:val="558"/>
        <w:ind w:left="0" w:leftChars="0" w:firstLine="0" w:firstLineChars="0"/>
        <w:outlineLvl w:val="9"/>
        <w:rPr>
          <w:rFonts w:hint="default" w:ascii="Times New Roman" w:hAnsi="Times New Roman" w:eastAsia="宋体" w:cs="Times New Roman"/>
          <w:b/>
          <w:bCs/>
          <w:color w:val="auto"/>
        </w:rPr>
        <w:sectPr>
          <w:pgSz w:w="16838" w:h="11906" w:orient="landscape"/>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p>
    <w:p w14:paraId="6962BF5F">
      <w:pPr>
        <w:keepNext w:val="0"/>
        <w:keepLines w:val="0"/>
        <w:suppressLineNumbers w:val="0"/>
        <w:autoSpaceDE w:val="0"/>
        <w:autoSpaceDN w:val="0"/>
        <w:adjustRightInd w:val="0"/>
        <w:spacing w:before="0" w:beforeAutospacing="0" w:after="0" w:afterAutospacing="0" w:line="360" w:lineRule="auto"/>
        <w:ind w:left="0" w:right="0"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4226742D">
      <w:pPr>
        <w:spacing w:line="360" w:lineRule="auto"/>
        <w:jc w:val="center"/>
        <w:outlineLvl w:val="0"/>
        <w:rPr>
          <w:rStyle w:val="61"/>
          <w:rFonts w:hint="default" w:ascii="Times New Roman" w:hAnsi="Times New Roman" w:eastAsia="宋体" w:cs="Times New Roman"/>
          <w:color w:val="auto"/>
          <w:sz w:val="24"/>
          <w:szCs w:val="24"/>
          <w:lang w:val="en-US" w:eastAsia="zh-CN" w:bidi="ar-SA"/>
        </w:rPr>
      </w:pPr>
      <w:r>
        <w:rPr>
          <w:rStyle w:val="61"/>
          <w:rFonts w:hint="default" w:ascii="Times New Roman" w:hAnsi="Times New Roman" w:eastAsia="宋体" w:cs="Times New Roman"/>
          <w:color w:val="auto"/>
          <w:sz w:val="24"/>
          <w:szCs w:val="24"/>
          <w:lang w:val="en-US" w:eastAsia="zh-CN" w:bidi="ar-SA"/>
        </w:rPr>
        <w:t>附图4 地下水监测点位图（引用）</w:t>
      </w:r>
    </w:p>
    <w:p w14:paraId="060081A6">
      <w:pPr>
        <w:spacing w:line="360" w:lineRule="auto"/>
        <w:jc w:val="center"/>
        <w:outlineLvl w:val="0"/>
        <w:rPr>
          <w:rStyle w:val="61"/>
          <w:rFonts w:hint="default" w:ascii="Times New Roman" w:hAnsi="Times New Roman" w:eastAsia="宋体" w:cs="Times New Roman"/>
          <w:color w:val="auto"/>
          <w:sz w:val="24"/>
          <w:szCs w:val="24"/>
          <w:lang w:val="en-US" w:eastAsia="zh-CN" w:bidi="ar-SA"/>
        </w:rPr>
        <w:sectPr>
          <w:pgSz w:w="16838" w:h="11906" w:orient="landscape"/>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p>
    <w:p w14:paraId="38B6C8B3">
      <w:pPr>
        <w:keepNext w:val="0"/>
        <w:keepLines w:val="0"/>
        <w:suppressLineNumbers w:val="0"/>
        <w:autoSpaceDE w:val="0"/>
        <w:autoSpaceDN w:val="0"/>
        <w:adjustRightInd w:val="0"/>
        <w:spacing w:before="0" w:beforeAutospacing="0" w:after="0" w:afterAutospacing="0" w:line="360" w:lineRule="auto"/>
        <w:ind w:left="0" w:right="0" w:firstLine="480" w:firstLineChars="200"/>
        <w:jc w:val="center"/>
        <w:rPr>
          <w:rFonts w:hint="eastAsia" w:cs="Times New Roman"/>
          <w:color w:val="auto"/>
          <w:sz w:val="24"/>
          <w:szCs w:val="24"/>
          <w:shd w:val="clear" w:color="auto" w:fill="auto"/>
          <w:lang w:val="en-US" w:eastAsia="zh-CN"/>
        </w:rPr>
      </w:pPr>
      <w:bookmarkStart w:id="32" w:name="_Toc19043"/>
      <w:bookmarkStart w:id="33" w:name="_Toc24033"/>
      <w:r>
        <w:rPr>
          <w:rFonts w:hint="eastAsia" w:cs="Times New Roman"/>
          <w:color w:val="auto"/>
          <w:sz w:val="24"/>
          <w:szCs w:val="24"/>
          <w:shd w:val="clear" w:color="auto" w:fill="auto"/>
          <w:lang w:val="en-US" w:eastAsia="zh-CN"/>
        </w:rPr>
        <w:t>***(涉密删除）</w:t>
      </w:r>
    </w:p>
    <w:p w14:paraId="270A509F">
      <w:pPr>
        <w:spacing w:line="360" w:lineRule="auto"/>
        <w:jc w:val="center"/>
        <w:outlineLvl w:val="0"/>
        <w:rPr>
          <w:rStyle w:val="61"/>
          <w:rFonts w:hint="default" w:ascii="Times New Roman" w:hAnsi="Times New Roman" w:eastAsia="宋体" w:cs="Times New Roman"/>
          <w:color w:val="auto"/>
          <w:sz w:val="24"/>
          <w:szCs w:val="24"/>
          <w:lang w:val="en-US" w:eastAsia="zh-CN" w:bidi="ar-SA"/>
        </w:rPr>
      </w:pPr>
      <w:r>
        <w:rPr>
          <w:rStyle w:val="61"/>
          <w:rFonts w:hint="default" w:ascii="Times New Roman" w:hAnsi="Times New Roman" w:eastAsia="宋体" w:cs="Times New Roman"/>
          <w:color w:val="auto"/>
          <w:sz w:val="24"/>
          <w:szCs w:val="24"/>
          <w:lang w:val="en-US" w:eastAsia="zh-CN" w:bidi="ar-SA"/>
        </w:rPr>
        <w:t>附图5 项目周边环境现状图</w:t>
      </w:r>
      <w:bookmarkEnd w:id="32"/>
      <w:bookmarkEnd w:id="33"/>
    </w:p>
    <w:p w14:paraId="152BB815">
      <w:pPr>
        <w:spacing w:line="360" w:lineRule="auto"/>
        <w:jc w:val="center"/>
        <w:outlineLvl w:val="9"/>
        <w:rPr>
          <w:rFonts w:hint="default" w:ascii="Times New Roman" w:hAnsi="Times New Roman" w:eastAsia="宋体" w:cs="Times New Roman"/>
          <w:color w:val="auto"/>
        </w:rPr>
        <w:sectPr>
          <w:footerReference r:id="rId20" w:type="default"/>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34" w:name="_Toc14978"/>
    </w:p>
    <w:p w14:paraId="45B1BEF4">
      <w:pPr>
        <w:keepNext w:val="0"/>
        <w:keepLines w:val="0"/>
        <w:suppressLineNumbers w:val="0"/>
        <w:autoSpaceDE w:val="0"/>
        <w:autoSpaceDN w:val="0"/>
        <w:adjustRightInd w:val="0"/>
        <w:spacing w:before="0" w:beforeAutospacing="0" w:after="0" w:afterAutospacing="0" w:line="360" w:lineRule="auto"/>
        <w:ind w:left="0" w:right="0"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2F893AF9">
      <w:pPr>
        <w:spacing w:line="360" w:lineRule="auto"/>
        <w:jc w:val="center"/>
        <w:outlineLvl w:val="0"/>
        <w:rPr>
          <w:rStyle w:val="61"/>
          <w:rFonts w:hint="default" w:ascii="Times New Roman" w:hAnsi="Times New Roman" w:eastAsia="宋体" w:cs="Times New Roman"/>
          <w:color w:val="auto"/>
          <w:sz w:val="24"/>
          <w:szCs w:val="24"/>
          <w:lang w:val="en-US" w:eastAsia="zh-CN" w:bidi="ar-SA"/>
        </w:rPr>
        <w:sectPr>
          <w:pgSz w:w="16838" w:h="11906" w:orient="landscape"/>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r>
        <w:rPr>
          <w:rStyle w:val="61"/>
          <w:rFonts w:hint="default" w:ascii="Times New Roman" w:hAnsi="Times New Roman" w:eastAsia="宋体" w:cs="Times New Roman"/>
          <w:color w:val="auto"/>
          <w:sz w:val="24"/>
          <w:szCs w:val="24"/>
          <w:lang w:val="en-US" w:eastAsia="zh-CN" w:bidi="ar-SA"/>
        </w:rPr>
        <w:t>附图6 环境风险敏感目标分布图</w:t>
      </w:r>
      <w:bookmarkEnd w:id="34"/>
    </w:p>
    <w:p w14:paraId="1F182C45">
      <w:pPr>
        <w:keepNext w:val="0"/>
        <w:keepLines w:val="0"/>
        <w:suppressLineNumbers w:val="0"/>
        <w:autoSpaceDE w:val="0"/>
        <w:autoSpaceDN w:val="0"/>
        <w:adjustRightInd w:val="0"/>
        <w:spacing w:before="0" w:beforeAutospacing="0" w:after="0" w:afterAutospacing="0" w:line="360" w:lineRule="auto"/>
        <w:ind w:left="0" w:right="0" w:firstLine="482" w:firstLineChars="200"/>
        <w:jc w:val="center"/>
        <w:rPr>
          <w:rFonts w:hint="eastAsia" w:cs="Times New Roman"/>
          <w:color w:val="auto"/>
          <w:sz w:val="24"/>
          <w:szCs w:val="24"/>
          <w:shd w:val="clear" w:color="auto" w:fill="auto"/>
          <w:lang w:val="en-US" w:eastAsia="zh-CN"/>
        </w:rPr>
      </w:pPr>
      <w:r>
        <w:rPr>
          <w:rFonts w:hint="default" w:ascii="Times New Roman" w:hAnsi="Times New Roman" w:eastAsia="宋体" w:cs="Times New Roman"/>
          <w:b/>
          <w:bCs/>
          <w:color w:val="auto"/>
          <w:sz w:val="24"/>
          <w:lang w:eastAsia="zh-CN"/>
        </w:rPr>
        <w:drawing>
          <wp:anchor distT="0" distB="0" distL="114300" distR="114300" simplePos="0" relativeHeight="251672576" behindDoc="0" locked="0" layoutInCell="1" allowOverlap="1">
            <wp:simplePos x="0" y="0"/>
            <wp:positionH relativeFrom="column">
              <wp:posOffset>11416030</wp:posOffset>
            </wp:positionH>
            <wp:positionV relativeFrom="paragraph">
              <wp:posOffset>27940</wp:posOffset>
            </wp:positionV>
            <wp:extent cx="723900" cy="857250"/>
            <wp:effectExtent l="0" t="0" r="0" b="0"/>
            <wp:wrapNone/>
            <wp:docPr id="394" name="图片 97" descr="e7337352d5e204479927deb544f7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97" descr="e7337352d5e204479927deb544f755a"/>
                    <pic:cNvPicPr>
                      <a:picLocks noChangeAspect="1"/>
                    </pic:cNvPicPr>
                  </pic:nvPicPr>
                  <pic:blipFill>
                    <a:blip r:embed="rId64"/>
                    <a:stretch>
                      <a:fillRect/>
                    </a:stretch>
                  </pic:blipFill>
                  <pic:spPr>
                    <a:xfrm>
                      <a:off x="0" y="0"/>
                      <a:ext cx="723900" cy="857250"/>
                    </a:xfrm>
                    <a:prstGeom prst="rect">
                      <a:avLst/>
                    </a:prstGeom>
                    <a:noFill/>
                    <a:ln>
                      <a:noFill/>
                    </a:ln>
                  </pic:spPr>
                </pic:pic>
              </a:graphicData>
            </a:graphic>
          </wp:anchor>
        </w:drawing>
      </w:r>
      <w:r>
        <w:rPr>
          <w:rFonts w:hint="eastAsia" w:cs="Times New Roman"/>
          <w:color w:val="auto"/>
          <w:sz w:val="24"/>
          <w:szCs w:val="24"/>
          <w:shd w:val="clear" w:color="auto" w:fill="auto"/>
          <w:lang w:val="en-US" w:eastAsia="zh-CN"/>
        </w:rPr>
        <w:t>***(涉密删除）</w:t>
      </w:r>
    </w:p>
    <w:p w14:paraId="0AB37412">
      <w:pPr>
        <w:spacing w:line="360" w:lineRule="auto"/>
        <w:ind w:left="0" w:leftChars="0" w:firstLine="0" w:firstLineChars="0"/>
        <w:jc w:val="center"/>
        <w:outlineLvl w:val="9"/>
        <w:rPr>
          <w:rFonts w:hint="default" w:ascii="Times New Roman" w:hAnsi="Times New Roman" w:eastAsia="宋体" w:cs="Times New Roman"/>
          <w:color w:val="auto"/>
          <w:lang w:eastAsia="zh-CN"/>
        </w:rPr>
      </w:pPr>
    </w:p>
    <w:p w14:paraId="54C1BD3F">
      <w:pPr>
        <w:spacing w:line="360" w:lineRule="auto"/>
        <w:jc w:val="center"/>
        <w:outlineLvl w:val="0"/>
        <w:rPr>
          <w:rStyle w:val="61"/>
          <w:rFonts w:hint="default" w:ascii="Times New Roman" w:hAnsi="Times New Roman" w:eastAsia="宋体" w:cs="Times New Roman"/>
          <w:color w:val="auto"/>
          <w:sz w:val="24"/>
          <w:szCs w:val="24"/>
          <w:lang w:val="en-US" w:eastAsia="zh-CN" w:bidi="ar-SA"/>
        </w:rPr>
      </w:pPr>
      <w:r>
        <w:rPr>
          <w:rStyle w:val="61"/>
          <w:rFonts w:hint="default" w:ascii="Times New Roman" w:hAnsi="Times New Roman" w:eastAsia="宋体" w:cs="Times New Roman"/>
          <w:color w:val="auto"/>
          <w:sz w:val="24"/>
          <w:szCs w:val="24"/>
          <w:lang w:val="en-US" w:eastAsia="zh-CN" w:bidi="ar-SA"/>
        </w:rPr>
        <w:t>附图7 厂区平面布置图</w:t>
      </w:r>
    </w:p>
    <w:p w14:paraId="4838DA30">
      <w:pPr>
        <w:spacing w:line="360" w:lineRule="auto"/>
        <w:jc w:val="center"/>
        <w:outlineLvl w:val="9"/>
        <w:rPr>
          <w:rFonts w:hint="default" w:ascii="Times New Roman" w:hAnsi="Times New Roman" w:eastAsia="宋体" w:cs="Times New Roman"/>
          <w:color w:val="auto"/>
          <w:lang w:eastAsia="zh-CN"/>
        </w:rPr>
        <w:sectPr>
          <w:pgSz w:w="23811" w:h="16838" w:orient="landscape"/>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p>
    <w:p w14:paraId="0BC854C6">
      <w:pPr>
        <w:keepNext w:val="0"/>
        <w:keepLines w:val="0"/>
        <w:suppressLineNumbers w:val="0"/>
        <w:autoSpaceDE w:val="0"/>
        <w:autoSpaceDN w:val="0"/>
        <w:adjustRightInd w:val="0"/>
        <w:spacing w:before="0" w:beforeAutospacing="0" w:after="0" w:afterAutospacing="0" w:line="360" w:lineRule="auto"/>
        <w:ind w:left="0" w:right="0"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28F26070">
      <w:pPr>
        <w:spacing w:line="360" w:lineRule="auto"/>
        <w:jc w:val="center"/>
        <w:outlineLvl w:val="0"/>
        <w:rPr>
          <w:rStyle w:val="61"/>
          <w:rFonts w:hint="default" w:ascii="Times New Roman" w:hAnsi="Times New Roman" w:eastAsia="宋体" w:cs="Times New Roman"/>
          <w:color w:val="auto"/>
          <w:sz w:val="24"/>
          <w:szCs w:val="24"/>
          <w:lang w:val="en-US" w:eastAsia="zh-CN" w:bidi="ar-SA"/>
        </w:rPr>
        <w:sectPr>
          <w:pgSz w:w="23811" w:h="16838" w:orient="landscape"/>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r>
        <w:rPr>
          <w:rStyle w:val="61"/>
          <w:rFonts w:hint="default" w:ascii="Times New Roman" w:hAnsi="Times New Roman" w:eastAsia="宋体" w:cs="Times New Roman"/>
          <w:color w:val="auto"/>
          <w:sz w:val="24"/>
          <w:szCs w:val="24"/>
          <w:lang w:val="en-US" w:eastAsia="zh-CN" w:bidi="ar-SA"/>
        </w:rPr>
        <w:t>附图8 雨、污管网图</w:t>
      </w:r>
    </w:p>
    <w:p w14:paraId="4B80B840">
      <w:pPr>
        <w:keepNext w:val="0"/>
        <w:keepLines w:val="0"/>
        <w:suppressLineNumbers w:val="0"/>
        <w:autoSpaceDE w:val="0"/>
        <w:autoSpaceDN w:val="0"/>
        <w:adjustRightInd w:val="0"/>
        <w:spacing w:before="0" w:beforeAutospacing="0" w:after="0" w:afterAutospacing="0" w:line="360" w:lineRule="auto"/>
        <w:ind w:left="0" w:right="0"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5002A780">
      <w:pPr>
        <w:spacing w:line="360" w:lineRule="auto"/>
        <w:jc w:val="center"/>
        <w:outlineLvl w:val="0"/>
        <w:rPr>
          <w:rStyle w:val="61"/>
          <w:rFonts w:hint="default" w:ascii="Times New Roman" w:hAnsi="Times New Roman" w:eastAsia="宋体" w:cs="Times New Roman"/>
          <w:b w:val="0"/>
          <w:bCs w:val="0"/>
          <w:color w:val="auto"/>
          <w:sz w:val="24"/>
          <w:szCs w:val="24"/>
          <w:lang w:val="en-US" w:eastAsia="zh-CN" w:bidi="ar-SA"/>
        </w:rPr>
        <w:sectPr>
          <w:pgSz w:w="23811" w:h="16838" w:orient="landscape"/>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r>
        <w:rPr>
          <w:rStyle w:val="61"/>
          <w:rFonts w:hint="default" w:ascii="Times New Roman" w:hAnsi="Times New Roman" w:eastAsia="宋体" w:cs="Times New Roman"/>
          <w:b w:val="0"/>
          <w:bCs w:val="0"/>
          <w:color w:val="auto"/>
          <w:sz w:val="24"/>
          <w:szCs w:val="24"/>
          <w:lang w:val="en-US" w:eastAsia="zh-CN" w:bidi="ar-SA"/>
        </w:rPr>
        <w:t>附图9 分区防渗示意图</w:t>
      </w:r>
    </w:p>
    <w:p w14:paraId="6BB3D2D5">
      <w:pPr>
        <w:keepNext w:val="0"/>
        <w:keepLines w:val="0"/>
        <w:suppressLineNumbers w:val="0"/>
        <w:autoSpaceDE w:val="0"/>
        <w:autoSpaceDN w:val="0"/>
        <w:adjustRightInd w:val="0"/>
        <w:spacing w:before="0" w:beforeAutospacing="0" w:after="0" w:afterAutospacing="0" w:line="360" w:lineRule="auto"/>
        <w:ind w:left="0" w:right="0" w:firstLine="480" w:firstLineChars="200"/>
        <w:jc w:val="center"/>
        <w:rPr>
          <w:rFonts w:hint="eastAsia"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***(涉密删除）</w:t>
      </w:r>
    </w:p>
    <w:p w14:paraId="1C61D16C">
      <w:pPr>
        <w:pStyle w:val="44"/>
        <w:adjustRightInd w:val="0"/>
        <w:snapToGrid w:val="0"/>
        <w:spacing w:before="0" w:beforeAutospacing="0" w:after="0" w:afterAutospacing="0"/>
        <w:outlineLvl w:val="0"/>
        <w:rPr>
          <w:rFonts w:hint="default" w:ascii="Times New Roman" w:hAnsi="Times New Roman" w:eastAsia="宋体" w:cs="Times New Roman"/>
          <w:b/>
          <w:bCs/>
          <w:snapToGrid w:val="0"/>
          <w:color w:val="auto"/>
          <w:sz w:val="24"/>
          <w:szCs w:val="24"/>
          <w:lang w:eastAsia="zh-CN"/>
        </w:rPr>
      </w:pPr>
      <w:r>
        <w:rPr>
          <w:rFonts w:hint="default" w:ascii="Times New Roman" w:hAnsi="Times New Roman" w:eastAsia="宋体" w:cs="Times New Roman"/>
          <w:b/>
          <w:bCs/>
          <w:snapToGrid w:val="0"/>
          <w:color w:val="auto"/>
          <w:sz w:val="24"/>
          <w:szCs w:val="24"/>
        </w:rPr>
        <w:t>附件</w:t>
      </w:r>
      <w:r>
        <w:rPr>
          <w:rFonts w:hint="default" w:ascii="Times New Roman" w:hAnsi="Times New Roman" w:eastAsia="宋体" w:cs="Times New Roman"/>
          <w:b/>
          <w:bCs/>
          <w:snapToGrid w:val="0"/>
          <w:color w:val="auto"/>
          <w:sz w:val="24"/>
          <w:szCs w:val="24"/>
          <w:lang w:val="en-US" w:eastAsia="zh-CN"/>
        </w:rPr>
        <w:t>10</w:t>
      </w:r>
      <w:r>
        <w:rPr>
          <w:rFonts w:hint="default" w:ascii="Times New Roman" w:hAnsi="Times New Roman" w:eastAsia="宋体" w:cs="Times New Roman"/>
          <w:b/>
          <w:bCs/>
          <w:snapToGrid w:val="0"/>
          <w:color w:val="auto"/>
          <w:sz w:val="24"/>
          <w:szCs w:val="24"/>
        </w:rPr>
        <w:t>：</w:t>
      </w:r>
      <w:r>
        <w:rPr>
          <w:rFonts w:hint="default" w:ascii="Times New Roman" w:hAnsi="Times New Roman" w:eastAsia="宋体" w:cs="Times New Roman"/>
          <w:b/>
          <w:bCs/>
          <w:snapToGrid w:val="0"/>
          <w:color w:val="auto"/>
          <w:sz w:val="24"/>
          <w:szCs w:val="24"/>
          <w:lang w:eastAsia="zh-CN"/>
        </w:rPr>
        <w:t>涉密说明</w:t>
      </w:r>
    </w:p>
    <w:p w14:paraId="7286B957">
      <w:pPr>
        <w:pStyle w:val="2"/>
        <w:ind w:left="0" w:leftChars="0" w:firstLine="0" w:firstLineChars="0"/>
        <w:jc w:val="center"/>
        <w:rPr>
          <w:rFonts w:hint="default" w:ascii="Times New Roman" w:hAnsi="Times New Roman" w:eastAsia="宋体" w:cs="Times New Roman"/>
          <w:b/>
          <w:color w:val="auto"/>
          <w:kern w:val="0"/>
          <w:sz w:val="44"/>
          <w:szCs w:val="44"/>
          <w:lang w:val="en-US" w:eastAsia="zh-CN"/>
        </w:rPr>
      </w:pPr>
      <w:r>
        <w:rPr>
          <w:color w:val="auto"/>
        </w:rPr>
        <w:drawing>
          <wp:anchor distT="0" distB="0" distL="114300" distR="114300" simplePos="0" relativeHeight="251682816" behindDoc="0" locked="0" layoutInCell="1" allowOverlap="1">
            <wp:simplePos x="0" y="0"/>
            <wp:positionH relativeFrom="column">
              <wp:posOffset>-447675</wp:posOffset>
            </wp:positionH>
            <wp:positionV relativeFrom="paragraph">
              <wp:posOffset>118110</wp:posOffset>
            </wp:positionV>
            <wp:extent cx="6344920" cy="7505065"/>
            <wp:effectExtent l="0" t="0" r="17780" b="635"/>
            <wp:wrapNone/>
            <wp:docPr id="4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18"/>
                    <pic:cNvPicPr>
                      <a:picLocks noChangeAspect="1"/>
                    </pic:cNvPicPr>
                  </pic:nvPicPr>
                  <pic:blipFill>
                    <a:blip r:embed="rId65"/>
                    <a:stretch>
                      <a:fillRect/>
                    </a:stretch>
                  </pic:blipFill>
                  <pic:spPr>
                    <a:xfrm>
                      <a:off x="0" y="0"/>
                      <a:ext cx="6344920" cy="7505065"/>
                    </a:xfrm>
                    <a:prstGeom prst="rect">
                      <a:avLst/>
                    </a:prstGeom>
                    <a:noFill/>
                    <a:ln>
                      <a:noFill/>
                    </a:ln>
                  </pic:spPr>
                </pic:pic>
              </a:graphicData>
            </a:graphic>
          </wp:anchor>
        </w:drawing>
      </w:r>
    </w:p>
    <w:p w14:paraId="78A92FD4">
      <w:pPr>
        <w:pStyle w:val="2"/>
        <w:ind w:left="0" w:leftChars="0" w:firstLine="0" w:firstLineChars="0"/>
        <w:jc w:val="center"/>
        <w:rPr>
          <w:rFonts w:hint="default" w:ascii="Times New Roman" w:hAnsi="Times New Roman" w:eastAsia="宋体" w:cs="Times New Roman"/>
          <w:b/>
          <w:color w:val="auto"/>
          <w:kern w:val="0"/>
          <w:sz w:val="32"/>
          <w:szCs w:val="32"/>
          <w:lang w:val="en-US" w:eastAsia="zh-CN"/>
        </w:rPr>
      </w:pPr>
      <w:r>
        <w:rPr>
          <w:rFonts w:hint="default" w:ascii="Times New Roman" w:hAnsi="Times New Roman" w:eastAsia="宋体" w:cs="Times New Roman"/>
          <w:b/>
          <w:color w:val="auto"/>
          <w:kern w:val="0"/>
          <w:sz w:val="32"/>
          <w:szCs w:val="32"/>
          <w:lang w:val="en-US" w:eastAsia="zh-CN"/>
        </w:rPr>
        <w:t>关于环评文件公开文本删除的涉及国家秘密、商业秘密等内容的删除依据和理由说明</w:t>
      </w:r>
    </w:p>
    <w:p w14:paraId="433DFC24">
      <w:pPr>
        <w:pStyle w:val="2"/>
        <w:ind w:left="0" w:leftChars="0" w:firstLine="0" w:firstLineChars="0"/>
        <w:rPr>
          <w:rFonts w:hint="default" w:ascii="Times New Roman" w:hAnsi="Times New Roman" w:eastAsia="宋体" w:cs="Times New Roman"/>
          <w:bCs/>
          <w:color w:val="auto"/>
          <w:kern w:val="0"/>
          <w:sz w:val="32"/>
          <w:szCs w:val="32"/>
          <w:lang w:eastAsia="zh-CN"/>
        </w:rPr>
      </w:pPr>
      <w:r>
        <w:rPr>
          <w:rFonts w:hint="default" w:ascii="Times New Roman" w:hAnsi="Times New Roman" w:eastAsia="宋体" w:cs="Times New Roman"/>
          <w:bCs/>
          <w:color w:val="auto"/>
          <w:kern w:val="0"/>
          <w:sz w:val="32"/>
          <w:szCs w:val="32"/>
          <w:lang w:eastAsia="zh-CN"/>
        </w:rPr>
        <w:t>福州市福清生态环境局：</w:t>
      </w:r>
    </w:p>
    <w:p w14:paraId="659C8720">
      <w:pPr>
        <w:pStyle w:val="2"/>
        <w:ind w:left="0" w:leftChars="0" w:firstLine="640" w:firstLineChars="200"/>
        <w:rPr>
          <w:rFonts w:hint="default" w:ascii="Times New Roman" w:hAnsi="Times New Roman" w:eastAsia="宋体" w:cs="Times New Roman"/>
          <w:bCs/>
          <w:color w:val="auto"/>
          <w:kern w:val="0"/>
          <w:sz w:val="32"/>
          <w:szCs w:val="32"/>
          <w:lang w:eastAsia="zh-CN"/>
        </w:rPr>
      </w:pPr>
      <w:r>
        <w:rPr>
          <w:rFonts w:hint="default" w:ascii="Times New Roman" w:hAnsi="Times New Roman" w:eastAsia="宋体" w:cs="Times New Roman"/>
          <w:bCs/>
          <w:color w:val="auto"/>
          <w:kern w:val="0"/>
          <w:sz w:val="32"/>
          <w:szCs w:val="32"/>
          <w:lang w:eastAsia="zh-CN"/>
        </w:rPr>
        <w:t>我司福州密尔克卫供应链管理有限公司已完成环境影响评价报告表编制，现报送贵局审批。我司已删除涉及国家秘密、商业秘密、个人隐私等内容《具体删除内容、删除依据详见附件)。报送贵局的环境影响评价报告表公开文本已经我司审核，我司同意对《密尔克卫（福建）危险化学品供应链一体化基地项目环境影响评价报告表》公开文本全文进行公示，特此声明。</w:t>
      </w:r>
    </w:p>
    <w:p w14:paraId="233F45E6">
      <w:pPr>
        <w:pStyle w:val="2"/>
        <w:ind w:left="0" w:leftChars="0" w:firstLine="640" w:firstLineChars="200"/>
        <w:rPr>
          <w:rFonts w:hint="default" w:ascii="Times New Roman" w:hAnsi="Times New Roman" w:eastAsia="宋体" w:cs="Times New Roman"/>
          <w:b/>
          <w:color w:val="auto"/>
          <w:kern w:val="0"/>
          <w:sz w:val="48"/>
          <w:szCs w:val="48"/>
        </w:rPr>
      </w:pPr>
      <w:r>
        <w:rPr>
          <w:rFonts w:hint="default" w:ascii="Times New Roman" w:hAnsi="Times New Roman" w:eastAsia="宋体" w:cs="Times New Roman"/>
          <w:bCs/>
          <w:color w:val="auto"/>
          <w:kern w:val="0"/>
          <w:sz w:val="32"/>
          <w:szCs w:val="32"/>
          <w:lang w:eastAsia="zh-CN"/>
        </w:rPr>
        <w:t>附件：关于《密尔克卫（福建）危险化学品供应链一体化基地项目环境影响评价报告表》公开删除内容、删除依据的说明。</w:t>
      </w:r>
    </w:p>
    <w:p w14:paraId="3A4643EE">
      <w:pPr>
        <w:pStyle w:val="2"/>
        <w:ind w:firstLine="5400" w:firstLineChars="1800"/>
        <w:jc w:val="both"/>
        <w:rPr>
          <w:rFonts w:hint="default" w:ascii="Times New Roman" w:hAnsi="Times New Roman" w:eastAsia="宋体" w:cs="Times New Roman"/>
          <w:bCs/>
          <w:color w:val="auto"/>
          <w:kern w:val="0"/>
          <w:sz w:val="30"/>
          <w:szCs w:val="30"/>
        </w:rPr>
      </w:pPr>
    </w:p>
    <w:p w14:paraId="4A99CE0C">
      <w:pPr>
        <w:pStyle w:val="2"/>
        <w:ind w:firstLine="5400" w:firstLineChars="1800"/>
        <w:jc w:val="both"/>
        <w:rPr>
          <w:rFonts w:hint="default" w:ascii="Times New Roman" w:hAnsi="Times New Roman" w:eastAsia="宋体" w:cs="Times New Roman"/>
          <w:bCs/>
          <w:color w:val="auto"/>
          <w:kern w:val="0"/>
          <w:sz w:val="30"/>
          <w:szCs w:val="30"/>
        </w:rPr>
      </w:pPr>
    </w:p>
    <w:p w14:paraId="566D3E72">
      <w:pPr>
        <w:pStyle w:val="2"/>
        <w:jc w:val="right"/>
        <w:rPr>
          <w:rFonts w:hint="default" w:ascii="Times New Roman" w:hAnsi="Times New Roman" w:eastAsia="宋体" w:cs="Times New Roman"/>
          <w:bCs/>
          <w:color w:val="auto"/>
          <w:kern w:val="0"/>
          <w:sz w:val="30"/>
          <w:szCs w:val="30"/>
          <w:lang w:eastAsia="zh-CN"/>
        </w:rPr>
      </w:pPr>
      <w:r>
        <w:rPr>
          <w:rFonts w:hint="default" w:ascii="Times New Roman" w:hAnsi="Times New Roman" w:eastAsia="宋体" w:cs="Times New Roman"/>
          <w:bCs/>
          <w:color w:val="auto"/>
          <w:kern w:val="0"/>
          <w:sz w:val="30"/>
          <w:szCs w:val="30"/>
        </w:rPr>
        <w:t>单位盖章</w:t>
      </w:r>
      <w:r>
        <w:rPr>
          <w:rFonts w:hint="default" w:ascii="Times New Roman" w:hAnsi="Times New Roman" w:eastAsia="宋体" w:cs="Times New Roman"/>
          <w:bCs/>
          <w:color w:val="auto"/>
          <w:kern w:val="0"/>
          <w:sz w:val="30"/>
          <w:szCs w:val="30"/>
          <w:lang w:eastAsia="zh-CN"/>
        </w:rPr>
        <w:t>：</w:t>
      </w:r>
      <w:r>
        <w:rPr>
          <w:rFonts w:hint="default" w:ascii="Times New Roman" w:hAnsi="Times New Roman" w:eastAsia="宋体" w:cs="Times New Roman"/>
          <w:bCs/>
          <w:color w:val="auto"/>
          <w:kern w:val="0"/>
          <w:sz w:val="32"/>
          <w:szCs w:val="32"/>
          <w:lang w:eastAsia="zh-CN"/>
        </w:rPr>
        <w:t>福州密尔克卫供应链管理有限公司</w:t>
      </w:r>
    </w:p>
    <w:p w14:paraId="09B03024">
      <w:pPr>
        <w:pStyle w:val="2"/>
        <w:ind w:firstLine="3900" w:firstLineChars="1300"/>
        <w:jc w:val="both"/>
        <w:rPr>
          <w:rFonts w:hint="default" w:ascii="Times New Roman" w:hAnsi="Times New Roman" w:eastAsia="宋体" w:cs="Times New Roman"/>
          <w:bCs/>
          <w:color w:val="auto"/>
          <w:kern w:val="0"/>
          <w:sz w:val="30"/>
          <w:szCs w:val="30"/>
        </w:rPr>
      </w:pPr>
      <w:r>
        <w:rPr>
          <w:rFonts w:hint="default" w:ascii="Times New Roman" w:hAnsi="Times New Roman" w:eastAsia="宋体" w:cs="Times New Roman"/>
          <w:bCs/>
          <w:color w:val="auto"/>
          <w:kern w:val="0"/>
          <w:sz w:val="30"/>
          <w:szCs w:val="30"/>
        </w:rPr>
        <w:t xml:space="preserve"> </w:t>
      </w:r>
      <w:r>
        <w:rPr>
          <w:rFonts w:hint="default" w:ascii="Times New Roman" w:hAnsi="Times New Roman" w:eastAsia="宋体" w:cs="Times New Roman"/>
          <w:bCs/>
          <w:color w:val="auto"/>
          <w:kern w:val="0"/>
          <w:sz w:val="30"/>
          <w:szCs w:val="30"/>
          <w:lang w:eastAsia="zh-CN"/>
        </w:rPr>
        <w:t>2024年12月10日</w:t>
      </w:r>
    </w:p>
    <w:p w14:paraId="5EE94098">
      <w:pPr>
        <w:pStyle w:val="2"/>
        <w:ind w:left="0" w:leftChars="0" w:firstLine="0" w:firstLineChars="0"/>
        <w:jc w:val="center"/>
        <w:rPr>
          <w:rFonts w:hint="default" w:ascii="Times New Roman" w:hAnsi="Times New Roman" w:eastAsia="宋体" w:cs="Times New Roman"/>
          <w:b/>
          <w:color w:val="auto"/>
          <w:kern w:val="0"/>
          <w:sz w:val="44"/>
          <w:szCs w:val="44"/>
          <w:lang w:val="en-US" w:eastAsia="zh-CN"/>
        </w:rPr>
        <w:sectPr>
          <w:footerReference r:id="rId21" w:type="default"/>
          <w:pgSz w:w="11849" w:h="16781"/>
          <w:pgMar w:top="1757" w:right="1757" w:bottom="1757" w:left="175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E11AAD1">
      <w:pPr>
        <w:pStyle w:val="2"/>
        <w:ind w:left="0" w:leftChars="0" w:firstLine="0" w:firstLineChars="0"/>
        <w:jc w:val="both"/>
        <w:rPr>
          <w:rFonts w:hint="default" w:ascii="Times New Roman" w:hAnsi="Times New Roman" w:eastAsia="宋体" w:cs="Times New Roman"/>
          <w:b/>
          <w:color w:val="auto"/>
          <w:kern w:val="0"/>
          <w:sz w:val="32"/>
          <w:szCs w:val="32"/>
          <w:lang w:val="en-US" w:eastAsia="zh-CN"/>
        </w:rPr>
      </w:pPr>
      <w:r>
        <w:rPr>
          <w:rFonts w:hint="default" w:ascii="Times New Roman" w:hAnsi="Times New Roman" w:eastAsia="宋体" w:cs="Times New Roman"/>
          <w:b/>
          <w:color w:val="auto"/>
          <w:kern w:val="0"/>
          <w:sz w:val="32"/>
          <w:szCs w:val="32"/>
          <w:lang w:val="en-US" w:eastAsia="zh-CN"/>
        </w:rPr>
        <w:t>附件：</w:t>
      </w:r>
    </w:p>
    <w:p w14:paraId="38BF9571">
      <w:pPr>
        <w:pStyle w:val="2"/>
        <w:ind w:left="0" w:leftChars="0" w:firstLine="0" w:firstLineChars="0"/>
        <w:jc w:val="center"/>
        <w:rPr>
          <w:rFonts w:hint="default" w:ascii="Times New Roman" w:hAnsi="Times New Roman" w:eastAsia="宋体" w:cs="Times New Roman"/>
          <w:b/>
          <w:color w:val="auto"/>
          <w:kern w:val="0"/>
          <w:sz w:val="32"/>
          <w:szCs w:val="32"/>
          <w:lang w:val="en-US" w:eastAsia="zh-CN"/>
        </w:rPr>
      </w:pPr>
      <w:r>
        <w:rPr>
          <w:color w:val="auto"/>
        </w:rPr>
        <w:drawing>
          <wp:anchor distT="0" distB="0" distL="114300" distR="114300" simplePos="0" relativeHeight="251683840" behindDoc="0" locked="0" layoutInCell="1" allowOverlap="1">
            <wp:simplePos x="0" y="0"/>
            <wp:positionH relativeFrom="column">
              <wp:posOffset>-695325</wp:posOffset>
            </wp:positionH>
            <wp:positionV relativeFrom="paragraph">
              <wp:posOffset>38735</wp:posOffset>
            </wp:positionV>
            <wp:extent cx="6620510" cy="7552690"/>
            <wp:effectExtent l="0" t="0" r="8890" b="10160"/>
            <wp:wrapNone/>
            <wp:docPr id="4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19"/>
                    <pic:cNvPicPr>
                      <a:picLocks noChangeAspect="1"/>
                    </pic:cNvPicPr>
                  </pic:nvPicPr>
                  <pic:blipFill>
                    <a:blip r:embed="rId66"/>
                    <a:stretch>
                      <a:fillRect/>
                    </a:stretch>
                  </pic:blipFill>
                  <pic:spPr>
                    <a:xfrm>
                      <a:off x="0" y="0"/>
                      <a:ext cx="6620510" cy="7552690"/>
                    </a:xfrm>
                    <a:prstGeom prst="rect">
                      <a:avLst/>
                    </a:prstGeom>
                    <a:noFill/>
                    <a:ln>
                      <a:noFill/>
                    </a:ln>
                  </pic:spPr>
                </pic:pic>
              </a:graphicData>
            </a:graphic>
          </wp:anchor>
        </w:drawing>
      </w:r>
    </w:p>
    <w:p w14:paraId="2EAE9A3A">
      <w:pPr>
        <w:pStyle w:val="2"/>
        <w:ind w:left="0" w:leftChars="0" w:firstLine="0" w:firstLineChars="0"/>
        <w:jc w:val="center"/>
        <w:rPr>
          <w:rFonts w:hint="default" w:ascii="Times New Roman" w:hAnsi="Times New Roman" w:eastAsia="宋体" w:cs="Times New Roman"/>
          <w:b/>
          <w:color w:val="auto"/>
          <w:kern w:val="0"/>
          <w:sz w:val="32"/>
          <w:szCs w:val="32"/>
          <w:lang w:val="en-US" w:eastAsia="zh-CN"/>
        </w:rPr>
      </w:pPr>
      <w:r>
        <w:rPr>
          <w:rFonts w:hint="default" w:ascii="Times New Roman" w:hAnsi="Times New Roman" w:eastAsia="宋体" w:cs="Times New Roman"/>
          <w:b/>
          <w:color w:val="auto"/>
          <w:kern w:val="0"/>
          <w:sz w:val="32"/>
          <w:szCs w:val="32"/>
          <w:lang w:val="en-US" w:eastAsia="zh-CN"/>
        </w:rPr>
        <w:t>关于密尔克卫（福建）危险化学品供应链一体化基地项目的环境影响评价报告表公开文本删除的涉及国家秘密、商业秘密等内容的删除依据和理由说明</w:t>
      </w:r>
    </w:p>
    <w:p w14:paraId="04EDF2BD">
      <w:pPr>
        <w:pStyle w:val="2"/>
        <w:ind w:left="0" w:leftChars="0" w:firstLine="640" w:firstLineChars="200"/>
        <w:rPr>
          <w:rFonts w:hint="default" w:ascii="Times New Roman" w:hAnsi="Times New Roman" w:eastAsia="宋体" w:cs="Times New Roman"/>
          <w:bCs/>
          <w:color w:val="auto"/>
          <w:kern w:val="0"/>
          <w:sz w:val="32"/>
          <w:szCs w:val="32"/>
        </w:rPr>
      </w:pPr>
    </w:p>
    <w:p w14:paraId="500844ED">
      <w:pPr>
        <w:pStyle w:val="2"/>
        <w:ind w:left="0" w:leftChars="0" w:firstLine="640" w:firstLineChars="200"/>
        <w:rPr>
          <w:rFonts w:hint="default" w:ascii="Times New Roman" w:hAnsi="Times New Roman" w:eastAsia="宋体" w:cs="Times New Roman"/>
          <w:bCs/>
          <w:color w:val="auto"/>
          <w:kern w:val="0"/>
          <w:sz w:val="32"/>
          <w:szCs w:val="32"/>
          <w:lang w:val="en-US" w:eastAsia="zh-CN"/>
        </w:rPr>
      </w:pPr>
      <w:r>
        <w:rPr>
          <w:rFonts w:hint="default" w:ascii="Times New Roman" w:hAnsi="Times New Roman" w:eastAsia="宋体" w:cs="Times New Roman"/>
          <w:bCs/>
          <w:color w:val="auto"/>
          <w:kern w:val="0"/>
          <w:sz w:val="32"/>
          <w:szCs w:val="32"/>
        </w:rPr>
        <w:t>我司</w:t>
      </w:r>
      <w:r>
        <w:rPr>
          <w:rFonts w:hint="default" w:ascii="Times New Roman" w:hAnsi="Times New Roman" w:eastAsia="宋体" w:cs="Times New Roman"/>
          <w:bCs/>
          <w:color w:val="auto"/>
          <w:kern w:val="0"/>
          <w:sz w:val="32"/>
          <w:szCs w:val="32"/>
          <w:lang w:eastAsia="zh-CN"/>
        </w:rPr>
        <w:t>《密尔克卫（福建）危险化学品供应链一体化基地项目环境影响评价报告表》</w:t>
      </w:r>
      <w:r>
        <w:rPr>
          <w:rFonts w:hint="default" w:ascii="Times New Roman" w:hAnsi="Times New Roman" w:eastAsia="宋体" w:cs="Times New Roman"/>
          <w:bCs/>
          <w:color w:val="auto"/>
          <w:kern w:val="0"/>
          <w:sz w:val="32"/>
          <w:szCs w:val="32"/>
          <w:lang w:val="en-US" w:eastAsia="zh-CN"/>
        </w:rPr>
        <w:t>部分内容因涉及国家秘密、商业秘密、个人隐私、知识版权等内容。我司删除了环境影响评价报告表中相应内容。具体删除内容和删除依据如下：</w:t>
      </w:r>
    </w:p>
    <w:p w14:paraId="35A3BCE4">
      <w:pPr>
        <w:pStyle w:val="2"/>
        <w:ind w:left="0" w:leftChars="0" w:firstLine="640" w:firstLineChars="200"/>
        <w:rPr>
          <w:rFonts w:hint="default" w:ascii="Times New Roman" w:hAnsi="Times New Roman" w:eastAsia="宋体" w:cs="Times New Roman"/>
          <w:bCs/>
          <w:color w:val="auto"/>
          <w:kern w:val="0"/>
          <w:sz w:val="32"/>
          <w:szCs w:val="32"/>
          <w:lang w:val="en-US" w:eastAsia="zh-CN"/>
        </w:rPr>
      </w:pPr>
      <w:r>
        <w:rPr>
          <w:rFonts w:hint="default" w:ascii="Times New Roman" w:hAnsi="Times New Roman" w:eastAsia="宋体" w:cs="Times New Roman"/>
          <w:bCs/>
          <w:color w:val="auto"/>
          <w:kern w:val="0"/>
          <w:sz w:val="32"/>
          <w:szCs w:val="32"/>
          <w:lang w:val="en-US" w:eastAsia="zh-CN"/>
        </w:rPr>
        <w:t>1、删除项目附件，删除理由：涉及商业秘密及个人隐私；</w:t>
      </w:r>
    </w:p>
    <w:p w14:paraId="54337C5A">
      <w:pPr>
        <w:pStyle w:val="2"/>
        <w:ind w:left="0" w:leftChars="0" w:firstLine="640" w:firstLineChars="200"/>
        <w:rPr>
          <w:rFonts w:hint="default" w:ascii="Times New Roman" w:hAnsi="Times New Roman" w:eastAsia="宋体" w:cs="Times New Roman"/>
          <w:bCs/>
          <w:color w:val="auto"/>
          <w:kern w:val="0"/>
          <w:sz w:val="32"/>
          <w:szCs w:val="32"/>
          <w:lang w:val="en-US" w:eastAsia="zh-CN"/>
        </w:rPr>
      </w:pPr>
      <w:r>
        <w:rPr>
          <w:rFonts w:hint="default" w:ascii="Times New Roman" w:hAnsi="Times New Roman" w:eastAsia="宋体" w:cs="Times New Roman"/>
          <w:bCs/>
          <w:color w:val="auto"/>
          <w:kern w:val="0"/>
          <w:sz w:val="32"/>
          <w:szCs w:val="32"/>
          <w:lang w:val="en-US" w:eastAsia="zh-CN"/>
        </w:rPr>
        <w:t>2、删除我司联系方式，删除理由：涉及个人隐私；</w:t>
      </w:r>
    </w:p>
    <w:p w14:paraId="596432D5">
      <w:pPr>
        <w:pStyle w:val="2"/>
        <w:ind w:left="0" w:leftChars="0" w:firstLine="640" w:firstLineChars="200"/>
        <w:rPr>
          <w:rFonts w:hint="default" w:ascii="Times New Roman" w:hAnsi="Times New Roman" w:eastAsia="宋体" w:cs="Times New Roman"/>
          <w:bCs/>
          <w:color w:val="auto"/>
          <w:kern w:val="0"/>
          <w:sz w:val="32"/>
          <w:szCs w:val="32"/>
          <w:lang w:val="en-US" w:eastAsia="zh-CN"/>
        </w:rPr>
      </w:pPr>
      <w:r>
        <w:rPr>
          <w:rFonts w:hint="default" w:ascii="Times New Roman" w:hAnsi="Times New Roman" w:eastAsia="宋体" w:cs="Times New Roman"/>
          <w:bCs/>
          <w:color w:val="auto"/>
          <w:kern w:val="0"/>
          <w:sz w:val="32"/>
          <w:szCs w:val="32"/>
          <w:lang w:val="en-US" w:eastAsia="zh-CN"/>
        </w:rPr>
        <w:t>3、删除项目编制单位统一社会信用代码及编制主持人证书编号、信用编号等，删除理由：涉及商业秘密及个人隐私；</w:t>
      </w:r>
    </w:p>
    <w:p w14:paraId="7D69642F">
      <w:pPr>
        <w:pStyle w:val="2"/>
        <w:ind w:left="0" w:leftChars="0" w:firstLine="640" w:firstLineChars="200"/>
        <w:rPr>
          <w:rFonts w:hint="default" w:ascii="Times New Roman" w:hAnsi="Times New Roman" w:eastAsia="宋体" w:cs="Times New Roman"/>
          <w:bCs/>
          <w:color w:val="auto"/>
          <w:kern w:val="0"/>
          <w:sz w:val="32"/>
          <w:szCs w:val="32"/>
          <w:lang w:val="en-US" w:eastAsia="zh-CN"/>
        </w:rPr>
      </w:pPr>
      <w:r>
        <w:rPr>
          <w:rFonts w:hint="default" w:ascii="Times New Roman" w:hAnsi="Times New Roman" w:eastAsia="宋体" w:cs="Times New Roman"/>
          <w:bCs/>
          <w:color w:val="auto"/>
          <w:kern w:val="0"/>
          <w:sz w:val="32"/>
          <w:szCs w:val="32"/>
          <w:lang w:val="en-US" w:eastAsia="zh-CN"/>
        </w:rPr>
        <w:t>4、删除环境质量现状监测数据，删除理由：涉及知识产权。</w:t>
      </w:r>
    </w:p>
    <w:p w14:paraId="3E0A3F39">
      <w:pPr>
        <w:pStyle w:val="47"/>
        <w:rPr>
          <w:rFonts w:hint="default" w:ascii="Times New Roman" w:hAnsi="Times New Roman" w:eastAsia="宋体" w:cs="Times New Roman"/>
          <w:color w:val="auto"/>
          <w:lang w:val="en-US" w:eastAsia="zh-CN"/>
        </w:rPr>
      </w:pPr>
    </w:p>
    <w:p w14:paraId="495C8FCE">
      <w:pPr>
        <w:pStyle w:val="2"/>
        <w:jc w:val="right"/>
        <w:rPr>
          <w:rFonts w:hint="default" w:ascii="Times New Roman" w:hAnsi="Times New Roman" w:eastAsia="宋体" w:cs="Times New Roman"/>
          <w:bCs/>
          <w:color w:val="auto"/>
          <w:kern w:val="0"/>
          <w:sz w:val="30"/>
          <w:szCs w:val="30"/>
          <w:lang w:eastAsia="zh-CN"/>
        </w:rPr>
      </w:pPr>
      <w:r>
        <w:rPr>
          <w:rFonts w:hint="default" w:ascii="Times New Roman" w:hAnsi="Times New Roman" w:eastAsia="宋体" w:cs="Times New Roman"/>
          <w:bCs/>
          <w:color w:val="auto"/>
          <w:kern w:val="0"/>
          <w:sz w:val="30"/>
          <w:szCs w:val="30"/>
        </w:rPr>
        <w:t>单位盖章</w:t>
      </w:r>
      <w:r>
        <w:rPr>
          <w:rFonts w:hint="default" w:ascii="Times New Roman" w:hAnsi="Times New Roman" w:eastAsia="宋体" w:cs="Times New Roman"/>
          <w:bCs/>
          <w:color w:val="auto"/>
          <w:kern w:val="0"/>
          <w:sz w:val="30"/>
          <w:szCs w:val="30"/>
          <w:lang w:eastAsia="zh-CN"/>
        </w:rPr>
        <w:t>：</w:t>
      </w:r>
      <w:r>
        <w:rPr>
          <w:rFonts w:hint="default" w:ascii="Times New Roman" w:hAnsi="Times New Roman" w:eastAsia="宋体" w:cs="Times New Roman"/>
          <w:bCs/>
          <w:color w:val="auto"/>
          <w:kern w:val="0"/>
          <w:sz w:val="32"/>
          <w:szCs w:val="32"/>
          <w:lang w:eastAsia="zh-CN"/>
        </w:rPr>
        <w:t>福州密尔克卫供应链管理有限公司</w:t>
      </w:r>
    </w:p>
    <w:p w14:paraId="21C8B4ED">
      <w:pPr>
        <w:pStyle w:val="2"/>
        <w:ind w:firstLine="3900" w:firstLineChars="1300"/>
        <w:jc w:val="both"/>
        <w:rPr>
          <w:rFonts w:hint="default" w:ascii="Times New Roman" w:hAnsi="Times New Roman" w:eastAsia="宋体" w:cs="Times New Roman"/>
          <w:bCs/>
          <w:color w:val="auto"/>
          <w:kern w:val="0"/>
          <w:sz w:val="30"/>
          <w:szCs w:val="30"/>
        </w:rPr>
      </w:pPr>
      <w:r>
        <w:rPr>
          <w:rFonts w:hint="default" w:ascii="Times New Roman" w:hAnsi="Times New Roman" w:eastAsia="宋体" w:cs="Times New Roman"/>
          <w:bCs/>
          <w:color w:val="auto"/>
          <w:kern w:val="0"/>
          <w:sz w:val="30"/>
          <w:szCs w:val="30"/>
        </w:rPr>
        <w:t xml:space="preserve"> </w:t>
      </w:r>
      <w:r>
        <w:rPr>
          <w:rFonts w:hint="default" w:ascii="Times New Roman" w:hAnsi="Times New Roman" w:eastAsia="宋体" w:cs="Times New Roman"/>
          <w:bCs/>
          <w:color w:val="auto"/>
          <w:kern w:val="0"/>
          <w:sz w:val="30"/>
          <w:szCs w:val="30"/>
          <w:lang w:eastAsia="zh-CN"/>
        </w:rPr>
        <w:t>2024年12月10日</w:t>
      </w:r>
    </w:p>
    <w:p w14:paraId="13E3D5A1">
      <w:pPr>
        <w:pStyle w:val="2"/>
        <w:ind w:firstLine="0"/>
        <w:jc w:val="right"/>
        <w:rPr>
          <w:rFonts w:hint="default" w:ascii="Times New Roman" w:hAnsi="Times New Roman" w:eastAsia="宋体" w:cs="Times New Roman"/>
          <w:bCs/>
          <w:color w:val="auto"/>
          <w:kern w:val="0"/>
          <w:sz w:val="30"/>
          <w:szCs w:val="30"/>
        </w:rPr>
      </w:pPr>
    </w:p>
    <w:p w14:paraId="120F21ED">
      <w:pPr>
        <w:pStyle w:val="2"/>
        <w:rPr>
          <w:rFonts w:hint="default"/>
          <w:lang w:val="en-US" w:eastAsia="zh-CN"/>
        </w:rPr>
      </w:pPr>
      <w:r>
        <w:rPr>
          <w:rFonts w:hint="default" w:ascii="Times New Roman" w:hAnsi="Times New Roman" w:eastAsia="宋体" w:cs="Times New Roman"/>
          <w:color w:val="auto"/>
          <w:sz w:val="28"/>
          <w:szCs w:val="28"/>
        </w:rPr>
        <w:br w:type="page"/>
      </w:r>
    </w:p>
    <w:sectPr>
      <w:footerReference r:id="rId22" w:type="default"/>
      <w:pgSz w:w="11905" w:h="16838"/>
      <w:pgMar w:top="1418" w:right="1418" w:bottom="1418" w:left="1418" w:header="850" w:footer="850" w:gutter="0"/>
      <w:pgBorders>
        <w:top w:val="none" w:sz="0" w:space="0"/>
        <w:left w:val="none" w:sz="0" w:space="0"/>
        <w:bottom w:val="none" w:sz="0" w:space="0"/>
        <w:right w:val="none" w:sz="0" w:space="0"/>
      </w:pgBorders>
      <w:pgNumType w:fmt="decimal"/>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swiss"/>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Helvetica Neu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imes">
    <w:altName w:val="Times New Roman"/>
    <w:panose1 w:val="02020603050405020304"/>
    <w:charset w:val="00"/>
    <w:family w:val="roman"/>
    <w:pitch w:val="default"/>
    <w:sig w:usb0="00000000" w:usb1="00000000" w:usb2="00000009"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MS PGothic">
    <w:panose1 w:val="020B0600070205080204"/>
    <w:charset w:val="80"/>
    <w:family w:val="swiss"/>
    <w:pitch w:val="default"/>
    <w:sig w:usb0="E00002FF" w:usb1="6AC7FDFB" w:usb2="08000012" w:usb3="00000000" w:csb0="4002009F" w:csb1="DFD70000"/>
  </w:font>
  <w:font w:name="ˎ̥">
    <w:altName w:val="Times New Roman"/>
    <w:panose1 w:val="00000000000000000000"/>
    <w:charset w:val="00"/>
    <w:family w:val="roma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0B6FA">
    <w:pPr>
      <w:pStyle w:val="30"/>
      <w:spacing w:before="120" w:after="120"/>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B949A">
    <w:pPr>
      <w:pStyle w:val="30"/>
      <w:spacing w:before="120" w:after="120"/>
      <w:ind w:firstLine="36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D6EE3C">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0AD6EE3C">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95C13">
    <w:pPr>
      <w:pStyle w:val="30"/>
      <w:ind w:right="360" w:firstLine="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99D567">
                          <w:pPr>
                            <w:pStyle w:val="30"/>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B99D567">
                    <w:pPr>
                      <w:pStyle w:val="30"/>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046BE">
    <w:pPr>
      <w:pStyle w:val="3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38DD44">
                          <w:pPr>
                            <w:pStyle w:val="30"/>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F38DD44">
                    <w:pPr>
                      <w:pStyle w:val="30"/>
                    </w:pPr>
                    <w:r>
                      <w:fldChar w:fldCharType="begin"/>
                    </w:r>
                    <w:r>
                      <w:instrText xml:space="preserve"> PAGE  \* MERGEFORMAT </w:instrText>
                    </w:r>
                    <w:r>
                      <w:fldChar w:fldCharType="separate"/>
                    </w:r>
                    <w:r>
                      <w:t>62</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12D1F6">
                          <w:pPr>
                            <w:pStyle w:val="30"/>
                            <w:rPr>
                              <w:rFonts w:hint="eastAsia"/>
                              <w:lang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A6z8coBAACd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1ToSaOWxz5+eeP86/H88N3&#10;kp0oUR+gxsy7gLlpeO8HXJzZD+jMzAcVbf4iJ4JxBDtdBJZDIiI/Wi1Xq1xHYGy+ID57eh4ipA/S&#10;W5KNhkacYBGWHz9BGlPnlFzN+VttTJmicX85EDN7WO597DFbadgNE6Gdb0/Ip8fhN9ThrlNiPjrU&#10;FvtLsxFnYzcbhxD1viuLlOtBeHdI2ETpLVcYYafCOLXCbtqwvBZ/3kvW01+1+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CA6z8coBAACdAwAADgAAAAAAAAABACAAAAAeAQAAZHJzL2Uyb0Rv&#10;Yy54bWxQSwUGAAAAAAYABgBZAQAAWgUAAAAA&#10;">
              <v:fill on="f" focussize="0,0"/>
              <v:stroke on="f"/>
              <v:imagedata o:title=""/>
              <o:lock v:ext="edit" aspectratio="f"/>
              <v:textbox inset="0mm,0mm,0mm,0mm" style="mso-fit-shape-to-text:t;">
                <w:txbxContent>
                  <w:p w14:paraId="4412D1F6">
                    <w:pPr>
                      <w:pStyle w:val="30"/>
                      <w:rPr>
                        <w:rFonts w:hint="eastAsia"/>
                        <w:lang w:eastAsia="zh-CN"/>
                      </w:rPr>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6" name="文本框 3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DCFA97">
                          <w:pPr>
                            <w:pStyle w:val="30"/>
                            <w:rPr>
                              <w:rFonts w:hint="eastAsia"/>
                              <w:lang w:val="en-US"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JjtJsoBAACd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PXyhhLHLY788uP75efvy69v&#10;JDtRoj5AjZn3AXPT8NYPuDizH9CZmQ8q2vxFTgTjKPD5KrAcEhH50Xq1XlcYEhibL4jPHp6HCOmd&#10;9JZko6ERJ1iE5acPkMbUOSVXc/5OG1OmaNxfDsTMHpZ7H3vMVhr2w0Ro79sz8ulx+A11uOuUmPcO&#10;tc17MhtxNvazcQxRH7qySLkehDfHhE2U3nKFEXYqjFMr7KYNy2vx+F6yHv6q7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6JjtJsoBAACdAwAADgAAAAAAAAABACAAAAAeAQAAZHJzL2Uyb0Rv&#10;Yy54bWxQSwUGAAAAAAYABgBZAQAAWgUAAAAA&#10;">
              <v:fill on="f" focussize="0,0"/>
              <v:stroke on="f"/>
              <v:imagedata o:title=""/>
              <o:lock v:ext="edit" aspectratio="f"/>
              <v:textbox inset="0mm,0mm,0mm,0mm" style="mso-fit-shape-to-text:t;">
                <w:txbxContent>
                  <w:p w14:paraId="4ADCFA97">
                    <w:pPr>
                      <w:pStyle w:val="30"/>
                      <w:rPr>
                        <w:rFonts w:hint="eastAsia"/>
                        <w:lang w:val="en-US"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B06880">
                          <w:pPr>
                            <w:pStyle w:val="30"/>
                            <w:rPr>
                              <w:rFonts w:hint="eastAsia"/>
                              <w:lang w:val="en-US"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ZW7MoBAACdAwAADgAAAGRycy9lMm9Eb2MueG1srVPNjtMwEL4j8Q6W&#10;79RpD6hE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unqzpMRxiyO/fP92+fHr8vMr&#10;yU6UqA9QY+ZDwNw03PkBF2f2Azoz80FFm7/IiWAcBT5fBZZDIiI/Wq/W6wpDAmPzBfHZ4/MQIb2V&#10;3pJsNDTiBIuw/PQe0pg6p+Rqzt9rY8oUjfvLgZjZw3LvY4/ZSsN+mAjtfXtGPj0Ov6EOd50S886h&#10;tnlPZiPOxn42jiHqQ1cWKdeDcHtM2ETpLVcYYafCOLXCbtqwvBZ/3kvW41+1/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g+ZW7MoBAACdAwAADgAAAAAAAAABACAAAAAeAQAAZHJzL2Uyb0Rv&#10;Yy54bWxQSwUGAAAAAAYABgBZAQAAWgUAAAAA&#10;">
              <v:fill on="f" focussize="0,0"/>
              <v:stroke on="f"/>
              <v:imagedata o:title=""/>
              <o:lock v:ext="edit" aspectratio="f"/>
              <v:textbox inset="0mm,0mm,0mm,0mm" style="mso-fit-shape-to-text:t;">
                <w:txbxContent>
                  <w:p w14:paraId="26B06880">
                    <w:pPr>
                      <w:pStyle w:val="30"/>
                      <w:rPr>
                        <w:rFonts w:hint="eastAsia"/>
                        <w:lang w:val="en-US"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3" name="文本框 3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3F8793">
                          <w:pPr>
                            <w:pStyle w:val="30"/>
                            <w:rPr>
                              <w:rFonts w:hint="eastAsia"/>
                              <w:lang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7HuiLcoBAACdAwAADgAAAAAAAAABACAAAAAeAQAAZHJzL2Uyb0Rv&#10;Yy54bWxQSwUGAAAAAAYABgBZAQAAWgUAAAAA&#10;">
              <v:fill on="f" focussize="0,0"/>
              <v:stroke on="f"/>
              <v:imagedata o:title=""/>
              <o:lock v:ext="edit" aspectratio="f"/>
              <v:textbox inset="0mm,0mm,0mm,0mm" style="mso-fit-shape-to-text:t;">
                <w:txbxContent>
                  <w:p w14:paraId="243F8793">
                    <w:pPr>
                      <w:pStyle w:val="30"/>
                      <w:rPr>
                        <w:rFonts w:hint="eastAsia"/>
                        <w:lang w:eastAsia="zh-CN"/>
                      </w:rPr>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6BD85">
    <w:pPr>
      <w:pStyle w:val="30"/>
      <w:ind w:right="360" w:firstLine="360"/>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6" name="文本框 4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1D1E19">
                          <w:pPr>
                            <w:pStyle w:val="30"/>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WhyQ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fjK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1ockNAIAAGUEAAAOAAAAAAAAAAEAIAAAAB8BAABkcnMvZTJvRG9jLnhtbFBL&#10;BQYAAAAABgAGAFkBAADFBQAAAAA=&#10;">
              <v:fill on="f" focussize="0,0"/>
              <v:stroke on="f" weight="0.5pt"/>
              <v:imagedata o:title=""/>
              <o:lock v:ext="edit" aspectratio="f"/>
              <v:textbox inset="0mm,0mm,0mm,0mm" style="mso-fit-shape-to-text:t;">
                <w:txbxContent>
                  <w:p w14:paraId="7B1D1E19">
                    <w:pPr>
                      <w:pStyle w:val="30"/>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E8501">
    <w:pPr>
      <w:pStyle w:val="3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9FA002">
                          <w:pPr>
                            <w:pStyle w:val="30"/>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609FA002">
                    <w:pPr>
                      <w:pStyle w:val="30"/>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3B271">
    <w:pPr>
      <w:pStyle w:val="30"/>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5B676">
    <w:pPr>
      <w:pStyle w:val="30"/>
      <w:spacing w:before="120" w:after="1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EE608">
    <w:pPr>
      <w:pStyle w:val="30"/>
      <w:spacing w:before="120" w:after="12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C94F5">
    <w:pPr>
      <w:pStyle w:val="30"/>
      <w:spacing w:before="120" w:after="120"/>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0B61C">
    <w:pPr>
      <w:pStyle w:val="30"/>
      <w:spacing w:before="120" w:after="120"/>
      <w:ind w:firstLine="360"/>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725805" cy="239395"/>
              <wp:effectExtent l="0" t="0" r="0" b="0"/>
              <wp:wrapNone/>
              <wp:docPr id="436" name="文本框 436"/>
              <wp:cNvGraphicFramePr/>
              <a:graphic xmlns:a="http://schemas.openxmlformats.org/drawingml/2006/main">
                <a:graphicData uri="http://schemas.microsoft.com/office/word/2010/wordprocessingShape">
                  <wps:wsp>
                    <wps:cNvSpPr txBox="1"/>
                    <wps:spPr>
                      <a:xfrm>
                        <a:off x="0" y="0"/>
                        <a:ext cx="725805" cy="239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80155">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8.85pt;width:57.15pt;mso-position-horizontal:center;mso-position-horizontal-relative:margin;z-index:251675648;mso-width-relative:page;mso-height-relative:page;" filled="f" stroked="f" coordsize="21600,21600" o:gfxdata="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W2PXNMAAAAEAQAADwAAAAAAAAABACAAAAAiAAAAZHJzL2Rvd25y&#10;ZXYueG1sUEsBAhQAFAAAAAgAh07iQAo7Ye88AgAAZQQAAA4AAAAAAAAAAQAgAAAAIgEAAGRycy9l&#10;Mm9Eb2MueG1sUEsFBgAAAAAGAAYAWQEAANAFAAAAAA==&#10;">
              <v:fill on="f" focussize="0,0"/>
              <v:stroke on="f" weight="0.5pt"/>
              <v:imagedata o:title=""/>
              <o:lock v:ext="edit" aspectratio="f"/>
              <v:textbox inset="0mm,0mm,0mm,0mm">
                <w:txbxContent>
                  <w:p w14:paraId="56A80155">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543BF">
    <w:pPr>
      <w:pStyle w:val="30"/>
      <w:spacing w:before="120" w:after="120"/>
      <w:ind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87163E">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587163E">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52D69">
    <w:pPr>
      <w:pStyle w:val="30"/>
      <w:spacing w:before="120" w:after="120"/>
      <w:ind w:firstLine="36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78DAA5">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2278DAA5">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CC181">
    <w:pPr>
      <w:pStyle w:val="30"/>
      <w:spacing w:before="120" w:after="120"/>
      <w:ind w:firstLine="360"/>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69215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6921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212ED5">
                          <w:pPr>
                            <w:pStyle w:val="3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54.5pt;mso-position-horizontal:center;mso-position-horizontal-relative:margin;z-index:251669504;mso-width-relative:page;mso-height-relative:page;" filled="f" stroked="f" coordsize="21600,21600" o:gfxdata="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eDlI9MAAAAFAQAADwAAAAAAAAABACAAAAAiAAAAZHJzL2Rvd25yZXYueG1s&#10;UEsBAhQAFAAAAAgAh07iQKKOuIg2AgAAZgQAAA4AAAAAAAAAAQAgAAAAIgEAAGRycy9lMm9Eb2Mu&#10;eG1sUEsFBgAAAAAGAAYAWQEAAMoFAAAAAA==&#10;">
              <v:fill on="f" focussize="0,0"/>
              <v:stroke on="f" weight="0.5pt"/>
              <v:imagedata o:title=""/>
              <o:lock v:ext="edit" aspectratio="f"/>
              <v:textbox inset="0mm,0mm,0mm,0mm" style="mso-fit-shape-to-text:t;">
                <w:txbxContent>
                  <w:p w14:paraId="7B212ED5">
                    <w:pPr>
                      <w:pStyle w:val="30"/>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68C77">
    <w:pPr>
      <w:pStyle w:val="31"/>
      <w:spacing w:before="120"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A134B">
    <w:pPr>
      <w:pStyle w:val="31"/>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61342">
    <w:pPr>
      <w:pStyle w:val="31"/>
      <w:spacing w:before="120" w:after="12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EFDF7">
    <w:pPr>
      <w:pStyle w:val="3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singleLevel"/>
    <w:tmpl w:val="00000003"/>
    <w:lvl w:ilvl="0" w:tentative="0">
      <w:start w:val="1"/>
      <w:numFmt w:val="decimal"/>
      <w:pStyle w:val="336"/>
      <w:lvlText w:val="%1."/>
      <w:lvlJc w:val="left"/>
      <w:pPr>
        <w:tabs>
          <w:tab w:val="left" w:pos="360"/>
        </w:tabs>
        <w:ind w:left="360" w:hanging="360"/>
      </w:pPr>
    </w:lvl>
  </w:abstractNum>
  <w:abstractNum w:abstractNumId="1">
    <w:nsid w:val="176D6DB5"/>
    <w:multiLevelType w:val="multilevel"/>
    <w:tmpl w:val="176D6DB5"/>
    <w:lvl w:ilvl="0" w:tentative="0">
      <w:start w:val="1"/>
      <w:numFmt w:val="chineseCountingThousand"/>
      <w:pStyle w:val="5"/>
      <w:lvlText w:val="%1、"/>
      <w:lvlJc w:val="left"/>
      <w:pPr>
        <w:ind w:left="6080" w:hanging="420"/>
      </w:pPr>
      <w:rPr>
        <w:rFonts w:hint="eastAsia"/>
      </w:rPr>
    </w:lvl>
    <w:lvl w:ilvl="1" w:tentative="0">
      <w:start w:val="1"/>
      <w:numFmt w:val="decimal"/>
      <w:suff w:val="nothing"/>
      <w:lvlText w:val="%2.1"/>
      <w:lvlJc w:val="left"/>
      <w:pPr>
        <w:ind w:left="0" w:firstLine="0"/>
      </w:pPr>
      <w:rPr>
        <w:rFonts w:hint="eastAsia"/>
      </w:rPr>
    </w:lvl>
    <w:lvl w:ilvl="2" w:tentative="0">
      <w:start w:val="1"/>
      <w:numFmt w:val="decimal"/>
      <w:suff w:val="nothing"/>
      <w:lvlText w:val="%3.1.1"/>
      <w:lvlJc w:val="right"/>
      <w:pPr>
        <w:ind w:left="0" w:firstLine="0"/>
      </w:pPr>
      <w:rPr>
        <w:rFonts w:hint="eastAsia"/>
      </w:rPr>
    </w:lvl>
    <w:lvl w:ilvl="3" w:tentative="0">
      <w:start w:val="1"/>
      <w:numFmt w:val="decimal"/>
      <w:suff w:val="nothing"/>
      <w:lvlText w:val="%4.1.1.1"/>
      <w:lvlJc w:val="left"/>
      <w:pPr>
        <w:ind w:left="0" w:firstLine="0"/>
      </w:pPr>
      <w:rPr>
        <w:rFonts w:hint="eastAsia"/>
      </w:rPr>
    </w:lvl>
    <w:lvl w:ilvl="4" w:tentative="0">
      <w:start w:val="1"/>
      <w:numFmt w:val="decimal"/>
      <w:suff w:val="nothing"/>
      <w:lvlText w:val="%5.1.1.1.1"/>
      <w:lvlJc w:val="left"/>
      <w:pPr>
        <w:ind w:left="0" w:firstLine="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1847B161"/>
    <w:multiLevelType w:val="singleLevel"/>
    <w:tmpl w:val="1847B161"/>
    <w:lvl w:ilvl="0" w:tentative="0">
      <w:start w:val="2"/>
      <w:numFmt w:val="decimal"/>
      <w:suff w:val="nothing"/>
      <w:lvlText w:val="（%1）"/>
      <w:lvlJc w:val="left"/>
    </w:lvl>
  </w:abstractNum>
  <w:abstractNum w:abstractNumId="3">
    <w:nsid w:val="1E81731B"/>
    <w:multiLevelType w:val="multilevel"/>
    <w:tmpl w:val="1E81731B"/>
    <w:lvl w:ilvl="0" w:tentative="0">
      <w:start w:val="1"/>
      <w:numFmt w:val="decimal"/>
      <w:pStyle w:val="253"/>
      <w:lvlText w:val="%1"/>
      <w:lvlJc w:val="left"/>
      <w:pPr>
        <w:ind w:left="425" w:hanging="425"/>
      </w:pPr>
      <w:rPr>
        <w:rFonts w:hint="eastAsia"/>
      </w:rPr>
    </w:lvl>
    <w:lvl w:ilvl="1" w:tentative="0">
      <w:start w:val="1"/>
      <w:numFmt w:val="decimal"/>
      <w:lvlText w:val="2.%2"/>
      <w:lvlJc w:val="left"/>
      <w:pPr>
        <w:ind w:left="567" w:hanging="567"/>
      </w:pPr>
      <w:rPr>
        <w:rFonts w:hint="default" w:ascii="Times New Roman" w:hAnsi="Times New Roman" w:eastAsia="宋体"/>
      </w:rPr>
    </w:lvl>
    <w:lvl w:ilvl="2" w:tentative="0">
      <w:start w:val="1"/>
      <w:numFmt w:val="decimal"/>
      <w:lvlText w:val="%1.%2.%3"/>
      <w:lvlJc w:val="left"/>
      <w:pPr>
        <w:ind w:left="567" w:hanging="567"/>
      </w:pPr>
      <w:rPr>
        <w:rFonts w:hint="eastAsia"/>
      </w:rPr>
    </w:lvl>
    <w:lvl w:ilvl="3" w:tentative="0">
      <w:start w:val="1"/>
      <w:numFmt w:val="decimal"/>
      <w:lvlText w:val="2.%2.%3.%4"/>
      <w:lvlJc w:val="left"/>
      <w:pPr>
        <w:ind w:left="567" w:hanging="567"/>
      </w:pPr>
      <w:rPr>
        <w:rFonts w:hint="default" w:ascii="Times New Roman" w:hAnsi="Times New Roman"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2DF71A1B"/>
    <w:multiLevelType w:val="singleLevel"/>
    <w:tmpl w:val="2DF71A1B"/>
    <w:lvl w:ilvl="0" w:tentative="0">
      <w:start w:val="1"/>
      <w:numFmt w:val="decimal"/>
      <w:suff w:val="nothing"/>
      <w:lvlText w:val="（%1）"/>
      <w:lvlJc w:val="left"/>
    </w:lvl>
  </w:abstractNum>
  <w:abstractNum w:abstractNumId="5">
    <w:nsid w:val="3CE5BD10"/>
    <w:multiLevelType w:val="singleLevel"/>
    <w:tmpl w:val="3CE5BD10"/>
    <w:lvl w:ilvl="0" w:tentative="0">
      <w:start w:val="3"/>
      <w:numFmt w:val="decimal"/>
      <w:suff w:val="nothing"/>
      <w:lvlText w:val="（%1）"/>
      <w:lvlJc w:val="left"/>
    </w:lvl>
  </w:abstractNum>
  <w:abstractNum w:abstractNumId="6">
    <w:nsid w:val="5FE46ACD"/>
    <w:multiLevelType w:val="multilevel"/>
    <w:tmpl w:val="5FE46ACD"/>
    <w:lvl w:ilvl="0" w:tentative="0">
      <w:start w:val="1"/>
      <w:numFmt w:val="chineseCounting"/>
      <w:suff w:val="space"/>
      <w:lvlText w:val="%1、"/>
      <w:lvlJc w:val="left"/>
      <w:pPr>
        <w:tabs>
          <w:tab w:val="left" w:pos="0"/>
        </w:tabs>
        <w:ind w:left="0" w:firstLine="0"/>
      </w:pPr>
      <w:rPr>
        <w:rFonts w:hint="eastAsia" w:ascii="Times New Roman" w:hAnsi="Times New Roman" w:eastAsia="黑体" w:cs="宋体"/>
        <w:b/>
        <w:sz w:val="30"/>
      </w:rPr>
    </w:lvl>
    <w:lvl w:ilvl="1" w:tentative="0">
      <w:start w:val="1"/>
      <w:numFmt w:val="decimal"/>
      <w:isLgl/>
      <w:suff w:val="space"/>
      <w:lvlText w:val="%1.%2"/>
      <w:lvlJc w:val="left"/>
      <w:pPr>
        <w:tabs>
          <w:tab w:val="left" w:pos="420"/>
        </w:tabs>
        <w:ind w:left="0" w:firstLine="0"/>
      </w:pPr>
      <w:rPr>
        <w:rFonts w:hint="eastAsia" w:ascii="Times New Roman" w:hAnsi="Times New Roman" w:eastAsia="宋体" w:cs="宋体"/>
        <w:b/>
        <w:sz w:val="30"/>
      </w:rPr>
    </w:lvl>
    <w:lvl w:ilvl="2" w:tentative="0">
      <w:start w:val="1"/>
      <w:numFmt w:val="decimal"/>
      <w:isLgl/>
      <w:suff w:val="space"/>
      <w:lvlText w:val="%1.%2.%3"/>
      <w:lvlJc w:val="left"/>
      <w:pPr>
        <w:tabs>
          <w:tab w:val="left" w:pos="704"/>
        </w:tabs>
        <w:ind w:left="1277" w:hanging="993"/>
      </w:pPr>
      <w:rPr>
        <w:rFonts w:hint="eastAsia" w:ascii="Times New Roman" w:hAnsi="Times New Roman" w:eastAsia="宋体" w:cs="宋体"/>
        <w:b/>
        <w:sz w:val="28"/>
      </w:rPr>
    </w:lvl>
    <w:lvl w:ilvl="3" w:tentative="0">
      <w:start w:val="1"/>
      <w:numFmt w:val="decimal"/>
      <w:lvlRestart w:val="2"/>
      <w:isLgl/>
      <w:suff w:val="space"/>
      <w:lvlText w:val="%1.%2.%3.%4"/>
      <w:lvlJc w:val="left"/>
      <w:pPr>
        <w:tabs>
          <w:tab w:val="left" w:pos="420"/>
        </w:tabs>
        <w:ind w:left="3545" w:hanging="2504"/>
      </w:pPr>
      <w:rPr>
        <w:rFonts w:hint="eastAsia" w:ascii="Times New Roman" w:hAnsi="Times New Roman" w:eastAsia="宋体" w:cs="宋体"/>
        <w:b/>
        <w:sz w:val="24"/>
      </w:rPr>
    </w:lvl>
    <w:lvl w:ilvl="4" w:tentative="0">
      <w:start w:val="1"/>
      <w:numFmt w:val="decimal"/>
      <w:lvlRestart w:val="2"/>
      <w:isLgl/>
      <w:suff w:val="space"/>
      <w:lvlText w:val="表%1.%2-%5"/>
      <w:lvlJc w:val="center"/>
      <w:pPr>
        <w:tabs>
          <w:tab w:val="left" w:pos="1701"/>
        </w:tabs>
        <w:ind w:left="1701" w:firstLine="0"/>
      </w:pPr>
      <w:rPr>
        <w:rFonts w:hint="eastAsia" w:ascii="Times New Roman" w:hAnsi="Times New Roman" w:eastAsia="宋体" w:cs="宋体"/>
        <w:b/>
        <w:sz w:val="24"/>
      </w:rPr>
    </w:lvl>
    <w:lvl w:ilvl="5" w:tentative="0">
      <w:start w:val="1"/>
      <w:numFmt w:val="decimal"/>
      <w:lvlRestart w:val="2"/>
      <w:pStyle w:val="590"/>
      <w:isLgl/>
      <w:suff w:val="space"/>
      <w:lvlText w:val="图%1.%2-%6"/>
      <w:lvlJc w:val="left"/>
      <w:pPr>
        <w:tabs>
          <w:tab w:val="left" w:pos="0"/>
        </w:tabs>
        <w:ind w:left="0" w:firstLine="0"/>
      </w:pPr>
      <w:rPr>
        <w:rFonts w:hint="eastAsia" w:ascii="Times New Roman" w:hAnsi="Times New Roman" w:eastAsia="宋体" w:cs="宋体"/>
        <w:b/>
        <w:sz w:val="24"/>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
    <w:nsid w:val="623E2558"/>
    <w:multiLevelType w:val="multilevel"/>
    <w:tmpl w:val="623E2558"/>
    <w:lvl w:ilvl="0" w:tentative="0">
      <w:start w:val="1"/>
      <w:numFmt w:val="decimal"/>
      <w:pStyle w:val="16"/>
      <w:lvlText w:val="表4-%1："/>
      <w:lvlJc w:val="left"/>
      <w:pPr>
        <w:tabs>
          <w:tab w:val="left" w:pos="720"/>
        </w:tabs>
        <w:ind w:left="-737" w:firstLine="737"/>
      </w:pPr>
      <w:rPr>
        <w:rFonts w:hint="eastAsia"/>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65996C0A"/>
    <w:multiLevelType w:val="multilevel"/>
    <w:tmpl w:val="65996C0A"/>
    <w:lvl w:ilvl="0" w:tentative="0">
      <w:start w:val="1"/>
      <w:numFmt w:val="decimal"/>
      <w:pStyle w:val="255"/>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2.%2.%3"/>
      <w:lvlJc w:val="left"/>
      <w:pPr>
        <w:ind w:left="1418" w:hanging="567"/>
      </w:pPr>
      <w:rPr>
        <w:rFonts w:hint="default" w:ascii="Times New Roman" w:hAnsi="Times New Roman" w:eastAsia="宋体"/>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6B304E75"/>
    <w:multiLevelType w:val="multilevel"/>
    <w:tmpl w:val="6B304E75"/>
    <w:lvl w:ilvl="0" w:tentative="0">
      <w:start w:val="1"/>
      <w:numFmt w:val="decimal"/>
      <w:pStyle w:val="401"/>
      <w:lvlText w:val="%1."/>
      <w:lvlJc w:val="left"/>
      <w:pPr>
        <w:tabs>
          <w:tab w:val="left" w:pos="425"/>
        </w:tabs>
        <w:ind w:left="425" w:hanging="425"/>
      </w:pPr>
    </w:lvl>
    <w:lvl w:ilvl="1" w:tentative="0">
      <w:start w:val="1"/>
      <w:numFmt w:val="decimal"/>
      <w:lvlText w:val="%1.%2"/>
      <w:lvlJc w:val="left"/>
      <w:pPr>
        <w:tabs>
          <w:tab w:val="left" w:pos="567"/>
        </w:tabs>
        <w:ind w:left="567" w:hanging="567"/>
      </w:pPr>
      <w:rPr>
        <w:rFonts w:hint="eastAsia" w:ascii="宋体" w:hAnsi="Times New Roman" w:eastAsia="宋体"/>
        <w:b/>
        <w:i w:val="0"/>
        <w:sz w:val="24"/>
      </w:rPr>
    </w:lvl>
    <w:lvl w:ilvl="2" w:tentative="0">
      <w:start w:val="1"/>
      <w:numFmt w:val="decimal"/>
      <w:lvlText w:val="%1.%2.%3"/>
      <w:lvlJc w:val="left"/>
      <w:pPr>
        <w:tabs>
          <w:tab w:val="left" w:pos="709"/>
        </w:tabs>
        <w:ind w:left="709" w:hanging="709"/>
      </w:pPr>
      <w:rPr>
        <w:rFonts w:hint="eastAsia" w:ascii="宋体" w:hAnsi="Times New Roman" w:eastAsia="宋体"/>
        <w:b w:val="0"/>
        <w:i w:val="0"/>
        <w:sz w:val="24"/>
      </w:r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0">
    <w:nsid w:val="6E6028CC"/>
    <w:multiLevelType w:val="multilevel"/>
    <w:tmpl w:val="6E6028CC"/>
    <w:lvl w:ilvl="0" w:tentative="0">
      <w:start w:val="1"/>
      <w:numFmt w:val="decimal"/>
      <w:pStyle w:val="251"/>
      <w:suff w:val="space"/>
      <w:lvlText w:val="（%1）"/>
      <w:lvlJc w:val="left"/>
      <w:pPr>
        <w:ind w:left="0" w:firstLine="0"/>
      </w:pPr>
      <w:rPr>
        <w:rFonts w:hint="eastAsia"/>
        <w:lang w:val="en-US"/>
      </w:rPr>
    </w:lvl>
    <w:lvl w:ilvl="1" w:tentative="0">
      <w:start w:val="1"/>
      <w:numFmt w:val="decimal"/>
      <w:lvlText w:val="（%2）"/>
      <w:lvlJc w:val="left"/>
      <w:pPr>
        <w:ind w:left="0" w:firstLine="0"/>
      </w:pPr>
      <w:rPr>
        <w:rFonts w:hint="eastAsia"/>
      </w:rPr>
    </w:lvl>
    <w:lvl w:ilvl="2" w:tentative="0">
      <w:start w:val="1"/>
      <w:numFmt w:val="lowerRoman"/>
      <w:lvlText w:val="%3."/>
      <w:lvlJc w:val="righ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11">
    <w:nsid w:val="6FDF195F"/>
    <w:multiLevelType w:val="singleLevel"/>
    <w:tmpl w:val="6FDF195F"/>
    <w:lvl w:ilvl="0" w:tentative="0">
      <w:start w:val="2"/>
      <w:numFmt w:val="decimal"/>
      <w:suff w:val="nothing"/>
      <w:lvlText w:val="（%1）"/>
      <w:lvlJc w:val="left"/>
    </w:lvl>
  </w:abstractNum>
  <w:num w:numId="1">
    <w:abstractNumId w:val="1"/>
  </w:num>
  <w:num w:numId="2">
    <w:abstractNumId w:val="7"/>
  </w:num>
  <w:num w:numId="3">
    <w:abstractNumId w:val="10"/>
  </w:num>
  <w:num w:numId="4">
    <w:abstractNumId w:val="3"/>
  </w:num>
  <w:num w:numId="5">
    <w:abstractNumId w:val="8"/>
  </w:num>
  <w:num w:numId="6">
    <w:abstractNumId w:val="0"/>
  </w:num>
  <w:num w:numId="7">
    <w:abstractNumId w:val="9"/>
  </w:num>
  <w:num w:numId="8">
    <w:abstractNumId w:val="6"/>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4"/>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NiOGZmNDNlMzMxNjllYTdkOWFlYzk0YmEzMTRmOGUifQ=="/>
  </w:docVars>
  <w:rsids>
    <w:rsidRoot w:val="00EB259B"/>
    <w:rsid w:val="0000096C"/>
    <w:rsid w:val="00001A74"/>
    <w:rsid w:val="00002296"/>
    <w:rsid w:val="000029A7"/>
    <w:rsid w:val="00002B74"/>
    <w:rsid w:val="00002C61"/>
    <w:rsid w:val="00002E20"/>
    <w:rsid w:val="0000329B"/>
    <w:rsid w:val="000042DF"/>
    <w:rsid w:val="00004887"/>
    <w:rsid w:val="000049EB"/>
    <w:rsid w:val="000057DE"/>
    <w:rsid w:val="000112A2"/>
    <w:rsid w:val="00011A1E"/>
    <w:rsid w:val="00011AF5"/>
    <w:rsid w:val="00012AA7"/>
    <w:rsid w:val="0001368C"/>
    <w:rsid w:val="00013CFF"/>
    <w:rsid w:val="000151C8"/>
    <w:rsid w:val="00016638"/>
    <w:rsid w:val="00021BE7"/>
    <w:rsid w:val="000249E3"/>
    <w:rsid w:val="00025265"/>
    <w:rsid w:val="0002649D"/>
    <w:rsid w:val="00026B40"/>
    <w:rsid w:val="00026C2C"/>
    <w:rsid w:val="00027E49"/>
    <w:rsid w:val="000302C5"/>
    <w:rsid w:val="00031752"/>
    <w:rsid w:val="000330FE"/>
    <w:rsid w:val="00034E8B"/>
    <w:rsid w:val="00036497"/>
    <w:rsid w:val="00036956"/>
    <w:rsid w:val="000369AE"/>
    <w:rsid w:val="000379C1"/>
    <w:rsid w:val="00037B7B"/>
    <w:rsid w:val="00040891"/>
    <w:rsid w:val="00041AEF"/>
    <w:rsid w:val="00041C82"/>
    <w:rsid w:val="0004262D"/>
    <w:rsid w:val="0004460C"/>
    <w:rsid w:val="0004591F"/>
    <w:rsid w:val="00045F66"/>
    <w:rsid w:val="00046915"/>
    <w:rsid w:val="0004719A"/>
    <w:rsid w:val="00050740"/>
    <w:rsid w:val="0005083E"/>
    <w:rsid w:val="000515C4"/>
    <w:rsid w:val="00051A57"/>
    <w:rsid w:val="000528C3"/>
    <w:rsid w:val="00052AFD"/>
    <w:rsid w:val="000604B5"/>
    <w:rsid w:val="00065D8A"/>
    <w:rsid w:val="0006726B"/>
    <w:rsid w:val="00067883"/>
    <w:rsid w:val="00070B81"/>
    <w:rsid w:val="000718B7"/>
    <w:rsid w:val="00071DC9"/>
    <w:rsid w:val="0007217C"/>
    <w:rsid w:val="00074215"/>
    <w:rsid w:val="0007531E"/>
    <w:rsid w:val="00076041"/>
    <w:rsid w:val="00080B58"/>
    <w:rsid w:val="000812C6"/>
    <w:rsid w:val="000814BC"/>
    <w:rsid w:val="000815D8"/>
    <w:rsid w:val="000836F3"/>
    <w:rsid w:val="00083E40"/>
    <w:rsid w:val="000866E1"/>
    <w:rsid w:val="00086AC1"/>
    <w:rsid w:val="0009075B"/>
    <w:rsid w:val="0009149E"/>
    <w:rsid w:val="00092397"/>
    <w:rsid w:val="00092E54"/>
    <w:rsid w:val="00094B2F"/>
    <w:rsid w:val="00096233"/>
    <w:rsid w:val="00097649"/>
    <w:rsid w:val="000A1EE7"/>
    <w:rsid w:val="000A239B"/>
    <w:rsid w:val="000A3CA5"/>
    <w:rsid w:val="000A5A7D"/>
    <w:rsid w:val="000A6036"/>
    <w:rsid w:val="000A698B"/>
    <w:rsid w:val="000A69AD"/>
    <w:rsid w:val="000B3062"/>
    <w:rsid w:val="000B51AA"/>
    <w:rsid w:val="000B7A90"/>
    <w:rsid w:val="000B7D6C"/>
    <w:rsid w:val="000C0627"/>
    <w:rsid w:val="000C0DA0"/>
    <w:rsid w:val="000C341A"/>
    <w:rsid w:val="000C4883"/>
    <w:rsid w:val="000C4A50"/>
    <w:rsid w:val="000C4AB8"/>
    <w:rsid w:val="000C5A1C"/>
    <w:rsid w:val="000C6FF1"/>
    <w:rsid w:val="000D039C"/>
    <w:rsid w:val="000D218B"/>
    <w:rsid w:val="000D325A"/>
    <w:rsid w:val="000D7B78"/>
    <w:rsid w:val="000E1382"/>
    <w:rsid w:val="000E1F59"/>
    <w:rsid w:val="000E3FB1"/>
    <w:rsid w:val="000E4FB1"/>
    <w:rsid w:val="000E64D2"/>
    <w:rsid w:val="000E66C0"/>
    <w:rsid w:val="000E6F79"/>
    <w:rsid w:val="000E749D"/>
    <w:rsid w:val="000E79B8"/>
    <w:rsid w:val="000F0F97"/>
    <w:rsid w:val="000F1592"/>
    <w:rsid w:val="000F308F"/>
    <w:rsid w:val="000F4A40"/>
    <w:rsid w:val="000F4FA1"/>
    <w:rsid w:val="000F6EF0"/>
    <w:rsid w:val="000F761D"/>
    <w:rsid w:val="000F7AC0"/>
    <w:rsid w:val="0010048F"/>
    <w:rsid w:val="001016E0"/>
    <w:rsid w:val="001027A3"/>
    <w:rsid w:val="001030C3"/>
    <w:rsid w:val="00103AFF"/>
    <w:rsid w:val="00103F48"/>
    <w:rsid w:val="00104E4C"/>
    <w:rsid w:val="00105CDD"/>
    <w:rsid w:val="001076A8"/>
    <w:rsid w:val="00110851"/>
    <w:rsid w:val="001109A8"/>
    <w:rsid w:val="00110E27"/>
    <w:rsid w:val="00110EB9"/>
    <w:rsid w:val="00111485"/>
    <w:rsid w:val="00111A06"/>
    <w:rsid w:val="00112B6A"/>
    <w:rsid w:val="00112E37"/>
    <w:rsid w:val="00113FA6"/>
    <w:rsid w:val="00115434"/>
    <w:rsid w:val="00116193"/>
    <w:rsid w:val="001161FF"/>
    <w:rsid w:val="00126244"/>
    <w:rsid w:val="00127B9D"/>
    <w:rsid w:val="0013028E"/>
    <w:rsid w:val="0013659C"/>
    <w:rsid w:val="00137E26"/>
    <w:rsid w:val="0014042E"/>
    <w:rsid w:val="00140CF8"/>
    <w:rsid w:val="00141627"/>
    <w:rsid w:val="00142BBC"/>
    <w:rsid w:val="00143AEF"/>
    <w:rsid w:val="00143EE6"/>
    <w:rsid w:val="00144C87"/>
    <w:rsid w:val="00145D66"/>
    <w:rsid w:val="00145F3A"/>
    <w:rsid w:val="00146EA3"/>
    <w:rsid w:val="0015096E"/>
    <w:rsid w:val="00150B97"/>
    <w:rsid w:val="00151C35"/>
    <w:rsid w:val="00151C73"/>
    <w:rsid w:val="00151F65"/>
    <w:rsid w:val="00152C43"/>
    <w:rsid w:val="00153EF6"/>
    <w:rsid w:val="001544FD"/>
    <w:rsid w:val="00156BFE"/>
    <w:rsid w:val="00157A25"/>
    <w:rsid w:val="00157F91"/>
    <w:rsid w:val="00161589"/>
    <w:rsid w:val="001617EE"/>
    <w:rsid w:val="00163ABE"/>
    <w:rsid w:val="00163F3E"/>
    <w:rsid w:val="001651FE"/>
    <w:rsid w:val="001658D0"/>
    <w:rsid w:val="001674A7"/>
    <w:rsid w:val="00167D53"/>
    <w:rsid w:val="001704D0"/>
    <w:rsid w:val="00172B8E"/>
    <w:rsid w:val="00173614"/>
    <w:rsid w:val="0017439F"/>
    <w:rsid w:val="00174CF9"/>
    <w:rsid w:val="001751CB"/>
    <w:rsid w:val="00175FD2"/>
    <w:rsid w:val="00176DD2"/>
    <w:rsid w:val="001771B6"/>
    <w:rsid w:val="0017784D"/>
    <w:rsid w:val="00180051"/>
    <w:rsid w:val="00181465"/>
    <w:rsid w:val="00183FE5"/>
    <w:rsid w:val="00184156"/>
    <w:rsid w:val="00186F5E"/>
    <w:rsid w:val="0018703B"/>
    <w:rsid w:val="00192369"/>
    <w:rsid w:val="00192BE8"/>
    <w:rsid w:val="00195872"/>
    <w:rsid w:val="00195CBF"/>
    <w:rsid w:val="00195D59"/>
    <w:rsid w:val="00195EFA"/>
    <w:rsid w:val="00196521"/>
    <w:rsid w:val="00197801"/>
    <w:rsid w:val="001A1B5A"/>
    <w:rsid w:val="001A21FD"/>
    <w:rsid w:val="001A5015"/>
    <w:rsid w:val="001A525A"/>
    <w:rsid w:val="001A6BE6"/>
    <w:rsid w:val="001B19F7"/>
    <w:rsid w:val="001B6A7C"/>
    <w:rsid w:val="001B7218"/>
    <w:rsid w:val="001B7C59"/>
    <w:rsid w:val="001C0316"/>
    <w:rsid w:val="001C1263"/>
    <w:rsid w:val="001C38F3"/>
    <w:rsid w:val="001C5148"/>
    <w:rsid w:val="001C5AD1"/>
    <w:rsid w:val="001C6066"/>
    <w:rsid w:val="001C75C1"/>
    <w:rsid w:val="001D0336"/>
    <w:rsid w:val="001D1413"/>
    <w:rsid w:val="001D1B98"/>
    <w:rsid w:val="001D2E1A"/>
    <w:rsid w:val="001D2E20"/>
    <w:rsid w:val="001D3059"/>
    <w:rsid w:val="001D4254"/>
    <w:rsid w:val="001D5857"/>
    <w:rsid w:val="001D781A"/>
    <w:rsid w:val="001E0586"/>
    <w:rsid w:val="001E0773"/>
    <w:rsid w:val="001E1378"/>
    <w:rsid w:val="001E2A98"/>
    <w:rsid w:val="001E3AC8"/>
    <w:rsid w:val="001E4A00"/>
    <w:rsid w:val="001E4FA8"/>
    <w:rsid w:val="001E65FA"/>
    <w:rsid w:val="001E69D1"/>
    <w:rsid w:val="001E72BE"/>
    <w:rsid w:val="001F0E83"/>
    <w:rsid w:val="001F13A1"/>
    <w:rsid w:val="001F7935"/>
    <w:rsid w:val="001F79AC"/>
    <w:rsid w:val="00200996"/>
    <w:rsid w:val="002019E5"/>
    <w:rsid w:val="00204993"/>
    <w:rsid w:val="00204A7A"/>
    <w:rsid w:val="002052F5"/>
    <w:rsid w:val="00205EC5"/>
    <w:rsid w:val="00206269"/>
    <w:rsid w:val="00207998"/>
    <w:rsid w:val="0021036A"/>
    <w:rsid w:val="00210548"/>
    <w:rsid w:val="0021094C"/>
    <w:rsid w:val="00211248"/>
    <w:rsid w:val="0021197D"/>
    <w:rsid w:val="00212F03"/>
    <w:rsid w:val="002132C7"/>
    <w:rsid w:val="002150BC"/>
    <w:rsid w:val="00215BB6"/>
    <w:rsid w:val="00215F19"/>
    <w:rsid w:val="002239F4"/>
    <w:rsid w:val="002243D1"/>
    <w:rsid w:val="00226145"/>
    <w:rsid w:val="00226F40"/>
    <w:rsid w:val="00230079"/>
    <w:rsid w:val="002309A6"/>
    <w:rsid w:val="002322C7"/>
    <w:rsid w:val="0023254C"/>
    <w:rsid w:val="0023378E"/>
    <w:rsid w:val="00234CC4"/>
    <w:rsid w:val="00235033"/>
    <w:rsid w:val="00235825"/>
    <w:rsid w:val="00237498"/>
    <w:rsid w:val="00237777"/>
    <w:rsid w:val="00240B91"/>
    <w:rsid w:val="00242807"/>
    <w:rsid w:val="00242FD5"/>
    <w:rsid w:val="002433A6"/>
    <w:rsid w:val="00243879"/>
    <w:rsid w:val="002440D5"/>
    <w:rsid w:val="002442D4"/>
    <w:rsid w:val="0024457D"/>
    <w:rsid w:val="00244C5F"/>
    <w:rsid w:val="002461D3"/>
    <w:rsid w:val="00247B34"/>
    <w:rsid w:val="00253B1A"/>
    <w:rsid w:val="00254817"/>
    <w:rsid w:val="002560FA"/>
    <w:rsid w:val="00256CE7"/>
    <w:rsid w:val="00261085"/>
    <w:rsid w:val="002619FE"/>
    <w:rsid w:val="00261A56"/>
    <w:rsid w:val="00261B53"/>
    <w:rsid w:val="00261C0A"/>
    <w:rsid w:val="00262284"/>
    <w:rsid w:val="00263D6D"/>
    <w:rsid w:val="00264821"/>
    <w:rsid w:val="00265627"/>
    <w:rsid w:val="002657AE"/>
    <w:rsid w:val="00270A5C"/>
    <w:rsid w:val="00270BE1"/>
    <w:rsid w:val="002713C6"/>
    <w:rsid w:val="00271987"/>
    <w:rsid w:val="00273D10"/>
    <w:rsid w:val="0027423F"/>
    <w:rsid w:val="0027428D"/>
    <w:rsid w:val="00275AC0"/>
    <w:rsid w:val="00277EB5"/>
    <w:rsid w:val="00281CE1"/>
    <w:rsid w:val="00282888"/>
    <w:rsid w:val="002842BD"/>
    <w:rsid w:val="00286363"/>
    <w:rsid w:val="00290234"/>
    <w:rsid w:val="00291D2F"/>
    <w:rsid w:val="002922D1"/>
    <w:rsid w:val="002922DC"/>
    <w:rsid w:val="00294959"/>
    <w:rsid w:val="00296798"/>
    <w:rsid w:val="00297794"/>
    <w:rsid w:val="00297936"/>
    <w:rsid w:val="002A00A9"/>
    <w:rsid w:val="002A0ECB"/>
    <w:rsid w:val="002A2271"/>
    <w:rsid w:val="002A3D8A"/>
    <w:rsid w:val="002A4631"/>
    <w:rsid w:val="002A479C"/>
    <w:rsid w:val="002A7B70"/>
    <w:rsid w:val="002B037C"/>
    <w:rsid w:val="002B0B21"/>
    <w:rsid w:val="002B164C"/>
    <w:rsid w:val="002B1715"/>
    <w:rsid w:val="002B223F"/>
    <w:rsid w:val="002B322F"/>
    <w:rsid w:val="002B3D1C"/>
    <w:rsid w:val="002B5AA8"/>
    <w:rsid w:val="002B5FA9"/>
    <w:rsid w:val="002B687D"/>
    <w:rsid w:val="002B731F"/>
    <w:rsid w:val="002C21CA"/>
    <w:rsid w:val="002C22FB"/>
    <w:rsid w:val="002C254C"/>
    <w:rsid w:val="002C3006"/>
    <w:rsid w:val="002C3B0A"/>
    <w:rsid w:val="002C5620"/>
    <w:rsid w:val="002C6536"/>
    <w:rsid w:val="002C68D8"/>
    <w:rsid w:val="002D1FB7"/>
    <w:rsid w:val="002D246E"/>
    <w:rsid w:val="002D48D5"/>
    <w:rsid w:val="002D4A9B"/>
    <w:rsid w:val="002D5BA6"/>
    <w:rsid w:val="002D62E3"/>
    <w:rsid w:val="002E0316"/>
    <w:rsid w:val="002E0E9F"/>
    <w:rsid w:val="002E4DC7"/>
    <w:rsid w:val="002E700A"/>
    <w:rsid w:val="002E72DB"/>
    <w:rsid w:val="002E7745"/>
    <w:rsid w:val="002F2366"/>
    <w:rsid w:val="002F2413"/>
    <w:rsid w:val="002F268E"/>
    <w:rsid w:val="002F27A1"/>
    <w:rsid w:val="002F2D59"/>
    <w:rsid w:val="002F538D"/>
    <w:rsid w:val="002F67A7"/>
    <w:rsid w:val="002F6D9F"/>
    <w:rsid w:val="003001A7"/>
    <w:rsid w:val="00301E59"/>
    <w:rsid w:val="00302388"/>
    <w:rsid w:val="00305C8F"/>
    <w:rsid w:val="00306149"/>
    <w:rsid w:val="003062C9"/>
    <w:rsid w:val="00306C6B"/>
    <w:rsid w:val="00307B9F"/>
    <w:rsid w:val="00307C77"/>
    <w:rsid w:val="00310B19"/>
    <w:rsid w:val="00310E7F"/>
    <w:rsid w:val="003117DB"/>
    <w:rsid w:val="003119BF"/>
    <w:rsid w:val="00313034"/>
    <w:rsid w:val="00313114"/>
    <w:rsid w:val="00314C7B"/>
    <w:rsid w:val="003157DC"/>
    <w:rsid w:val="00315A7F"/>
    <w:rsid w:val="00316E40"/>
    <w:rsid w:val="00317BF6"/>
    <w:rsid w:val="003208BD"/>
    <w:rsid w:val="003216D1"/>
    <w:rsid w:val="003247F7"/>
    <w:rsid w:val="00324B96"/>
    <w:rsid w:val="00325D0A"/>
    <w:rsid w:val="0032740F"/>
    <w:rsid w:val="00327F38"/>
    <w:rsid w:val="00332079"/>
    <w:rsid w:val="003323E2"/>
    <w:rsid w:val="00333192"/>
    <w:rsid w:val="003337F9"/>
    <w:rsid w:val="00333CEF"/>
    <w:rsid w:val="003345DB"/>
    <w:rsid w:val="00335556"/>
    <w:rsid w:val="00337618"/>
    <w:rsid w:val="0033775C"/>
    <w:rsid w:val="003405B1"/>
    <w:rsid w:val="003417F5"/>
    <w:rsid w:val="0034273A"/>
    <w:rsid w:val="00342CDB"/>
    <w:rsid w:val="00343F89"/>
    <w:rsid w:val="00345427"/>
    <w:rsid w:val="00345747"/>
    <w:rsid w:val="00345F64"/>
    <w:rsid w:val="003463F7"/>
    <w:rsid w:val="0034643A"/>
    <w:rsid w:val="003475B0"/>
    <w:rsid w:val="00350111"/>
    <w:rsid w:val="00351E40"/>
    <w:rsid w:val="00354888"/>
    <w:rsid w:val="00355529"/>
    <w:rsid w:val="003557BA"/>
    <w:rsid w:val="00360B6A"/>
    <w:rsid w:val="003643C3"/>
    <w:rsid w:val="00364DF4"/>
    <w:rsid w:val="003674A7"/>
    <w:rsid w:val="003678ED"/>
    <w:rsid w:val="00367FBA"/>
    <w:rsid w:val="00370137"/>
    <w:rsid w:val="00370900"/>
    <w:rsid w:val="00371A23"/>
    <w:rsid w:val="00371EDD"/>
    <w:rsid w:val="00373CDC"/>
    <w:rsid w:val="003746AA"/>
    <w:rsid w:val="00375B3B"/>
    <w:rsid w:val="00380423"/>
    <w:rsid w:val="003816D4"/>
    <w:rsid w:val="003818B9"/>
    <w:rsid w:val="003822E4"/>
    <w:rsid w:val="00382558"/>
    <w:rsid w:val="0038371B"/>
    <w:rsid w:val="00383CD4"/>
    <w:rsid w:val="00383D5E"/>
    <w:rsid w:val="0038518D"/>
    <w:rsid w:val="00385F2F"/>
    <w:rsid w:val="00386AEE"/>
    <w:rsid w:val="00387618"/>
    <w:rsid w:val="00387B59"/>
    <w:rsid w:val="00387C33"/>
    <w:rsid w:val="0039296B"/>
    <w:rsid w:val="00392EBF"/>
    <w:rsid w:val="00394BF1"/>
    <w:rsid w:val="00395AD2"/>
    <w:rsid w:val="00397E29"/>
    <w:rsid w:val="003A1AB7"/>
    <w:rsid w:val="003A1FDE"/>
    <w:rsid w:val="003A2C16"/>
    <w:rsid w:val="003A3C77"/>
    <w:rsid w:val="003A4C1B"/>
    <w:rsid w:val="003A5462"/>
    <w:rsid w:val="003A5B8B"/>
    <w:rsid w:val="003A62B8"/>
    <w:rsid w:val="003A71EE"/>
    <w:rsid w:val="003B0484"/>
    <w:rsid w:val="003B35A7"/>
    <w:rsid w:val="003B410D"/>
    <w:rsid w:val="003B472E"/>
    <w:rsid w:val="003B5173"/>
    <w:rsid w:val="003B64BE"/>
    <w:rsid w:val="003B759C"/>
    <w:rsid w:val="003C0E41"/>
    <w:rsid w:val="003C3496"/>
    <w:rsid w:val="003C3B0D"/>
    <w:rsid w:val="003C3ED3"/>
    <w:rsid w:val="003C44CE"/>
    <w:rsid w:val="003C5541"/>
    <w:rsid w:val="003C5C59"/>
    <w:rsid w:val="003C5E03"/>
    <w:rsid w:val="003C5EC4"/>
    <w:rsid w:val="003C6950"/>
    <w:rsid w:val="003C7496"/>
    <w:rsid w:val="003C7599"/>
    <w:rsid w:val="003D0C7C"/>
    <w:rsid w:val="003D1797"/>
    <w:rsid w:val="003D34C9"/>
    <w:rsid w:val="003D3657"/>
    <w:rsid w:val="003D38BF"/>
    <w:rsid w:val="003D556A"/>
    <w:rsid w:val="003D6524"/>
    <w:rsid w:val="003D693A"/>
    <w:rsid w:val="003E040F"/>
    <w:rsid w:val="003E3B7D"/>
    <w:rsid w:val="003E5540"/>
    <w:rsid w:val="003E5628"/>
    <w:rsid w:val="003E6354"/>
    <w:rsid w:val="003F004F"/>
    <w:rsid w:val="003F0ACD"/>
    <w:rsid w:val="003F181B"/>
    <w:rsid w:val="003F21AA"/>
    <w:rsid w:val="003F3311"/>
    <w:rsid w:val="003F3AE3"/>
    <w:rsid w:val="003F5F2A"/>
    <w:rsid w:val="003F6A7B"/>
    <w:rsid w:val="003F7057"/>
    <w:rsid w:val="00400100"/>
    <w:rsid w:val="004006E2"/>
    <w:rsid w:val="0040397D"/>
    <w:rsid w:val="00403A9D"/>
    <w:rsid w:val="00403DE9"/>
    <w:rsid w:val="004044F8"/>
    <w:rsid w:val="00404653"/>
    <w:rsid w:val="00404AD8"/>
    <w:rsid w:val="00406904"/>
    <w:rsid w:val="004102D6"/>
    <w:rsid w:val="00410528"/>
    <w:rsid w:val="004138BE"/>
    <w:rsid w:val="00415038"/>
    <w:rsid w:val="00417006"/>
    <w:rsid w:val="004203E9"/>
    <w:rsid w:val="00420892"/>
    <w:rsid w:val="00420946"/>
    <w:rsid w:val="00422044"/>
    <w:rsid w:val="004221E3"/>
    <w:rsid w:val="00422C65"/>
    <w:rsid w:val="00423B33"/>
    <w:rsid w:val="00423C6D"/>
    <w:rsid w:val="00423CE6"/>
    <w:rsid w:val="004242CF"/>
    <w:rsid w:val="00424325"/>
    <w:rsid w:val="0042435A"/>
    <w:rsid w:val="00425C20"/>
    <w:rsid w:val="00427CE6"/>
    <w:rsid w:val="00427D8B"/>
    <w:rsid w:val="0043058E"/>
    <w:rsid w:val="00432734"/>
    <w:rsid w:val="0043486A"/>
    <w:rsid w:val="00435FD9"/>
    <w:rsid w:val="00435FF6"/>
    <w:rsid w:val="0043714F"/>
    <w:rsid w:val="00437E01"/>
    <w:rsid w:val="00442FC8"/>
    <w:rsid w:val="00443B89"/>
    <w:rsid w:val="0044414E"/>
    <w:rsid w:val="0044539A"/>
    <w:rsid w:val="00450323"/>
    <w:rsid w:val="00451A47"/>
    <w:rsid w:val="00451BC9"/>
    <w:rsid w:val="00453097"/>
    <w:rsid w:val="00453D59"/>
    <w:rsid w:val="0045586D"/>
    <w:rsid w:val="004576C7"/>
    <w:rsid w:val="004608CE"/>
    <w:rsid w:val="00463E14"/>
    <w:rsid w:val="00465C58"/>
    <w:rsid w:val="00465D69"/>
    <w:rsid w:val="004669B8"/>
    <w:rsid w:val="00467A47"/>
    <w:rsid w:val="00467EFD"/>
    <w:rsid w:val="0047129B"/>
    <w:rsid w:val="0047253A"/>
    <w:rsid w:val="00473877"/>
    <w:rsid w:val="00480066"/>
    <w:rsid w:val="004800E7"/>
    <w:rsid w:val="004805BD"/>
    <w:rsid w:val="00481891"/>
    <w:rsid w:val="00481D5C"/>
    <w:rsid w:val="004823AB"/>
    <w:rsid w:val="004847F6"/>
    <w:rsid w:val="00485E2C"/>
    <w:rsid w:val="004879DF"/>
    <w:rsid w:val="00491A4A"/>
    <w:rsid w:val="004949E0"/>
    <w:rsid w:val="004957B4"/>
    <w:rsid w:val="00496856"/>
    <w:rsid w:val="00496DA9"/>
    <w:rsid w:val="004973D5"/>
    <w:rsid w:val="004978DA"/>
    <w:rsid w:val="00497B3C"/>
    <w:rsid w:val="00497E24"/>
    <w:rsid w:val="004A06EF"/>
    <w:rsid w:val="004A28BF"/>
    <w:rsid w:val="004A2915"/>
    <w:rsid w:val="004A2F3B"/>
    <w:rsid w:val="004A4D66"/>
    <w:rsid w:val="004A6C65"/>
    <w:rsid w:val="004A7135"/>
    <w:rsid w:val="004A71AD"/>
    <w:rsid w:val="004A74C7"/>
    <w:rsid w:val="004B0C94"/>
    <w:rsid w:val="004B0D73"/>
    <w:rsid w:val="004B2FC7"/>
    <w:rsid w:val="004B39B2"/>
    <w:rsid w:val="004B402C"/>
    <w:rsid w:val="004B40FD"/>
    <w:rsid w:val="004B69C0"/>
    <w:rsid w:val="004B6BAC"/>
    <w:rsid w:val="004B74EE"/>
    <w:rsid w:val="004B7BFE"/>
    <w:rsid w:val="004C159F"/>
    <w:rsid w:val="004C3605"/>
    <w:rsid w:val="004C6808"/>
    <w:rsid w:val="004D27D0"/>
    <w:rsid w:val="004D3C21"/>
    <w:rsid w:val="004E3527"/>
    <w:rsid w:val="004E47D0"/>
    <w:rsid w:val="004E4B01"/>
    <w:rsid w:val="004F2FEC"/>
    <w:rsid w:val="004F4C37"/>
    <w:rsid w:val="004F6F64"/>
    <w:rsid w:val="0050281D"/>
    <w:rsid w:val="00502B43"/>
    <w:rsid w:val="00504BBE"/>
    <w:rsid w:val="0050767F"/>
    <w:rsid w:val="005101E4"/>
    <w:rsid w:val="005116F4"/>
    <w:rsid w:val="005224DE"/>
    <w:rsid w:val="00522D7E"/>
    <w:rsid w:val="00523129"/>
    <w:rsid w:val="00525673"/>
    <w:rsid w:val="005302BB"/>
    <w:rsid w:val="005322C5"/>
    <w:rsid w:val="0053295C"/>
    <w:rsid w:val="005344C3"/>
    <w:rsid w:val="00535CBE"/>
    <w:rsid w:val="00537368"/>
    <w:rsid w:val="005373B5"/>
    <w:rsid w:val="0053798D"/>
    <w:rsid w:val="00537A79"/>
    <w:rsid w:val="005407CA"/>
    <w:rsid w:val="00541A34"/>
    <w:rsid w:val="00544A38"/>
    <w:rsid w:val="005461B8"/>
    <w:rsid w:val="005469EB"/>
    <w:rsid w:val="00547EB9"/>
    <w:rsid w:val="00551263"/>
    <w:rsid w:val="005528BF"/>
    <w:rsid w:val="0055391C"/>
    <w:rsid w:val="005539F8"/>
    <w:rsid w:val="00553AB9"/>
    <w:rsid w:val="00556872"/>
    <w:rsid w:val="00557AC1"/>
    <w:rsid w:val="005600C4"/>
    <w:rsid w:val="005603F4"/>
    <w:rsid w:val="0056120F"/>
    <w:rsid w:val="00561A7B"/>
    <w:rsid w:val="00561E43"/>
    <w:rsid w:val="00562F56"/>
    <w:rsid w:val="00564C1F"/>
    <w:rsid w:val="00566BD4"/>
    <w:rsid w:val="00574085"/>
    <w:rsid w:val="00574C8F"/>
    <w:rsid w:val="005760E4"/>
    <w:rsid w:val="005766C4"/>
    <w:rsid w:val="00576BDD"/>
    <w:rsid w:val="0057701C"/>
    <w:rsid w:val="00584B8C"/>
    <w:rsid w:val="00584E00"/>
    <w:rsid w:val="00585FF7"/>
    <w:rsid w:val="00587E65"/>
    <w:rsid w:val="0059034B"/>
    <w:rsid w:val="005908ED"/>
    <w:rsid w:val="00590DBC"/>
    <w:rsid w:val="00592D0F"/>
    <w:rsid w:val="005933A1"/>
    <w:rsid w:val="00594F4D"/>
    <w:rsid w:val="005951BA"/>
    <w:rsid w:val="005954FD"/>
    <w:rsid w:val="005955CB"/>
    <w:rsid w:val="00595F1F"/>
    <w:rsid w:val="005A18E5"/>
    <w:rsid w:val="005B097A"/>
    <w:rsid w:val="005B214C"/>
    <w:rsid w:val="005B2A6E"/>
    <w:rsid w:val="005B36B3"/>
    <w:rsid w:val="005B3959"/>
    <w:rsid w:val="005B48E2"/>
    <w:rsid w:val="005B5343"/>
    <w:rsid w:val="005B619E"/>
    <w:rsid w:val="005B6924"/>
    <w:rsid w:val="005B6C61"/>
    <w:rsid w:val="005C1F16"/>
    <w:rsid w:val="005C2091"/>
    <w:rsid w:val="005C34F0"/>
    <w:rsid w:val="005C4AAD"/>
    <w:rsid w:val="005C4FFB"/>
    <w:rsid w:val="005C6146"/>
    <w:rsid w:val="005C7A30"/>
    <w:rsid w:val="005D233D"/>
    <w:rsid w:val="005D3AA0"/>
    <w:rsid w:val="005D3E52"/>
    <w:rsid w:val="005D3FC1"/>
    <w:rsid w:val="005D59E0"/>
    <w:rsid w:val="005D6C70"/>
    <w:rsid w:val="005E2FE5"/>
    <w:rsid w:val="005E39E1"/>
    <w:rsid w:val="005F0A5D"/>
    <w:rsid w:val="005F1B5D"/>
    <w:rsid w:val="005F2490"/>
    <w:rsid w:val="005F41BA"/>
    <w:rsid w:val="005F481F"/>
    <w:rsid w:val="005F4BA4"/>
    <w:rsid w:val="005F558D"/>
    <w:rsid w:val="005F6952"/>
    <w:rsid w:val="00600377"/>
    <w:rsid w:val="006009F2"/>
    <w:rsid w:val="00601353"/>
    <w:rsid w:val="006024A8"/>
    <w:rsid w:val="00602927"/>
    <w:rsid w:val="00602E21"/>
    <w:rsid w:val="00603A60"/>
    <w:rsid w:val="00603AAC"/>
    <w:rsid w:val="00604D70"/>
    <w:rsid w:val="00605467"/>
    <w:rsid w:val="006056BF"/>
    <w:rsid w:val="00606333"/>
    <w:rsid w:val="00606DAC"/>
    <w:rsid w:val="00611EA4"/>
    <w:rsid w:val="0062165F"/>
    <w:rsid w:val="00622B98"/>
    <w:rsid w:val="006234D8"/>
    <w:rsid w:val="00625655"/>
    <w:rsid w:val="006264AF"/>
    <w:rsid w:val="00626733"/>
    <w:rsid w:val="00626767"/>
    <w:rsid w:val="0062785F"/>
    <w:rsid w:val="0063198D"/>
    <w:rsid w:val="00631D26"/>
    <w:rsid w:val="006321D3"/>
    <w:rsid w:val="006346C3"/>
    <w:rsid w:val="006349E6"/>
    <w:rsid w:val="006353C7"/>
    <w:rsid w:val="00635AE9"/>
    <w:rsid w:val="00635DD3"/>
    <w:rsid w:val="00637647"/>
    <w:rsid w:val="006401B4"/>
    <w:rsid w:val="00640372"/>
    <w:rsid w:val="00640BC6"/>
    <w:rsid w:val="00641F1A"/>
    <w:rsid w:val="006435E0"/>
    <w:rsid w:val="00643FDE"/>
    <w:rsid w:val="00644423"/>
    <w:rsid w:val="00645F9F"/>
    <w:rsid w:val="00646A43"/>
    <w:rsid w:val="006504C0"/>
    <w:rsid w:val="006506B2"/>
    <w:rsid w:val="00650804"/>
    <w:rsid w:val="006509B4"/>
    <w:rsid w:val="006510E8"/>
    <w:rsid w:val="00651E06"/>
    <w:rsid w:val="00653430"/>
    <w:rsid w:val="00654D57"/>
    <w:rsid w:val="00655B01"/>
    <w:rsid w:val="00656251"/>
    <w:rsid w:val="0065679C"/>
    <w:rsid w:val="00657071"/>
    <w:rsid w:val="00657FA5"/>
    <w:rsid w:val="00660385"/>
    <w:rsid w:val="00661623"/>
    <w:rsid w:val="0066299F"/>
    <w:rsid w:val="006712CF"/>
    <w:rsid w:val="006719BD"/>
    <w:rsid w:val="006719C3"/>
    <w:rsid w:val="006726F4"/>
    <w:rsid w:val="00672F68"/>
    <w:rsid w:val="00673EC5"/>
    <w:rsid w:val="00674DF6"/>
    <w:rsid w:val="00676AFD"/>
    <w:rsid w:val="00676E1B"/>
    <w:rsid w:val="00680A22"/>
    <w:rsid w:val="00680AE9"/>
    <w:rsid w:val="00683C66"/>
    <w:rsid w:val="00684A5F"/>
    <w:rsid w:val="00684AB7"/>
    <w:rsid w:val="00685468"/>
    <w:rsid w:val="00685CE2"/>
    <w:rsid w:val="006860BD"/>
    <w:rsid w:val="00690D89"/>
    <w:rsid w:val="00691BFF"/>
    <w:rsid w:val="00692BC2"/>
    <w:rsid w:val="00693642"/>
    <w:rsid w:val="00696F8D"/>
    <w:rsid w:val="00696FE5"/>
    <w:rsid w:val="00697C2A"/>
    <w:rsid w:val="006A106B"/>
    <w:rsid w:val="006A1B6C"/>
    <w:rsid w:val="006A3332"/>
    <w:rsid w:val="006A3385"/>
    <w:rsid w:val="006A522C"/>
    <w:rsid w:val="006A60E6"/>
    <w:rsid w:val="006A62EC"/>
    <w:rsid w:val="006A6441"/>
    <w:rsid w:val="006A6E1C"/>
    <w:rsid w:val="006B0308"/>
    <w:rsid w:val="006B084F"/>
    <w:rsid w:val="006B14D6"/>
    <w:rsid w:val="006B2859"/>
    <w:rsid w:val="006B2D70"/>
    <w:rsid w:val="006B2EB2"/>
    <w:rsid w:val="006B3615"/>
    <w:rsid w:val="006B45C9"/>
    <w:rsid w:val="006B6D1D"/>
    <w:rsid w:val="006B7396"/>
    <w:rsid w:val="006C1EF4"/>
    <w:rsid w:val="006C2705"/>
    <w:rsid w:val="006C302D"/>
    <w:rsid w:val="006C4C56"/>
    <w:rsid w:val="006C696C"/>
    <w:rsid w:val="006C7D6D"/>
    <w:rsid w:val="006D0A2E"/>
    <w:rsid w:val="006D1261"/>
    <w:rsid w:val="006D2A3A"/>
    <w:rsid w:val="006D3CE7"/>
    <w:rsid w:val="006D3E87"/>
    <w:rsid w:val="006D43B0"/>
    <w:rsid w:val="006D7353"/>
    <w:rsid w:val="006D75C4"/>
    <w:rsid w:val="006E06BF"/>
    <w:rsid w:val="006E2B76"/>
    <w:rsid w:val="006E428D"/>
    <w:rsid w:val="006E77F3"/>
    <w:rsid w:val="006F054F"/>
    <w:rsid w:val="006F4185"/>
    <w:rsid w:val="006F56E8"/>
    <w:rsid w:val="006F7EB0"/>
    <w:rsid w:val="00700903"/>
    <w:rsid w:val="007049A5"/>
    <w:rsid w:val="00705EB4"/>
    <w:rsid w:val="0070742C"/>
    <w:rsid w:val="00712160"/>
    <w:rsid w:val="00713D92"/>
    <w:rsid w:val="00720D4F"/>
    <w:rsid w:val="00721400"/>
    <w:rsid w:val="00722184"/>
    <w:rsid w:val="0072266E"/>
    <w:rsid w:val="00724C98"/>
    <w:rsid w:val="0072657B"/>
    <w:rsid w:val="00727980"/>
    <w:rsid w:val="007308BC"/>
    <w:rsid w:val="00740736"/>
    <w:rsid w:val="00742C13"/>
    <w:rsid w:val="00742E53"/>
    <w:rsid w:val="00743811"/>
    <w:rsid w:val="00744A5B"/>
    <w:rsid w:val="00745F89"/>
    <w:rsid w:val="00746CEB"/>
    <w:rsid w:val="0074721A"/>
    <w:rsid w:val="00750DD5"/>
    <w:rsid w:val="00752185"/>
    <w:rsid w:val="00752CCA"/>
    <w:rsid w:val="00754A9E"/>
    <w:rsid w:val="00754C92"/>
    <w:rsid w:val="00755BF8"/>
    <w:rsid w:val="007574CD"/>
    <w:rsid w:val="00761211"/>
    <w:rsid w:val="00762451"/>
    <w:rsid w:val="00771A42"/>
    <w:rsid w:val="00771DD8"/>
    <w:rsid w:val="00773A30"/>
    <w:rsid w:val="007749CF"/>
    <w:rsid w:val="00775649"/>
    <w:rsid w:val="0077566C"/>
    <w:rsid w:val="00775A80"/>
    <w:rsid w:val="00775E2F"/>
    <w:rsid w:val="007773D5"/>
    <w:rsid w:val="00777B69"/>
    <w:rsid w:val="0078065E"/>
    <w:rsid w:val="00780B4B"/>
    <w:rsid w:val="00781A7D"/>
    <w:rsid w:val="00782675"/>
    <w:rsid w:val="00782D1D"/>
    <w:rsid w:val="00782F35"/>
    <w:rsid w:val="007830A4"/>
    <w:rsid w:val="00783162"/>
    <w:rsid w:val="007840AB"/>
    <w:rsid w:val="00784BAC"/>
    <w:rsid w:val="007857B8"/>
    <w:rsid w:val="007862AF"/>
    <w:rsid w:val="00786C7F"/>
    <w:rsid w:val="00790563"/>
    <w:rsid w:val="007918ED"/>
    <w:rsid w:val="00791F78"/>
    <w:rsid w:val="007931F2"/>
    <w:rsid w:val="00795920"/>
    <w:rsid w:val="00795DC0"/>
    <w:rsid w:val="007974D7"/>
    <w:rsid w:val="00797A57"/>
    <w:rsid w:val="007A00D7"/>
    <w:rsid w:val="007A01F8"/>
    <w:rsid w:val="007A0830"/>
    <w:rsid w:val="007A5FBD"/>
    <w:rsid w:val="007A6B51"/>
    <w:rsid w:val="007A728E"/>
    <w:rsid w:val="007A72D9"/>
    <w:rsid w:val="007A7632"/>
    <w:rsid w:val="007B060E"/>
    <w:rsid w:val="007B14C1"/>
    <w:rsid w:val="007B209B"/>
    <w:rsid w:val="007B2863"/>
    <w:rsid w:val="007B3561"/>
    <w:rsid w:val="007B4808"/>
    <w:rsid w:val="007B54CC"/>
    <w:rsid w:val="007B62C1"/>
    <w:rsid w:val="007B6CF9"/>
    <w:rsid w:val="007B73CD"/>
    <w:rsid w:val="007C0FAD"/>
    <w:rsid w:val="007C1E60"/>
    <w:rsid w:val="007C2103"/>
    <w:rsid w:val="007C2ACA"/>
    <w:rsid w:val="007C4729"/>
    <w:rsid w:val="007C4EB4"/>
    <w:rsid w:val="007C694C"/>
    <w:rsid w:val="007C737A"/>
    <w:rsid w:val="007C7831"/>
    <w:rsid w:val="007C7B8C"/>
    <w:rsid w:val="007C7BC4"/>
    <w:rsid w:val="007D4397"/>
    <w:rsid w:val="007D4A11"/>
    <w:rsid w:val="007D4AEE"/>
    <w:rsid w:val="007D6ABF"/>
    <w:rsid w:val="007E332C"/>
    <w:rsid w:val="007E35E4"/>
    <w:rsid w:val="007E4AEF"/>
    <w:rsid w:val="007E4D32"/>
    <w:rsid w:val="007E4F1A"/>
    <w:rsid w:val="007E5DDE"/>
    <w:rsid w:val="007E6465"/>
    <w:rsid w:val="007E672C"/>
    <w:rsid w:val="007F11FA"/>
    <w:rsid w:val="007F1C17"/>
    <w:rsid w:val="007F3432"/>
    <w:rsid w:val="007F452F"/>
    <w:rsid w:val="007F56FD"/>
    <w:rsid w:val="007F5D7C"/>
    <w:rsid w:val="007F69AC"/>
    <w:rsid w:val="007F69E8"/>
    <w:rsid w:val="007F7A00"/>
    <w:rsid w:val="008002DD"/>
    <w:rsid w:val="00801323"/>
    <w:rsid w:val="0080355D"/>
    <w:rsid w:val="00803C57"/>
    <w:rsid w:val="00804099"/>
    <w:rsid w:val="00804815"/>
    <w:rsid w:val="0080590C"/>
    <w:rsid w:val="00806538"/>
    <w:rsid w:val="00806617"/>
    <w:rsid w:val="00810464"/>
    <w:rsid w:val="0081065F"/>
    <w:rsid w:val="008111FF"/>
    <w:rsid w:val="00811B20"/>
    <w:rsid w:val="00811D62"/>
    <w:rsid w:val="0081220E"/>
    <w:rsid w:val="00812921"/>
    <w:rsid w:val="00813A28"/>
    <w:rsid w:val="00813DB2"/>
    <w:rsid w:val="0081506F"/>
    <w:rsid w:val="00815460"/>
    <w:rsid w:val="00815C1F"/>
    <w:rsid w:val="00820978"/>
    <w:rsid w:val="008209D8"/>
    <w:rsid w:val="00821066"/>
    <w:rsid w:val="0082274D"/>
    <w:rsid w:val="00822AE0"/>
    <w:rsid w:val="00822FCC"/>
    <w:rsid w:val="00823D5D"/>
    <w:rsid w:val="00826664"/>
    <w:rsid w:val="008272CE"/>
    <w:rsid w:val="00831E90"/>
    <w:rsid w:val="00832E36"/>
    <w:rsid w:val="00832F6C"/>
    <w:rsid w:val="008343CC"/>
    <w:rsid w:val="00835122"/>
    <w:rsid w:val="0083559A"/>
    <w:rsid w:val="008358FA"/>
    <w:rsid w:val="00836C26"/>
    <w:rsid w:val="0084136C"/>
    <w:rsid w:val="008415BD"/>
    <w:rsid w:val="00843EBC"/>
    <w:rsid w:val="008452DC"/>
    <w:rsid w:val="00845EDD"/>
    <w:rsid w:val="00846640"/>
    <w:rsid w:val="00850D95"/>
    <w:rsid w:val="00852AC5"/>
    <w:rsid w:val="00852FE0"/>
    <w:rsid w:val="00853E5A"/>
    <w:rsid w:val="008556AC"/>
    <w:rsid w:val="00856034"/>
    <w:rsid w:val="00856519"/>
    <w:rsid w:val="00857A21"/>
    <w:rsid w:val="008602B9"/>
    <w:rsid w:val="008638E2"/>
    <w:rsid w:val="00864809"/>
    <w:rsid w:val="00864835"/>
    <w:rsid w:val="00864AF3"/>
    <w:rsid w:val="008653B4"/>
    <w:rsid w:val="008653E2"/>
    <w:rsid w:val="008654CD"/>
    <w:rsid w:val="00865AB8"/>
    <w:rsid w:val="00866DF4"/>
    <w:rsid w:val="008672A5"/>
    <w:rsid w:val="00867C6C"/>
    <w:rsid w:val="008706B2"/>
    <w:rsid w:val="008719C3"/>
    <w:rsid w:val="008749F7"/>
    <w:rsid w:val="00874A48"/>
    <w:rsid w:val="00880406"/>
    <w:rsid w:val="00880F4A"/>
    <w:rsid w:val="008819BA"/>
    <w:rsid w:val="00881A4F"/>
    <w:rsid w:val="00882478"/>
    <w:rsid w:val="00882DCF"/>
    <w:rsid w:val="008831B3"/>
    <w:rsid w:val="008832FD"/>
    <w:rsid w:val="008835EA"/>
    <w:rsid w:val="008840E0"/>
    <w:rsid w:val="008843D2"/>
    <w:rsid w:val="0088615D"/>
    <w:rsid w:val="008875AF"/>
    <w:rsid w:val="00890231"/>
    <w:rsid w:val="008911F7"/>
    <w:rsid w:val="00892094"/>
    <w:rsid w:val="0089411A"/>
    <w:rsid w:val="00895E90"/>
    <w:rsid w:val="008A2244"/>
    <w:rsid w:val="008A448B"/>
    <w:rsid w:val="008A4A2D"/>
    <w:rsid w:val="008A5A24"/>
    <w:rsid w:val="008B108D"/>
    <w:rsid w:val="008B1460"/>
    <w:rsid w:val="008B194E"/>
    <w:rsid w:val="008B3401"/>
    <w:rsid w:val="008B44C7"/>
    <w:rsid w:val="008B4B18"/>
    <w:rsid w:val="008B636B"/>
    <w:rsid w:val="008B674A"/>
    <w:rsid w:val="008B72A9"/>
    <w:rsid w:val="008C138C"/>
    <w:rsid w:val="008C2859"/>
    <w:rsid w:val="008C2968"/>
    <w:rsid w:val="008C29D6"/>
    <w:rsid w:val="008C2E06"/>
    <w:rsid w:val="008C2F95"/>
    <w:rsid w:val="008C3CB1"/>
    <w:rsid w:val="008C5033"/>
    <w:rsid w:val="008C6660"/>
    <w:rsid w:val="008C77EF"/>
    <w:rsid w:val="008D2245"/>
    <w:rsid w:val="008D23AE"/>
    <w:rsid w:val="008D2E00"/>
    <w:rsid w:val="008D61EB"/>
    <w:rsid w:val="008D7235"/>
    <w:rsid w:val="008D7D23"/>
    <w:rsid w:val="008E019B"/>
    <w:rsid w:val="008E076D"/>
    <w:rsid w:val="008E0946"/>
    <w:rsid w:val="008E1E78"/>
    <w:rsid w:val="008E32F4"/>
    <w:rsid w:val="008E3B27"/>
    <w:rsid w:val="008E4C65"/>
    <w:rsid w:val="008E4CD3"/>
    <w:rsid w:val="008E66DD"/>
    <w:rsid w:val="008E6BAE"/>
    <w:rsid w:val="008E6CE9"/>
    <w:rsid w:val="008E7F60"/>
    <w:rsid w:val="008F01AE"/>
    <w:rsid w:val="008F28A9"/>
    <w:rsid w:val="008F2C95"/>
    <w:rsid w:val="008F3DC0"/>
    <w:rsid w:val="009000F2"/>
    <w:rsid w:val="0090026E"/>
    <w:rsid w:val="009013A8"/>
    <w:rsid w:val="009024D5"/>
    <w:rsid w:val="00902CE6"/>
    <w:rsid w:val="00902D48"/>
    <w:rsid w:val="009039EE"/>
    <w:rsid w:val="00903E4B"/>
    <w:rsid w:val="00904D06"/>
    <w:rsid w:val="00905B3C"/>
    <w:rsid w:val="00907760"/>
    <w:rsid w:val="00907AD8"/>
    <w:rsid w:val="00910E77"/>
    <w:rsid w:val="009126F7"/>
    <w:rsid w:val="00913579"/>
    <w:rsid w:val="0091392A"/>
    <w:rsid w:val="00913C74"/>
    <w:rsid w:val="0091421E"/>
    <w:rsid w:val="00914CB1"/>
    <w:rsid w:val="00915276"/>
    <w:rsid w:val="0091568C"/>
    <w:rsid w:val="009163CA"/>
    <w:rsid w:val="00917121"/>
    <w:rsid w:val="00920BC8"/>
    <w:rsid w:val="00920D5C"/>
    <w:rsid w:val="00920F3D"/>
    <w:rsid w:val="00924AF7"/>
    <w:rsid w:val="0092638F"/>
    <w:rsid w:val="009264EE"/>
    <w:rsid w:val="00927CE8"/>
    <w:rsid w:val="0093012B"/>
    <w:rsid w:val="009318AE"/>
    <w:rsid w:val="00931A57"/>
    <w:rsid w:val="009326B9"/>
    <w:rsid w:val="009335CF"/>
    <w:rsid w:val="009343D1"/>
    <w:rsid w:val="009359C7"/>
    <w:rsid w:val="0093625A"/>
    <w:rsid w:val="0093799B"/>
    <w:rsid w:val="009405B4"/>
    <w:rsid w:val="009453D8"/>
    <w:rsid w:val="0095042F"/>
    <w:rsid w:val="00952648"/>
    <w:rsid w:val="00952F2A"/>
    <w:rsid w:val="00952FEC"/>
    <w:rsid w:val="009541D6"/>
    <w:rsid w:val="009544DE"/>
    <w:rsid w:val="00954997"/>
    <w:rsid w:val="00954BC7"/>
    <w:rsid w:val="00954BE9"/>
    <w:rsid w:val="00955142"/>
    <w:rsid w:val="009559E0"/>
    <w:rsid w:val="00956A41"/>
    <w:rsid w:val="00961F50"/>
    <w:rsid w:val="00961FF2"/>
    <w:rsid w:val="00963301"/>
    <w:rsid w:val="00966E45"/>
    <w:rsid w:val="00970CC7"/>
    <w:rsid w:val="009710FA"/>
    <w:rsid w:val="00971D1F"/>
    <w:rsid w:val="00972C17"/>
    <w:rsid w:val="0097636B"/>
    <w:rsid w:val="009773A0"/>
    <w:rsid w:val="009816CC"/>
    <w:rsid w:val="00981C59"/>
    <w:rsid w:val="00983B78"/>
    <w:rsid w:val="009840FF"/>
    <w:rsid w:val="0098423D"/>
    <w:rsid w:val="009842F9"/>
    <w:rsid w:val="00985ADE"/>
    <w:rsid w:val="00985E6B"/>
    <w:rsid w:val="00986043"/>
    <w:rsid w:val="00991436"/>
    <w:rsid w:val="0099203C"/>
    <w:rsid w:val="0099277F"/>
    <w:rsid w:val="00994328"/>
    <w:rsid w:val="00994EF5"/>
    <w:rsid w:val="00995229"/>
    <w:rsid w:val="00995E77"/>
    <w:rsid w:val="009A0AEA"/>
    <w:rsid w:val="009A2930"/>
    <w:rsid w:val="009A2EAA"/>
    <w:rsid w:val="009A3C0F"/>
    <w:rsid w:val="009A402D"/>
    <w:rsid w:val="009A493D"/>
    <w:rsid w:val="009A4944"/>
    <w:rsid w:val="009A4C85"/>
    <w:rsid w:val="009A5CC9"/>
    <w:rsid w:val="009A7075"/>
    <w:rsid w:val="009A7D65"/>
    <w:rsid w:val="009B0884"/>
    <w:rsid w:val="009B10FE"/>
    <w:rsid w:val="009B2266"/>
    <w:rsid w:val="009B2696"/>
    <w:rsid w:val="009B299C"/>
    <w:rsid w:val="009B3499"/>
    <w:rsid w:val="009B384E"/>
    <w:rsid w:val="009B5E28"/>
    <w:rsid w:val="009B5E88"/>
    <w:rsid w:val="009B6192"/>
    <w:rsid w:val="009B78C2"/>
    <w:rsid w:val="009C04BD"/>
    <w:rsid w:val="009C1805"/>
    <w:rsid w:val="009C1CE1"/>
    <w:rsid w:val="009C1F23"/>
    <w:rsid w:val="009C2082"/>
    <w:rsid w:val="009C2C97"/>
    <w:rsid w:val="009C3C96"/>
    <w:rsid w:val="009C4C13"/>
    <w:rsid w:val="009C4F3C"/>
    <w:rsid w:val="009C5EE7"/>
    <w:rsid w:val="009C7427"/>
    <w:rsid w:val="009C74DE"/>
    <w:rsid w:val="009D0EDD"/>
    <w:rsid w:val="009D2969"/>
    <w:rsid w:val="009D2C4E"/>
    <w:rsid w:val="009D2C9A"/>
    <w:rsid w:val="009D2F6B"/>
    <w:rsid w:val="009D3187"/>
    <w:rsid w:val="009D3466"/>
    <w:rsid w:val="009D4D44"/>
    <w:rsid w:val="009D581B"/>
    <w:rsid w:val="009D6AC0"/>
    <w:rsid w:val="009D7E19"/>
    <w:rsid w:val="009E2BE5"/>
    <w:rsid w:val="009E36AC"/>
    <w:rsid w:val="009E4BA2"/>
    <w:rsid w:val="009E7E14"/>
    <w:rsid w:val="009F14C8"/>
    <w:rsid w:val="009F1734"/>
    <w:rsid w:val="009F47DF"/>
    <w:rsid w:val="009F5175"/>
    <w:rsid w:val="009F5E89"/>
    <w:rsid w:val="009F62F4"/>
    <w:rsid w:val="009F7C25"/>
    <w:rsid w:val="00A01373"/>
    <w:rsid w:val="00A02AB0"/>
    <w:rsid w:val="00A03516"/>
    <w:rsid w:val="00A0690A"/>
    <w:rsid w:val="00A10EE9"/>
    <w:rsid w:val="00A1377C"/>
    <w:rsid w:val="00A138CD"/>
    <w:rsid w:val="00A157CA"/>
    <w:rsid w:val="00A167BC"/>
    <w:rsid w:val="00A203FB"/>
    <w:rsid w:val="00A213B4"/>
    <w:rsid w:val="00A220EE"/>
    <w:rsid w:val="00A23335"/>
    <w:rsid w:val="00A244A1"/>
    <w:rsid w:val="00A24E4B"/>
    <w:rsid w:val="00A25000"/>
    <w:rsid w:val="00A25385"/>
    <w:rsid w:val="00A255B0"/>
    <w:rsid w:val="00A27C9C"/>
    <w:rsid w:val="00A316C5"/>
    <w:rsid w:val="00A344E8"/>
    <w:rsid w:val="00A43F7C"/>
    <w:rsid w:val="00A44CB5"/>
    <w:rsid w:val="00A50C72"/>
    <w:rsid w:val="00A510CE"/>
    <w:rsid w:val="00A510F3"/>
    <w:rsid w:val="00A5330F"/>
    <w:rsid w:val="00A5346D"/>
    <w:rsid w:val="00A53689"/>
    <w:rsid w:val="00A54939"/>
    <w:rsid w:val="00A54A1E"/>
    <w:rsid w:val="00A56517"/>
    <w:rsid w:val="00A57726"/>
    <w:rsid w:val="00A57CC7"/>
    <w:rsid w:val="00A60C52"/>
    <w:rsid w:val="00A65809"/>
    <w:rsid w:val="00A6600C"/>
    <w:rsid w:val="00A663A2"/>
    <w:rsid w:val="00A717F4"/>
    <w:rsid w:val="00A71840"/>
    <w:rsid w:val="00A71B20"/>
    <w:rsid w:val="00A726C8"/>
    <w:rsid w:val="00A7278E"/>
    <w:rsid w:val="00A72FC3"/>
    <w:rsid w:val="00A736BC"/>
    <w:rsid w:val="00A755F1"/>
    <w:rsid w:val="00A773B0"/>
    <w:rsid w:val="00A80874"/>
    <w:rsid w:val="00A81648"/>
    <w:rsid w:val="00A81F4E"/>
    <w:rsid w:val="00A86B97"/>
    <w:rsid w:val="00A86BF9"/>
    <w:rsid w:val="00A87B9D"/>
    <w:rsid w:val="00A87FC8"/>
    <w:rsid w:val="00A910EF"/>
    <w:rsid w:val="00A931C3"/>
    <w:rsid w:val="00A932BC"/>
    <w:rsid w:val="00A93A7B"/>
    <w:rsid w:val="00AA09A3"/>
    <w:rsid w:val="00AA18A5"/>
    <w:rsid w:val="00AA3C27"/>
    <w:rsid w:val="00AA599C"/>
    <w:rsid w:val="00AA5CCF"/>
    <w:rsid w:val="00AA6A9E"/>
    <w:rsid w:val="00AA6D10"/>
    <w:rsid w:val="00AA7532"/>
    <w:rsid w:val="00AA7640"/>
    <w:rsid w:val="00AB3D83"/>
    <w:rsid w:val="00AB4396"/>
    <w:rsid w:val="00AB5689"/>
    <w:rsid w:val="00AB589A"/>
    <w:rsid w:val="00AB720B"/>
    <w:rsid w:val="00AC13D9"/>
    <w:rsid w:val="00AC1BC7"/>
    <w:rsid w:val="00AC40F7"/>
    <w:rsid w:val="00AC4174"/>
    <w:rsid w:val="00AC4A67"/>
    <w:rsid w:val="00AC67F8"/>
    <w:rsid w:val="00AC6D8D"/>
    <w:rsid w:val="00AC7186"/>
    <w:rsid w:val="00AC74C4"/>
    <w:rsid w:val="00AD05F8"/>
    <w:rsid w:val="00AD08FD"/>
    <w:rsid w:val="00AD53FE"/>
    <w:rsid w:val="00AD58AB"/>
    <w:rsid w:val="00AD59DB"/>
    <w:rsid w:val="00AD70B6"/>
    <w:rsid w:val="00AD71F4"/>
    <w:rsid w:val="00AD7504"/>
    <w:rsid w:val="00AE114E"/>
    <w:rsid w:val="00AE1682"/>
    <w:rsid w:val="00AE28B1"/>
    <w:rsid w:val="00AE3B78"/>
    <w:rsid w:val="00AE4688"/>
    <w:rsid w:val="00AE4DF2"/>
    <w:rsid w:val="00AE6087"/>
    <w:rsid w:val="00AE7EF1"/>
    <w:rsid w:val="00AF0868"/>
    <w:rsid w:val="00AF2B44"/>
    <w:rsid w:val="00AF4A44"/>
    <w:rsid w:val="00AF4C97"/>
    <w:rsid w:val="00AF5FA9"/>
    <w:rsid w:val="00B04009"/>
    <w:rsid w:val="00B07FAD"/>
    <w:rsid w:val="00B07FD9"/>
    <w:rsid w:val="00B15129"/>
    <w:rsid w:val="00B1664E"/>
    <w:rsid w:val="00B17204"/>
    <w:rsid w:val="00B17B63"/>
    <w:rsid w:val="00B20892"/>
    <w:rsid w:val="00B23390"/>
    <w:rsid w:val="00B30AD6"/>
    <w:rsid w:val="00B323D3"/>
    <w:rsid w:val="00B33F39"/>
    <w:rsid w:val="00B34CEE"/>
    <w:rsid w:val="00B350E8"/>
    <w:rsid w:val="00B353F9"/>
    <w:rsid w:val="00B406CE"/>
    <w:rsid w:val="00B433EA"/>
    <w:rsid w:val="00B448BE"/>
    <w:rsid w:val="00B45DB6"/>
    <w:rsid w:val="00B46558"/>
    <w:rsid w:val="00B5124C"/>
    <w:rsid w:val="00B54FDA"/>
    <w:rsid w:val="00B55E86"/>
    <w:rsid w:val="00B56D7B"/>
    <w:rsid w:val="00B5703E"/>
    <w:rsid w:val="00B626A6"/>
    <w:rsid w:val="00B6474E"/>
    <w:rsid w:val="00B65324"/>
    <w:rsid w:val="00B65976"/>
    <w:rsid w:val="00B66F65"/>
    <w:rsid w:val="00B703AC"/>
    <w:rsid w:val="00B708DF"/>
    <w:rsid w:val="00B70CC3"/>
    <w:rsid w:val="00B70DFB"/>
    <w:rsid w:val="00B73B13"/>
    <w:rsid w:val="00B74A1C"/>
    <w:rsid w:val="00B74EDF"/>
    <w:rsid w:val="00B75D22"/>
    <w:rsid w:val="00B765CB"/>
    <w:rsid w:val="00B80274"/>
    <w:rsid w:val="00B805EE"/>
    <w:rsid w:val="00B82310"/>
    <w:rsid w:val="00B840BD"/>
    <w:rsid w:val="00B84A8E"/>
    <w:rsid w:val="00B8515B"/>
    <w:rsid w:val="00B87659"/>
    <w:rsid w:val="00B878C9"/>
    <w:rsid w:val="00B87906"/>
    <w:rsid w:val="00B93502"/>
    <w:rsid w:val="00B9392D"/>
    <w:rsid w:val="00B95EDE"/>
    <w:rsid w:val="00B95FD1"/>
    <w:rsid w:val="00B970E3"/>
    <w:rsid w:val="00B97C98"/>
    <w:rsid w:val="00B97D11"/>
    <w:rsid w:val="00B97EF3"/>
    <w:rsid w:val="00BA05A0"/>
    <w:rsid w:val="00BA05FC"/>
    <w:rsid w:val="00BA5136"/>
    <w:rsid w:val="00BA5858"/>
    <w:rsid w:val="00BA67CB"/>
    <w:rsid w:val="00BA7643"/>
    <w:rsid w:val="00BB0B37"/>
    <w:rsid w:val="00BB21D6"/>
    <w:rsid w:val="00BB41DC"/>
    <w:rsid w:val="00BC0203"/>
    <w:rsid w:val="00BC2E68"/>
    <w:rsid w:val="00BC4CFA"/>
    <w:rsid w:val="00BC4F2A"/>
    <w:rsid w:val="00BC69BA"/>
    <w:rsid w:val="00BC6DCF"/>
    <w:rsid w:val="00BD0341"/>
    <w:rsid w:val="00BD2A1F"/>
    <w:rsid w:val="00BD4518"/>
    <w:rsid w:val="00BD618D"/>
    <w:rsid w:val="00BD7027"/>
    <w:rsid w:val="00BD77E0"/>
    <w:rsid w:val="00BD79D6"/>
    <w:rsid w:val="00BD7E8F"/>
    <w:rsid w:val="00BE1E66"/>
    <w:rsid w:val="00BE223F"/>
    <w:rsid w:val="00BE44F3"/>
    <w:rsid w:val="00BE4856"/>
    <w:rsid w:val="00BE7081"/>
    <w:rsid w:val="00BE7C04"/>
    <w:rsid w:val="00BF1829"/>
    <w:rsid w:val="00BF3639"/>
    <w:rsid w:val="00BF3D82"/>
    <w:rsid w:val="00BF3F40"/>
    <w:rsid w:val="00BF53BA"/>
    <w:rsid w:val="00BF6EE7"/>
    <w:rsid w:val="00BF74C3"/>
    <w:rsid w:val="00C00265"/>
    <w:rsid w:val="00C01400"/>
    <w:rsid w:val="00C01E54"/>
    <w:rsid w:val="00C02196"/>
    <w:rsid w:val="00C030EB"/>
    <w:rsid w:val="00C03506"/>
    <w:rsid w:val="00C03AB2"/>
    <w:rsid w:val="00C03E98"/>
    <w:rsid w:val="00C05EC0"/>
    <w:rsid w:val="00C06C8A"/>
    <w:rsid w:val="00C07396"/>
    <w:rsid w:val="00C07BEB"/>
    <w:rsid w:val="00C10826"/>
    <w:rsid w:val="00C1235F"/>
    <w:rsid w:val="00C124D1"/>
    <w:rsid w:val="00C13460"/>
    <w:rsid w:val="00C139FA"/>
    <w:rsid w:val="00C14AE6"/>
    <w:rsid w:val="00C14C78"/>
    <w:rsid w:val="00C156D7"/>
    <w:rsid w:val="00C159CC"/>
    <w:rsid w:val="00C15D45"/>
    <w:rsid w:val="00C17272"/>
    <w:rsid w:val="00C179EB"/>
    <w:rsid w:val="00C206FD"/>
    <w:rsid w:val="00C20E7E"/>
    <w:rsid w:val="00C212B8"/>
    <w:rsid w:val="00C2219D"/>
    <w:rsid w:val="00C224E6"/>
    <w:rsid w:val="00C242A6"/>
    <w:rsid w:val="00C26236"/>
    <w:rsid w:val="00C27C9C"/>
    <w:rsid w:val="00C31285"/>
    <w:rsid w:val="00C32D3D"/>
    <w:rsid w:val="00C33133"/>
    <w:rsid w:val="00C334FF"/>
    <w:rsid w:val="00C34806"/>
    <w:rsid w:val="00C349F8"/>
    <w:rsid w:val="00C407A8"/>
    <w:rsid w:val="00C41450"/>
    <w:rsid w:val="00C439C6"/>
    <w:rsid w:val="00C43ACB"/>
    <w:rsid w:val="00C4432E"/>
    <w:rsid w:val="00C44558"/>
    <w:rsid w:val="00C45F64"/>
    <w:rsid w:val="00C46A7C"/>
    <w:rsid w:val="00C47D73"/>
    <w:rsid w:val="00C51706"/>
    <w:rsid w:val="00C5184C"/>
    <w:rsid w:val="00C53935"/>
    <w:rsid w:val="00C550DA"/>
    <w:rsid w:val="00C55DD2"/>
    <w:rsid w:val="00C56480"/>
    <w:rsid w:val="00C5728D"/>
    <w:rsid w:val="00C60671"/>
    <w:rsid w:val="00C61042"/>
    <w:rsid w:val="00C611F9"/>
    <w:rsid w:val="00C61949"/>
    <w:rsid w:val="00C61B09"/>
    <w:rsid w:val="00C61D7F"/>
    <w:rsid w:val="00C63D0A"/>
    <w:rsid w:val="00C65573"/>
    <w:rsid w:val="00C664D4"/>
    <w:rsid w:val="00C70211"/>
    <w:rsid w:val="00C80AF2"/>
    <w:rsid w:val="00C814C4"/>
    <w:rsid w:val="00C86AC4"/>
    <w:rsid w:val="00C872A4"/>
    <w:rsid w:val="00C91C98"/>
    <w:rsid w:val="00C95847"/>
    <w:rsid w:val="00C96D54"/>
    <w:rsid w:val="00C97398"/>
    <w:rsid w:val="00C97837"/>
    <w:rsid w:val="00C97D7F"/>
    <w:rsid w:val="00CA0A46"/>
    <w:rsid w:val="00CA207C"/>
    <w:rsid w:val="00CA209C"/>
    <w:rsid w:val="00CA23A4"/>
    <w:rsid w:val="00CA2951"/>
    <w:rsid w:val="00CA3C52"/>
    <w:rsid w:val="00CA3D45"/>
    <w:rsid w:val="00CA77AF"/>
    <w:rsid w:val="00CB0038"/>
    <w:rsid w:val="00CB03E5"/>
    <w:rsid w:val="00CB2BB0"/>
    <w:rsid w:val="00CB3F4A"/>
    <w:rsid w:val="00CB40AD"/>
    <w:rsid w:val="00CB5673"/>
    <w:rsid w:val="00CB5BCD"/>
    <w:rsid w:val="00CB608E"/>
    <w:rsid w:val="00CB72C4"/>
    <w:rsid w:val="00CB732D"/>
    <w:rsid w:val="00CC0360"/>
    <w:rsid w:val="00CC25E3"/>
    <w:rsid w:val="00CC6016"/>
    <w:rsid w:val="00CC6AF5"/>
    <w:rsid w:val="00CC7715"/>
    <w:rsid w:val="00CC7AA9"/>
    <w:rsid w:val="00CD090D"/>
    <w:rsid w:val="00CD1173"/>
    <w:rsid w:val="00CD169B"/>
    <w:rsid w:val="00CD193F"/>
    <w:rsid w:val="00CD1CF0"/>
    <w:rsid w:val="00CD251B"/>
    <w:rsid w:val="00CD29DB"/>
    <w:rsid w:val="00CD3ABD"/>
    <w:rsid w:val="00CD4679"/>
    <w:rsid w:val="00CD51C3"/>
    <w:rsid w:val="00CD59C6"/>
    <w:rsid w:val="00CD7468"/>
    <w:rsid w:val="00CE1252"/>
    <w:rsid w:val="00CE171F"/>
    <w:rsid w:val="00CE259C"/>
    <w:rsid w:val="00CE2941"/>
    <w:rsid w:val="00CE2E4A"/>
    <w:rsid w:val="00CE378F"/>
    <w:rsid w:val="00CE5EBF"/>
    <w:rsid w:val="00CE6FFD"/>
    <w:rsid w:val="00CF04F6"/>
    <w:rsid w:val="00CF18A3"/>
    <w:rsid w:val="00CF24C6"/>
    <w:rsid w:val="00CF256F"/>
    <w:rsid w:val="00CF2F3B"/>
    <w:rsid w:val="00CF33D2"/>
    <w:rsid w:val="00CF3B65"/>
    <w:rsid w:val="00CF422C"/>
    <w:rsid w:val="00CF459A"/>
    <w:rsid w:val="00CF6B62"/>
    <w:rsid w:val="00CF74A7"/>
    <w:rsid w:val="00D00415"/>
    <w:rsid w:val="00D01585"/>
    <w:rsid w:val="00D01F09"/>
    <w:rsid w:val="00D0375A"/>
    <w:rsid w:val="00D03D4A"/>
    <w:rsid w:val="00D04049"/>
    <w:rsid w:val="00D04F54"/>
    <w:rsid w:val="00D067E3"/>
    <w:rsid w:val="00D06809"/>
    <w:rsid w:val="00D07853"/>
    <w:rsid w:val="00D10208"/>
    <w:rsid w:val="00D10727"/>
    <w:rsid w:val="00D111F2"/>
    <w:rsid w:val="00D11859"/>
    <w:rsid w:val="00D1276A"/>
    <w:rsid w:val="00D12B4D"/>
    <w:rsid w:val="00D16EA7"/>
    <w:rsid w:val="00D175C3"/>
    <w:rsid w:val="00D207C1"/>
    <w:rsid w:val="00D211DC"/>
    <w:rsid w:val="00D222BA"/>
    <w:rsid w:val="00D22833"/>
    <w:rsid w:val="00D22B6C"/>
    <w:rsid w:val="00D22D92"/>
    <w:rsid w:val="00D237BB"/>
    <w:rsid w:val="00D2487A"/>
    <w:rsid w:val="00D250D5"/>
    <w:rsid w:val="00D2614D"/>
    <w:rsid w:val="00D26787"/>
    <w:rsid w:val="00D267AA"/>
    <w:rsid w:val="00D26D30"/>
    <w:rsid w:val="00D26D9F"/>
    <w:rsid w:val="00D30F53"/>
    <w:rsid w:val="00D32707"/>
    <w:rsid w:val="00D33B3D"/>
    <w:rsid w:val="00D33E17"/>
    <w:rsid w:val="00D352BF"/>
    <w:rsid w:val="00D361F0"/>
    <w:rsid w:val="00D369D3"/>
    <w:rsid w:val="00D40B32"/>
    <w:rsid w:val="00D41947"/>
    <w:rsid w:val="00D41B9A"/>
    <w:rsid w:val="00D41E9B"/>
    <w:rsid w:val="00D448B8"/>
    <w:rsid w:val="00D4594E"/>
    <w:rsid w:val="00D468E7"/>
    <w:rsid w:val="00D50859"/>
    <w:rsid w:val="00D52396"/>
    <w:rsid w:val="00D53361"/>
    <w:rsid w:val="00D533BF"/>
    <w:rsid w:val="00D539D2"/>
    <w:rsid w:val="00D544F0"/>
    <w:rsid w:val="00D54950"/>
    <w:rsid w:val="00D54F33"/>
    <w:rsid w:val="00D55115"/>
    <w:rsid w:val="00D5564A"/>
    <w:rsid w:val="00D5616D"/>
    <w:rsid w:val="00D56F1C"/>
    <w:rsid w:val="00D621FA"/>
    <w:rsid w:val="00D62D2E"/>
    <w:rsid w:val="00D62F07"/>
    <w:rsid w:val="00D6381B"/>
    <w:rsid w:val="00D63C81"/>
    <w:rsid w:val="00D65532"/>
    <w:rsid w:val="00D656F0"/>
    <w:rsid w:val="00D661BB"/>
    <w:rsid w:val="00D66DDE"/>
    <w:rsid w:val="00D671F3"/>
    <w:rsid w:val="00D70147"/>
    <w:rsid w:val="00D7189C"/>
    <w:rsid w:val="00D71C19"/>
    <w:rsid w:val="00D72505"/>
    <w:rsid w:val="00D7269B"/>
    <w:rsid w:val="00D73ADB"/>
    <w:rsid w:val="00D74810"/>
    <w:rsid w:val="00D74E7F"/>
    <w:rsid w:val="00D75986"/>
    <w:rsid w:val="00D777D7"/>
    <w:rsid w:val="00D80BD5"/>
    <w:rsid w:val="00D81122"/>
    <w:rsid w:val="00D811C5"/>
    <w:rsid w:val="00D81EA8"/>
    <w:rsid w:val="00D83BF3"/>
    <w:rsid w:val="00D85E64"/>
    <w:rsid w:val="00D86D36"/>
    <w:rsid w:val="00D87250"/>
    <w:rsid w:val="00D91385"/>
    <w:rsid w:val="00D92958"/>
    <w:rsid w:val="00D95134"/>
    <w:rsid w:val="00D97041"/>
    <w:rsid w:val="00DA1518"/>
    <w:rsid w:val="00DA2EDC"/>
    <w:rsid w:val="00DA401D"/>
    <w:rsid w:val="00DA7B60"/>
    <w:rsid w:val="00DB023A"/>
    <w:rsid w:val="00DB1642"/>
    <w:rsid w:val="00DB2FB2"/>
    <w:rsid w:val="00DB6C91"/>
    <w:rsid w:val="00DC03DF"/>
    <w:rsid w:val="00DC09BA"/>
    <w:rsid w:val="00DC0ABA"/>
    <w:rsid w:val="00DC0B17"/>
    <w:rsid w:val="00DC1C32"/>
    <w:rsid w:val="00DC3079"/>
    <w:rsid w:val="00DC5D78"/>
    <w:rsid w:val="00DC74E4"/>
    <w:rsid w:val="00DD050C"/>
    <w:rsid w:val="00DD0BF7"/>
    <w:rsid w:val="00DD1854"/>
    <w:rsid w:val="00DD25EA"/>
    <w:rsid w:val="00DD2C58"/>
    <w:rsid w:val="00DD471D"/>
    <w:rsid w:val="00DD4E26"/>
    <w:rsid w:val="00DD5B33"/>
    <w:rsid w:val="00DE1FD6"/>
    <w:rsid w:val="00DE26D0"/>
    <w:rsid w:val="00DE2E35"/>
    <w:rsid w:val="00DE4826"/>
    <w:rsid w:val="00DE4D73"/>
    <w:rsid w:val="00DE6801"/>
    <w:rsid w:val="00DF030B"/>
    <w:rsid w:val="00DF05DC"/>
    <w:rsid w:val="00DF09EA"/>
    <w:rsid w:val="00DF0F7C"/>
    <w:rsid w:val="00DF1F2C"/>
    <w:rsid w:val="00DF2EAE"/>
    <w:rsid w:val="00E01E5F"/>
    <w:rsid w:val="00E026CB"/>
    <w:rsid w:val="00E0326C"/>
    <w:rsid w:val="00E056B1"/>
    <w:rsid w:val="00E07316"/>
    <w:rsid w:val="00E0736E"/>
    <w:rsid w:val="00E12071"/>
    <w:rsid w:val="00E12440"/>
    <w:rsid w:val="00E142D7"/>
    <w:rsid w:val="00E16D5E"/>
    <w:rsid w:val="00E17773"/>
    <w:rsid w:val="00E2125A"/>
    <w:rsid w:val="00E222C1"/>
    <w:rsid w:val="00E228B3"/>
    <w:rsid w:val="00E2605F"/>
    <w:rsid w:val="00E26A5C"/>
    <w:rsid w:val="00E26CE5"/>
    <w:rsid w:val="00E31E6B"/>
    <w:rsid w:val="00E3232F"/>
    <w:rsid w:val="00E3238A"/>
    <w:rsid w:val="00E32C21"/>
    <w:rsid w:val="00E3344C"/>
    <w:rsid w:val="00E3612B"/>
    <w:rsid w:val="00E37261"/>
    <w:rsid w:val="00E37DAB"/>
    <w:rsid w:val="00E400D4"/>
    <w:rsid w:val="00E40DF5"/>
    <w:rsid w:val="00E43403"/>
    <w:rsid w:val="00E43C6E"/>
    <w:rsid w:val="00E459AD"/>
    <w:rsid w:val="00E4607E"/>
    <w:rsid w:val="00E4668E"/>
    <w:rsid w:val="00E467FA"/>
    <w:rsid w:val="00E47B96"/>
    <w:rsid w:val="00E47C73"/>
    <w:rsid w:val="00E5095F"/>
    <w:rsid w:val="00E50A7B"/>
    <w:rsid w:val="00E53A4F"/>
    <w:rsid w:val="00E56108"/>
    <w:rsid w:val="00E56812"/>
    <w:rsid w:val="00E573FE"/>
    <w:rsid w:val="00E609A2"/>
    <w:rsid w:val="00E60B16"/>
    <w:rsid w:val="00E6228B"/>
    <w:rsid w:val="00E63022"/>
    <w:rsid w:val="00E64642"/>
    <w:rsid w:val="00E673FD"/>
    <w:rsid w:val="00E67677"/>
    <w:rsid w:val="00E70BBC"/>
    <w:rsid w:val="00E71EF2"/>
    <w:rsid w:val="00E71FE4"/>
    <w:rsid w:val="00E72AB0"/>
    <w:rsid w:val="00E743EE"/>
    <w:rsid w:val="00E75DFC"/>
    <w:rsid w:val="00E75EA1"/>
    <w:rsid w:val="00E77695"/>
    <w:rsid w:val="00E77A6A"/>
    <w:rsid w:val="00E80278"/>
    <w:rsid w:val="00E81AFB"/>
    <w:rsid w:val="00E82522"/>
    <w:rsid w:val="00E83E81"/>
    <w:rsid w:val="00E845BF"/>
    <w:rsid w:val="00E84617"/>
    <w:rsid w:val="00E8516C"/>
    <w:rsid w:val="00E85C97"/>
    <w:rsid w:val="00E86391"/>
    <w:rsid w:val="00E9159A"/>
    <w:rsid w:val="00E918F6"/>
    <w:rsid w:val="00E920DF"/>
    <w:rsid w:val="00E92215"/>
    <w:rsid w:val="00E93DDA"/>
    <w:rsid w:val="00E95201"/>
    <w:rsid w:val="00E96323"/>
    <w:rsid w:val="00E96A2C"/>
    <w:rsid w:val="00EA01EF"/>
    <w:rsid w:val="00EA1DCC"/>
    <w:rsid w:val="00EA35E8"/>
    <w:rsid w:val="00EA4898"/>
    <w:rsid w:val="00EB1109"/>
    <w:rsid w:val="00EB259B"/>
    <w:rsid w:val="00EB372C"/>
    <w:rsid w:val="00EB6132"/>
    <w:rsid w:val="00EB7498"/>
    <w:rsid w:val="00EB7DE7"/>
    <w:rsid w:val="00EC0451"/>
    <w:rsid w:val="00EC17E3"/>
    <w:rsid w:val="00EC236E"/>
    <w:rsid w:val="00EC472D"/>
    <w:rsid w:val="00EC6A54"/>
    <w:rsid w:val="00ED085E"/>
    <w:rsid w:val="00ED2678"/>
    <w:rsid w:val="00ED2FC6"/>
    <w:rsid w:val="00ED30D5"/>
    <w:rsid w:val="00ED3F53"/>
    <w:rsid w:val="00ED65E6"/>
    <w:rsid w:val="00ED70D1"/>
    <w:rsid w:val="00EE0806"/>
    <w:rsid w:val="00EE0EA7"/>
    <w:rsid w:val="00EE1BB3"/>
    <w:rsid w:val="00EE250E"/>
    <w:rsid w:val="00EE263C"/>
    <w:rsid w:val="00EE2854"/>
    <w:rsid w:val="00EE2C2F"/>
    <w:rsid w:val="00EE3DB7"/>
    <w:rsid w:val="00EE6EA9"/>
    <w:rsid w:val="00EF0BC6"/>
    <w:rsid w:val="00EF1D92"/>
    <w:rsid w:val="00EF1DC6"/>
    <w:rsid w:val="00EF327F"/>
    <w:rsid w:val="00EF4114"/>
    <w:rsid w:val="00EF4FBB"/>
    <w:rsid w:val="00EF51EC"/>
    <w:rsid w:val="00EF53FB"/>
    <w:rsid w:val="00EF684A"/>
    <w:rsid w:val="00EF69C1"/>
    <w:rsid w:val="00EF6A71"/>
    <w:rsid w:val="00EF709B"/>
    <w:rsid w:val="00F0089D"/>
    <w:rsid w:val="00F015FA"/>
    <w:rsid w:val="00F024B6"/>
    <w:rsid w:val="00F03737"/>
    <w:rsid w:val="00F05E6B"/>
    <w:rsid w:val="00F06122"/>
    <w:rsid w:val="00F10FE3"/>
    <w:rsid w:val="00F121F4"/>
    <w:rsid w:val="00F136B0"/>
    <w:rsid w:val="00F140EB"/>
    <w:rsid w:val="00F14D12"/>
    <w:rsid w:val="00F15393"/>
    <w:rsid w:val="00F164FF"/>
    <w:rsid w:val="00F1682B"/>
    <w:rsid w:val="00F17CD2"/>
    <w:rsid w:val="00F20042"/>
    <w:rsid w:val="00F200CA"/>
    <w:rsid w:val="00F20A58"/>
    <w:rsid w:val="00F210FF"/>
    <w:rsid w:val="00F21DE2"/>
    <w:rsid w:val="00F22CD9"/>
    <w:rsid w:val="00F24A54"/>
    <w:rsid w:val="00F256D6"/>
    <w:rsid w:val="00F27C8E"/>
    <w:rsid w:val="00F30A61"/>
    <w:rsid w:val="00F3355D"/>
    <w:rsid w:val="00F3453F"/>
    <w:rsid w:val="00F36E64"/>
    <w:rsid w:val="00F372F6"/>
    <w:rsid w:val="00F373F7"/>
    <w:rsid w:val="00F41737"/>
    <w:rsid w:val="00F430E2"/>
    <w:rsid w:val="00F44426"/>
    <w:rsid w:val="00F45D61"/>
    <w:rsid w:val="00F468A1"/>
    <w:rsid w:val="00F46B6F"/>
    <w:rsid w:val="00F50F26"/>
    <w:rsid w:val="00F520AD"/>
    <w:rsid w:val="00F52A39"/>
    <w:rsid w:val="00F52BAF"/>
    <w:rsid w:val="00F534B2"/>
    <w:rsid w:val="00F534C9"/>
    <w:rsid w:val="00F544C0"/>
    <w:rsid w:val="00F54699"/>
    <w:rsid w:val="00F546BD"/>
    <w:rsid w:val="00F54D64"/>
    <w:rsid w:val="00F55075"/>
    <w:rsid w:val="00F556CA"/>
    <w:rsid w:val="00F56DD4"/>
    <w:rsid w:val="00F57167"/>
    <w:rsid w:val="00F60F29"/>
    <w:rsid w:val="00F61B59"/>
    <w:rsid w:val="00F64F63"/>
    <w:rsid w:val="00F66307"/>
    <w:rsid w:val="00F6793C"/>
    <w:rsid w:val="00F71E06"/>
    <w:rsid w:val="00F721B1"/>
    <w:rsid w:val="00F73260"/>
    <w:rsid w:val="00F73B0B"/>
    <w:rsid w:val="00F74B3E"/>
    <w:rsid w:val="00F75310"/>
    <w:rsid w:val="00F75490"/>
    <w:rsid w:val="00F76BD8"/>
    <w:rsid w:val="00F80545"/>
    <w:rsid w:val="00F812C6"/>
    <w:rsid w:val="00F86633"/>
    <w:rsid w:val="00F92E03"/>
    <w:rsid w:val="00F94B18"/>
    <w:rsid w:val="00F96BED"/>
    <w:rsid w:val="00FA07C9"/>
    <w:rsid w:val="00FA24CE"/>
    <w:rsid w:val="00FA4EC5"/>
    <w:rsid w:val="00FA58CF"/>
    <w:rsid w:val="00FA612D"/>
    <w:rsid w:val="00FB11E5"/>
    <w:rsid w:val="00FB3E26"/>
    <w:rsid w:val="00FB57AF"/>
    <w:rsid w:val="00FC2B59"/>
    <w:rsid w:val="00FC31C5"/>
    <w:rsid w:val="00FC56D6"/>
    <w:rsid w:val="00FC65EE"/>
    <w:rsid w:val="00FD1F32"/>
    <w:rsid w:val="00FD2600"/>
    <w:rsid w:val="00FD358B"/>
    <w:rsid w:val="00FD364F"/>
    <w:rsid w:val="00FD646A"/>
    <w:rsid w:val="00FD6E1F"/>
    <w:rsid w:val="00FD7E14"/>
    <w:rsid w:val="00FE1898"/>
    <w:rsid w:val="00FE1DDB"/>
    <w:rsid w:val="00FE20EF"/>
    <w:rsid w:val="00FE2A51"/>
    <w:rsid w:val="00FE3729"/>
    <w:rsid w:val="00FF0671"/>
    <w:rsid w:val="00FF110F"/>
    <w:rsid w:val="00FF1B48"/>
    <w:rsid w:val="00FF1EFB"/>
    <w:rsid w:val="00FF2EF5"/>
    <w:rsid w:val="00FF3E93"/>
    <w:rsid w:val="00FF477D"/>
    <w:rsid w:val="00FF61EB"/>
    <w:rsid w:val="00FF6544"/>
    <w:rsid w:val="010351AA"/>
    <w:rsid w:val="01115B19"/>
    <w:rsid w:val="011350B1"/>
    <w:rsid w:val="011D2710"/>
    <w:rsid w:val="011E3CE2"/>
    <w:rsid w:val="01227D26"/>
    <w:rsid w:val="01292B8D"/>
    <w:rsid w:val="01396E1E"/>
    <w:rsid w:val="014063FE"/>
    <w:rsid w:val="01455368"/>
    <w:rsid w:val="015123B9"/>
    <w:rsid w:val="01521C8D"/>
    <w:rsid w:val="01733512"/>
    <w:rsid w:val="017E0CD4"/>
    <w:rsid w:val="018908B0"/>
    <w:rsid w:val="01891B53"/>
    <w:rsid w:val="01893741"/>
    <w:rsid w:val="01987F28"/>
    <w:rsid w:val="01B73D5D"/>
    <w:rsid w:val="01C86BCC"/>
    <w:rsid w:val="01D152A8"/>
    <w:rsid w:val="01D63C01"/>
    <w:rsid w:val="01E01D0E"/>
    <w:rsid w:val="01E943A0"/>
    <w:rsid w:val="01F62035"/>
    <w:rsid w:val="02182ED7"/>
    <w:rsid w:val="02237B4A"/>
    <w:rsid w:val="02340733"/>
    <w:rsid w:val="023549ED"/>
    <w:rsid w:val="0241685F"/>
    <w:rsid w:val="024A6667"/>
    <w:rsid w:val="025608F0"/>
    <w:rsid w:val="025E5F43"/>
    <w:rsid w:val="02600516"/>
    <w:rsid w:val="02704B27"/>
    <w:rsid w:val="02770D11"/>
    <w:rsid w:val="028B36A9"/>
    <w:rsid w:val="028C0A7B"/>
    <w:rsid w:val="0290305D"/>
    <w:rsid w:val="02A227A1"/>
    <w:rsid w:val="02AD7AC3"/>
    <w:rsid w:val="02B0089C"/>
    <w:rsid w:val="02B32C00"/>
    <w:rsid w:val="02C646E1"/>
    <w:rsid w:val="02C848FD"/>
    <w:rsid w:val="02D7763D"/>
    <w:rsid w:val="02F94AB6"/>
    <w:rsid w:val="030049B7"/>
    <w:rsid w:val="030C31A3"/>
    <w:rsid w:val="0328714A"/>
    <w:rsid w:val="03323B24"/>
    <w:rsid w:val="03337C91"/>
    <w:rsid w:val="034C72DC"/>
    <w:rsid w:val="034F2928"/>
    <w:rsid w:val="03540E7F"/>
    <w:rsid w:val="035937A7"/>
    <w:rsid w:val="03655CA8"/>
    <w:rsid w:val="036A57EB"/>
    <w:rsid w:val="036B6BBE"/>
    <w:rsid w:val="037C2172"/>
    <w:rsid w:val="039D5250"/>
    <w:rsid w:val="03A70C90"/>
    <w:rsid w:val="03A8028B"/>
    <w:rsid w:val="03B23B1B"/>
    <w:rsid w:val="03B26DEA"/>
    <w:rsid w:val="03B94CE8"/>
    <w:rsid w:val="03DF6865"/>
    <w:rsid w:val="03E278CE"/>
    <w:rsid w:val="03F63365"/>
    <w:rsid w:val="03F8247A"/>
    <w:rsid w:val="041460C5"/>
    <w:rsid w:val="041B0A5C"/>
    <w:rsid w:val="04202BB1"/>
    <w:rsid w:val="04237B2C"/>
    <w:rsid w:val="04243F1F"/>
    <w:rsid w:val="042518DB"/>
    <w:rsid w:val="04294066"/>
    <w:rsid w:val="043722D1"/>
    <w:rsid w:val="043B5B1F"/>
    <w:rsid w:val="04504BAA"/>
    <w:rsid w:val="04613EB7"/>
    <w:rsid w:val="046A5E8A"/>
    <w:rsid w:val="04784101"/>
    <w:rsid w:val="04790887"/>
    <w:rsid w:val="04832184"/>
    <w:rsid w:val="04842AA6"/>
    <w:rsid w:val="049C41D0"/>
    <w:rsid w:val="04A3117E"/>
    <w:rsid w:val="04A42800"/>
    <w:rsid w:val="04A67679"/>
    <w:rsid w:val="04B35139"/>
    <w:rsid w:val="04CB2483"/>
    <w:rsid w:val="04DF3AE2"/>
    <w:rsid w:val="04E05DCB"/>
    <w:rsid w:val="04E31F6C"/>
    <w:rsid w:val="04E71879"/>
    <w:rsid w:val="04EF731D"/>
    <w:rsid w:val="051D54F7"/>
    <w:rsid w:val="051E25B2"/>
    <w:rsid w:val="051E7E84"/>
    <w:rsid w:val="052D3B24"/>
    <w:rsid w:val="053A13B6"/>
    <w:rsid w:val="05483AD3"/>
    <w:rsid w:val="054F5E5A"/>
    <w:rsid w:val="055B0B81"/>
    <w:rsid w:val="056800F4"/>
    <w:rsid w:val="056C5A14"/>
    <w:rsid w:val="056F14CA"/>
    <w:rsid w:val="05750A11"/>
    <w:rsid w:val="057B460B"/>
    <w:rsid w:val="058412CB"/>
    <w:rsid w:val="05861281"/>
    <w:rsid w:val="059565ED"/>
    <w:rsid w:val="05997E8B"/>
    <w:rsid w:val="059A1024"/>
    <w:rsid w:val="05AB0194"/>
    <w:rsid w:val="05B71DC7"/>
    <w:rsid w:val="05CA273A"/>
    <w:rsid w:val="05CE16A8"/>
    <w:rsid w:val="05F257ED"/>
    <w:rsid w:val="060211CD"/>
    <w:rsid w:val="061B4D44"/>
    <w:rsid w:val="062738D7"/>
    <w:rsid w:val="063D19BA"/>
    <w:rsid w:val="063D4CBA"/>
    <w:rsid w:val="064A5629"/>
    <w:rsid w:val="064E336B"/>
    <w:rsid w:val="065347BE"/>
    <w:rsid w:val="06874C3B"/>
    <w:rsid w:val="068A3C77"/>
    <w:rsid w:val="06965D10"/>
    <w:rsid w:val="06A019EE"/>
    <w:rsid w:val="06C70A28"/>
    <w:rsid w:val="06C729EE"/>
    <w:rsid w:val="06D03D80"/>
    <w:rsid w:val="06DC2725"/>
    <w:rsid w:val="06E1670D"/>
    <w:rsid w:val="06E17D3B"/>
    <w:rsid w:val="06F23CF7"/>
    <w:rsid w:val="06F52911"/>
    <w:rsid w:val="070000D4"/>
    <w:rsid w:val="0705522E"/>
    <w:rsid w:val="070752C8"/>
    <w:rsid w:val="070A2DF8"/>
    <w:rsid w:val="071535E2"/>
    <w:rsid w:val="071D4006"/>
    <w:rsid w:val="072F21C2"/>
    <w:rsid w:val="0737795B"/>
    <w:rsid w:val="0739771A"/>
    <w:rsid w:val="075D7F93"/>
    <w:rsid w:val="07675A5B"/>
    <w:rsid w:val="0776134C"/>
    <w:rsid w:val="07917D2E"/>
    <w:rsid w:val="0797489E"/>
    <w:rsid w:val="07976226"/>
    <w:rsid w:val="079D2C6D"/>
    <w:rsid w:val="07B74F40"/>
    <w:rsid w:val="07CA4C73"/>
    <w:rsid w:val="07D71DC7"/>
    <w:rsid w:val="07D8288D"/>
    <w:rsid w:val="07E10D07"/>
    <w:rsid w:val="07F97307"/>
    <w:rsid w:val="080025E7"/>
    <w:rsid w:val="080A32C2"/>
    <w:rsid w:val="081E6D6D"/>
    <w:rsid w:val="082365B1"/>
    <w:rsid w:val="082C2AA4"/>
    <w:rsid w:val="082C4FE6"/>
    <w:rsid w:val="082E4A72"/>
    <w:rsid w:val="0837398B"/>
    <w:rsid w:val="083B47AB"/>
    <w:rsid w:val="08420CAE"/>
    <w:rsid w:val="084663F0"/>
    <w:rsid w:val="084B56F6"/>
    <w:rsid w:val="08591B53"/>
    <w:rsid w:val="085D7896"/>
    <w:rsid w:val="08607386"/>
    <w:rsid w:val="087A654B"/>
    <w:rsid w:val="087D0FC3"/>
    <w:rsid w:val="08843074"/>
    <w:rsid w:val="08846D2B"/>
    <w:rsid w:val="08B07347"/>
    <w:rsid w:val="08D34AF6"/>
    <w:rsid w:val="08D4742C"/>
    <w:rsid w:val="08E13F7B"/>
    <w:rsid w:val="08EF3AC0"/>
    <w:rsid w:val="0906215E"/>
    <w:rsid w:val="0908163C"/>
    <w:rsid w:val="090C57D3"/>
    <w:rsid w:val="09223E87"/>
    <w:rsid w:val="0926465E"/>
    <w:rsid w:val="0934265E"/>
    <w:rsid w:val="093636F3"/>
    <w:rsid w:val="09395BA0"/>
    <w:rsid w:val="094D16B8"/>
    <w:rsid w:val="094D1BA9"/>
    <w:rsid w:val="095C18FB"/>
    <w:rsid w:val="09735CF7"/>
    <w:rsid w:val="097F55EA"/>
    <w:rsid w:val="09815806"/>
    <w:rsid w:val="09820F95"/>
    <w:rsid w:val="0992531D"/>
    <w:rsid w:val="09993AB5"/>
    <w:rsid w:val="09A45050"/>
    <w:rsid w:val="09A92667"/>
    <w:rsid w:val="09C53944"/>
    <w:rsid w:val="09C5399F"/>
    <w:rsid w:val="09CB355E"/>
    <w:rsid w:val="09CD27F9"/>
    <w:rsid w:val="09D1170E"/>
    <w:rsid w:val="09F064E7"/>
    <w:rsid w:val="09FC30DE"/>
    <w:rsid w:val="0A065003"/>
    <w:rsid w:val="0A0F4BBF"/>
    <w:rsid w:val="0A1026E6"/>
    <w:rsid w:val="0A2820A1"/>
    <w:rsid w:val="0A2D34C1"/>
    <w:rsid w:val="0A31076B"/>
    <w:rsid w:val="0A342878"/>
    <w:rsid w:val="0A4C7BC2"/>
    <w:rsid w:val="0A546A76"/>
    <w:rsid w:val="0A621193"/>
    <w:rsid w:val="0A634F0B"/>
    <w:rsid w:val="0A6B25E4"/>
    <w:rsid w:val="0A6B449D"/>
    <w:rsid w:val="0A782765"/>
    <w:rsid w:val="0A7E1232"/>
    <w:rsid w:val="0A7E16F3"/>
    <w:rsid w:val="0A873F30"/>
    <w:rsid w:val="0A89265A"/>
    <w:rsid w:val="0A960287"/>
    <w:rsid w:val="0AAE09EF"/>
    <w:rsid w:val="0AAF0151"/>
    <w:rsid w:val="0AB6328D"/>
    <w:rsid w:val="0AC57974"/>
    <w:rsid w:val="0AD32132"/>
    <w:rsid w:val="0AD81455"/>
    <w:rsid w:val="0ADE5D3C"/>
    <w:rsid w:val="0AE438C8"/>
    <w:rsid w:val="0AE5405E"/>
    <w:rsid w:val="0AEE2A27"/>
    <w:rsid w:val="0AF14803"/>
    <w:rsid w:val="0B167464"/>
    <w:rsid w:val="0B1762E8"/>
    <w:rsid w:val="0B1D7B28"/>
    <w:rsid w:val="0B200BDE"/>
    <w:rsid w:val="0B2930BD"/>
    <w:rsid w:val="0B303D49"/>
    <w:rsid w:val="0B436330"/>
    <w:rsid w:val="0B4959B4"/>
    <w:rsid w:val="0B582BD0"/>
    <w:rsid w:val="0B660775"/>
    <w:rsid w:val="0B6672DB"/>
    <w:rsid w:val="0B7078E0"/>
    <w:rsid w:val="0B754EF6"/>
    <w:rsid w:val="0B817BA4"/>
    <w:rsid w:val="0B903ADE"/>
    <w:rsid w:val="0BBC0D77"/>
    <w:rsid w:val="0BC35C62"/>
    <w:rsid w:val="0BC415A1"/>
    <w:rsid w:val="0BD25EA5"/>
    <w:rsid w:val="0BD641F6"/>
    <w:rsid w:val="0BD7170D"/>
    <w:rsid w:val="0BE75DCB"/>
    <w:rsid w:val="0C0247E8"/>
    <w:rsid w:val="0C162F08"/>
    <w:rsid w:val="0C252478"/>
    <w:rsid w:val="0C255A0B"/>
    <w:rsid w:val="0C332E2B"/>
    <w:rsid w:val="0C3B6140"/>
    <w:rsid w:val="0C400329"/>
    <w:rsid w:val="0C452B1A"/>
    <w:rsid w:val="0C4D487A"/>
    <w:rsid w:val="0C555831"/>
    <w:rsid w:val="0C650A72"/>
    <w:rsid w:val="0C662A91"/>
    <w:rsid w:val="0C667DB5"/>
    <w:rsid w:val="0C6D77FC"/>
    <w:rsid w:val="0C8E2713"/>
    <w:rsid w:val="0CA21D1B"/>
    <w:rsid w:val="0CA75FE9"/>
    <w:rsid w:val="0CC57C7C"/>
    <w:rsid w:val="0CEE6D0E"/>
    <w:rsid w:val="0CF15BCF"/>
    <w:rsid w:val="0CF307C8"/>
    <w:rsid w:val="0CF95057"/>
    <w:rsid w:val="0CFB142B"/>
    <w:rsid w:val="0D154C67"/>
    <w:rsid w:val="0D1C27DD"/>
    <w:rsid w:val="0D3606B5"/>
    <w:rsid w:val="0D4351C4"/>
    <w:rsid w:val="0D474670"/>
    <w:rsid w:val="0D4913C1"/>
    <w:rsid w:val="0D505C1B"/>
    <w:rsid w:val="0D584ACF"/>
    <w:rsid w:val="0D587038"/>
    <w:rsid w:val="0D676AC1"/>
    <w:rsid w:val="0D6B1EEE"/>
    <w:rsid w:val="0D7A2591"/>
    <w:rsid w:val="0D8F7523"/>
    <w:rsid w:val="0DA52CB5"/>
    <w:rsid w:val="0DB017A7"/>
    <w:rsid w:val="0DC30F51"/>
    <w:rsid w:val="0DE146A4"/>
    <w:rsid w:val="0DE34399"/>
    <w:rsid w:val="0DFF4F4B"/>
    <w:rsid w:val="0E0802A4"/>
    <w:rsid w:val="0E1A4489"/>
    <w:rsid w:val="0E1F739B"/>
    <w:rsid w:val="0E2350DD"/>
    <w:rsid w:val="0E245572"/>
    <w:rsid w:val="0E2B3022"/>
    <w:rsid w:val="0E2C2973"/>
    <w:rsid w:val="0E2F472E"/>
    <w:rsid w:val="0E3962A2"/>
    <w:rsid w:val="0E3C1CFB"/>
    <w:rsid w:val="0E472513"/>
    <w:rsid w:val="0E504F43"/>
    <w:rsid w:val="0E653000"/>
    <w:rsid w:val="0E70556D"/>
    <w:rsid w:val="0EA0228A"/>
    <w:rsid w:val="0EA0672E"/>
    <w:rsid w:val="0EA86D7E"/>
    <w:rsid w:val="0EB61AAE"/>
    <w:rsid w:val="0ECA4C7C"/>
    <w:rsid w:val="0ECD6DF7"/>
    <w:rsid w:val="0ED2559A"/>
    <w:rsid w:val="0ED76ADA"/>
    <w:rsid w:val="0EE825D7"/>
    <w:rsid w:val="0EEC6BBE"/>
    <w:rsid w:val="0EF020F5"/>
    <w:rsid w:val="0EFE3455"/>
    <w:rsid w:val="0F014563"/>
    <w:rsid w:val="0F0A5A4F"/>
    <w:rsid w:val="0F2509E1"/>
    <w:rsid w:val="0F2771CB"/>
    <w:rsid w:val="0F2F3540"/>
    <w:rsid w:val="0F3A3C5F"/>
    <w:rsid w:val="0F4004CE"/>
    <w:rsid w:val="0F5B53E3"/>
    <w:rsid w:val="0F7200CA"/>
    <w:rsid w:val="0F8328C5"/>
    <w:rsid w:val="0F833182"/>
    <w:rsid w:val="0F9067A2"/>
    <w:rsid w:val="0F9D0EBF"/>
    <w:rsid w:val="0F9D4A1B"/>
    <w:rsid w:val="0FAF7235"/>
    <w:rsid w:val="0FC14671"/>
    <w:rsid w:val="0FCA513C"/>
    <w:rsid w:val="0FCE74AD"/>
    <w:rsid w:val="0FD0094D"/>
    <w:rsid w:val="0FDC5544"/>
    <w:rsid w:val="0FE20680"/>
    <w:rsid w:val="100913C7"/>
    <w:rsid w:val="10095D5E"/>
    <w:rsid w:val="10243726"/>
    <w:rsid w:val="1031492B"/>
    <w:rsid w:val="103B1CEF"/>
    <w:rsid w:val="103B60FE"/>
    <w:rsid w:val="105772C0"/>
    <w:rsid w:val="10655129"/>
    <w:rsid w:val="1072163A"/>
    <w:rsid w:val="108F25B6"/>
    <w:rsid w:val="10A67900"/>
    <w:rsid w:val="10B522D6"/>
    <w:rsid w:val="10D726AD"/>
    <w:rsid w:val="10DB0EFC"/>
    <w:rsid w:val="10DE05CF"/>
    <w:rsid w:val="10EB2BF7"/>
    <w:rsid w:val="10EB474A"/>
    <w:rsid w:val="10F468BD"/>
    <w:rsid w:val="10FA77CC"/>
    <w:rsid w:val="10FC5772"/>
    <w:rsid w:val="112076B2"/>
    <w:rsid w:val="1121328D"/>
    <w:rsid w:val="11317B11"/>
    <w:rsid w:val="114B0EF0"/>
    <w:rsid w:val="114E5C2A"/>
    <w:rsid w:val="11513D10"/>
    <w:rsid w:val="11590DA4"/>
    <w:rsid w:val="1166486A"/>
    <w:rsid w:val="116C6D9B"/>
    <w:rsid w:val="11776F2D"/>
    <w:rsid w:val="11846382"/>
    <w:rsid w:val="118602B5"/>
    <w:rsid w:val="119423A3"/>
    <w:rsid w:val="11951A98"/>
    <w:rsid w:val="11965BC6"/>
    <w:rsid w:val="11AD306F"/>
    <w:rsid w:val="11AD3AF7"/>
    <w:rsid w:val="11BB3DF6"/>
    <w:rsid w:val="11D93F17"/>
    <w:rsid w:val="11F87AE5"/>
    <w:rsid w:val="12086726"/>
    <w:rsid w:val="12096398"/>
    <w:rsid w:val="121945A3"/>
    <w:rsid w:val="121F5BBC"/>
    <w:rsid w:val="1223465F"/>
    <w:rsid w:val="122F62BA"/>
    <w:rsid w:val="12301B77"/>
    <w:rsid w:val="12480CB6"/>
    <w:rsid w:val="12482B82"/>
    <w:rsid w:val="124E77C5"/>
    <w:rsid w:val="12637D5A"/>
    <w:rsid w:val="12665599"/>
    <w:rsid w:val="127139E6"/>
    <w:rsid w:val="127C7A20"/>
    <w:rsid w:val="128123D2"/>
    <w:rsid w:val="12975FA7"/>
    <w:rsid w:val="12997EE5"/>
    <w:rsid w:val="12A85BB1"/>
    <w:rsid w:val="12B23A81"/>
    <w:rsid w:val="12B502CE"/>
    <w:rsid w:val="12BC165D"/>
    <w:rsid w:val="12BD6CF7"/>
    <w:rsid w:val="12EA441C"/>
    <w:rsid w:val="130C6140"/>
    <w:rsid w:val="131A3751"/>
    <w:rsid w:val="131C6F65"/>
    <w:rsid w:val="133A2B5B"/>
    <w:rsid w:val="133C40E3"/>
    <w:rsid w:val="13453400"/>
    <w:rsid w:val="134F0723"/>
    <w:rsid w:val="13574E9E"/>
    <w:rsid w:val="13595A77"/>
    <w:rsid w:val="135F7121"/>
    <w:rsid w:val="136C2A5D"/>
    <w:rsid w:val="1370283F"/>
    <w:rsid w:val="1384217A"/>
    <w:rsid w:val="13855EF2"/>
    <w:rsid w:val="13897791"/>
    <w:rsid w:val="138E124B"/>
    <w:rsid w:val="139F590B"/>
    <w:rsid w:val="13A929FF"/>
    <w:rsid w:val="13BA3DEE"/>
    <w:rsid w:val="13BB75C8"/>
    <w:rsid w:val="13BC5DB8"/>
    <w:rsid w:val="13CD0607"/>
    <w:rsid w:val="13D749A0"/>
    <w:rsid w:val="13E1581F"/>
    <w:rsid w:val="13F5153C"/>
    <w:rsid w:val="13F53078"/>
    <w:rsid w:val="13F56BD4"/>
    <w:rsid w:val="13FA243C"/>
    <w:rsid w:val="13FB7F63"/>
    <w:rsid w:val="144B713C"/>
    <w:rsid w:val="145B7858"/>
    <w:rsid w:val="145F5E90"/>
    <w:rsid w:val="146219C3"/>
    <w:rsid w:val="1465468A"/>
    <w:rsid w:val="146D1868"/>
    <w:rsid w:val="1482725E"/>
    <w:rsid w:val="14916DF2"/>
    <w:rsid w:val="14930302"/>
    <w:rsid w:val="14983A03"/>
    <w:rsid w:val="149B5DB4"/>
    <w:rsid w:val="149F5023"/>
    <w:rsid w:val="14A92633"/>
    <w:rsid w:val="14AA62FF"/>
    <w:rsid w:val="14CA0061"/>
    <w:rsid w:val="14CC63C7"/>
    <w:rsid w:val="14EC447B"/>
    <w:rsid w:val="14F560FD"/>
    <w:rsid w:val="15094E25"/>
    <w:rsid w:val="150A49B0"/>
    <w:rsid w:val="152134A9"/>
    <w:rsid w:val="152534E9"/>
    <w:rsid w:val="15353677"/>
    <w:rsid w:val="153B4AAC"/>
    <w:rsid w:val="1546436C"/>
    <w:rsid w:val="1555138F"/>
    <w:rsid w:val="155C1C50"/>
    <w:rsid w:val="156A53A0"/>
    <w:rsid w:val="15732BFE"/>
    <w:rsid w:val="158278D5"/>
    <w:rsid w:val="15895A73"/>
    <w:rsid w:val="158E6B77"/>
    <w:rsid w:val="15CC7E09"/>
    <w:rsid w:val="15D45C9E"/>
    <w:rsid w:val="15F1671C"/>
    <w:rsid w:val="15F16C3A"/>
    <w:rsid w:val="15F47354"/>
    <w:rsid w:val="160E023B"/>
    <w:rsid w:val="16201F02"/>
    <w:rsid w:val="1626103A"/>
    <w:rsid w:val="162C043D"/>
    <w:rsid w:val="163F05DA"/>
    <w:rsid w:val="16414028"/>
    <w:rsid w:val="164200CB"/>
    <w:rsid w:val="16444B4D"/>
    <w:rsid w:val="166041CE"/>
    <w:rsid w:val="1679289C"/>
    <w:rsid w:val="167A2D87"/>
    <w:rsid w:val="168805CC"/>
    <w:rsid w:val="16883CA3"/>
    <w:rsid w:val="16943468"/>
    <w:rsid w:val="16A3337C"/>
    <w:rsid w:val="16AB5C70"/>
    <w:rsid w:val="16B33193"/>
    <w:rsid w:val="16C84A74"/>
    <w:rsid w:val="16CA1D6E"/>
    <w:rsid w:val="16CF0F33"/>
    <w:rsid w:val="16F05D79"/>
    <w:rsid w:val="16FA713A"/>
    <w:rsid w:val="16FB6BF7"/>
    <w:rsid w:val="17060295"/>
    <w:rsid w:val="172249FA"/>
    <w:rsid w:val="172B6DDC"/>
    <w:rsid w:val="173A5B27"/>
    <w:rsid w:val="17461652"/>
    <w:rsid w:val="174723A0"/>
    <w:rsid w:val="174979EB"/>
    <w:rsid w:val="174B2FAF"/>
    <w:rsid w:val="174B5FD5"/>
    <w:rsid w:val="175005C5"/>
    <w:rsid w:val="17604CAC"/>
    <w:rsid w:val="176522C3"/>
    <w:rsid w:val="17A4103D"/>
    <w:rsid w:val="17B50F29"/>
    <w:rsid w:val="17B6378E"/>
    <w:rsid w:val="17BB2CD5"/>
    <w:rsid w:val="17C074F9"/>
    <w:rsid w:val="17CA65CA"/>
    <w:rsid w:val="17D15BAA"/>
    <w:rsid w:val="17DE6382"/>
    <w:rsid w:val="17E0494A"/>
    <w:rsid w:val="17F378CF"/>
    <w:rsid w:val="17F65611"/>
    <w:rsid w:val="18023FB5"/>
    <w:rsid w:val="18280D74"/>
    <w:rsid w:val="18407872"/>
    <w:rsid w:val="184D2F5E"/>
    <w:rsid w:val="185C0256"/>
    <w:rsid w:val="185C3CC1"/>
    <w:rsid w:val="185D78EC"/>
    <w:rsid w:val="186C7681"/>
    <w:rsid w:val="186F47A0"/>
    <w:rsid w:val="18711E4F"/>
    <w:rsid w:val="187E0EC8"/>
    <w:rsid w:val="188A36AA"/>
    <w:rsid w:val="18944B87"/>
    <w:rsid w:val="189866C8"/>
    <w:rsid w:val="18B15BA9"/>
    <w:rsid w:val="18BA4890"/>
    <w:rsid w:val="18C006D3"/>
    <w:rsid w:val="18C54E6D"/>
    <w:rsid w:val="18D25736"/>
    <w:rsid w:val="18E22F09"/>
    <w:rsid w:val="18E7720B"/>
    <w:rsid w:val="18E87917"/>
    <w:rsid w:val="1918132E"/>
    <w:rsid w:val="192817FA"/>
    <w:rsid w:val="192A5572"/>
    <w:rsid w:val="194F322A"/>
    <w:rsid w:val="19585EE9"/>
    <w:rsid w:val="19612A6A"/>
    <w:rsid w:val="19743757"/>
    <w:rsid w:val="197467ED"/>
    <w:rsid w:val="19750A1B"/>
    <w:rsid w:val="19761355"/>
    <w:rsid w:val="19856003"/>
    <w:rsid w:val="19861F4A"/>
    <w:rsid w:val="198F2E99"/>
    <w:rsid w:val="19A60971"/>
    <w:rsid w:val="19A757E8"/>
    <w:rsid w:val="19B86668"/>
    <w:rsid w:val="19C00673"/>
    <w:rsid w:val="19C10596"/>
    <w:rsid w:val="19DE010A"/>
    <w:rsid w:val="1A033BA1"/>
    <w:rsid w:val="1A070173"/>
    <w:rsid w:val="1A0D4E62"/>
    <w:rsid w:val="1A136204"/>
    <w:rsid w:val="1A1678A4"/>
    <w:rsid w:val="1A1B4C1A"/>
    <w:rsid w:val="1A2F64A6"/>
    <w:rsid w:val="1A330456"/>
    <w:rsid w:val="1A331C30"/>
    <w:rsid w:val="1A587703"/>
    <w:rsid w:val="1A596421"/>
    <w:rsid w:val="1A5B4472"/>
    <w:rsid w:val="1A66082C"/>
    <w:rsid w:val="1A6830D1"/>
    <w:rsid w:val="1A7D32FC"/>
    <w:rsid w:val="1A7D5B75"/>
    <w:rsid w:val="1A9F3D3E"/>
    <w:rsid w:val="1AAB623F"/>
    <w:rsid w:val="1AAE21D3"/>
    <w:rsid w:val="1AB15F69"/>
    <w:rsid w:val="1AB33345"/>
    <w:rsid w:val="1AC360FC"/>
    <w:rsid w:val="1AC42F10"/>
    <w:rsid w:val="1AD53B3F"/>
    <w:rsid w:val="1AD61972"/>
    <w:rsid w:val="1AD900F5"/>
    <w:rsid w:val="1AF54516"/>
    <w:rsid w:val="1B132036"/>
    <w:rsid w:val="1B357A51"/>
    <w:rsid w:val="1B4E0F7B"/>
    <w:rsid w:val="1B520DB0"/>
    <w:rsid w:val="1B6612B1"/>
    <w:rsid w:val="1B6A0C53"/>
    <w:rsid w:val="1B742A7A"/>
    <w:rsid w:val="1B777F8F"/>
    <w:rsid w:val="1B7900EB"/>
    <w:rsid w:val="1B7A20B5"/>
    <w:rsid w:val="1B873D3D"/>
    <w:rsid w:val="1B8D5290"/>
    <w:rsid w:val="1B8F3DB2"/>
    <w:rsid w:val="1B966EEF"/>
    <w:rsid w:val="1B9B7430"/>
    <w:rsid w:val="1B9E7DB2"/>
    <w:rsid w:val="1BA5704C"/>
    <w:rsid w:val="1BBC26CD"/>
    <w:rsid w:val="1BC071F6"/>
    <w:rsid w:val="1BC31CAE"/>
    <w:rsid w:val="1BDE2525"/>
    <w:rsid w:val="1BE3413B"/>
    <w:rsid w:val="1BE7541E"/>
    <w:rsid w:val="1BF14125"/>
    <w:rsid w:val="1BF17502"/>
    <w:rsid w:val="1BFD50A1"/>
    <w:rsid w:val="1C1114D4"/>
    <w:rsid w:val="1C2305C0"/>
    <w:rsid w:val="1C2F2E9F"/>
    <w:rsid w:val="1C3D54BE"/>
    <w:rsid w:val="1C44694B"/>
    <w:rsid w:val="1C482B6C"/>
    <w:rsid w:val="1C6866E3"/>
    <w:rsid w:val="1C6E7E6B"/>
    <w:rsid w:val="1C705992"/>
    <w:rsid w:val="1C7F2BB5"/>
    <w:rsid w:val="1C825BB0"/>
    <w:rsid w:val="1C8431EB"/>
    <w:rsid w:val="1C8C529A"/>
    <w:rsid w:val="1C8F48E7"/>
    <w:rsid w:val="1C901646"/>
    <w:rsid w:val="1C914D81"/>
    <w:rsid w:val="1C916432"/>
    <w:rsid w:val="1CA12B9A"/>
    <w:rsid w:val="1CB92731"/>
    <w:rsid w:val="1CD51C99"/>
    <w:rsid w:val="1CD60490"/>
    <w:rsid w:val="1CE350D5"/>
    <w:rsid w:val="1D097B94"/>
    <w:rsid w:val="1D1E0839"/>
    <w:rsid w:val="1D2D5AFB"/>
    <w:rsid w:val="1D3F7112"/>
    <w:rsid w:val="1D4354BA"/>
    <w:rsid w:val="1D484219"/>
    <w:rsid w:val="1D6327E7"/>
    <w:rsid w:val="1D7C2114"/>
    <w:rsid w:val="1D852539"/>
    <w:rsid w:val="1D862DFA"/>
    <w:rsid w:val="1D951428"/>
    <w:rsid w:val="1D9E02DC"/>
    <w:rsid w:val="1DA122C7"/>
    <w:rsid w:val="1DB11549"/>
    <w:rsid w:val="1DE55F0B"/>
    <w:rsid w:val="1DE93A2D"/>
    <w:rsid w:val="1DF24C3B"/>
    <w:rsid w:val="1E00770A"/>
    <w:rsid w:val="1E0F24D3"/>
    <w:rsid w:val="1E175E07"/>
    <w:rsid w:val="1E242506"/>
    <w:rsid w:val="1E3649B9"/>
    <w:rsid w:val="1E4A16D0"/>
    <w:rsid w:val="1E51362D"/>
    <w:rsid w:val="1E516199"/>
    <w:rsid w:val="1E606318"/>
    <w:rsid w:val="1E7A037A"/>
    <w:rsid w:val="1E7E1EBC"/>
    <w:rsid w:val="1E9D36FD"/>
    <w:rsid w:val="1EB55D95"/>
    <w:rsid w:val="1EBD29E4"/>
    <w:rsid w:val="1EBF50DB"/>
    <w:rsid w:val="1EC43D73"/>
    <w:rsid w:val="1EC80869"/>
    <w:rsid w:val="1EDD641E"/>
    <w:rsid w:val="1EF06916"/>
    <w:rsid w:val="1EF108E0"/>
    <w:rsid w:val="1EF706F1"/>
    <w:rsid w:val="1EF94842"/>
    <w:rsid w:val="1F066139"/>
    <w:rsid w:val="1F1B594C"/>
    <w:rsid w:val="1F4879BC"/>
    <w:rsid w:val="1F52137F"/>
    <w:rsid w:val="1F7C4142"/>
    <w:rsid w:val="1F7E7BC0"/>
    <w:rsid w:val="1F810825"/>
    <w:rsid w:val="1F833E6E"/>
    <w:rsid w:val="1F8F4724"/>
    <w:rsid w:val="1F9D7E66"/>
    <w:rsid w:val="1FC102B2"/>
    <w:rsid w:val="1FE72762"/>
    <w:rsid w:val="1FED4BA9"/>
    <w:rsid w:val="1FF233D2"/>
    <w:rsid w:val="1FFD5184"/>
    <w:rsid w:val="1FFF6285"/>
    <w:rsid w:val="20207151"/>
    <w:rsid w:val="2025538F"/>
    <w:rsid w:val="203E50F8"/>
    <w:rsid w:val="20570443"/>
    <w:rsid w:val="205D447F"/>
    <w:rsid w:val="20623752"/>
    <w:rsid w:val="2064408E"/>
    <w:rsid w:val="207222E3"/>
    <w:rsid w:val="20752CEC"/>
    <w:rsid w:val="20795A06"/>
    <w:rsid w:val="20822EB4"/>
    <w:rsid w:val="208C08C0"/>
    <w:rsid w:val="20AA4383"/>
    <w:rsid w:val="20B06D8D"/>
    <w:rsid w:val="20C932CD"/>
    <w:rsid w:val="20CF3C71"/>
    <w:rsid w:val="20DD5FD9"/>
    <w:rsid w:val="20E16435"/>
    <w:rsid w:val="20EF2BFD"/>
    <w:rsid w:val="20F546B7"/>
    <w:rsid w:val="20F55C92"/>
    <w:rsid w:val="21095099"/>
    <w:rsid w:val="210D1DA9"/>
    <w:rsid w:val="21141734"/>
    <w:rsid w:val="211C3015"/>
    <w:rsid w:val="21285BC2"/>
    <w:rsid w:val="213123BB"/>
    <w:rsid w:val="21444887"/>
    <w:rsid w:val="215313DE"/>
    <w:rsid w:val="21582CD5"/>
    <w:rsid w:val="215C64E4"/>
    <w:rsid w:val="2161236A"/>
    <w:rsid w:val="21773D6F"/>
    <w:rsid w:val="218912A4"/>
    <w:rsid w:val="218E3D87"/>
    <w:rsid w:val="219F1618"/>
    <w:rsid w:val="21B03E34"/>
    <w:rsid w:val="21B43FCC"/>
    <w:rsid w:val="21CB284F"/>
    <w:rsid w:val="21CD4745"/>
    <w:rsid w:val="21D11DED"/>
    <w:rsid w:val="21D2790B"/>
    <w:rsid w:val="21DF4BFE"/>
    <w:rsid w:val="21EF031C"/>
    <w:rsid w:val="21F13A1D"/>
    <w:rsid w:val="21F66939"/>
    <w:rsid w:val="21F8186C"/>
    <w:rsid w:val="21FB5026"/>
    <w:rsid w:val="22097CEF"/>
    <w:rsid w:val="220F5306"/>
    <w:rsid w:val="22127573"/>
    <w:rsid w:val="2218467D"/>
    <w:rsid w:val="223275A9"/>
    <w:rsid w:val="22332C7B"/>
    <w:rsid w:val="22387500"/>
    <w:rsid w:val="227A1D3D"/>
    <w:rsid w:val="228E63B8"/>
    <w:rsid w:val="22B97967"/>
    <w:rsid w:val="22C628B6"/>
    <w:rsid w:val="23151B6E"/>
    <w:rsid w:val="231E453C"/>
    <w:rsid w:val="232B0FE1"/>
    <w:rsid w:val="23334160"/>
    <w:rsid w:val="23360FB7"/>
    <w:rsid w:val="233F34E3"/>
    <w:rsid w:val="23496F3C"/>
    <w:rsid w:val="234E3BE8"/>
    <w:rsid w:val="235F22BC"/>
    <w:rsid w:val="236C58EF"/>
    <w:rsid w:val="23847F75"/>
    <w:rsid w:val="23956595"/>
    <w:rsid w:val="23A61C99"/>
    <w:rsid w:val="23BB1256"/>
    <w:rsid w:val="23BE0880"/>
    <w:rsid w:val="23C123B8"/>
    <w:rsid w:val="23C969CE"/>
    <w:rsid w:val="23CD1B17"/>
    <w:rsid w:val="23D4764B"/>
    <w:rsid w:val="23DD1892"/>
    <w:rsid w:val="23E47E62"/>
    <w:rsid w:val="23EF03E9"/>
    <w:rsid w:val="23F653F5"/>
    <w:rsid w:val="23FB6C29"/>
    <w:rsid w:val="2406098A"/>
    <w:rsid w:val="241237D2"/>
    <w:rsid w:val="241657DF"/>
    <w:rsid w:val="24170DE9"/>
    <w:rsid w:val="241A2687"/>
    <w:rsid w:val="242157C3"/>
    <w:rsid w:val="2432352D"/>
    <w:rsid w:val="244B45EE"/>
    <w:rsid w:val="24521E21"/>
    <w:rsid w:val="246758CC"/>
    <w:rsid w:val="24681644"/>
    <w:rsid w:val="246D27B7"/>
    <w:rsid w:val="24727DCD"/>
    <w:rsid w:val="24793CA3"/>
    <w:rsid w:val="24975A86"/>
    <w:rsid w:val="24AF4B7D"/>
    <w:rsid w:val="24B108F5"/>
    <w:rsid w:val="250A44A9"/>
    <w:rsid w:val="251A293E"/>
    <w:rsid w:val="251D5F8B"/>
    <w:rsid w:val="252A2082"/>
    <w:rsid w:val="253A3071"/>
    <w:rsid w:val="253B2D06"/>
    <w:rsid w:val="25486290"/>
    <w:rsid w:val="256526B9"/>
    <w:rsid w:val="25673A32"/>
    <w:rsid w:val="256A6699"/>
    <w:rsid w:val="256E4A38"/>
    <w:rsid w:val="25836BCB"/>
    <w:rsid w:val="258B3006"/>
    <w:rsid w:val="25A77F4A"/>
    <w:rsid w:val="25A83A04"/>
    <w:rsid w:val="25A91F14"/>
    <w:rsid w:val="25AD2AD1"/>
    <w:rsid w:val="25BD16FC"/>
    <w:rsid w:val="25C75496"/>
    <w:rsid w:val="25DC0BEB"/>
    <w:rsid w:val="25DF1492"/>
    <w:rsid w:val="25F14416"/>
    <w:rsid w:val="2604714B"/>
    <w:rsid w:val="260B672B"/>
    <w:rsid w:val="260C2ECE"/>
    <w:rsid w:val="261320F1"/>
    <w:rsid w:val="261D1FBA"/>
    <w:rsid w:val="26571970"/>
    <w:rsid w:val="265C6233"/>
    <w:rsid w:val="2665503E"/>
    <w:rsid w:val="26702394"/>
    <w:rsid w:val="268F1252"/>
    <w:rsid w:val="26990833"/>
    <w:rsid w:val="26BE19EF"/>
    <w:rsid w:val="26C52DB4"/>
    <w:rsid w:val="26CF0106"/>
    <w:rsid w:val="26DF2B5F"/>
    <w:rsid w:val="26E14C31"/>
    <w:rsid w:val="270C4E2A"/>
    <w:rsid w:val="272D5FC2"/>
    <w:rsid w:val="272F55FD"/>
    <w:rsid w:val="2734333D"/>
    <w:rsid w:val="27343A60"/>
    <w:rsid w:val="275033C9"/>
    <w:rsid w:val="27653582"/>
    <w:rsid w:val="27664921"/>
    <w:rsid w:val="27691049"/>
    <w:rsid w:val="277828C3"/>
    <w:rsid w:val="278D504A"/>
    <w:rsid w:val="278F5987"/>
    <w:rsid w:val="27983AE5"/>
    <w:rsid w:val="27A64AED"/>
    <w:rsid w:val="27B664C8"/>
    <w:rsid w:val="27C22E19"/>
    <w:rsid w:val="27D63012"/>
    <w:rsid w:val="27DA76D2"/>
    <w:rsid w:val="27E92A9C"/>
    <w:rsid w:val="27F22EE4"/>
    <w:rsid w:val="27FB4758"/>
    <w:rsid w:val="27FD02F5"/>
    <w:rsid w:val="27FE6547"/>
    <w:rsid w:val="280A391E"/>
    <w:rsid w:val="280E605F"/>
    <w:rsid w:val="28133675"/>
    <w:rsid w:val="281F202D"/>
    <w:rsid w:val="282344BC"/>
    <w:rsid w:val="28270DE3"/>
    <w:rsid w:val="28285372"/>
    <w:rsid w:val="2829733C"/>
    <w:rsid w:val="282B38D4"/>
    <w:rsid w:val="283577C7"/>
    <w:rsid w:val="283615D7"/>
    <w:rsid w:val="28364710"/>
    <w:rsid w:val="2839097F"/>
    <w:rsid w:val="2841518B"/>
    <w:rsid w:val="286D7229"/>
    <w:rsid w:val="28713464"/>
    <w:rsid w:val="28924EE2"/>
    <w:rsid w:val="289C3F8F"/>
    <w:rsid w:val="28AA1AEB"/>
    <w:rsid w:val="28AE797D"/>
    <w:rsid w:val="28B22E8E"/>
    <w:rsid w:val="28B6370C"/>
    <w:rsid w:val="28BE7A85"/>
    <w:rsid w:val="28C00D49"/>
    <w:rsid w:val="28CC38D8"/>
    <w:rsid w:val="28CD6E8D"/>
    <w:rsid w:val="28DB23E5"/>
    <w:rsid w:val="28DB76FA"/>
    <w:rsid w:val="28E5650E"/>
    <w:rsid w:val="28E97B13"/>
    <w:rsid w:val="28EE4EBB"/>
    <w:rsid w:val="28FB4835"/>
    <w:rsid w:val="29135144"/>
    <w:rsid w:val="2918723F"/>
    <w:rsid w:val="2919772F"/>
    <w:rsid w:val="292065D3"/>
    <w:rsid w:val="29252DE4"/>
    <w:rsid w:val="29283150"/>
    <w:rsid w:val="292941A9"/>
    <w:rsid w:val="292B2738"/>
    <w:rsid w:val="29317998"/>
    <w:rsid w:val="29325D7D"/>
    <w:rsid w:val="293C40A8"/>
    <w:rsid w:val="294361DC"/>
    <w:rsid w:val="294A1318"/>
    <w:rsid w:val="295403E9"/>
    <w:rsid w:val="29563C13"/>
    <w:rsid w:val="29604833"/>
    <w:rsid w:val="29682C22"/>
    <w:rsid w:val="2976210D"/>
    <w:rsid w:val="297E07B4"/>
    <w:rsid w:val="29AC5B2F"/>
    <w:rsid w:val="29AF561F"/>
    <w:rsid w:val="29B12389"/>
    <w:rsid w:val="29B844D4"/>
    <w:rsid w:val="29BD1AEA"/>
    <w:rsid w:val="29C54E43"/>
    <w:rsid w:val="29CC5195"/>
    <w:rsid w:val="29D11A3A"/>
    <w:rsid w:val="29DA269C"/>
    <w:rsid w:val="29E21551"/>
    <w:rsid w:val="29F23974"/>
    <w:rsid w:val="2A021BF3"/>
    <w:rsid w:val="2A0B6FEB"/>
    <w:rsid w:val="2A127E4F"/>
    <w:rsid w:val="2A17569E"/>
    <w:rsid w:val="2A186697"/>
    <w:rsid w:val="2A1D07DB"/>
    <w:rsid w:val="2A247DBB"/>
    <w:rsid w:val="2A297E40"/>
    <w:rsid w:val="2A3241FF"/>
    <w:rsid w:val="2A3F573C"/>
    <w:rsid w:val="2A585CB7"/>
    <w:rsid w:val="2A5E59F7"/>
    <w:rsid w:val="2A5E695C"/>
    <w:rsid w:val="2A7C09A5"/>
    <w:rsid w:val="2A7F3DC1"/>
    <w:rsid w:val="2A826D8E"/>
    <w:rsid w:val="2A834AE2"/>
    <w:rsid w:val="2A877FCC"/>
    <w:rsid w:val="2A8F792B"/>
    <w:rsid w:val="2A937C76"/>
    <w:rsid w:val="2A97233B"/>
    <w:rsid w:val="2AA131BA"/>
    <w:rsid w:val="2ABC7D1B"/>
    <w:rsid w:val="2AC91FAE"/>
    <w:rsid w:val="2ACB7241"/>
    <w:rsid w:val="2AE10FF9"/>
    <w:rsid w:val="2AFE5387"/>
    <w:rsid w:val="2B006133"/>
    <w:rsid w:val="2B131725"/>
    <w:rsid w:val="2B1823DD"/>
    <w:rsid w:val="2B242804"/>
    <w:rsid w:val="2B2D1DB0"/>
    <w:rsid w:val="2B2F598B"/>
    <w:rsid w:val="2B4C1378"/>
    <w:rsid w:val="2B563A94"/>
    <w:rsid w:val="2B581BF2"/>
    <w:rsid w:val="2B6C7C6C"/>
    <w:rsid w:val="2B6F150A"/>
    <w:rsid w:val="2B7107C0"/>
    <w:rsid w:val="2B73298C"/>
    <w:rsid w:val="2B970F1A"/>
    <w:rsid w:val="2B991507"/>
    <w:rsid w:val="2BA81AA4"/>
    <w:rsid w:val="2BAE0C52"/>
    <w:rsid w:val="2BC453B2"/>
    <w:rsid w:val="2BC466D0"/>
    <w:rsid w:val="2BC65A5F"/>
    <w:rsid w:val="2BC74EA2"/>
    <w:rsid w:val="2BCA752F"/>
    <w:rsid w:val="2BCF1785"/>
    <w:rsid w:val="2BD34AB9"/>
    <w:rsid w:val="2BD61589"/>
    <w:rsid w:val="2BDF40C3"/>
    <w:rsid w:val="2BE710A1"/>
    <w:rsid w:val="2BFC0FF0"/>
    <w:rsid w:val="2C1645D4"/>
    <w:rsid w:val="2C183950"/>
    <w:rsid w:val="2C2062F9"/>
    <w:rsid w:val="2C2F0132"/>
    <w:rsid w:val="2C300E77"/>
    <w:rsid w:val="2C3F063C"/>
    <w:rsid w:val="2C475FE3"/>
    <w:rsid w:val="2C5B7427"/>
    <w:rsid w:val="2C6646BB"/>
    <w:rsid w:val="2C8114F5"/>
    <w:rsid w:val="2C815051"/>
    <w:rsid w:val="2C827264"/>
    <w:rsid w:val="2C8608B9"/>
    <w:rsid w:val="2C8E7C5F"/>
    <w:rsid w:val="2C901738"/>
    <w:rsid w:val="2C964D85"/>
    <w:rsid w:val="2C9867D0"/>
    <w:rsid w:val="2C9C2318"/>
    <w:rsid w:val="2CB226D2"/>
    <w:rsid w:val="2CCA2CA1"/>
    <w:rsid w:val="2CDE24A4"/>
    <w:rsid w:val="2CDF446E"/>
    <w:rsid w:val="2CF0264B"/>
    <w:rsid w:val="2D067C4C"/>
    <w:rsid w:val="2D0A773C"/>
    <w:rsid w:val="2D202ABC"/>
    <w:rsid w:val="2D245D15"/>
    <w:rsid w:val="2D393B7E"/>
    <w:rsid w:val="2D410C84"/>
    <w:rsid w:val="2D443D65"/>
    <w:rsid w:val="2D4B150D"/>
    <w:rsid w:val="2D6948D4"/>
    <w:rsid w:val="2D7651BC"/>
    <w:rsid w:val="2D9A265E"/>
    <w:rsid w:val="2D9A7B7C"/>
    <w:rsid w:val="2DA23D5C"/>
    <w:rsid w:val="2DA60AE7"/>
    <w:rsid w:val="2DBE22D5"/>
    <w:rsid w:val="2DD36848"/>
    <w:rsid w:val="2DD90EBD"/>
    <w:rsid w:val="2DD9710F"/>
    <w:rsid w:val="2DDC297F"/>
    <w:rsid w:val="2DE84371"/>
    <w:rsid w:val="2DF0111A"/>
    <w:rsid w:val="2E0221C2"/>
    <w:rsid w:val="2E0835A3"/>
    <w:rsid w:val="2E0A72C8"/>
    <w:rsid w:val="2E1210A3"/>
    <w:rsid w:val="2E16100E"/>
    <w:rsid w:val="2E222864"/>
    <w:rsid w:val="2E24482E"/>
    <w:rsid w:val="2E4B40DF"/>
    <w:rsid w:val="2E9023EA"/>
    <w:rsid w:val="2EAF7625"/>
    <w:rsid w:val="2EB15996"/>
    <w:rsid w:val="2EDD1D00"/>
    <w:rsid w:val="2EF675D4"/>
    <w:rsid w:val="2EF72F43"/>
    <w:rsid w:val="2F0361F1"/>
    <w:rsid w:val="2F154107"/>
    <w:rsid w:val="2F2344F2"/>
    <w:rsid w:val="2F2A7C22"/>
    <w:rsid w:val="2F3302ED"/>
    <w:rsid w:val="2F340AA1"/>
    <w:rsid w:val="2F3B2A6E"/>
    <w:rsid w:val="2F3B4111"/>
    <w:rsid w:val="2F44472E"/>
    <w:rsid w:val="2F4B7B98"/>
    <w:rsid w:val="2F665697"/>
    <w:rsid w:val="2F693637"/>
    <w:rsid w:val="2F695D79"/>
    <w:rsid w:val="2F6A44C2"/>
    <w:rsid w:val="2F7470EF"/>
    <w:rsid w:val="2F7B222C"/>
    <w:rsid w:val="2F7C08E8"/>
    <w:rsid w:val="2F827A5E"/>
    <w:rsid w:val="2F8310E0"/>
    <w:rsid w:val="2F8337D6"/>
    <w:rsid w:val="2F870466"/>
    <w:rsid w:val="2F873470"/>
    <w:rsid w:val="2F8A06C1"/>
    <w:rsid w:val="2F9037FD"/>
    <w:rsid w:val="2FA33530"/>
    <w:rsid w:val="2FAA21B5"/>
    <w:rsid w:val="2FAF720A"/>
    <w:rsid w:val="2FB35E69"/>
    <w:rsid w:val="2FCA419D"/>
    <w:rsid w:val="2FE27314"/>
    <w:rsid w:val="2FF3467D"/>
    <w:rsid w:val="2FF87D20"/>
    <w:rsid w:val="300F5E62"/>
    <w:rsid w:val="30136908"/>
    <w:rsid w:val="301D32E3"/>
    <w:rsid w:val="30222DA1"/>
    <w:rsid w:val="30294F54"/>
    <w:rsid w:val="302C1F2B"/>
    <w:rsid w:val="30322561"/>
    <w:rsid w:val="3048315F"/>
    <w:rsid w:val="30766F41"/>
    <w:rsid w:val="307B71AD"/>
    <w:rsid w:val="309A02D0"/>
    <w:rsid w:val="30D1167A"/>
    <w:rsid w:val="30D8545C"/>
    <w:rsid w:val="30DD0CC4"/>
    <w:rsid w:val="30DF6E30"/>
    <w:rsid w:val="30F57F8D"/>
    <w:rsid w:val="30F84D06"/>
    <w:rsid w:val="31091AB9"/>
    <w:rsid w:val="31122E9F"/>
    <w:rsid w:val="3118459C"/>
    <w:rsid w:val="31212A1B"/>
    <w:rsid w:val="31222D44"/>
    <w:rsid w:val="312C3A26"/>
    <w:rsid w:val="312D1C4B"/>
    <w:rsid w:val="312F2DB7"/>
    <w:rsid w:val="313E5C07"/>
    <w:rsid w:val="314800FD"/>
    <w:rsid w:val="3148438F"/>
    <w:rsid w:val="31772EC7"/>
    <w:rsid w:val="31833E48"/>
    <w:rsid w:val="3184468C"/>
    <w:rsid w:val="3195334D"/>
    <w:rsid w:val="31986393"/>
    <w:rsid w:val="319B6CE9"/>
    <w:rsid w:val="31A30FDD"/>
    <w:rsid w:val="31A32D59"/>
    <w:rsid w:val="31B77767"/>
    <w:rsid w:val="31BA26C7"/>
    <w:rsid w:val="31D559E8"/>
    <w:rsid w:val="31DB5C53"/>
    <w:rsid w:val="31DE3D3B"/>
    <w:rsid w:val="31E252FF"/>
    <w:rsid w:val="31E94780"/>
    <w:rsid w:val="31F938DC"/>
    <w:rsid w:val="31FC29EE"/>
    <w:rsid w:val="31FE63E8"/>
    <w:rsid w:val="32290665"/>
    <w:rsid w:val="32293017"/>
    <w:rsid w:val="322A618B"/>
    <w:rsid w:val="32373C57"/>
    <w:rsid w:val="324D2A70"/>
    <w:rsid w:val="324D6B27"/>
    <w:rsid w:val="325004A7"/>
    <w:rsid w:val="325B00F2"/>
    <w:rsid w:val="3264169D"/>
    <w:rsid w:val="329D0263"/>
    <w:rsid w:val="329D3726"/>
    <w:rsid w:val="32B141B6"/>
    <w:rsid w:val="32B41199"/>
    <w:rsid w:val="32CC2D9E"/>
    <w:rsid w:val="32D22864"/>
    <w:rsid w:val="32DD144F"/>
    <w:rsid w:val="32F517B5"/>
    <w:rsid w:val="33182487"/>
    <w:rsid w:val="331A7FAD"/>
    <w:rsid w:val="33254BC2"/>
    <w:rsid w:val="332A0C75"/>
    <w:rsid w:val="33363F25"/>
    <w:rsid w:val="334943EF"/>
    <w:rsid w:val="334D2131"/>
    <w:rsid w:val="33547B5C"/>
    <w:rsid w:val="33557238"/>
    <w:rsid w:val="337B0E24"/>
    <w:rsid w:val="337B5D92"/>
    <w:rsid w:val="33951EAC"/>
    <w:rsid w:val="33AB6C9E"/>
    <w:rsid w:val="33F0102A"/>
    <w:rsid w:val="33FF1CD4"/>
    <w:rsid w:val="33FF5788"/>
    <w:rsid w:val="3409300E"/>
    <w:rsid w:val="341224B9"/>
    <w:rsid w:val="34242A8F"/>
    <w:rsid w:val="34271D75"/>
    <w:rsid w:val="34390907"/>
    <w:rsid w:val="344F1A8C"/>
    <w:rsid w:val="34541E89"/>
    <w:rsid w:val="3473547C"/>
    <w:rsid w:val="349D0E96"/>
    <w:rsid w:val="34B344EA"/>
    <w:rsid w:val="34C1068D"/>
    <w:rsid w:val="34C40804"/>
    <w:rsid w:val="34C55210"/>
    <w:rsid w:val="34C74D5B"/>
    <w:rsid w:val="34E00D83"/>
    <w:rsid w:val="34EE34A0"/>
    <w:rsid w:val="350E718F"/>
    <w:rsid w:val="350E769E"/>
    <w:rsid w:val="3510276D"/>
    <w:rsid w:val="351054A1"/>
    <w:rsid w:val="351B1F37"/>
    <w:rsid w:val="3521599A"/>
    <w:rsid w:val="35374E47"/>
    <w:rsid w:val="354457B6"/>
    <w:rsid w:val="35600731"/>
    <w:rsid w:val="35704BDF"/>
    <w:rsid w:val="3570623F"/>
    <w:rsid w:val="35717C54"/>
    <w:rsid w:val="3576787D"/>
    <w:rsid w:val="35954D78"/>
    <w:rsid w:val="35A970C6"/>
    <w:rsid w:val="35CA6795"/>
    <w:rsid w:val="35CB23D2"/>
    <w:rsid w:val="35CF5C4B"/>
    <w:rsid w:val="35DC154A"/>
    <w:rsid w:val="360016DD"/>
    <w:rsid w:val="36162CAE"/>
    <w:rsid w:val="36213401"/>
    <w:rsid w:val="36261EED"/>
    <w:rsid w:val="36280C33"/>
    <w:rsid w:val="362D2681"/>
    <w:rsid w:val="36405F7D"/>
    <w:rsid w:val="36445017"/>
    <w:rsid w:val="3657276C"/>
    <w:rsid w:val="365F68EE"/>
    <w:rsid w:val="366C5FE9"/>
    <w:rsid w:val="366E5D17"/>
    <w:rsid w:val="367C093A"/>
    <w:rsid w:val="367E57CF"/>
    <w:rsid w:val="36851858"/>
    <w:rsid w:val="368E7538"/>
    <w:rsid w:val="36915A76"/>
    <w:rsid w:val="36987B67"/>
    <w:rsid w:val="369A2841"/>
    <w:rsid w:val="36A253EA"/>
    <w:rsid w:val="36A858D0"/>
    <w:rsid w:val="36B53E4C"/>
    <w:rsid w:val="36BC2EED"/>
    <w:rsid w:val="36D641EB"/>
    <w:rsid w:val="36EC1C61"/>
    <w:rsid w:val="371116C7"/>
    <w:rsid w:val="37145C07"/>
    <w:rsid w:val="371C0798"/>
    <w:rsid w:val="37233DAF"/>
    <w:rsid w:val="373553B6"/>
    <w:rsid w:val="37472865"/>
    <w:rsid w:val="374843B9"/>
    <w:rsid w:val="374B4BD9"/>
    <w:rsid w:val="374C1467"/>
    <w:rsid w:val="376823DC"/>
    <w:rsid w:val="37762779"/>
    <w:rsid w:val="377A7C1D"/>
    <w:rsid w:val="37887BDC"/>
    <w:rsid w:val="379709E7"/>
    <w:rsid w:val="37991DE9"/>
    <w:rsid w:val="37C07E87"/>
    <w:rsid w:val="37C2566E"/>
    <w:rsid w:val="37C8447C"/>
    <w:rsid w:val="37CF1A6D"/>
    <w:rsid w:val="37D526F5"/>
    <w:rsid w:val="37D7646D"/>
    <w:rsid w:val="37E40B8A"/>
    <w:rsid w:val="37F04DC2"/>
    <w:rsid w:val="37F62BDE"/>
    <w:rsid w:val="37F92887"/>
    <w:rsid w:val="380A4DAB"/>
    <w:rsid w:val="380C3035"/>
    <w:rsid w:val="38114E94"/>
    <w:rsid w:val="382D42DF"/>
    <w:rsid w:val="3837515E"/>
    <w:rsid w:val="38463AAA"/>
    <w:rsid w:val="38494CA3"/>
    <w:rsid w:val="386717C0"/>
    <w:rsid w:val="38690F57"/>
    <w:rsid w:val="38746D19"/>
    <w:rsid w:val="388B2899"/>
    <w:rsid w:val="389152DA"/>
    <w:rsid w:val="389403F9"/>
    <w:rsid w:val="38966328"/>
    <w:rsid w:val="38A327F3"/>
    <w:rsid w:val="38B3298A"/>
    <w:rsid w:val="38B47F2C"/>
    <w:rsid w:val="38BE32BC"/>
    <w:rsid w:val="38C02582"/>
    <w:rsid w:val="38FA62FB"/>
    <w:rsid w:val="39096AFA"/>
    <w:rsid w:val="39161217"/>
    <w:rsid w:val="391857B7"/>
    <w:rsid w:val="39194863"/>
    <w:rsid w:val="391F631E"/>
    <w:rsid w:val="392B2595"/>
    <w:rsid w:val="39317DFF"/>
    <w:rsid w:val="393514CA"/>
    <w:rsid w:val="39395091"/>
    <w:rsid w:val="393F076E"/>
    <w:rsid w:val="39462149"/>
    <w:rsid w:val="3951224F"/>
    <w:rsid w:val="39662D11"/>
    <w:rsid w:val="39706B79"/>
    <w:rsid w:val="39796511"/>
    <w:rsid w:val="397D3044"/>
    <w:rsid w:val="397E2D4B"/>
    <w:rsid w:val="39840DAD"/>
    <w:rsid w:val="398443D3"/>
    <w:rsid w:val="39861323"/>
    <w:rsid w:val="39A149BD"/>
    <w:rsid w:val="39A60455"/>
    <w:rsid w:val="39AB4C98"/>
    <w:rsid w:val="39C944DB"/>
    <w:rsid w:val="39D966E3"/>
    <w:rsid w:val="39DA1EC6"/>
    <w:rsid w:val="39E56B12"/>
    <w:rsid w:val="39EA078E"/>
    <w:rsid w:val="3A0472C2"/>
    <w:rsid w:val="3A0B4AF4"/>
    <w:rsid w:val="3A0C0CA1"/>
    <w:rsid w:val="3A103EB8"/>
    <w:rsid w:val="3A437DEA"/>
    <w:rsid w:val="3A4418D2"/>
    <w:rsid w:val="3A567D51"/>
    <w:rsid w:val="3A624E5F"/>
    <w:rsid w:val="3A683CF4"/>
    <w:rsid w:val="3A742A04"/>
    <w:rsid w:val="3A7A7584"/>
    <w:rsid w:val="3A8469CC"/>
    <w:rsid w:val="3A8D2D9B"/>
    <w:rsid w:val="3A984265"/>
    <w:rsid w:val="3A9A30C2"/>
    <w:rsid w:val="3AAF547F"/>
    <w:rsid w:val="3ABD440F"/>
    <w:rsid w:val="3AC0172B"/>
    <w:rsid w:val="3AC67BF2"/>
    <w:rsid w:val="3AC971CA"/>
    <w:rsid w:val="3ACB55AB"/>
    <w:rsid w:val="3ACD3E6A"/>
    <w:rsid w:val="3AD31B3E"/>
    <w:rsid w:val="3AE534FD"/>
    <w:rsid w:val="3AF74C0E"/>
    <w:rsid w:val="3B0E5C90"/>
    <w:rsid w:val="3B1F19FE"/>
    <w:rsid w:val="3B225C51"/>
    <w:rsid w:val="3B227684"/>
    <w:rsid w:val="3B2700CE"/>
    <w:rsid w:val="3B3C0FE1"/>
    <w:rsid w:val="3B3C692C"/>
    <w:rsid w:val="3B547413"/>
    <w:rsid w:val="3B5712BF"/>
    <w:rsid w:val="3B583D69"/>
    <w:rsid w:val="3B5C0F70"/>
    <w:rsid w:val="3B614F44"/>
    <w:rsid w:val="3B66172C"/>
    <w:rsid w:val="3B7641EF"/>
    <w:rsid w:val="3B7A49D5"/>
    <w:rsid w:val="3B9303B2"/>
    <w:rsid w:val="3BA62931"/>
    <w:rsid w:val="3BB6283D"/>
    <w:rsid w:val="3BC35686"/>
    <w:rsid w:val="3BD83B26"/>
    <w:rsid w:val="3BDA29D0"/>
    <w:rsid w:val="3BEC15C1"/>
    <w:rsid w:val="3BF371E9"/>
    <w:rsid w:val="3BF84C04"/>
    <w:rsid w:val="3C0B77D3"/>
    <w:rsid w:val="3C0C2194"/>
    <w:rsid w:val="3C1B290E"/>
    <w:rsid w:val="3C3B1EDD"/>
    <w:rsid w:val="3C4E187E"/>
    <w:rsid w:val="3C6E7204"/>
    <w:rsid w:val="3C746980"/>
    <w:rsid w:val="3C771FCD"/>
    <w:rsid w:val="3C7B738B"/>
    <w:rsid w:val="3C9C6DCA"/>
    <w:rsid w:val="3CA56B3A"/>
    <w:rsid w:val="3CAC611A"/>
    <w:rsid w:val="3CB26DAC"/>
    <w:rsid w:val="3CB5751C"/>
    <w:rsid w:val="3CE13D51"/>
    <w:rsid w:val="3CEF5B30"/>
    <w:rsid w:val="3CF44EFF"/>
    <w:rsid w:val="3CF56C8F"/>
    <w:rsid w:val="3D09356D"/>
    <w:rsid w:val="3D0957A2"/>
    <w:rsid w:val="3D0A4BEF"/>
    <w:rsid w:val="3D13159E"/>
    <w:rsid w:val="3D25234D"/>
    <w:rsid w:val="3D3A7C13"/>
    <w:rsid w:val="3D483969"/>
    <w:rsid w:val="3D49690A"/>
    <w:rsid w:val="3D5440BC"/>
    <w:rsid w:val="3D5D10B8"/>
    <w:rsid w:val="3D8C1EDC"/>
    <w:rsid w:val="3D8F005F"/>
    <w:rsid w:val="3D930227"/>
    <w:rsid w:val="3D9B3D4D"/>
    <w:rsid w:val="3DA44E6A"/>
    <w:rsid w:val="3DB35286"/>
    <w:rsid w:val="3DBF59D9"/>
    <w:rsid w:val="3DC61838"/>
    <w:rsid w:val="3DC72AE0"/>
    <w:rsid w:val="3DEB0EC4"/>
    <w:rsid w:val="3DF15DAF"/>
    <w:rsid w:val="3DF204B8"/>
    <w:rsid w:val="3DF32C30"/>
    <w:rsid w:val="3DF7277A"/>
    <w:rsid w:val="3E06185A"/>
    <w:rsid w:val="3E146B78"/>
    <w:rsid w:val="3E190929"/>
    <w:rsid w:val="3E216694"/>
    <w:rsid w:val="3E345388"/>
    <w:rsid w:val="3E35780E"/>
    <w:rsid w:val="3E37218B"/>
    <w:rsid w:val="3E42660A"/>
    <w:rsid w:val="3E4405D4"/>
    <w:rsid w:val="3E5B7667"/>
    <w:rsid w:val="3E6A1044"/>
    <w:rsid w:val="3E774506"/>
    <w:rsid w:val="3E895EBA"/>
    <w:rsid w:val="3E8D766A"/>
    <w:rsid w:val="3E946E66"/>
    <w:rsid w:val="3EC2385E"/>
    <w:rsid w:val="3EC7548D"/>
    <w:rsid w:val="3ED31742"/>
    <w:rsid w:val="3ED86ACD"/>
    <w:rsid w:val="3EF8279E"/>
    <w:rsid w:val="3F0E7101"/>
    <w:rsid w:val="3F1D716E"/>
    <w:rsid w:val="3F1E0E25"/>
    <w:rsid w:val="3F23643C"/>
    <w:rsid w:val="3F2859A4"/>
    <w:rsid w:val="3F2C6141"/>
    <w:rsid w:val="3F2F4154"/>
    <w:rsid w:val="3F34691C"/>
    <w:rsid w:val="3F3C12AC"/>
    <w:rsid w:val="3F473ED8"/>
    <w:rsid w:val="3F5723AF"/>
    <w:rsid w:val="3F5939DA"/>
    <w:rsid w:val="3F5B3839"/>
    <w:rsid w:val="3F6468E4"/>
    <w:rsid w:val="3F656A54"/>
    <w:rsid w:val="3F67254E"/>
    <w:rsid w:val="3F714201"/>
    <w:rsid w:val="3F8B5023"/>
    <w:rsid w:val="3F8E15BB"/>
    <w:rsid w:val="3F97770F"/>
    <w:rsid w:val="3F984734"/>
    <w:rsid w:val="3FAC01DF"/>
    <w:rsid w:val="3FB6105E"/>
    <w:rsid w:val="3FBD3436"/>
    <w:rsid w:val="3FC308C1"/>
    <w:rsid w:val="3FC512A1"/>
    <w:rsid w:val="3FC868BF"/>
    <w:rsid w:val="3FEF353E"/>
    <w:rsid w:val="3FFC14FA"/>
    <w:rsid w:val="3FFD2EB8"/>
    <w:rsid w:val="3FFD6C8D"/>
    <w:rsid w:val="40037509"/>
    <w:rsid w:val="400C490C"/>
    <w:rsid w:val="400E0E9A"/>
    <w:rsid w:val="40161AFD"/>
    <w:rsid w:val="402214C1"/>
    <w:rsid w:val="40267CD1"/>
    <w:rsid w:val="402B55A8"/>
    <w:rsid w:val="403A38E1"/>
    <w:rsid w:val="403F39C6"/>
    <w:rsid w:val="4053351A"/>
    <w:rsid w:val="405D772B"/>
    <w:rsid w:val="40630701"/>
    <w:rsid w:val="406311E6"/>
    <w:rsid w:val="40646D0C"/>
    <w:rsid w:val="406823FB"/>
    <w:rsid w:val="40694322"/>
    <w:rsid w:val="406E0FC1"/>
    <w:rsid w:val="40884808"/>
    <w:rsid w:val="408E2A59"/>
    <w:rsid w:val="4090365D"/>
    <w:rsid w:val="409619DD"/>
    <w:rsid w:val="40A22FB2"/>
    <w:rsid w:val="40A315E2"/>
    <w:rsid w:val="40A610D2"/>
    <w:rsid w:val="40AE7F87"/>
    <w:rsid w:val="40BA0DD8"/>
    <w:rsid w:val="40BE01CA"/>
    <w:rsid w:val="40C677C3"/>
    <w:rsid w:val="40D57808"/>
    <w:rsid w:val="40D95004"/>
    <w:rsid w:val="40DB1BDE"/>
    <w:rsid w:val="40DB4E75"/>
    <w:rsid w:val="40DC4AF4"/>
    <w:rsid w:val="40E1210B"/>
    <w:rsid w:val="40E433ED"/>
    <w:rsid w:val="40E71C57"/>
    <w:rsid w:val="40EC5513"/>
    <w:rsid w:val="40F0413C"/>
    <w:rsid w:val="40F73408"/>
    <w:rsid w:val="40FA0730"/>
    <w:rsid w:val="410C5A22"/>
    <w:rsid w:val="414620EB"/>
    <w:rsid w:val="41546D80"/>
    <w:rsid w:val="4160550E"/>
    <w:rsid w:val="41631342"/>
    <w:rsid w:val="41736E86"/>
    <w:rsid w:val="417D0085"/>
    <w:rsid w:val="4180606E"/>
    <w:rsid w:val="41813682"/>
    <w:rsid w:val="4182569C"/>
    <w:rsid w:val="41923405"/>
    <w:rsid w:val="41967399"/>
    <w:rsid w:val="419D24D5"/>
    <w:rsid w:val="41A33F03"/>
    <w:rsid w:val="41A4169D"/>
    <w:rsid w:val="41A701CB"/>
    <w:rsid w:val="41AF2209"/>
    <w:rsid w:val="41B810BD"/>
    <w:rsid w:val="41B94E35"/>
    <w:rsid w:val="41DA54D8"/>
    <w:rsid w:val="41F96066"/>
    <w:rsid w:val="41FB5367"/>
    <w:rsid w:val="421732DE"/>
    <w:rsid w:val="42187DAE"/>
    <w:rsid w:val="42202600"/>
    <w:rsid w:val="422B7713"/>
    <w:rsid w:val="423050F8"/>
    <w:rsid w:val="423B7D17"/>
    <w:rsid w:val="425132C0"/>
    <w:rsid w:val="42537038"/>
    <w:rsid w:val="42620504"/>
    <w:rsid w:val="42705EA1"/>
    <w:rsid w:val="42817701"/>
    <w:rsid w:val="42883411"/>
    <w:rsid w:val="42935686"/>
    <w:rsid w:val="4294616B"/>
    <w:rsid w:val="429E2362"/>
    <w:rsid w:val="42AD0D70"/>
    <w:rsid w:val="42BC698B"/>
    <w:rsid w:val="42C8467A"/>
    <w:rsid w:val="42F26851"/>
    <w:rsid w:val="42FE51F6"/>
    <w:rsid w:val="42FE5942"/>
    <w:rsid w:val="431C3AFC"/>
    <w:rsid w:val="4324691E"/>
    <w:rsid w:val="432A0B4E"/>
    <w:rsid w:val="432F1853"/>
    <w:rsid w:val="43430E5B"/>
    <w:rsid w:val="434F617F"/>
    <w:rsid w:val="435B2C56"/>
    <w:rsid w:val="43672D9B"/>
    <w:rsid w:val="436927FB"/>
    <w:rsid w:val="4376242B"/>
    <w:rsid w:val="438374A9"/>
    <w:rsid w:val="43952CEB"/>
    <w:rsid w:val="43A042FD"/>
    <w:rsid w:val="43AD0EE4"/>
    <w:rsid w:val="43C53F65"/>
    <w:rsid w:val="43D62240"/>
    <w:rsid w:val="43E207E3"/>
    <w:rsid w:val="44026D0F"/>
    <w:rsid w:val="440A0487"/>
    <w:rsid w:val="440F5070"/>
    <w:rsid w:val="4416656F"/>
    <w:rsid w:val="44380293"/>
    <w:rsid w:val="443B7D84"/>
    <w:rsid w:val="445764CD"/>
    <w:rsid w:val="44753296"/>
    <w:rsid w:val="44891B58"/>
    <w:rsid w:val="4492209A"/>
    <w:rsid w:val="449E2D2B"/>
    <w:rsid w:val="44A2219F"/>
    <w:rsid w:val="44D206E8"/>
    <w:rsid w:val="44D37456"/>
    <w:rsid w:val="44E65086"/>
    <w:rsid w:val="44EB79FC"/>
    <w:rsid w:val="44EC107E"/>
    <w:rsid w:val="45072E4E"/>
    <w:rsid w:val="450A6FE0"/>
    <w:rsid w:val="451B08D2"/>
    <w:rsid w:val="454D612E"/>
    <w:rsid w:val="45561F04"/>
    <w:rsid w:val="455756E1"/>
    <w:rsid w:val="455D70B3"/>
    <w:rsid w:val="45603F46"/>
    <w:rsid w:val="45682DFA"/>
    <w:rsid w:val="4574354D"/>
    <w:rsid w:val="45846E66"/>
    <w:rsid w:val="4585533A"/>
    <w:rsid w:val="45865037"/>
    <w:rsid w:val="458E3B2C"/>
    <w:rsid w:val="4597723C"/>
    <w:rsid w:val="459B6204"/>
    <w:rsid w:val="45A10691"/>
    <w:rsid w:val="45BA1A93"/>
    <w:rsid w:val="45C92D40"/>
    <w:rsid w:val="45C96AF7"/>
    <w:rsid w:val="45D14C98"/>
    <w:rsid w:val="45D3296A"/>
    <w:rsid w:val="45DE4E6B"/>
    <w:rsid w:val="45E21865"/>
    <w:rsid w:val="45F166E4"/>
    <w:rsid w:val="45FC3543"/>
    <w:rsid w:val="45FE5CE7"/>
    <w:rsid w:val="46033909"/>
    <w:rsid w:val="460743C1"/>
    <w:rsid w:val="4628502F"/>
    <w:rsid w:val="46364CA7"/>
    <w:rsid w:val="464956DC"/>
    <w:rsid w:val="4651447D"/>
    <w:rsid w:val="46607A8C"/>
    <w:rsid w:val="466B0DF4"/>
    <w:rsid w:val="466B65F6"/>
    <w:rsid w:val="466C06C8"/>
    <w:rsid w:val="466E2692"/>
    <w:rsid w:val="466E2B07"/>
    <w:rsid w:val="466F387B"/>
    <w:rsid w:val="467557CF"/>
    <w:rsid w:val="468226C4"/>
    <w:rsid w:val="46897837"/>
    <w:rsid w:val="46911EDD"/>
    <w:rsid w:val="46927926"/>
    <w:rsid w:val="46AE09CF"/>
    <w:rsid w:val="46C76EEF"/>
    <w:rsid w:val="46F0774A"/>
    <w:rsid w:val="46F96400"/>
    <w:rsid w:val="47017063"/>
    <w:rsid w:val="470D3C59"/>
    <w:rsid w:val="470F656B"/>
    <w:rsid w:val="471A45C8"/>
    <w:rsid w:val="471E7C15"/>
    <w:rsid w:val="47242D51"/>
    <w:rsid w:val="472D60AA"/>
    <w:rsid w:val="4740402F"/>
    <w:rsid w:val="4742605A"/>
    <w:rsid w:val="474653BD"/>
    <w:rsid w:val="47600C8F"/>
    <w:rsid w:val="47744906"/>
    <w:rsid w:val="477D357F"/>
    <w:rsid w:val="478C612E"/>
    <w:rsid w:val="4794458F"/>
    <w:rsid w:val="47945345"/>
    <w:rsid w:val="47A12554"/>
    <w:rsid w:val="47B34FB2"/>
    <w:rsid w:val="47D01130"/>
    <w:rsid w:val="47D41223"/>
    <w:rsid w:val="47DB5B06"/>
    <w:rsid w:val="47DD7AD0"/>
    <w:rsid w:val="47FE35A2"/>
    <w:rsid w:val="48220BA1"/>
    <w:rsid w:val="482E2C2F"/>
    <w:rsid w:val="48437007"/>
    <w:rsid w:val="484C07B1"/>
    <w:rsid w:val="485633DE"/>
    <w:rsid w:val="48580F04"/>
    <w:rsid w:val="485972CA"/>
    <w:rsid w:val="485E2293"/>
    <w:rsid w:val="48614602"/>
    <w:rsid w:val="487C0C79"/>
    <w:rsid w:val="487C41DD"/>
    <w:rsid w:val="487E515A"/>
    <w:rsid w:val="48A04659"/>
    <w:rsid w:val="48A87B25"/>
    <w:rsid w:val="48A95F79"/>
    <w:rsid w:val="48AF2633"/>
    <w:rsid w:val="48AF47E5"/>
    <w:rsid w:val="48B06F92"/>
    <w:rsid w:val="48B12D0A"/>
    <w:rsid w:val="48B16866"/>
    <w:rsid w:val="48B620CF"/>
    <w:rsid w:val="48C06AA9"/>
    <w:rsid w:val="48C6782A"/>
    <w:rsid w:val="48D6451F"/>
    <w:rsid w:val="48E21116"/>
    <w:rsid w:val="48EE7ABB"/>
    <w:rsid w:val="48FA1FBB"/>
    <w:rsid w:val="49000490"/>
    <w:rsid w:val="491535A2"/>
    <w:rsid w:val="49200E53"/>
    <w:rsid w:val="492D05E3"/>
    <w:rsid w:val="49341D31"/>
    <w:rsid w:val="49401E37"/>
    <w:rsid w:val="49402B84"/>
    <w:rsid w:val="494F4B15"/>
    <w:rsid w:val="496658A3"/>
    <w:rsid w:val="496B1171"/>
    <w:rsid w:val="496B398E"/>
    <w:rsid w:val="496D6C31"/>
    <w:rsid w:val="498F27C7"/>
    <w:rsid w:val="499C12C5"/>
    <w:rsid w:val="49A14B2D"/>
    <w:rsid w:val="49A9277C"/>
    <w:rsid w:val="49B03EC5"/>
    <w:rsid w:val="49B27653"/>
    <w:rsid w:val="49B44860"/>
    <w:rsid w:val="49BC0BE9"/>
    <w:rsid w:val="49C11249"/>
    <w:rsid w:val="49C6062F"/>
    <w:rsid w:val="49EB2377"/>
    <w:rsid w:val="4A0F7CE8"/>
    <w:rsid w:val="4A242046"/>
    <w:rsid w:val="4A2D63C1"/>
    <w:rsid w:val="4A314103"/>
    <w:rsid w:val="4A373EE8"/>
    <w:rsid w:val="4A431740"/>
    <w:rsid w:val="4A527BD5"/>
    <w:rsid w:val="4A71301D"/>
    <w:rsid w:val="4A795D9B"/>
    <w:rsid w:val="4AA91EEB"/>
    <w:rsid w:val="4AAC3789"/>
    <w:rsid w:val="4ABE5084"/>
    <w:rsid w:val="4AC46A3A"/>
    <w:rsid w:val="4ACB00B3"/>
    <w:rsid w:val="4ACF7478"/>
    <w:rsid w:val="4AD2268E"/>
    <w:rsid w:val="4ADA1931"/>
    <w:rsid w:val="4AE14882"/>
    <w:rsid w:val="4AE65A17"/>
    <w:rsid w:val="4AE7101B"/>
    <w:rsid w:val="4AEE3DA2"/>
    <w:rsid w:val="4AFA44F5"/>
    <w:rsid w:val="4B010AD9"/>
    <w:rsid w:val="4B08477A"/>
    <w:rsid w:val="4B221C9D"/>
    <w:rsid w:val="4B250B93"/>
    <w:rsid w:val="4B3A0D95"/>
    <w:rsid w:val="4B444E56"/>
    <w:rsid w:val="4B4A4683"/>
    <w:rsid w:val="4B4C2876"/>
    <w:rsid w:val="4B4E2482"/>
    <w:rsid w:val="4B515E20"/>
    <w:rsid w:val="4B52157A"/>
    <w:rsid w:val="4B590E0B"/>
    <w:rsid w:val="4B5A31E5"/>
    <w:rsid w:val="4B66503F"/>
    <w:rsid w:val="4B746803"/>
    <w:rsid w:val="4B7F2C4C"/>
    <w:rsid w:val="4B8A27DF"/>
    <w:rsid w:val="4B8D5369"/>
    <w:rsid w:val="4B9304A5"/>
    <w:rsid w:val="4BA17066"/>
    <w:rsid w:val="4BA821A3"/>
    <w:rsid w:val="4BAB57EF"/>
    <w:rsid w:val="4BB03A33"/>
    <w:rsid w:val="4BB265FE"/>
    <w:rsid w:val="4BB95CD8"/>
    <w:rsid w:val="4BC20548"/>
    <w:rsid w:val="4BCB1E13"/>
    <w:rsid w:val="4BCB7C3F"/>
    <w:rsid w:val="4BD36B4F"/>
    <w:rsid w:val="4BDF3FCE"/>
    <w:rsid w:val="4BE40D01"/>
    <w:rsid w:val="4BF26CD6"/>
    <w:rsid w:val="4C043151"/>
    <w:rsid w:val="4C0851C2"/>
    <w:rsid w:val="4C121900"/>
    <w:rsid w:val="4C157E96"/>
    <w:rsid w:val="4C1A4723"/>
    <w:rsid w:val="4C2800DD"/>
    <w:rsid w:val="4C284712"/>
    <w:rsid w:val="4C390E6C"/>
    <w:rsid w:val="4C3E2B07"/>
    <w:rsid w:val="4C474817"/>
    <w:rsid w:val="4C4D68A6"/>
    <w:rsid w:val="4C606455"/>
    <w:rsid w:val="4C6A6F48"/>
    <w:rsid w:val="4C6F7406"/>
    <w:rsid w:val="4C9B383F"/>
    <w:rsid w:val="4C9E5354"/>
    <w:rsid w:val="4CA67C81"/>
    <w:rsid w:val="4CB905D8"/>
    <w:rsid w:val="4CBF59F6"/>
    <w:rsid w:val="4CD564D9"/>
    <w:rsid w:val="4CE27936"/>
    <w:rsid w:val="4CF3744D"/>
    <w:rsid w:val="4D051F77"/>
    <w:rsid w:val="4D0E072B"/>
    <w:rsid w:val="4D14761E"/>
    <w:rsid w:val="4D16138E"/>
    <w:rsid w:val="4D183D6B"/>
    <w:rsid w:val="4D1B69A4"/>
    <w:rsid w:val="4D221AE1"/>
    <w:rsid w:val="4D284B44"/>
    <w:rsid w:val="4D41465D"/>
    <w:rsid w:val="4D4408FE"/>
    <w:rsid w:val="4D481B58"/>
    <w:rsid w:val="4D4C3504"/>
    <w:rsid w:val="4D4C612C"/>
    <w:rsid w:val="4D4E6D7A"/>
    <w:rsid w:val="4D513BC0"/>
    <w:rsid w:val="4D5223B0"/>
    <w:rsid w:val="4D571ED4"/>
    <w:rsid w:val="4D5A571F"/>
    <w:rsid w:val="4D5B1537"/>
    <w:rsid w:val="4D634C12"/>
    <w:rsid w:val="4D6473B4"/>
    <w:rsid w:val="4D872DFC"/>
    <w:rsid w:val="4D891B60"/>
    <w:rsid w:val="4DA76D62"/>
    <w:rsid w:val="4DBD6FC4"/>
    <w:rsid w:val="4DC67E79"/>
    <w:rsid w:val="4DE21CE7"/>
    <w:rsid w:val="4DE35714"/>
    <w:rsid w:val="4DF55447"/>
    <w:rsid w:val="4DFA0CB0"/>
    <w:rsid w:val="4DFF0074"/>
    <w:rsid w:val="4DFF16E4"/>
    <w:rsid w:val="4E02231B"/>
    <w:rsid w:val="4E1C2444"/>
    <w:rsid w:val="4E1C4B0D"/>
    <w:rsid w:val="4E265601"/>
    <w:rsid w:val="4E3B5550"/>
    <w:rsid w:val="4E3C024B"/>
    <w:rsid w:val="4E550260"/>
    <w:rsid w:val="4E7A455F"/>
    <w:rsid w:val="4E7F1C90"/>
    <w:rsid w:val="4E807407"/>
    <w:rsid w:val="4E85443D"/>
    <w:rsid w:val="4E8B0864"/>
    <w:rsid w:val="4E8E7791"/>
    <w:rsid w:val="4E965DAC"/>
    <w:rsid w:val="4EAC3D58"/>
    <w:rsid w:val="4EB3158A"/>
    <w:rsid w:val="4EB8358F"/>
    <w:rsid w:val="4EBB21ED"/>
    <w:rsid w:val="4EC5306C"/>
    <w:rsid w:val="4EC92B5C"/>
    <w:rsid w:val="4EE259CC"/>
    <w:rsid w:val="4EF15C0F"/>
    <w:rsid w:val="4EF94AC3"/>
    <w:rsid w:val="4F003E56"/>
    <w:rsid w:val="4F005CD8"/>
    <w:rsid w:val="4F0771E0"/>
    <w:rsid w:val="4F0A0AD1"/>
    <w:rsid w:val="4F1F277C"/>
    <w:rsid w:val="4F247D92"/>
    <w:rsid w:val="4F2B1B4F"/>
    <w:rsid w:val="4F30670E"/>
    <w:rsid w:val="4F38383D"/>
    <w:rsid w:val="4F530C39"/>
    <w:rsid w:val="4F592EC4"/>
    <w:rsid w:val="4F5A249D"/>
    <w:rsid w:val="4F6273C0"/>
    <w:rsid w:val="4F71212E"/>
    <w:rsid w:val="4F766FE6"/>
    <w:rsid w:val="4F7B4353"/>
    <w:rsid w:val="4F8151E4"/>
    <w:rsid w:val="4F8D650C"/>
    <w:rsid w:val="4FA72771"/>
    <w:rsid w:val="4FD277EE"/>
    <w:rsid w:val="4FD55B45"/>
    <w:rsid w:val="4FE47395"/>
    <w:rsid w:val="4FF57A5A"/>
    <w:rsid w:val="4FF77255"/>
    <w:rsid w:val="4FFC254D"/>
    <w:rsid w:val="500B71A4"/>
    <w:rsid w:val="504D3319"/>
    <w:rsid w:val="505C7A7D"/>
    <w:rsid w:val="50795EBC"/>
    <w:rsid w:val="508605D9"/>
    <w:rsid w:val="508A00C9"/>
    <w:rsid w:val="508A4202"/>
    <w:rsid w:val="508B5BEF"/>
    <w:rsid w:val="508E4850"/>
    <w:rsid w:val="50946DC2"/>
    <w:rsid w:val="509F0FEF"/>
    <w:rsid w:val="50A867A1"/>
    <w:rsid w:val="50B45146"/>
    <w:rsid w:val="50BD049E"/>
    <w:rsid w:val="50D41344"/>
    <w:rsid w:val="50DA3D4F"/>
    <w:rsid w:val="50DB740B"/>
    <w:rsid w:val="50E442C6"/>
    <w:rsid w:val="50E772C9"/>
    <w:rsid w:val="51000C05"/>
    <w:rsid w:val="5100567B"/>
    <w:rsid w:val="51021245"/>
    <w:rsid w:val="51053BF3"/>
    <w:rsid w:val="510A745C"/>
    <w:rsid w:val="51121E6C"/>
    <w:rsid w:val="511E6399"/>
    <w:rsid w:val="5139564B"/>
    <w:rsid w:val="5156444F"/>
    <w:rsid w:val="515E4C34"/>
    <w:rsid w:val="51600054"/>
    <w:rsid w:val="516529B9"/>
    <w:rsid w:val="5166324A"/>
    <w:rsid w:val="51735001"/>
    <w:rsid w:val="5187102F"/>
    <w:rsid w:val="51880633"/>
    <w:rsid w:val="51A46F68"/>
    <w:rsid w:val="51B03B5F"/>
    <w:rsid w:val="51B047C9"/>
    <w:rsid w:val="51BD450C"/>
    <w:rsid w:val="51BF41CB"/>
    <w:rsid w:val="51CB6BEB"/>
    <w:rsid w:val="51D1136A"/>
    <w:rsid w:val="51D6733E"/>
    <w:rsid w:val="51E97071"/>
    <w:rsid w:val="51F7568B"/>
    <w:rsid w:val="520620F4"/>
    <w:rsid w:val="521C68BA"/>
    <w:rsid w:val="52214A5D"/>
    <w:rsid w:val="52341FCD"/>
    <w:rsid w:val="52342D13"/>
    <w:rsid w:val="52352ED8"/>
    <w:rsid w:val="524349D3"/>
    <w:rsid w:val="524A7326"/>
    <w:rsid w:val="52595FA5"/>
    <w:rsid w:val="52704FF3"/>
    <w:rsid w:val="52821CBB"/>
    <w:rsid w:val="52874FA0"/>
    <w:rsid w:val="528B0128"/>
    <w:rsid w:val="52A371C8"/>
    <w:rsid w:val="52A70657"/>
    <w:rsid w:val="52B93A9A"/>
    <w:rsid w:val="52BD6EC0"/>
    <w:rsid w:val="52C512AF"/>
    <w:rsid w:val="52D11FD3"/>
    <w:rsid w:val="52D34045"/>
    <w:rsid w:val="52D4387D"/>
    <w:rsid w:val="52E02B91"/>
    <w:rsid w:val="52E2243E"/>
    <w:rsid w:val="52E8648C"/>
    <w:rsid w:val="52EB4D40"/>
    <w:rsid w:val="52F87F7C"/>
    <w:rsid w:val="52FB0B3B"/>
    <w:rsid w:val="52FE1CBE"/>
    <w:rsid w:val="530144A0"/>
    <w:rsid w:val="530879CB"/>
    <w:rsid w:val="530A7D45"/>
    <w:rsid w:val="53177C0E"/>
    <w:rsid w:val="531D66D7"/>
    <w:rsid w:val="533113DD"/>
    <w:rsid w:val="533D5FFB"/>
    <w:rsid w:val="534156B5"/>
    <w:rsid w:val="53426F62"/>
    <w:rsid w:val="53564815"/>
    <w:rsid w:val="53702921"/>
    <w:rsid w:val="537A69F6"/>
    <w:rsid w:val="53870894"/>
    <w:rsid w:val="538C54A6"/>
    <w:rsid w:val="53963BA3"/>
    <w:rsid w:val="539A4AC7"/>
    <w:rsid w:val="539B1FD4"/>
    <w:rsid w:val="53B62EAB"/>
    <w:rsid w:val="53BC2E44"/>
    <w:rsid w:val="53C20C47"/>
    <w:rsid w:val="53C813E7"/>
    <w:rsid w:val="53D63625"/>
    <w:rsid w:val="53DF3559"/>
    <w:rsid w:val="53F01F5C"/>
    <w:rsid w:val="53F046E7"/>
    <w:rsid w:val="53FE2E9C"/>
    <w:rsid w:val="54063F0A"/>
    <w:rsid w:val="540A3C5A"/>
    <w:rsid w:val="540A514B"/>
    <w:rsid w:val="540F4BCC"/>
    <w:rsid w:val="541008E5"/>
    <w:rsid w:val="541B4CF0"/>
    <w:rsid w:val="541C372E"/>
    <w:rsid w:val="5446575D"/>
    <w:rsid w:val="54703A7A"/>
    <w:rsid w:val="54770964"/>
    <w:rsid w:val="547B6BB4"/>
    <w:rsid w:val="5488491F"/>
    <w:rsid w:val="54A13C33"/>
    <w:rsid w:val="54BF2B28"/>
    <w:rsid w:val="54C17E31"/>
    <w:rsid w:val="54CB0CB0"/>
    <w:rsid w:val="54DC6BBB"/>
    <w:rsid w:val="54E104D3"/>
    <w:rsid w:val="54E522AA"/>
    <w:rsid w:val="54E67898"/>
    <w:rsid w:val="54F93C9A"/>
    <w:rsid w:val="54FA5421"/>
    <w:rsid w:val="55070AB9"/>
    <w:rsid w:val="551B4BD7"/>
    <w:rsid w:val="5536081F"/>
    <w:rsid w:val="55471075"/>
    <w:rsid w:val="554A4C13"/>
    <w:rsid w:val="55621614"/>
    <w:rsid w:val="556609BF"/>
    <w:rsid w:val="556C4241"/>
    <w:rsid w:val="55774994"/>
    <w:rsid w:val="558420CD"/>
    <w:rsid w:val="5590410B"/>
    <w:rsid w:val="55A32FF3"/>
    <w:rsid w:val="55A51501"/>
    <w:rsid w:val="55AC0FD9"/>
    <w:rsid w:val="55B8121D"/>
    <w:rsid w:val="55BA2BEB"/>
    <w:rsid w:val="55C645F4"/>
    <w:rsid w:val="55CB6554"/>
    <w:rsid w:val="55E753C6"/>
    <w:rsid w:val="55EB38DE"/>
    <w:rsid w:val="56021C1C"/>
    <w:rsid w:val="5624337B"/>
    <w:rsid w:val="56332FB1"/>
    <w:rsid w:val="564912E3"/>
    <w:rsid w:val="56570F72"/>
    <w:rsid w:val="565A22EB"/>
    <w:rsid w:val="565D5436"/>
    <w:rsid w:val="566F4FFD"/>
    <w:rsid w:val="567072A0"/>
    <w:rsid w:val="56B04601"/>
    <w:rsid w:val="56C63E25"/>
    <w:rsid w:val="56C94545"/>
    <w:rsid w:val="56E04EE6"/>
    <w:rsid w:val="56E468F0"/>
    <w:rsid w:val="56E73803"/>
    <w:rsid w:val="56EE4B2E"/>
    <w:rsid w:val="56FB5651"/>
    <w:rsid w:val="570010E5"/>
    <w:rsid w:val="57034731"/>
    <w:rsid w:val="571606EC"/>
    <w:rsid w:val="57260F4D"/>
    <w:rsid w:val="57371D02"/>
    <w:rsid w:val="573B0EE9"/>
    <w:rsid w:val="576553EC"/>
    <w:rsid w:val="57696CED"/>
    <w:rsid w:val="57715B3F"/>
    <w:rsid w:val="577216B2"/>
    <w:rsid w:val="57842107"/>
    <w:rsid w:val="578B4632"/>
    <w:rsid w:val="57944C87"/>
    <w:rsid w:val="57954BB7"/>
    <w:rsid w:val="57AA2DFF"/>
    <w:rsid w:val="57AD1A42"/>
    <w:rsid w:val="57B172F6"/>
    <w:rsid w:val="57C739B1"/>
    <w:rsid w:val="57D61E46"/>
    <w:rsid w:val="57DC38E5"/>
    <w:rsid w:val="57DD4F82"/>
    <w:rsid w:val="57F87DC0"/>
    <w:rsid w:val="58020E8D"/>
    <w:rsid w:val="58030F53"/>
    <w:rsid w:val="580467B0"/>
    <w:rsid w:val="580544D9"/>
    <w:rsid w:val="580C3AB9"/>
    <w:rsid w:val="58174FC3"/>
    <w:rsid w:val="58251DB7"/>
    <w:rsid w:val="5835523D"/>
    <w:rsid w:val="583D0117"/>
    <w:rsid w:val="5842087A"/>
    <w:rsid w:val="58793F14"/>
    <w:rsid w:val="58817556"/>
    <w:rsid w:val="588A0787"/>
    <w:rsid w:val="58975B15"/>
    <w:rsid w:val="58B04B88"/>
    <w:rsid w:val="58D97381"/>
    <w:rsid w:val="58EC7FBB"/>
    <w:rsid w:val="58F82190"/>
    <w:rsid w:val="58FC6629"/>
    <w:rsid w:val="590A624B"/>
    <w:rsid w:val="59104F2F"/>
    <w:rsid w:val="59205A6E"/>
    <w:rsid w:val="59374B66"/>
    <w:rsid w:val="5939268C"/>
    <w:rsid w:val="59441762"/>
    <w:rsid w:val="594F3C5E"/>
    <w:rsid w:val="59561490"/>
    <w:rsid w:val="595F0CBB"/>
    <w:rsid w:val="5963595B"/>
    <w:rsid w:val="59694F8E"/>
    <w:rsid w:val="596A2D2F"/>
    <w:rsid w:val="596F4300"/>
    <w:rsid w:val="59713396"/>
    <w:rsid w:val="597731B4"/>
    <w:rsid w:val="59837140"/>
    <w:rsid w:val="598513EC"/>
    <w:rsid w:val="59871216"/>
    <w:rsid w:val="59BE206C"/>
    <w:rsid w:val="59C02DAD"/>
    <w:rsid w:val="59C765FC"/>
    <w:rsid w:val="59CB138A"/>
    <w:rsid w:val="59D14FBA"/>
    <w:rsid w:val="59D4354B"/>
    <w:rsid w:val="59DE1485"/>
    <w:rsid w:val="59ED3476"/>
    <w:rsid w:val="59F36CDF"/>
    <w:rsid w:val="59F76F17"/>
    <w:rsid w:val="5A15520E"/>
    <w:rsid w:val="5A1B7FE4"/>
    <w:rsid w:val="5A1F5D26"/>
    <w:rsid w:val="5A2C05B1"/>
    <w:rsid w:val="5A2D3159"/>
    <w:rsid w:val="5A362305"/>
    <w:rsid w:val="5A3C2885"/>
    <w:rsid w:val="5A4901AF"/>
    <w:rsid w:val="5A7871D5"/>
    <w:rsid w:val="5A8D7866"/>
    <w:rsid w:val="5A951B44"/>
    <w:rsid w:val="5A9D2814"/>
    <w:rsid w:val="5A9D7884"/>
    <w:rsid w:val="5AA46058"/>
    <w:rsid w:val="5AAB1F33"/>
    <w:rsid w:val="5AB338C7"/>
    <w:rsid w:val="5AC10F09"/>
    <w:rsid w:val="5ACA0372"/>
    <w:rsid w:val="5ACE32A8"/>
    <w:rsid w:val="5AE034CB"/>
    <w:rsid w:val="5B00128B"/>
    <w:rsid w:val="5B0D4DEF"/>
    <w:rsid w:val="5B231846"/>
    <w:rsid w:val="5B322769"/>
    <w:rsid w:val="5B474DD8"/>
    <w:rsid w:val="5B527A35"/>
    <w:rsid w:val="5B57504B"/>
    <w:rsid w:val="5B615ECA"/>
    <w:rsid w:val="5B6E1EEF"/>
    <w:rsid w:val="5B800A46"/>
    <w:rsid w:val="5B8B0FB1"/>
    <w:rsid w:val="5B8B2F47"/>
    <w:rsid w:val="5B8D1FBD"/>
    <w:rsid w:val="5B8E459E"/>
    <w:rsid w:val="5B9444F1"/>
    <w:rsid w:val="5BA83AF9"/>
    <w:rsid w:val="5BBE331C"/>
    <w:rsid w:val="5BC76EDA"/>
    <w:rsid w:val="5BE85DFD"/>
    <w:rsid w:val="5BEC6FFD"/>
    <w:rsid w:val="5BED4932"/>
    <w:rsid w:val="5BEE1ABD"/>
    <w:rsid w:val="5BFB5978"/>
    <w:rsid w:val="5C031C4D"/>
    <w:rsid w:val="5C052CF9"/>
    <w:rsid w:val="5C076A71"/>
    <w:rsid w:val="5C0C69F2"/>
    <w:rsid w:val="5C19563E"/>
    <w:rsid w:val="5C1A2AF8"/>
    <w:rsid w:val="5C2515ED"/>
    <w:rsid w:val="5C2F2ED4"/>
    <w:rsid w:val="5C5E240A"/>
    <w:rsid w:val="5C653798"/>
    <w:rsid w:val="5C687D54"/>
    <w:rsid w:val="5C6B35CE"/>
    <w:rsid w:val="5C6F4617"/>
    <w:rsid w:val="5C71038F"/>
    <w:rsid w:val="5C846314"/>
    <w:rsid w:val="5C8D0783"/>
    <w:rsid w:val="5CA21F59"/>
    <w:rsid w:val="5CB233D2"/>
    <w:rsid w:val="5CB87D6C"/>
    <w:rsid w:val="5CCE3A33"/>
    <w:rsid w:val="5CE478AF"/>
    <w:rsid w:val="5CE77B86"/>
    <w:rsid w:val="5CE8659B"/>
    <w:rsid w:val="5CEB1EEF"/>
    <w:rsid w:val="5CEE4399"/>
    <w:rsid w:val="5CF039A9"/>
    <w:rsid w:val="5CF83879"/>
    <w:rsid w:val="5CFB0B2D"/>
    <w:rsid w:val="5D0D6309"/>
    <w:rsid w:val="5D3336CD"/>
    <w:rsid w:val="5D375134"/>
    <w:rsid w:val="5D4C13D7"/>
    <w:rsid w:val="5D5D0C48"/>
    <w:rsid w:val="5D706898"/>
    <w:rsid w:val="5D707FD3"/>
    <w:rsid w:val="5D7444F5"/>
    <w:rsid w:val="5D7A7717"/>
    <w:rsid w:val="5D86691C"/>
    <w:rsid w:val="5D902EBD"/>
    <w:rsid w:val="5DA1087A"/>
    <w:rsid w:val="5DA95699"/>
    <w:rsid w:val="5DAC4336"/>
    <w:rsid w:val="5DB449D7"/>
    <w:rsid w:val="5DB604FE"/>
    <w:rsid w:val="5DBA7B13"/>
    <w:rsid w:val="5DE6548E"/>
    <w:rsid w:val="5E00464B"/>
    <w:rsid w:val="5E015F1F"/>
    <w:rsid w:val="5E085D53"/>
    <w:rsid w:val="5E094D6E"/>
    <w:rsid w:val="5E0A7CFD"/>
    <w:rsid w:val="5E0B0AD6"/>
    <w:rsid w:val="5E262FD2"/>
    <w:rsid w:val="5E2E19DF"/>
    <w:rsid w:val="5E3712C3"/>
    <w:rsid w:val="5E4F469B"/>
    <w:rsid w:val="5E631F59"/>
    <w:rsid w:val="5E7C1D56"/>
    <w:rsid w:val="5E8B6F2B"/>
    <w:rsid w:val="5E8C5954"/>
    <w:rsid w:val="5E8D55F3"/>
    <w:rsid w:val="5E96086D"/>
    <w:rsid w:val="5E9C7B4C"/>
    <w:rsid w:val="5EA20CD3"/>
    <w:rsid w:val="5EA7453C"/>
    <w:rsid w:val="5EAF46B0"/>
    <w:rsid w:val="5ECA1FD8"/>
    <w:rsid w:val="5ECE1137"/>
    <w:rsid w:val="5ED66BCF"/>
    <w:rsid w:val="5EEE3452"/>
    <w:rsid w:val="5EFB7D2E"/>
    <w:rsid w:val="5F0E574F"/>
    <w:rsid w:val="5F103E8F"/>
    <w:rsid w:val="5F141E6A"/>
    <w:rsid w:val="5F2913F5"/>
    <w:rsid w:val="5F2D4A41"/>
    <w:rsid w:val="5F314728"/>
    <w:rsid w:val="5F3B5A4A"/>
    <w:rsid w:val="5F3C69D0"/>
    <w:rsid w:val="5F4209E3"/>
    <w:rsid w:val="5F487ACD"/>
    <w:rsid w:val="5F545483"/>
    <w:rsid w:val="5F56061B"/>
    <w:rsid w:val="5F830BDC"/>
    <w:rsid w:val="5F8D3732"/>
    <w:rsid w:val="5F903222"/>
    <w:rsid w:val="5FBB5C6D"/>
    <w:rsid w:val="5FBE38EB"/>
    <w:rsid w:val="5FBE7D8F"/>
    <w:rsid w:val="5FCB425A"/>
    <w:rsid w:val="5FCD1D80"/>
    <w:rsid w:val="5FD1369F"/>
    <w:rsid w:val="5FE01AB3"/>
    <w:rsid w:val="5FF27A39"/>
    <w:rsid w:val="6008350A"/>
    <w:rsid w:val="60192588"/>
    <w:rsid w:val="60195898"/>
    <w:rsid w:val="60251609"/>
    <w:rsid w:val="60285C26"/>
    <w:rsid w:val="602B4613"/>
    <w:rsid w:val="60340051"/>
    <w:rsid w:val="60363446"/>
    <w:rsid w:val="60370713"/>
    <w:rsid w:val="604162CA"/>
    <w:rsid w:val="604D3217"/>
    <w:rsid w:val="604F09E7"/>
    <w:rsid w:val="605309A3"/>
    <w:rsid w:val="605E4CD9"/>
    <w:rsid w:val="6062071A"/>
    <w:rsid w:val="60675196"/>
    <w:rsid w:val="60762418"/>
    <w:rsid w:val="607B5C80"/>
    <w:rsid w:val="608A5EC3"/>
    <w:rsid w:val="608B2C82"/>
    <w:rsid w:val="60AE2C7C"/>
    <w:rsid w:val="60B151FE"/>
    <w:rsid w:val="60B40805"/>
    <w:rsid w:val="60C52634"/>
    <w:rsid w:val="60D31618"/>
    <w:rsid w:val="60D73318"/>
    <w:rsid w:val="60E46712"/>
    <w:rsid w:val="60EC4488"/>
    <w:rsid w:val="60F63558"/>
    <w:rsid w:val="60F66CF7"/>
    <w:rsid w:val="60FF62DF"/>
    <w:rsid w:val="611D1F05"/>
    <w:rsid w:val="611E3995"/>
    <w:rsid w:val="61251E72"/>
    <w:rsid w:val="612B3202"/>
    <w:rsid w:val="61340EDD"/>
    <w:rsid w:val="61461DEA"/>
    <w:rsid w:val="614B2603"/>
    <w:rsid w:val="61555B7C"/>
    <w:rsid w:val="61573FF7"/>
    <w:rsid w:val="618B3CD0"/>
    <w:rsid w:val="61AF3E33"/>
    <w:rsid w:val="61B96A60"/>
    <w:rsid w:val="61BD3BA6"/>
    <w:rsid w:val="61BF5946"/>
    <w:rsid w:val="61C53F71"/>
    <w:rsid w:val="61C80A51"/>
    <w:rsid w:val="61CE3B8D"/>
    <w:rsid w:val="61D81393"/>
    <w:rsid w:val="61FC6F3E"/>
    <w:rsid w:val="620D3E7C"/>
    <w:rsid w:val="62145A44"/>
    <w:rsid w:val="621726E0"/>
    <w:rsid w:val="621C3328"/>
    <w:rsid w:val="6235608C"/>
    <w:rsid w:val="623600B0"/>
    <w:rsid w:val="62467BC8"/>
    <w:rsid w:val="624769C3"/>
    <w:rsid w:val="624A590A"/>
    <w:rsid w:val="625B4F1E"/>
    <w:rsid w:val="626229B9"/>
    <w:rsid w:val="62650996"/>
    <w:rsid w:val="627220D6"/>
    <w:rsid w:val="62956604"/>
    <w:rsid w:val="62B77FD0"/>
    <w:rsid w:val="62C0797A"/>
    <w:rsid w:val="62C3746A"/>
    <w:rsid w:val="62C56E3F"/>
    <w:rsid w:val="62D172D1"/>
    <w:rsid w:val="62D17DD9"/>
    <w:rsid w:val="62F04F50"/>
    <w:rsid w:val="62F27F47"/>
    <w:rsid w:val="62F31AFE"/>
    <w:rsid w:val="63031F30"/>
    <w:rsid w:val="630A7489"/>
    <w:rsid w:val="631303F2"/>
    <w:rsid w:val="63251ED3"/>
    <w:rsid w:val="632C14B3"/>
    <w:rsid w:val="63416A1A"/>
    <w:rsid w:val="6347009B"/>
    <w:rsid w:val="635127CC"/>
    <w:rsid w:val="635D341B"/>
    <w:rsid w:val="63892462"/>
    <w:rsid w:val="638B3390"/>
    <w:rsid w:val="638E5CCA"/>
    <w:rsid w:val="63B079EF"/>
    <w:rsid w:val="63B854D2"/>
    <w:rsid w:val="63C342ED"/>
    <w:rsid w:val="63C67212"/>
    <w:rsid w:val="63E8362C"/>
    <w:rsid w:val="63FD03BB"/>
    <w:rsid w:val="642108EC"/>
    <w:rsid w:val="643423CE"/>
    <w:rsid w:val="645300B5"/>
    <w:rsid w:val="64713622"/>
    <w:rsid w:val="647604FC"/>
    <w:rsid w:val="647B68E6"/>
    <w:rsid w:val="647C5B23"/>
    <w:rsid w:val="649D0693"/>
    <w:rsid w:val="64A12925"/>
    <w:rsid w:val="64A21E1D"/>
    <w:rsid w:val="64D17FBC"/>
    <w:rsid w:val="64D23995"/>
    <w:rsid w:val="64D57856"/>
    <w:rsid w:val="64D711E0"/>
    <w:rsid w:val="64EB5B2D"/>
    <w:rsid w:val="64F16511"/>
    <w:rsid w:val="64FB738F"/>
    <w:rsid w:val="64FD6C64"/>
    <w:rsid w:val="65016119"/>
    <w:rsid w:val="650C334B"/>
    <w:rsid w:val="6522491C"/>
    <w:rsid w:val="65227456"/>
    <w:rsid w:val="652A37D1"/>
    <w:rsid w:val="652D3FD8"/>
    <w:rsid w:val="653516C5"/>
    <w:rsid w:val="653A7EB8"/>
    <w:rsid w:val="653C59E0"/>
    <w:rsid w:val="655D5954"/>
    <w:rsid w:val="655D5A1C"/>
    <w:rsid w:val="65605444"/>
    <w:rsid w:val="656C203B"/>
    <w:rsid w:val="657401A4"/>
    <w:rsid w:val="657449B3"/>
    <w:rsid w:val="657C227E"/>
    <w:rsid w:val="657E6936"/>
    <w:rsid w:val="65827169"/>
    <w:rsid w:val="65890AD6"/>
    <w:rsid w:val="65913850"/>
    <w:rsid w:val="65B31A18"/>
    <w:rsid w:val="65BF2498"/>
    <w:rsid w:val="65BF660F"/>
    <w:rsid w:val="65C7198A"/>
    <w:rsid w:val="65D9454F"/>
    <w:rsid w:val="65D976D1"/>
    <w:rsid w:val="65E46075"/>
    <w:rsid w:val="65EB1120"/>
    <w:rsid w:val="6602293D"/>
    <w:rsid w:val="66216982"/>
    <w:rsid w:val="66287D10"/>
    <w:rsid w:val="66294B57"/>
    <w:rsid w:val="662A5448"/>
    <w:rsid w:val="662C2B27"/>
    <w:rsid w:val="66467354"/>
    <w:rsid w:val="6648476D"/>
    <w:rsid w:val="664A62D0"/>
    <w:rsid w:val="664B5B9A"/>
    <w:rsid w:val="66524D8D"/>
    <w:rsid w:val="66571CB3"/>
    <w:rsid w:val="6659611C"/>
    <w:rsid w:val="6663397A"/>
    <w:rsid w:val="66742F55"/>
    <w:rsid w:val="667C4500"/>
    <w:rsid w:val="668F1B3D"/>
    <w:rsid w:val="669322A4"/>
    <w:rsid w:val="6695111E"/>
    <w:rsid w:val="66A114F4"/>
    <w:rsid w:val="66B15CE4"/>
    <w:rsid w:val="66B617C0"/>
    <w:rsid w:val="66B97EA2"/>
    <w:rsid w:val="66BC10D1"/>
    <w:rsid w:val="66BE68C6"/>
    <w:rsid w:val="66C67529"/>
    <w:rsid w:val="66C8643E"/>
    <w:rsid w:val="66CF78AC"/>
    <w:rsid w:val="66D02C01"/>
    <w:rsid w:val="66EF6A80"/>
    <w:rsid w:val="66F4722E"/>
    <w:rsid w:val="67080574"/>
    <w:rsid w:val="671D183F"/>
    <w:rsid w:val="67320AA5"/>
    <w:rsid w:val="673821D5"/>
    <w:rsid w:val="673D77EB"/>
    <w:rsid w:val="67566AFF"/>
    <w:rsid w:val="6759039D"/>
    <w:rsid w:val="67610CE9"/>
    <w:rsid w:val="678A5A74"/>
    <w:rsid w:val="679118E5"/>
    <w:rsid w:val="67917B37"/>
    <w:rsid w:val="679D30BD"/>
    <w:rsid w:val="67B25BC5"/>
    <w:rsid w:val="67B918F5"/>
    <w:rsid w:val="67E11A70"/>
    <w:rsid w:val="681211A7"/>
    <w:rsid w:val="681349F0"/>
    <w:rsid w:val="681D46FB"/>
    <w:rsid w:val="682C160E"/>
    <w:rsid w:val="68326DA3"/>
    <w:rsid w:val="684A6664"/>
    <w:rsid w:val="684B5F38"/>
    <w:rsid w:val="68892659"/>
    <w:rsid w:val="68946CAB"/>
    <w:rsid w:val="689B7895"/>
    <w:rsid w:val="689C49E5"/>
    <w:rsid w:val="689E5284"/>
    <w:rsid w:val="689F6284"/>
    <w:rsid w:val="68A3772C"/>
    <w:rsid w:val="68C50DFA"/>
    <w:rsid w:val="68C61A62"/>
    <w:rsid w:val="68D459F3"/>
    <w:rsid w:val="68DF7B10"/>
    <w:rsid w:val="68E13845"/>
    <w:rsid w:val="68EA5537"/>
    <w:rsid w:val="68EE304C"/>
    <w:rsid w:val="690014AC"/>
    <w:rsid w:val="69122441"/>
    <w:rsid w:val="69405A1D"/>
    <w:rsid w:val="695232F6"/>
    <w:rsid w:val="69601A68"/>
    <w:rsid w:val="69624D8A"/>
    <w:rsid w:val="69646A32"/>
    <w:rsid w:val="697E05AE"/>
    <w:rsid w:val="69812554"/>
    <w:rsid w:val="69823BDB"/>
    <w:rsid w:val="698931BC"/>
    <w:rsid w:val="699B2EEF"/>
    <w:rsid w:val="699F2808"/>
    <w:rsid w:val="699F2B35"/>
    <w:rsid w:val="69C90C5E"/>
    <w:rsid w:val="69D8066B"/>
    <w:rsid w:val="69DC778F"/>
    <w:rsid w:val="69DF430A"/>
    <w:rsid w:val="69E15F06"/>
    <w:rsid w:val="69E168CC"/>
    <w:rsid w:val="69EB1C71"/>
    <w:rsid w:val="69ED66E6"/>
    <w:rsid w:val="69F148BD"/>
    <w:rsid w:val="6A150372"/>
    <w:rsid w:val="6A2F00CF"/>
    <w:rsid w:val="6A2F4EBF"/>
    <w:rsid w:val="6A386990"/>
    <w:rsid w:val="6A406AE2"/>
    <w:rsid w:val="6A462E5B"/>
    <w:rsid w:val="6A517364"/>
    <w:rsid w:val="6A525DD8"/>
    <w:rsid w:val="6A6C2760"/>
    <w:rsid w:val="6A6D6639"/>
    <w:rsid w:val="6A795B01"/>
    <w:rsid w:val="6A7A6FA8"/>
    <w:rsid w:val="6AB20D31"/>
    <w:rsid w:val="6ACC7BCC"/>
    <w:rsid w:val="6AD722E3"/>
    <w:rsid w:val="6ADC6B1B"/>
    <w:rsid w:val="6AEA7C8A"/>
    <w:rsid w:val="6AED32D6"/>
    <w:rsid w:val="6AF965A4"/>
    <w:rsid w:val="6B0F76F1"/>
    <w:rsid w:val="6B142F59"/>
    <w:rsid w:val="6B161AF0"/>
    <w:rsid w:val="6B2B1057"/>
    <w:rsid w:val="6B2F38EF"/>
    <w:rsid w:val="6B3929BF"/>
    <w:rsid w:val="6B60619E"/>
    <w:rsid w:val="6B621F16"/>
    <w:rsid w:val="6B6D2669"/>
    <w:rsid w:val="6B721A2E"/>
    <w:rsid w:val="6B770F66"/>
    <w:rsid w:val="6B777097"/>
    <w:rsid w:val="6B777C52"/>
    <w:rsid w:val="6B7925B5"/>
    <w:rsid w:val="6B864F2E"/>
    <w:rsid w:val="6B895BDE"/>
    <w:rsid w:val="6B9A16B0"/>
    <w:rsid w:val="6B9B71D6"/>
    <w:rsid w:val="6B9D6AAA"/>
    <w:rsid w:val="6BA157E6"/>
    <w:rsid w:val="6BA20C41"/>
    <w:rsid w:val="6BC25ADF"/>
    <w:rsid w:val="6BDA5F51"/>
    <w:rsid w:val="6BDC46BA"/>
    <w:rsid w:val="6BF83F75"/>
    <w:rsid w:val="6BFA3EFD"/>
    <w:rsid w:val="6C0F0450"/>
    <w:rsid w:val="6C2814C5"/>
    <w:rsid w:val="6C2C1C97"/>
    <w:rsid w:val="6C3E2B17"/>
    <w:rsid w:val="6C4760EF"/>
    <w:rsid w:val="6C5C3403"/>
    <w:rsid w:val="6C6E396A"/>
    <w:rsid w:val="6C783074"/>
    <w:rsid w:val="6C8041AE"/>
    <w:rsid w:val="6C9F6852"/>
    <w:rsid w:val="6CA5133F"/>
    <w:rsid w:val="6CA81BAB"/>
    <w:rsid w:val="6CB26586"/>
    <w:rsid w:val="6CB345B0"/>
    <w:rsid w:val="6CB67C6B"/>
    <w:rsid w:val="6CBF6EF4"/>
    <w:rsid w:val="6CC93E79"/>
    <w:rsid w:val="6CCB7647"/>
    <w:rsid w:val="6CD246DC"/>
    <w:rsid w:val="6CEC600F"/>
    <w:rsid w:val="6CEE4D5A"/>
    <w:rsid w:val="6D25144D"/>
    <w:rsid w:val="6D254CA1"/>
    <w:rsid w:val="6D2A25C0"/>
    <w:rsid w:val="6D321474"/>
    <w:rsid w:val="6D3836D1"/>
    <w:rsid w:val="6D4260EF"/>
    <w:rsid w:val="6D427B14"/>
    <w:rsid w:val="6D521B17"/>
    <w:rsid w:val="6D590F7F"/>
    <w:rsid w:val="6D5B4BDB"/>
    <w:rsid w:val="6D5F0E9F"/>
    <w:rsid w:val="6D632B13"/>
    <w:rsid w:val="6D6D06FE"/>
    <w:rsid w:val="6D8048D6"/>
    <w:rsid w:val="6D8617C0"/>
    <w:rsid w:val="6D8F2D6B"/>
    <w:rsid w:val="6DC87E48"/>
    <w:rsid w:val="6DE035C6"/>
    <w:rsid w:val="6DFF1C9E"/>
    <w:rsid w:val="6E0F17B6"/>
    <w:rsid w:val="6E344496"/>
    <w:rsid w:val="6E3556C0"/>
    <w:rsid w:val="6E364F94"/>
    <w:rsid w:val="6E3A4A84"/>
    <w:rsid w:val="6E413283"/>
    <w:rsid w:val="6E5A5F34"/>
    <w:rsid w:val="6E6824D4"/>
    <w:rsid w:val="6E7447FD"/>
    <w:rsid w:val="6E845A96"/>
    <w:rsid w:val="6E900775"/>
    <w:rsid w:val="6EA168B2"/>
    <w:rsid w:val="6EAB7730"/>
    <w:rsid w:val="6EE13152"/>
    <w:rsid w:val="6EE82732"/>
    <w:rsid w:val="6F050494"/>
    <w:rsid w:val="6F063E1D"/>
    <w:rsid w:val="6F1F44CD"/>
    <w:rsid w:val="6F26497C"/>
    <w:rsid w:val="6F3C2F1C"/>
    <w:rsid w:val="6F4D19E9"/>
    <w:rsid w:val="6F4F0A46"/>
    <w:rsid w:val="6F573606"/>
    <w:rsid w:val="6F666DD4"/>
    <w:rsid w:val="6F6A3147"/>
    <w:rsid w:val="6F7F4719"/>
    <w:rsid w:val="6F834209"/>
    <w:rsid w:val="6F857F81"/>
    <w:rsid w:val="6F99373A"/>
    <w:rsid w:val="6F99661B"/>
    <w:rsid w:val="6FAD1EDF"/>
    <w:rsid w:val="6FAF361C"/>
    <w:rsid w:val="6FB92D17"/>
    <w:rsid w:val="6FCA008A"/>
    <w:rsid w:val="6FD50A36"/>
    <w:rsid w:val="6FD57803"/>
    <w:rsid w:val="6FF3138F"/>
    <w:rsid w:val="70094323"/>
    <w:rsid w:val="700A701D"/>
    <w:rsid w:val="703674CE"/>
    <w:rsid w:val="70370F4E"/>
    <w:rsid w:val="705B6F34"/>
    <w:rsid w:val="705F4C76"/>
    <w:rsid w:val="706F2B55"/>
    <w:rsid w:val="70765B1C"/>
    <w:rsid w:val="70787AE6"/>
    <w:rsid w:val="707B1E32"/>
    <w:rsid w:val="707B363B"/>
    <w:rsid w:val="707E38C7"/>
    <w:rsid w:val="70981F36"/>
    <w:rsid w:val="70A15B5A"/>
    <w:rsid w:val="70AF30FB"/>
    <w:rsid w:val="70B162FD"/>
    <w:rsid w:val="70B36D70"/>
    <w:rsid w:val="70C2135B"/>
    <w:rsid w:val="70CA394F"/>
    <w:rsid w:val="70EE5764"/>
    <w:rsid w:val="70F80C27"/>
    <w:rsid w:val="71140688"/>
    <w:rsid w:val="711F4406"/>
    <w:rsid w:val="713C144F"/>
    <w:rsid w:val="7148699B"/>
    <w:rsid w:val="714A0C52"/>
    <w:rsid w:val="715C7408"/>
    <w:rsid w:val="716B400E"/>
    <w:rsid w:val="716F2578"/>
    <w:rsid w:val="718938CC"/>
    <w:rsid w:val="718B3849"/>
    <w:rsid w:val="71B31FC4"/>
    <w:rsid w:val="71CA4371"/>
    <w:rsid w:val="71CE1C96"/>
    <w:rsid w:val="71DE606F"/>
    <w:rsid w:val="71E82A49"/>
    <w:rsid w:val="71F60F6D"/>
    <w:rsid w:val="71FF4E06"/>
    <w:rsid w:val="721A6BDD"/>
    <w:rsid w:val="721C3783"/>
    <w:rsid w:val="7220386F"/>
    <w:rsid w:val="722C78DA"/>
    <w:rsid w:val="722D66EA"/>
    <w:rsid w:val="724E4FA2"/>
    <w:rsid w:val="724E7A50"/>
    <w:rsid w:val="72605EE6"/>
    <w:rsid w:val="72606A84"/>
    <w:rsid w:val="72616723"/>
    <w:rsid w:val="726230C6"/>
    <w:rsid w:val="726A16B0"/>
    <w:rsid w:val="726E2F4F"/>
    <w:rsid w:val="72AF5315"/>
    <w:rsid w:val="72B0267D"/>
    <w:rsid w:val="72B91D83"/>
    <w:rsid w:val="72C16305"/>
    <w:rsid w:val="72D134DE"/>
    <w:rsid w:val="72D21A19"/>
    <w:rsid w:val="72EC6569"/>
    <w:rsid w:val="72F0605A"/>
    <w:rsid w:val="72F20CCE"/>
    <w:rsid w:val="72F36AA4"/>
    <w:rsid w:val="72FD0776"/>
    <w:rsid w:val="72FF44EF"/>
    <w:rsid w:val="73014ED1"/>
    <w:rsid w:val="730218E9"/>
    <w:rsid w:val="73194B0E"/>
    <w:rsid w:val="731A4F65"/>
    <w:rsid w:val="731E2BC7"/>
    <w:rsid w:val="73245D03"/>
    <w:rsid w:val="732B0E40"/>
    <w:rsid w:val="733817AF"/>
    <w:rsid w:val="734358A7"/>
    <w:rsid w:val="734C5F7A"/>
    <w:rsid w:val="73505624"/>
    <w:rsid w:val="735F5C1C"/>
    <w:rsid w:val="73740A39"/>
    <w:rsid w:val="73781BAB"/>
    <w:rsid w:val="73855B52"/>
    <w:rsid w:val="73886292"/>
    <w:rsid w:val="73930A62"/>
    <w:rsid w:val="73A43A10"/>
    <w:rsid w:val="73AB01D2"/>
    <w:rsid w:val="73BC418E"/>
    <w:rsid w:val="73CD1EF7"/>
    <w:rsid w:val="73D22484"/>
    <w:rsid w:val="73D66F9C"/>
    <w:rsid w:val="73D95F4D"/>
    <w:rsid w:val="73E15DD7"/>
    <w:rsid w:val="73E82865"/>
    <w:rsid w:val="73EB05CF"/>
    <w:rsid w:val="73EB6404"/>
    <w:rsid w:val="73EC4A73"/>
    <w:rsid w:val="73ED2599"/>
    <w:rsid w:val="73ED7DDF"/>
    <w:rsid w:val="73F31F24"/>
    <w:rsid w:val="73F41B79"/>
    <w:rsid w:val="73F47817"/>
    <w:rsid w:val="73F90F3E"/>
    <w:rsid w:val="73FC27DC"/>
    <w:rsid w:val="740706A3"/>
    <w:rsid w:val="74257F85"/>
    <w:rsid w:val="742B2A70"/>
    <w:rsid w:val="74341F76"/>
    <w:rsid w:val="743B3CA7"/>
    <w:rsid w:val="74624D35"/>
    <w:rsid w:val="746C188E"/>
    <w:rsid w:val="747607E0"/>
    <w:rsid w:val="74990BAC"/>
    <w:rsid w:val="74A537E8"/>
    <w:rsid w:val="74A715D2"/>
    <w:rsid w:val="74A76BEC"/>
    <w:rsid w:val="74B44092"/>
    <w:rsid w:val="74B7447B"/>
    <w:rsid w:val="74C3370B"/>
    <w:rsid w:val="74C4779E"/>
    <w:rsid w:val="74C851E7"/>
    <w:rsid w:val="74E27AD2"/>
    <w:rsid w:val="74E77B12"/>
    <w:rsid w:val="74F11DAB"/>
    <w:rsid w:val="74F4525D"/>
    <w:rsid w:val="74F575CF"/>
    <w:rsid w:val="74F96A47"/>
    <w:rsid w:val="750E7112"/>
    <w:rsid w:val="751B4EE4"/>
    <w:rsid w:val="752D5343"/>
    <w:rsid w:val="754B33B7"/>
    <w:rsid w:val="754D4987"/>
    <w:rsid w:val="755521A4"/>
    <w:rsid w:val="75662603"/>
    <w:rsid w:val="75694EC8"/>
    <w:rsid w:val="757530A7"/>
    <w:rsid w:val="757A60AE"/>
    <w:rsid w:val="758331B5"/>
    <w:rsid w:val="7588037A"/>
    <w:rsid w:val="75883298"/>
    <w:rsid w:val="75A137DC"/>
    <w:rsid w:val="75B5389C"/>
    <w:rsid w:val="75C35028"/>
    <w:rsid w:val="75C80BC8"/>
    <w:rsid w:val="75CD61DE"/>
    <w:rsid w:val="75CF01A8"/>
    <w:rsid w:val="75FA2D4B"/>
    <w:rsid w:val="761615E9"/>
    <w:rsid w:val="762D5211"/>
    <w:rsid w:val="763149BF"/>
    <w:rsid w:val="76377AFB"/>
    <w:rsid w:val="76426BCC"/>
    <w:rsid w:val="76544FF6"/>
    <w:rsid w:val="7671300D"/>
    <w:rsid w:val="767D3654"/>
    <w:rsid w:val="768211F4"/>
    <w:rsid w:val="768D3BBF"/>
    <w:rsid w:val="76C05D43"/>
    <w:rsid w:val="76C53359"/>
    <w:rsid w:val="76CF6054"/>
    <w:rsid w:val="76D11FC2"/>
    <w:rsid w:val="76DA5057"/>
    <w:rsid w:val="76DB604F"/>
    <w:rsid w:val="76E95782"/>
    <w:rsid w:val="76FA2590"/>
    <w:rsid w:val="76FD6F97"/>
    <w:rsid w:val="770B3462"/>
    <w:rsid w:val="771B5849"/>
    <w:rsid w:val="772113F0"/>
    <w:rsid w:val="77242776"/>
    <w:rsid w:val="77277D4B"/>
    <w:rsid w:val="773504DF"/>
    <w:rsid w:val="773D7394"/>
    <w:rsid w:val="77456248"/>
    <w:rsid w:val="774A282E"/>
    <w:rsid w:val="77560455"/>
    <w:rsid w:val="7767024F"/>
    <w:rsid w:val="777D1E86"/>
    <w:rsid w:val="778221C6"/>
    <w:rsid w:val="778817D1"/>
    <w:rsid w:val="77A23291"/>
    <w:rsid w:val="77B84C6C"/>
    <w:rsid w:val="77BD1FFA"/>
    <w:rsid w:val="77FC6F20"/>
    <w:rsid w:val="77FE6B23"/>
    <w:rsid w:val="780E6499"/>
    <w:rsid w:val="78143A5A"/>
    <w:rsid w:val="781E7167"/>
    <w:rsid w:val="7826607A"/>
    <w:rsid w:val="782A5B6A"/>
    <w:rsid w:val="783C3AEF"/>
    <w:rsid w:val="784A1D68"/>
    <w:rsid w:val="784B5AE0"/>
    <w:rsid w:val="78591FAB"/>
    <w:rsid w:val="786A62BD"/>
    <w:rsid w:val="787B63C5"/>
    <w:rsid w:val="788A03B6"/>
    <w:rsid w:val="788D0D58"/>
    <w:rsid w:val="788E2C47"/>
    <w:rsid w:val="789527CF"/>
    <w:rsid w:val="78AF2513"/>
    <w:rsid w:val="78B65D69"/>
    <w:rsid w:val="78DA4F66"/>
    <w:rsid w:val="78E04232"/>
    <w:rsid w:val="78EC2E1F"/>
    <w:rsid w:val="78EE55FB"/>
    <w:rsid w:val="78F41CD4"/>
    <w:rsid w:val="78FB7506"/>
    <w:rsid w:val="78FE3A0F"/>
    <w:rsid w:val="79030169"/>
    <w:rsid w:val="791E570B"/>
    <w:rsid w:val="791F1447"/>
    <w:rsid w:val="793258D2"/>
    <w:rsid w:val="793622EC"/>
    <w:rsid w:val="79382508"/>
    <w:rsid w:val="79416C09"/>
    <w:rsid w:val="79444A09"/>
    <w:rsid w:val="79464C25"/>
    <w:rsid w:val="794E5888"/>
    <w:rsid w:val="795135CA"/>
    <w:rsid w:val="797352EE"/>
    <w:rsid w:val="797F2E52"/>
    <w:rsid w:val="79815763"/>
    <w:rsid w:val="79825532"/>
    <w:rsid w:val="79A120FF"/>
    <w:rsid w:val="79B5488A"/>
    <w:rsid w:val="79B80F53"/>
    <w:rsid w:val="79CF62ED"/>
    <w:rsid w:val="79E969FB"/>
    <w:rsid w:val="7A016D9E"/>
    <w:rsid w:val="7A036672"/>
    <w:rsid w:val="7A0862CA"/>
    <w:rsid w:val="7A2D2AD9"/>
    <w:rsid w:val="7A3D0A33"/>
    <w:rsid w:val="7A4078C7"/>
    <w:rsid w:val="7A436128"/>
    <w:rsid w:val="7A4B1DC7"/>
    <w:rsid w:val="7A5F30A5"/>
    <w:rsid w:val="7A604A29"/>
    <w:rsid w:val="7A637111"/>
    <w:rsid w:val="7A684727"/>
    <w:rsid w:val="7A7442E2"/>
    <w:rsid w:val="7A7C3030"/>
    <w:rsid w:val="7A837E53"/>
    <w:rsid w:val="7A872C09"/>
    <w:rsid w:val="7A8C06E3"/>
    <w:rsid w:val="7ABD1848"/>
    <w:rsid w:val="7AC027B5"/>
    <w:rsid w:val="7AC322A6"/>
    <w:rsid w:val="7AC5601E"/>
    <w:rsid w:val="7AEF309B"/>
    <w:rsid w:val="7AEF6BF7"/>
    <w:rsid w:val="7AF4480E"/>
    <w:rsid w:val="7AF72E69"/>
    <w:rsid w:val="7B07590E"/>
    <w:rsid w:val="7B136C7E"/>
    <w:rsid w:val="7B1D5E7A"/>
    <w:rsid w:val="7B334D35"/>
    <w:rsid w:val="7B464AEF"/>
    <w:rsid w:val="7B4A207F"/>
    <w:rsid w:val="7B5B0730"/>
    <w:rsid w:val="7B652F3B"/>
    <w:rsid w:val="7B6C6499"/>
    <w:rsid w:val="7B7656EE"/>
    <w:rsid w:val="7B923A26"/>
    <w:rsid w:val="7BAB6FC2"/>
    <w:rsid w:val="7BB0282A"/>
    <w:rsid w:val="7BB34F44"/>
    <w:rsid w:val="7BC02344"/>
    <w:rsid w:val="7BC260B9"/>
    <w:rsid w:val="7BCD76C7"/>
    <w:rsid w:val="7BDA3F2C"/>
    <w:rsid w:val="7BE6624C"/>
    <w:rsid w:val="7BEB3862"/>
    <w:rsid w:val="7C0148BF"/>
    <w:rsid w:val="7C075418"/>
    <w:rsid w:val="7C0C6C04"/>
    <w:rsid w:val="7C162C10"/>
    <w:rsid w:val="7C1C3A1B"/>
    <w:rsid w:val="7C217284"/>
    <w:rsid w:val="7C2C1500"/>
    <w:rsid w:val="7C2C60CC"/>
    <w:rsid w:val="7C3E119D"/>
    <w:rsid w:val="7C453C8F"/>
    <w:rsid w:val="7C5E2286"/>
    <w:rsid w:val="7C7F3FAA"/>
    <w:rsid w:val="7C8A5B63"/>
    <w:rsid w:val="7C8B0BA1"/>
    <w:rsid w:val="7C947A56"/>
    <w:rsid w:val="7CAA09FC"/>
    <w:rsid w:val="7CAF2AE1"/>
    <w:rsid w:val="7CB41EA6"/>
    <w:rsid w:val="7CB5571E"/>
    <w:rsid w:val="7CDC08C0"/>
    <w:rsid w:val="7CDE1393"/>
    <w:rsid w:val="7CEF34AF"/>
    <w:rsid w:val="7CFB2A03"/>
    <w:rsid w:val="7CFE46F7"/>
    <w:rsid w:val="7D02289B"/>
    <w:rsid w:val="7D0F2F2C"/>
    <w:rsid w:val="7D123E66"/>
    <w:rsid w:val="7D207EC9"/>
    <w:rsid w:val="7D3D7EE1"/>
    <w:rsid w:val="7D3E5C13"/>
    <w:rsid w:val="7D4354AB"/>
    <w:rsid w:val="7D4C3183"/>
    <w:rsid w:val="7D4D0BA1"/>
    <w:rsid w:val="7D592A4D"/>
    <w:rsid w:val="7D601542"/>
    <w:rsid w:val="7D6417AF"/>
    <w:rsid w:val="7D6A0B9A"/>
    <w:rsid w:val="7D7046F8"/>
    <w:rsid w:val="7D747B63"/>
    <w:rsid w:val="7D786D90"/>
    <w:rsid w:val="7D7E4262"/>
    <w:rsid w:val="7D8555F0"/>
    <w:rsid w:val="7D8F021D"/>
    <w:rsid w:val="7D974BAD"/>
    <w:rsid w:val="7DA261A2"/>
    <w:rsid w:val="7DA33BE6"/>
    <w:rsid w:val="7DAF0C8C"/>
    <w:rsid w:val="7DBB1012"/>
    <w:rsid w:val="7DD0308E"/>
    <w:rsid w:val="7DD1768E"/>
    <w:rsid w:val="7DE20C95"/>
    <w:rsid w:val="7DE44A0D"/>
    <w:rsid w:val="7DED6927"/>
    <w:rsid w:val="7DF52EE2"/>
    <w:rsid w:val="7DFD5ACF"/>
    <w:rsid w:val="7E0429B9"/>
    <w:rsid w:val="7E235FBD"/>
    <w:rsid w:val="7E2A0282"/>
    <w:rsid w:val="7E3C03A5"/>
    <w:rsid w:val="7E4D6362"/>
    <w:rsid w:val="7E4E61F3"/>
    <w:rsid w:val="7E500696"/>
    <w:rsid w:val="7E543D25"/>
    <w:rsid w:val="7E8A1B4A"/>
    <w:rsid w:val="7E8C0561"/>
    <w:rsid w:val="7E8C1D8A"/>
    <w:rsid w:val="7EA146AC"/>
    <w:rsid w:val="7EB32F71"/>
    <w:rsid w:val="7EC14D4E"/>
    <w:rsid w:val="7EC65EC0"/>
    <w:rsid w:val="7ED14C4A"/>
    <w:rsid w:val="7EF26CB5"/>
    <w:rsid w:val="7EFD357B"/>
    <w:rsid w:val="7F0B5129"/>
    <w:rsid w:val="7F0F1615"/>
    <w:rsid w:val="7F1B4997"/>
    <w:rsid w:val="7F1E33E9"/>
    <w:rsid w:val="7F2D5F40"/>
    <w:rsid w:val="7F546FE2"/>
    <w:rsid w:val="7F5E2B42"/>
    <w:rsid w:val="7F6E72F4"/>
    <w:rsid w:val="7F7678E7"/>
    <w:rsid w:val="7F8F09A8"/>
    <w:rsid w:val="7FAF2DF8"/>
    <w:rsid w:val="7FAF448D"/>
    <w:rsid w:val="7FB5609A"/>
    <w:rsid w:val="7FC24F6C"/>
    <w:rsid w:val="7FCA19E0"/>
    <w:rsid w:val="7FDB18A6"/>
    <w:rsid w:val="7FFD39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iPriority="0" w:semiHidden="0" w:name="Date"/>
    <w:lsdException w:qFormat="1" w:unhideWhenUsed="0" w:uiPriority="99" w:semiHidden="0" w:name="Body Text First Indent"/>
    <w:lsdException w:qFormat="1" w:unhideWhenUsed="0" w:uiPriority="99" w:semiHidden="0" w:name="Body Text First Indent 2"/>
    <w:lsdException w:qFormat="1" w:unhideWhenUsed="0" w:uiPriority="0" w:semiHidden="0" w:name="Note Heading"/>
    <w:lsdException w:qFormat="1" w:unhideWhenUsed="0" w:uiPriority="99" w:semiHidden="0" w:name="Body Text 2"/>
    <w:lsdException w:uiPriority="99"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qFormat="1" w:unhideWhenUsed="0" w:uiPriority="0" w:semiHidden="0"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560"/>
    <w:qFormat/>
    <w:uiPriority w:val="0"/>
    <w:pPr>
      <w:widowControl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5">
    <w:name w:val="heading 1"/>
    <w:basedOn w:val="1"/>
    <w:next w:val="1"/>
    <w:link w:val="61"/>
    <w:qFormat/>
    <w:uiPriority w:val="0"/>
    <w:pPr>
      <w:numPr>
        <w:ilvl w:val="0"/>
        <w:numId w:val="1"/>
      </w:numPr>
      <w:ind w:firstLine="0" w:firstLineChars="0"/>
      <w:jc w:val="center"/>
      <w:outlineLvl w:val="0"/>
    </w:pPr>
    <w:rPr>
      <w:b/>
      <w:bCs/>
      <w:kern w:val="44"/>
      <w:sz w:val="30"/>
      <w:szCs w:val="44"/>
    </w:rPr>
  </w:style>
  <w:style w:type="paragraph" w:styleId="6">
    <w:name w:val="heading 2"/>
    <w:basedOn w:val="1"/>
    <w:next w:val="1"/>
    <w:link w:val="62"/>
    <w:qFormat/>
    <w:uiPriority w:val="0"/>
    <w:pPr>
      <w:spacing w:before="50" w:beforeLines="50" w:after="50" w:afterLines="50"/>
      <w:ind w:firstLine="0" w:firstLineChars="0"/>
      <w:outlineLvl w:val="1"/>
    </w:pPr>
    <w:rPr>
      <w:b/>
      <w:bCs/>
      <w:kern w:val="0"/>
      <w:sz w:val="30"/>
      <w:szCs w:val="32"/>
    </w:rPr>
  </w:style>
  <w:style w:type="paragraph" w:styleId="7">
    <w:name w:val="heading 3"/>
    <w:basedOn w:val="1"/>
    <w:next w:val="1"/>
    <w:link w:val="63"/>
    <w:qFormat/>
    <w:uiPriority w:val="0"/>
    <w:pPr>
      <w:adjustRightInd w:val="0"/>
      <w:snapToGrid w:val="0"/>
      <w:spacing w:before="50" w:beforeLines="50" w:after="50" w:afterLines="50"/>
      <w:ind w:firstLine="0" w:firstLineChars="0"/>
      <w:outlineLvl w:val="2"/>
    </w:pPr>
    <w:rPr>
      <w:b/>
      <w:bCs/>
      <w:snapToGrid w:val="0"/>
      <w:kern w:val="0"/>
      <w:sz w:val="28"/>
    </w:rPr>
  </w:style>
  <w:style w:type="paragraph" w:styleId="8">
    <w:name w:val="heading 4"/>
    <w:basedOn w:val="1"/>
    <w:next w:val="1"/>
    <w:link w:val="64"/>
    <w:qFormat/>
    <w:uiPriority w:val="0"/>
    <w:pPr>
      <w:tabs>
        <w:tab w:val="left" w:pos="5400"/>
      </w:tabs>
      <w:ind w:firstLine="0" w:firstLineChars="0"/>
      <w:outlineLvl w:val="3"/>
    </w:pPr>
    <w:rPr>
      <w:b/>
      <w:bCs/>
      <w:szCs w:val="28"/>
    </w:rPr>
  </w:style>
  <w:style w:type="paragraph" w:styleId="9">
    <w:name w:val="heading 5"/>
    <w:basedOn w:val="1"/>
    <w:next w:val="1"/>
    <w:link w:val="65"/>
    <w:unhideWhenUsed/>
    <w:qFormat/>
    <w:uiPriority w:val="0"/>
    <w:pPr>
      <w:keepLines/>
      <w:adjustRightInd w:val="0"/>
      <w:snapToGrid w:val="0"/>
      <w:jc w:val="center"/>
      <w:outlineLvl w:val="4"/>
    </w:pPr>
    <w:rPr>
      <w:rFonts w:ascii="Times New Roman" w:hAnsi="Times New Roman" w:eastAsia="宋体" w:cs="Times New Roman"/>
      <w:b/>
      <w:bCs/>
      <w:kern w:val="2"/>
      <w:sz w:val="24"/>
      <w:szCs w:val="28"/>
      <w:lang w:val="en-US" w:eastAsia="zh-CN" w:bidi="ar-SA"/>
    </w:rPr>
  </w:style>
  <w:style w:type="paragraph" w:styleId="10">
    <w:name w:val="heading 6"/>
    <w:basedOn w:val="1"/>
    <w:next w:val="1"/>
    <w:link w:val="66"/>
    <w:unhideWhenUsed/>
    <w:qFormat/>
    <w:uiPriority w:val="9"/>
    <w:pPr>
      <w:keepNext/>
      <w:keepLines/>
      <w:spacing w:before="240" w:after="64" w:line="320" w:lineRule="auto"/>
      <w:outlineLvl w:val="5"/>
    </w:pPr>
    <w:rPr>
      <w:rFonts w:asciiTheme="majorHAnsi" w:hAnsiTheme="majorHAnsi" w:eastAsiaTheme="majorEastAsia" w:cstheme="majorBidi"/>
      <w:b/>
      <w:bCs/>
      <w:szCs w:val="24"/>
    </w:rPr>
  </w:style>
  <w:style w:type="paragraph" w:styleId="11">
    <w:name w:val="heading 7"/>
    <w:basedOn w:val="1"/>
    <w:next w:val="1"/>
    <w:link w:val="67"/>
    <w:unhideWhenUsed/>
    <w:qFormat/>
    <w:uiPriority w:val="9"/>
    <w:pPr>
      <w:spacing w:before="240" w:after="60"/>
      <w:outlineLvl w:val="6"/>
    </w:pPr>
    <w:rPr>
      <w:rFonts w:ascii="Calibri" w:hAnsi="Calibri"/>
      <w:kern w:val="0"/>
      <w:szCs w:val="24"/>
    </w:rPr>
  </w:style>
  <w:style w:type="paragraph" w:styleId="12">
    <w:name w:val="heading 8"/>
    <w:basedOn w:val="1"/>
    <w:next w:val="1"/>
    <w:link w:val="68"/>
    <w:unhideWhenUsed/>
    <w:qFormat/>
    <w:uiPriority w:val="9"/>
    <w:pPr>
      <w:spacing w:before="240" w:after="60"/>
      <w:outlineLvl w:val="7"/>
    </w:pPr>
    <w:rPr>
      <w:rFonts w:ascii="Calibri" w:hAnsi="Calibri"/>
      <w:i/>
      <w:iCs/>
      <w:kern w:val="0"/>
      <w:szCs w:val="24"/>
    </w:rPr>
  </w:style>
  <w:style w:type="paragraph" w:styleId="13">
    <w:name w:val="heading 9"/>
    <w:basedOn w:val="1"/>
    <w:next w:val="1"/>
    <w:link w:val="69"/>
    <w:unhideWhenUsed/>
    <w:qFormat/>
    <w:uiPriority w:val="9"/>
    <w:pPr>
      <w:spacing w:before="240" w:after="60"/>
      <w:outlineLvl w:val="8"/>
    </w:pPr>
    <w:rPr>
      <w:rFonts w:ascii="Cambria" w:hAnsi="Cambria"/>
      <w:kern w:val="0"/>
      <w:sz w:val="20"/>
    </w:rPr>
  </w:style>
  <w:style w:type="character" w:default="1" w:styleId="51">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qFormat/>
    <w:uiPriority w:val="0"/>
    <w:pPr>
      <w:spacing w:line="240" w:lineRule="auto"/>
      <w:ind w:firstLine="420"/>
    </w:pPr>
    <w:rPr>
      <w:sz w:val="28"/>
      <w:szCs w:val="24"/>
    </w:rPr>
  </w:style>
  <w:style w:type="paragraph" w:styleId="3">
    <w:name w:val="Body Text First Indent 2"/>
    <w:basedOn w:val="4"/>
    <w:next w:val="1"/>
    <w:link w:val="146"/>
    <w:qFormat/>
    <w:uiPriority w:val="99"/>
    <w:pPr>
      <w:snapToGrid w:val="0"/>
      <w:ind w:firstLine="420"/>
    </w:pPr>
  </w:style>
  <w:style w:type="paragraph" w:styleId="4">
    <w:name w:val="Body Text Indent"/>
    <w:basedOn w:val="1"/>
    <w:next w:val="3"/>
    <w:link w:val="134"/>
    <w:unhideWhenUsed/>
    <w:qFormat/>
    <w:uiPriority w:val="0"/>
    <w:pPr>
      <w:spacing w:after="120"/>
      <w:ind w:left="420" w:leftChars="200"/>
    </w:pPr>
    <w:rPr>
      <w:szCs w:val="24"/>
    </w:rPr>
  </w:style>
  <w:style w:type="paragraph" w:styleId="14">
    <w:name w:val="toc 7"/>
    <w:basedOn w:val="1"/>
    <w:next w:val="1"/>
    <w:unhideWhenUsed/>
    <w:qFormat/>
    <w:uiPriority w:val="39"/>
    <w:pPr>
      <w:spacing w:after="100" w:line="276" w:lineRule="auto"/>
      <w:ind w:left="1320"/>
    </w:pPr>
    <w:rPr>
      <w:rFonts w:ascii="Calibri" w:hAnsi="Calibri"/>
      <w:kern w:val="0"/>
      <w:sz w:val="22"/>
      <w:szCs w:val="22"/>
      <w:lang w:val="en-GB"/>
    </w:rPr>
  </w:style>
  <w:style w:type="paragraph" w:styleId="15">
    <w:name w:val="Note Heading"/>
    <w:basedOn w:val="1"/>
    <w:next w:val="1"/>
    <w:qFormat/>
    <w:uiPriority w:val="0"/>
    <w:pPr>
      <w:jc w:val="left"/>
    </w:pPr>
  </w:style>
  <w:style w:type="paragraph" w:styleId="16">
    <w:name w:val="List Number"/>
    <w:basedOn w:val="1"/>
    <w:qFormat/>
    <w:uiPriority w:val="0"/>
    <w:pPr>
      <w:numPr>
        <w:ilvl w:val="0"/>
        <w:numId w:val="2"/>
      </w:numPr>
      <w:spacing w:line="420" w:lineRule="exact"/>
      <w:ind w:firstLine="0"/>
    </w:pPr>
  </w:style>
  <w:style w:type="paragraph" w:styleId="17">
    <w:name w:val="caption"/>
    <w:basedOn w:val="1"/>
    <w:next w:val="1"/>
    <w:qFormat/>
    <w:uiPriority w:val="0"/>
    <w:pPr>
      <w:keepNext/>
      <w:spacing w:line="240" w:lineRule="auto"/>
      <w:jc w:val="center"/>
    </w:pPr>
    <w:rPr>
      <w:b/>
      <w:sz w:val="21"/>
    </w:rPr>
  </w:style>
  <w:style w:type="paragraph" w:styleId="18">
    <w:name w:val="Document Map"/>
    <w:basedOn w:val="1"/>
    <w:link w:val="133"/>
    <w:unhideWhenUsed/>
    <w:qFormat/>
    <w:uiPriority w:val="0"/>
    <w:rPr>
      <w:rFonts w:ascii="宋体"/>
      <w:sz w:val="18"/>
      <w:szCs w:val="18"/>
    </w:rPr>
  </w:style>
  <w:style w:type="paragraph" w:styleId="19">
    <w:name w:val="annotation text"/>
    <w:basedOn w:val="1"/>
    <w:link w:val="71"/>
    <w:unhideWhenUsed/>
    <w:qFormat/>
    <w:uiPriority w:val="99"/>
  </w:style>
  <w:style w:type="paragraph" w:styleId="20">
    <w:name w:val="index 6"/>
    <w:basedOn w:val="1"/>
    <w:next w:val="1"/>
    <w:qFormat/>
    <w:uiPriority w:val="0"/>
    <w:pPr>
      <w:ind w:left="1000" w:leftChars="1000"/>
    </w:pPr>
    <w:rPr>
      <w:rFonts w:ascii="Times New Roman" w:hAnsi="Times New Roman"/>
      <w:kern w:val="2"/>
      <w:sz w:val="21"/>
      <w:szCs w:val="24"/>
    </w:rPr>
  </w:style>
  <w:style w:type="paragraph" w:styleId="21">
    <w:name w:val="Body Text"/>
    <w:basedOn w:val="1"/>
    <w:next w:val="15"/>
    <w:link w:val="89"/>
    <w:qFormat/>
    <w:uiPriority w:val="0"/>
    <w:rPr>
      <w:rFonts w:ascii="宋体" w:hAnsi="宋体" w:cs="宋体"/>
      <w:sz w:val="21"/>
      <w:szCs w:val="21"/>
      <w:lang w:eastAsia="en-US" w:bidi="en-US"/>
    </w:rPr>
  </w:style>
  <w:style w:type="paragraph" w:styleId="22">
    <w:name w:val="Block Text"/>
    <w:basedOn w:val="1"/>
    <w:qFormat/>
    <w:uiPriority w:val="99"/>
    <w:pPr>
      <w:adjustRightInd w:val="0"/>
      <w:spacing w:line="500" w:lineRule="exact"/>
      <w:ind w:left="57" w:right="113"/>
      <w:textAlignment w:val="baseline"/>
    </w:pPr>
    <w:rPr>
      <w:rFonts w:ascii="宋体"/>
      <w:kern w:val="0"/>
      <w:sz w:val="28"/>
    </w:rPr>
  </w:style>
  <w:style w:type="paragraph" w:styleId="23">
    <w:name w:val="toc 5"/>
    <w:basedOn w:val="1"/>
    <w:next w:val="1"/>
    <w:unhideWhenUsed/>
    <w:qFormat/>
    <w:uiPriority w:val="39"/>
    <w:pPr>
      <w:spacing w:after="100" w:line="276" w:lineRule="auto"/>
      <w:ind w:left="880"/>
    </w:pPr>
    <w:rPr>
      <w:rFonts w:ascii="Calibri" w:hAnsi="Calibri"/>
      <w:kern w:val="0"/>
      <w:sz w:val="22"/>
      <w:szCs w:val="22"/>
      <w:lang w:val="en-GB"/>
    </w:rPr>
  </w:style>
  <w:style w:type="paragraph" w:styleId="24">
    <w:name w:val="toc 3"/>
    <w:basedOn w:val="1"/>
    <w:next w:val="1"/>
    <w:unhideWhenUsed/>
    <w:qFormat/>
    <w:uiPriority w:val="39"/>
    <w:pPr>
      <w:spacing w:after="100"/>
      <w:ind w:left="480"/>
    </w:pPr>
    <w:rPr>
      <w:szCs w:val="24"/>
    </w:rPr>
  </w:style>
  <w:style w:type="paragraph" w:styleId="25">
    <w:name w:val="Plain Text"/>
    <w:basedOn w:val="1"/>
    <w:next w:val="21"/>
    <w:link w:val="136"/>
    <w:qFormat/>
    <w:uiPriority w:val="99"/>
    <w:pPr>
      <w:spacing w:line="240" w:lineRule="auto"/>
    </w:pPr>
    <w:rPr>
      <w:sz w:val="21"/>
      <w:szCs w:val="24"/>
    </w:rPr>
  </w:style>
  <w:style w:type="paragraph" w:styleId="26">
    <w:name w:val="toc 8"/>
    <w:basedOn w:val="1"/>
    <w:next w:val="1"/>
    <w:unhideWhenUsed/>
    <w:qFormat/>
    <w:uiPriority w:val="39"/>
    <w:pPr>
      <w:spacing w:after="100" w:line="276" w:lineRule="auto"/>
      <w:ind w:left="1540"/>
    </w:pPr>
    <w:rPr>
      <w:rFonts w:ascii="Calibri" w:hAnsi="Calibri"/>
      <w:kern w:val="0"/>
      <w:sz w:val="22"/>
      <w:szCs w:val="22"/>
      <w:lang w:val="en-GB"/>
    </w:rPr>
  </w:style>
  <w:style w:type="paragraph" w:styleId="27">
    <w:name w:val="Date"/>
    <w:basedOn w:val="1"/>
    <w:next w:val="1"/>
    <w:link w:val="137"/>
    <w:unhideWhenUsed/>
    <w:qFormat/>
    <w:uiPriority w:val="0"/>
    <w:pPr>
      <w:ind w:left="100" w:leftChars="2500"/>
    </w:pPr>
    <w:rPr>
      <w:szCs w:val="24"/>
    </w:rPr>
  </w:style>
  <w:style w:type="paragraph" w:styleId="28">
    <w:name w:val="Body Text Indent 2"/>
    <w:basedOn w:val="1"/>
    <w:link w:val="138"/>
    <w:qFormat/>
    <w:uiPriority w:val="99"/>
    <w:pPr>
      <w:snapToGrid w:val="0"/>
      <w:ind w:firstLine="630"/>
    </w:pPr>
    <w:rPr>
      <w:szCs w:val="24"/>
    </w:rPr>
  </w:style>
  <w:style w:type="paragraph" w:styleId="29">
    <w:name w:val="Balloon Text"/>
    <w:basedOn w:val="1"/>
    <w:link w:val="78"/>
    <w:qFormat/>
    <w:uiPriority w:val="99"/>
    <w:pPr>
      <w:spacing w:line="240" w:lineRule="auto"/>
    </w:pPr>
    <w:rPr>
      <w:rFonts w:ascii="宋体" w:hAnsiTheme="minorHAnsi" w:eastAsiaTheme="minorEastAsia" w:cstheme="minorBidi"/>
      <w:sz w:val="18"/>
      <w:szCs w:val="18"/>
    </w:rPr>
  </w:style>
  <w:style w:type="paragraph" w:styleId="30">
    <w:name w:val="footer"/>
    <w:basedOn w:val="1"/>
    <w:link w:val="85"/>
    <w:qFormat/>
    <w:uiPriority w:val="99"/>
    <w:pPr>
      <w:tabs>
        <w:tab w:val="center" w:pos="4153"/>
        <w:tab w:val="right" w:pos="8306"/>
      </w:tabs>
      <w:snapToGrid w:val="0"/>
    </w:pPr>
    <w:rPr>
      <w:rFonts w:ascii="宋体" w:hAnsi="宋体"/>
      <w:sz w:val="18"/>
      <w:szCs w:val="18"/>
    </w:rPr>
  </w:style>
  <w:style w:type="paragraph" w:styleId="31">
    <w:name w:val="header"/>
    <w:basedOn w:val="1"/>
    <w:link w:val="10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32">
    <w:name w:val="Signature"/>
    <w:basedOn w:val="21"/>
    <w:link w:val="139"/>
    <w:qFormat/>
    <w:uiPriority w:val="0"/>
    <w:pPr>
      <w:keepNext/>
      <w:keepLines/>
      <w:spacing w:before="660"/>
    </w:pPr>
    <w:rPr>
      <w:rFonts w:ascii="Verdana" w:hAnsi="Verdana" w:cs="Times New Roman"/>
      <w:sz w:val="28"/>
      <w:szCs w:val="22"/>
      <w:lang w:eastAsia="zh-CN" w:bidi="ar-SA"/>
    </w:rPr>
  </w:style>
  <w:style w:type="paragraph" w:styleId="33">
    <w:name w:val="toc 1"/>
    <w:basedOn w:val="1"/>
    <w:next w:val="1"/>
    <w:link w:val="102"/>
    <w:qFormat/>
    <w:uiPriority w:val="39"/>
    <w:rPr>
      <w:b/>
      <w:sz w:val="28"/>
    </w:rPr>
  </w:style>
  <w:style w:type="paragraph" w:styleId="34">
    <w:name w:val="toc 4"/>
    <w:basedOn w:val="1"/>
    <w:next w:val="1"/>
    <w:unhideWhenUsed/>
    <w:qFormat/>
    <w:uiPriority w:val="39"/>
    <w:pPr>
      <w:spacing w:after="100" w:line="276" w:lineRule="auto"/>
      <w:ind w:left="660"/>
    </w:pPr>
    <w:rPr>
      <w:rFonts w:ascii="Calibri" w:hAnsi="Calibri"/>
      <w:kern w:val="0"/>
      <w:sz w:val="22"/>
      <w:szCs w:val="22"/>
      <w:lang w:val="en-GB"/>
    </w:rPr>
  </w:style>
  <w:style w:type="paragraph" w:styleId="35">
    <w:name w:val="Subtitle"/>
    <w:basedOn w:val="8"/>
    <w:next w:val="9"/>
    <w:link w:val="140"/>
    <w:qFormat/>
    <w:uiPriority w:val="11"/>
    <w:pPr>
      <w:keepNext/>
      <w:tabs>
        <w:tab w:val="clear" w:pos="5400"/>
      </w:tabs>
      <w:ind w:firstLine="200" w:firstLineChars="200"/>
      <w:outlineLvl w:val="1"/>
    </w:pPr>
    <w:rPr>
      <w:kern w:val="0"/>
    </w:rPr>
  </w:style>
  <w:style w:type="paragraph" w:styleId="36">
    <w:name w:val="List"/>
    <w:basedOn w:val="1"/>
    <w:qFormat/>
    <w:uiPriority w:val="0"/>
    <w:pPr>
      <w:spacing w:line="240" w:lineRule="auto"/>
      <w:ind w:left="420" w:hanging="420"/>
    </w:pPr>
    <w:rPr>
      <w:sz w:val="21"/>
    </w:rPr>
  </w:style>
  <w:style w:type="paragraph" w:styleId="37">
    <w:name w:val="toc 6"/>
    <w:basedOn w:val="1"/>
    <w:next w:val="1"/>
    <w:unhideWhenUsed/>
    <w:qFormat/>
    <w:uiPriority w:val="39"/>
    <w:pPr>
      <w:spacing w:after="100" w:line="276" w:lineRule="auto"/>
      <w:ind w:left="1100"/>
    </w:pPr>
    <w:rPr>
      <w:rFonts w:ascii="Calibri" w:hAnsi="Calibri"/>
      <w:kern w:val="0"/>
      <w:sz w:val="22"/>
      <w:szCs w:val="22"/>
      <w:lang w:val="en-GB"/>
    </w:rPr>
  </w:style>
  <w:style w:type="paragraph" w:styleId="38">
    <w:name w:val="Body Text Indent 3"/>
    <w:basedOn w:val="1"/>
    <w:link w:val="141"/>
    <w:qFormat/>
    <w:uiPriority w:val="99"/>
    <w:pPr>
      <w:snapToGrid w:val="0"/>
      <w:ind w:firstLine="420"/>
      <w:outlineLvl w:val="0"/>
    </w:pPr>
    <w:rPr>
      <w:sz w:val="16"/>
      <w:szCs w:val="16"/>
    </w:rPr>
  </w:style>
  <w:style w:type="paragraph" w:styleId="39">
    <w:name w:val="toc 2"/>
    <w:basedOn w:val="1"/>
    <w:next w:val="1"/>
    <w:link w:val="88"/>
    <w:qFormat/>
    <w:uiPriority w:val="39"/>
  </w:style>
  <w:style w:type="paragraph" w:styleId="40">
    <w:name w:val="toc 9"/>
    <w:basedOn w:val="1"/>
    <w:next w:val="1"/>
    <w:unhideWhenUsed/>
    <w:qFormat/>
    <w:uiPriority w:val="39"/>
    <w:pPr>
      <w:spacing w:after="100" w:line="276" w:lineRule="auto"/>
      <w:ind w:left="1760"/>
    </w:pPr>
    <w:rPr>
      <w:rFonts w:ascii="Calibri" w:hAnsi="Calibri"/>
      <w:kern w:val="0"/>
      <w:sz w:val="22"/>
      <w:szCs w:val="22"/>
      <w:lang w:val="en-GB"/>
    </w:rPr>
  </w:style>
  <w:style w:type="paragraph" w:styleId="41">
    <w:name w:val="Body Text 2"/>
    <w:basedOn w:val="1"/>
    <w:link w:val="142"/>
    <w:qFormat/>
    <w:uiPriority w:val="99"/>
    <w:pPr>
      <w:snapToGrid w:val="0"/>
      <w:jc w:val="center"/>
    </w:pPr>
    <w:rPr>
      <w:szCs w:val="24"/>
    </w:rPr>
  </w:style>
  <w:style w:type="paragraph" w:styleId="42">
    <w:name w:val="Message Header"/>
    <w:basedOn w:val="21"/>
    <w:link w:val="143"/>
    <w:qFormat/>
    <w:uiPriority w:val="0"/>
    <w:pPr>
      <w:keepLines/>
      <w:tabs>
        <w:tab w:val="left" w:pos="720"/>
        <w:tab w:val="left" w:pos="4320"/>
        <w:tab w:val="left" w:pos="5040"/>
        <w:tab w:val="right" w:pos="8640"/>
      </w:tabs>
      <w:spacing w:after="40" w:line="440" w:lineRule="atLeast"/>
      <w:ind w:left="720" w:hanging="720"/>
    </w:pPr>
    <w:rPr>
      <w:rFonts w:ascii="Verdana" w:hAnsi="Verdana" w:cs="Times New Roman"/>
      <w:sz w:val="28"/>
      <w:szCs w:val="22"/>
      <w:lang w:eastAsia="zh-CN" w:bidi="ar-SA"/>
    </w:rPr>
  </w:style>
  <w:style w:type="paragraph" w:styleId="43">
    <w:name w:val="HTML Preformatted"/>
    <w:basedOn w:val="1"/>
    <w:link w:val="144"/>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hAnsi="宋体" w:cs="宋体"/>
      <w:kern w:val="0"/>
      <w:szCs w:val="24"/>
    </w:rPr>
  </w:style>
  <w:style w:type="paragraph" w:styleId="44">
    <w:name w:val="Normal (Web)"/>
    <w:basedOn w:val="1"/>
    <w:link w:val="535"/>
    <w:unhideWhenUsed/>
    <w:qFormat/>
    <w:uiPriority w:val="99"/>
    <w:pPr>
      <w:keepNext/>
      <w:spacing w:before="100" w:beforeAutospacing="1" w:after="100" w:afterAutospacing="1" w:line="240" w:lineRule="auto"/>
    </w:pPr>
    <w:rPr>
      <w:rFonts w:ascii="宋体" w:hAnsi="宋体" w:cs="宋体"/>
      <w:kern w:val="0"/>
      <w:szCs w:val="24"/>
    </w:rPr>
  </w:style>
  <w:style w:type="paragraph" w:styleId="45">
    <w:name w:val="Title"/>
    <w:basedOn w:val="1"/>
    <w:next w:val="1"/>
    <w:link w:val="72"/>
    <w:qFormat/>
    <w:uiPriority w:val="0"/>
    <w:pPr>
      <w:spacing w:before="240" w:after="60"/>
      <w:jc w:val="center"/>
      <w:outlineLvl w:val="0"/>
    </w:pPr>
    <w:rPr>
      <w:rFonts w:ascii="Arial" w:hAnsi="Arial" w:cs="Arial" w:eastAsiaTheme="minorEastAsia"/>
      <w:b/>
      <w:bCs/>
      <w:sz w:val="32"/>
      <w:szCs w:val="32"/>
    </w:rPr>
  </w:style>
  <w:style w:type="paragraph" w:styleId="46">
    <w:name w:val="annotation subject"/>
    <w:basedOn w:val="19"/>
    <w:next w:val="19"/>
    <w:link w:val="70"/>
    <w:qFormat/>
    <w:uiPriority w:val="0"/>
    <w:rPr>
      <w:rFonts w:asciiTheme="minorHAnsi" w:hAnsiTheme="minorHAnsi" w:eastAsiaTheme="minorEastAsia" w:cstheme="minorBidi"/>
      <w:b/>
      <w:bCs/>
      <w:szCs w:val="22"/>
    </w:rPr>
  </w:style>
  <w:style w:type="paragraph" w:styleId="47">
    <w:name w:val="Body Text First Indent"/>
    <w:basedOn w:val="21"/>
    <w:next w:val="1"/>
    <w:link w:val="145"/>
    <w:qFormat/>
    <w:uiPriority w:val="99"/>
    <w:pPr>
      <w:snapToGrid w:val="0"/>
      <w:spacing w:after="120" w:line="240" w:lineRule="auto"/>
      <w:ind w:firstLine="420" w:firstLineChars="100"/>
    </w:pPr>
    <w:rPr>
      <w:rFonts w:hAnsi="Times New Roman" w:cs="Times New Roman"/>
      <w:sz w:val="28"/>
      <w:szCs w:val="20"/>
      <w:lang w:eastAsia="zh-CN" w:bidi="ar-SA"/>
    </w:rPr>
  </w:style>
  <w:style w:type="table" w:styleId="49">
    <w:name w:val="Table Grid"/>
    <w:basedOn w:val="48"/>
    <w:qFormat/>
    <w:uiPriority w:val="0"/>
    <w:pPr>
      <w:widowControl w:val="0"/>
      <w:jc w:val="both"/>
    </w:pPr>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0">
    <w:name w:val="Table Classic 2"/>
    <w:basedOn w:val="48"/>
    <w:qFormat/>
    <w:uiPriority w:val="0"/>
    <w:pPr>
      <w:widowControl w:val="0"/>
      <w:jc w:val="both"/>
    </w:pPr>
    <w:rPr>
      <w:rFonts w:eastAsia="等线"/>
    </w:rPr>
    <w:tblPr>
      <w:tblBorders>
        <w:top w:val="single" w:color="000000" w:sz="12" w:space="0"/>
        <w:bottom w:val="single" w:color="000000" w:sz="12"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character" w:styleId="52">
    <w:name w:val="Strong"/>
    <w:basedOn w:val="51"/>
    <w:qFormat/>
    <w:uiPriority w:val="0"/>
    <w:rPr>
      <w:b/>
      <w:bCs/>
    </w:rPr>
  </w:style>
  <w:style w:type="character" w:styleId="53">
    <w:name w:val="page number"/>
    <w:qFormat/>
    <w:uiPriority w:val="0"/>
    <w:rPr>
      <w:rFonts w:ascii="Times New Roman" w:hAnsi="Times New Roman" w:eastAsia="宋体"/>
      <w:sz w:val="18"/>
    </w:rPr>
  </w:style>
  <w:style w:type="character" w:styleId="54">
    <w:name w:val="FollowedHyperlink"/>
    <w:qFormat/>
    <w:uiPriority w:val="99"/>
    <w:rPr>
      <w:color w:val="800080"/>
      <w:u w:val="single"/>
    </w:rPr>
  </w:style>
  <w:style w:type="character" w:styleId="55">
    <w:name w:val="Emphasis"/>
    <w:qFormat/>
    <w:uiPriority w:val="20"/>
    <w:rPr>
      <w:color w:val="CC0033"/>
    </w:rPr>
  </w:style>
  <w:style w:type="character" w:styleId="56">
    <w:name w:val="Hyperlink"/>
    <w:basedOn w:val="51"/>
    <w:qFormat/>
    <w:uiPriority w:val="99"/>
    <w:rPr>
      <w:color w:val="0000FF"/>
      <w:u w:val="single"/>
    </w:rPr>
  </w:style>
  <w:style w:type="character" w:styleId="57">
    <w:name w:val="annotation reference"/>
    <w:qFormat/>
    <w:uiPriority w:val="99"/>
    <w:rPr>
      <w:sz w:val="21"/>
      <w:szCs w:val="21"/>
    </w:rPr>
  </w:style>
  <w:style w:type="paragraph" w:customStyle="1" w:styleId="58">
    <w:name w:val="标题3"/>
    <w:basedOn w:val="1"/>
    <w:qFormat/>
    <w:uiPriority w:val="0"/>
    <w:rPr>
      <w:szCs w:val="24"/>
    </w:rPr>
  </w:style>
  <w:style w:type="paragraph" w:customStyle="1" w:styleId="59">
    <w:name w:val="样式 标题 1 + 首行缩进:  0 字符"/>
    <w:basedOn w:val="5"/>
    <w:next w:val="60"/>
    <w:qFormat/>
    <w:uiPriority w:val="99"/>
    <w:pPr>
      <w:adjustRightInd/>
      <w:spacing w:before="0" w:after="0" w:line="520" w:lineRule="exact"/>
      <w:ind w:firstLine="0" w:firstLineChars="0"/>
      <w:jc w:val="both"/>
    </w:pPr>
    <w:rPr>
      <w:rFonts w:ascii="Arial" w:hAnsi="Arial" w:eastAsia="黑体" w:cs="宋体"/>
      <w:color w:val="auto"/>
      <w:sz w:val="30"/>
      <w:szCs w:val="20"/>
    </w:rPr>
  </w:style>
  <w:style w:type="paragraph" w:customStyle="1" w:styleId="60">
    <w:name w:val="xl57"/>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ind w:firstLine="0" w:firstLineChars="0"/>
      <w:textAlignment w:val="center"/>
    </w:pPr>
    <w:rPr>
      <w:rFonts w:ascii="Times New Roman"/>
      <w:b/>
      <w:bCs/>
      <w:color w:val="auto"/>
      <w:kern w:val="0"/>
      <w:sz w:val="20"/>
      <w:szCs w:val="20"/>
    </w:rPr>
  </w:style>
  <w:style w:type="character" w:customStyle="1" w:styleId="61">
    <w:name w:val="标题 1 Char"/>
    <w:basedOn w:val="51"/>
    <w:link w:val="5"/>
    <w:qFormat/>
    <w:uiPriority w:val="0"/>
    <w:rPr>
      <w:b/>
      <w:bCs/>
      <w:kern w:val="44"/>
      <w:sz w:val="30"/>
      <w:szCs w:val="44"/>
    </w:rPr>
  </w:style>
  <w:style w:type="character" w:customStyle="1" w:styleId="62">
    <w:name w:val="标题 2 Char"/>
    <w:basedOn w:val="51"/>
    <w:link w:val="6"/>
    <w:qFormat/>
    <w:uiPriority w:val="0"/>
    <w:rPr>
      <w:rFonts w:ascii="Times New Roman" w:hAnsi="Times New Roman" w:eastAsia="宋体" w:cs="Times New Roman"/>
      <w:b/>
      <w:bCs/>
      <w:kern w:val="0"/>
      <w:sz w:val="30"/>
      <w:szCs w:val="32"/>
    </w:rPr>
  </w:style>
  <w:style w:type="character" w:customStyle="1" w:styleId="63">
    <w:name w:val="标题 3 Char"/>
    <w:basedOn w:val="51"/>
    <w:link w:val="7"/>
    <w:qFormat/>
    <w:uiPriority w:val="0"/>
    <w:rPr>
      <w:b/>
      <w:bCs/>
      <w:snapToGrid w:val="0"/>
      <w:sz w:val="28"/>
      <w:szCs w:val="24"/>
    </w:rPr>
  </w:style>
  <w:style w:type="character" w:customStyle="1" w:styleId="64">
    <w:name w:val="标题 4 Char"/>
    <w:basedOn w:val="51"/>
    <w:link w:val="8"/>
    <w:qFormat/>
    <w:uiPriority w:val="0"/>
    <w:rPr>
      <w:rFonts w:ascii="Times New Roman" w:hAnsi="Times New Roman" w:eastAsia="宋体" w:cs="Times New Roman"/>
      <w:b/>
      <w:bCs/>
      <w:sz w:val="24"/>
      <w:szCs w:val="28"/>
    </w:rPr>
  </w:style>
  <w:style w:type="character" w:customStyle="1" w:styleId="65">
    <w:name w:val="标题 5 Char"/>
    <w:basedOn w:val="51"/>
    <w:link w:val="9"/>
    <w:qFormat/>
    <w:uiPriority w:val="0"/>
    <w:rPr>
      <w:b/>
      <w:bCs/>
      <w:kern w:val="2"/>
      <w:sz w:val="24"/>
      <w:szCs w:val="28"/>
    </w:rPr>
  </w:style>
  <w:style w:type="character" w:customStyle="1" w:styleId="66">
    <w:name w:val="标题 6 Char"/>
    <w:basedOn w:val="51"/>
    <w:link w:val="10"/>
    <w:qFormat/>
    <w:uiPriority w:val="9"/>
    <w:rPr>
      <w:rFonts w:asciiTheme="majorHAnsi" w:hAnsiTheme="majorHAnsi" w:eastAsiaTheme="majorEastAsia" w:cstheme="majorBidi"/>
      <w:b/>
      <w:bCs/>
      <w:sz w:val="24"/>
      <w:szCs w:val="24"/>
    </w:rPr>
  </w:style>
  <w:style w:type="character" w:customStyle="1" w:styleId="67">
    <w:name w:val="标题 7 Char"/>
    <w:basedOn w:val="51"/>
    <w:link w:val="11"/>
    <w:qFormat/>
    <w:uiPriority w:val="9"/>
    <w:rPr>
      <w:rFonts w:ascii="Calibri" w:hAnsi="Calibri" w:eastAsia="宋体" w:cs="Times New Roman"/>
      <w:kern w:val="0"/>
      <w:sz w:val="24"/>
      <w:szCs w:val="24"/>
    </w:rPr>
  </w:style>
  <w:style w:type="character" w:customStyle="1" w:styleId="68">
    <w:name w:val="标题 8 Char"/>
    <w:basedOn w:val="51"/>
    <w:link w:val="12"/>
    <w:qFormat/>
    <w:uiPriority w:val="9"/>
    <w:rPr>
      <w:rFonts w:ascii="Calibri" w:hAnsi="Calibri" w:eastAsia="宋体" w:cs="Times New Roman"/>
      <w:i/>
      <w:iCs/>
      <w:kern w:val="0"/>
      <w:sz w:val="24"/>
      <w:szCs w:val="24"/>
    </w:rPr>
  </w:style>
  <w:style w:type="character" w:customStyle="1" w:styleId="69">
    <w:name w:val="标题 9 Char"/>
    <w:basedOn w:val="51"/>
    <w:link w:val="13"/>
    <w:qFormat/>
    <w:uiPriority w:val="9"/>
    <w:rPr>
      <w:rFonts w:ascii="Cambria" w:hAnsi="Cambria" w:eastAsia="宋体" w:cs="Times New Roman"/>
      <w:kern w:val="0"/>
      <w:sz w:val="20"/>
      <w:szCs w:val="20"/>
    </w:rPr>
  </w:style>
  <w:style w:type="character" w:customStyle="1" w:styleId="70">
    <w:name w:val="批注主题 Char2"/>
    <w:link w:val="46"/>
    <w:qFormat/>
    <w:uiPriority w:val="99"/>
    <w:rPr>
      <w:b/>
      <w:bCs/>
      <w:sz w:val="24"/>
    </w:rPr>
  </w:style>
  <w:style w:type="character" w:customStyle="1" w:styleId="71">
    <w:name w:val="批注文字 Char2"/>
    <w:basedOn w:val="51"/>
    <w:link w:val="19"/>
    <w:qFormat/>
    <w:uiPriority w:val="99"/>
    <w:rPr>
      <w:rFonts w:ascii="Times New Roman" w:hAnsi="Times New Roman" w:eastAsia="宋体" w:cs="Times New Roman"/>
      <w:sz w:val="24"/>
      <w:szCs w:val="20"/>
    </w:rPr>
  </w:style>
  <w:style w:type="character" w:customStyle="1" w:styleId="72">
    <w:name w:val="标题 Char"/>
    <w:link w:val="45"/>
    <w:qFormat/>
    <w:uiPriority w:val="0"/>
    <w:rPr>
      <w:rFonts w:ascii="Arial" w:hAnsi="Arial" w:cs="Arial"/>
      <w:b/>
      <w:bCs/>
      <w:sz w:val="32"/>
      <w:szCs w:val="32"/>
    </w:rPr>
  </w:style>
  <w:style w:type="character" w:customStyle="1" w:styleId="73">
    <w:name w:val="表格标题CCW Char"/>
    <w:link w:val="74"/>
    <w:qFormat/>
    <w:uiPriority w:val="0"/>
    <w:rPr>
      <w:rFonts w:ascii="Times New Roman" w:hAnsi="Times New Roman" w:eastAsia="宋体"/>
      <w:b/>
    </w:rPr>
  </w:style>
  <w:style w:type="paragraph" w:customStyle="1" w:styleId="74">
    <w:name w:val="表格标题CCW"/>
    <w:basedOn w:val="1"/>
    <w:link w:val="73"/>
    <w:qFormat/>
    <w:uiPriority w:val="0"/>
    <w:pPr>
      <w:spacing w:line="240" w:lineRule="auto"/>
      <w:jc w:val="center"/>
    </w:pPr>
    <w:rPr>
      <w:rFonts w:cstheme="minorBidi"/>
      <w:b/>
      <w:sz w:val="21"/>
      <w:szCs w:val="22"/>
    </w:rPr>
  </w:style>
  <w:style w:type="character" w:customStyle="1" w:styleId="75">
    <w:name w:val="表格内容CCW Char"/>
    <w:link w:val="76"/>
    <w:qFormat/>
    <w:uiPriority w:val="0"/>
    <w:rPr>
      <w:rFonts w:ascii="Times New Roman" w:hAnsi="Times New Roman" w:eastAsia="宋体"/>
      <w:sz w:val="18"/>
    </w:rPr>
  </w:style>
  <w:style w:type="paragraph" w:customStyle="1" w:styleId="76">
    <w:name w:val="表格内容CCW"/>
    <w:basedOn w:val="1"/>
    <w:link w:val="75"/>
    <w:qFormat/>
    <w:uiPriority w:val="0"/>
    <w:pPr>
      <w:spacing w:line="240" w:lineRule="auto"/>
      <w:jc w:val="center"/>
    </w:pPr>
    <w:rPr>
      <w:rFonts w:cstheme="minorBidi"/>
      <w:sz w:val="18"/>
      <w:szCs w:val="22"/>
    </w:rPr>
  </w:style>
  <w:style w:type="character" w:customStyle="1" w:styleId="77">
    <w:name w:val="批注文字 字符"/>
    <w:qFormat/>
    <w:uiPriority w:val="0"/>
    <w:rPr>
      <w:kern w:val="2"/>
      <w:sz w:val="24"/>
    </w:rPr>
  </w:style>
  <w:style w:type="character" w:customStyle="1" w:styleId="78">
    <w:name w:val="批注框文本 Char"/>
    <w:link w:val="29"/>
    <w:qFormat/>
    <w:uiPriority w:val="99"/>
    <w:rPr>
      <w:rFonts w:ascii="宋体"/>
      <w:sz w:val="18"/>
      <w:szCs w:val="18"/>
    </w:rPr>
  </w:style>
  <w:style w:type="paragraph" w:customStyle="1" w:styleId="79">
    <w:name w:val="7表格(治)"/>
    <w:link w:val="80"/>
    <w:qFormat/>
    <w:uiPriority w:val="0"/>
    <w:pPr>
      <w:spacing w:before="50" w:beforeLines="50" w:after="50" w:afterLines="50" w:line="360" w:lineRule="auto"/>
      <w:jc w:val="center"/>
    </w:pPr>
    <w:rPr>
      <w:rFonts w:ascii="Times New Roman" w:hAnsi="Times New Roman" w:eastAsia="宋体" w:cs="Times New Roman"/>
      <w:sz w:val="21"/>
      <w:lang w:val="en-US" w:eastAsia="zh-CN" w:bidi="ar-SA"/>
    </w:rPr>
  </w:style>
  <w:style w:type="character" w:customStyle="1" w:styleId="80">
    <w:name w:val="7表格(治) Char"/>
    <w:link w:val="79"/>
    <w:qFormat/>
    <w:uiPriority w:val="0"/>
    <w:rPr>
      <w:rFonts w:ascii="Times New Roman" w:hAnsi="Times New Roman" w:eastAsia="宋体" w:cs="Times New Roman"/>
      <w:kern w:val="0"/>
      <w:szCs w:val="20"/>
    </w:rPr>
  </w:style>
  <w:style w:type="paragraph" w:customStyle="1" w:styleId="81">
    <w:name w:val="5文章(治)"/>
    <w:basedOn w:val="82"/>
    <w:link w:val="83"/>
    <w:qFormat/>
    <w:uiPriority w:val="0"/>
    <w:pPr>
      <w:ind w:firstLine="560"/>
    </w:pPr>
  </w:style>
  <w:style w:type="paragraph" w:customStyle="1" w:styleId="82">
    <w:name w:val="5文章正文"/>
    <w:basedOn w:val="1"/>
    <w:link w:val="584"/>
    <w:qFormat/>
    <w:uiPriority w:val="0"/>
    <w:pPr>
      <w:spacing w:line="360" w:lineRule="auto"/>
      <w:ind w:firstLine="200" w:firstLineChars="200"/>
    </w:pPr>
    <w:rPr>
      <w:sz w:val="24"/>
    </w:rPr>
  </w:style>
  <w:style w:type="character" w:customStyle="1" w:styleId="83">
    <w:name w:val="5文章(治) Char"/>
    <w:link w:val="81"/>
    <w:qFormat/>
    <w:uiPriority w:val="0"/>
    <w:rPr>
      <w:rFonts w:ascii="Times New Roman" w:hAnsi="Times New Roman" w:eastAsia="宋体" w:cs="Times New Roman"/>
      <w:sz w:val="24"/>
      <w:szCs w:val="20"/>
    </w:rPr>
  </w:style>
  <w:style w:type="character" w:customStyle="1" w:styleId="84">
    <w:name w:val="批注主题 字符1"/>
    <w:basedOn w:val="71"/>
    <w:semiHidden/>
    <w:qFormat/>
    <w:uiPriority w:val="99"/>
    <w:rPr>
      <w:rFonts w:ascii="Times New Roman" w:hAnsi="Times New Roman" w:eastAsia="宋体" w:cs="Times New Roman"/>
      <w:b/>
      <w:bCs/>
      <w:sz w:val="24"/>
      <w:szCs w:val="20"/>
    </w:rPr>
  </w:style>
  <w:style w:type="character" w:customStyle="1" w:styleId="85">
    <w:name w:val="页脚 Char1"/>
    <w:basedOn w:val="51"/>
    <w:link w:val="30"/>
    <w:qFormat/>
    <w:uiPriority w:val="99"/>
    <w:rPr>
      <w:rFonts w:ascii="宋体" w:hAnsi="宋体" w:eastAsia="宋体" w:cs="Times New Roman"/>
      <w:sz w:val="18"/>
      <w:szCs w:val="18"/>
    </w:rPr>
  </w:style>
  <w:style w:type="paragraph" w:customStyle="1" w:styleId="86">
    <w:name w:val="表格及图标题"/>
    <w:basedOn w:val="1"/>
    <w:qFormat/>
    <w:uiPriority w:val="0"/>
    <w:pPr>
      <w:spacing w:line="240" w:lineRule="auto"/>
      <w:jc w:val="center"/>
    </w:pPr>
    <w:rPr>
      <w:b/>
    </w:rPr>
  </w:style>
  <w:style w:type="character" w:customStyle="1" w:styleId="87">
    <w:name w:val="标题 字符1"/>
    <w:basedOn w:val="51"/>
    <w:qFormat/>
    <w:uiPriority w:val="10"/>
    <w:rPr>
      <w:rFonts w:asciiTheme="majorHAnsi" w:hAnsiTheme="majorHAnsi" w:eastAsiaTheme="majorEastAsia" w:cstheme="majorBidi"/>
      <w:b/>
      <w:bCs/>
      <w:sz w:val="32"/>
      <w:szCs w:val="32"/>
    </w:rPr>
  </w:style>
  <w:style w:type="character" w:customStyle="1" w:styleId="88">
    <w:name w:val="目录 2 Char"/>
    <w:link w:val="39"/>
    <w:qFormat/>
    <w:uiPriority w:val="39"/>
    <w:rPr>
      <w:rFonts w:ascii="Times New Roman" w:hAnsi="Times New Roman" w:eastAsia="宋体" w:cs="Times New Roman"/>
      <w:sz w:val="24"/>
      <w:szCs w:val="20"/>
    </w:rPr>
  </w:style>
  <w:style w:type="character" w:customStyle="1" w:styleId="89">
    <w:name w:val="正文文本 Char"/>
    <w:basedOn w:val="51"/>
    <w:link w:val="21"/>
    <w:qFormat/>
    <w:uiPriority w:val="0"/>
    <w:rPr>
      <w:rFonts w:ascii="宋体" w:hAnsi="宋体" w:eastAsia="宋体" w:cs="宋体"/>
      <w:szCs w:val="21"/>
      <w:lang w:eastAsia="en-US" w:bidi="en-US"/>
    </w:rPr>
  </w:style>
  <w:style w:type="character" w:customStyle="1" w:styleId="90">
    <w:name w:val="批注框文本 字符1"/>
    <w:basedOn w:val="51"/>
    <w:semiHidden/>
    <w:qFormat/>
    <w:uiPriority w:val="99"/>
    <w:rPr>
      <w:rFonts w:ascii="Times New Roman" w:hAnsi="Times New Roman" w:eastAsia="宋体" w:cs="Times New Roman"/>
      <w:sz w:val="18"/>
      <w:szCs w:val="18"/>
    </w:rPr>
  </w:style>
  <w:style w:type="paragraph" w:customStyle="1" w:styleId="91">
    <w:name w:val="万澈表头"/>
    <w:basedOn w:val="1"/>
    <w:qFormat/>
    <w:uiPriority w:val="0"/>
    <w:pPr>
      <w:adjustRightInd w:val="0"/>
      <w:jc w:val="center"/>
    </w:pPr>
    <w:rPr>
      <w:rFonts w:eastAsia="黑体"/>
      <w:snapToGrid w:val="0"/>
      <w:kern w:val="18"/>
      <w:szCs w:val="24"/>
    </w:rPr>
  </w:style>
  <w:style w:type="paragraph" w:customStyle="1" w:styleId="92">
    <w:name w:val="标题4"/>
    <w:basedOn w:val="1"/>
    <w:link w:val="93"/>
    <w:qFormat/>
    <w:uiPriority w:val="0"/>
    <w:pPr>
      <w:tabs>
        <w:tab w:val="left" w:pos="1980"/>
        <w:tab w:val="left" w:pos="3825"/>
        <w:tab w:val="left" w:pos="4680"/>
      </w:tabs>
    </w:pPr>
    <w:rPr>
      <w:b/>
    </w:rPr>
  </w:style>
  <w:style w:type="character" w:customStyle="1" w:styleId="93">
    <w:name w:val="标题4 Char"/>
    <w:link w:val="92"/>
    <w:qFormat/>
    <w:uiPriority w:val="0"/>
    <w:rPr>
      <w:rFonts w:ascii="Times New Roman" w:hAnsi="Times New Roman" w:eastAsia="宋体" w:cs="Times New Roman"/>
      <w:b/>
      <w:sz w:val="24"/>
      <w:szCs w:val="20"/>
    </w:rPr>
  </w:style>
  <w:style w:type="paragraph" w:customStyle="1" w:styleId="94">
    <w:name w:val="6表格中字"/>
    <w:basedOn w:val="1"/>
    <w:qFormat/>
    <w:uiPriority w:val="0"/>
    <w:pPr>
      <w:adjustRightInd w:val="0"/>
      <w:snapToGrid w:val="0"/>
      <w:jc w:val="center"/>
    </w:pPr>
    <w:rPr>
      <w:rFonts w:ascii="宋体" w:hAnsi="宋体" w:cs="宋体"/>
      <w:kern w:val="0"/>
      <w:szCs w:val="24"/>
    </w:rPr>
  </w:style>
  <w:style w:type="paragraph" w:customStyle="1" w:styleId="95">
    <w:name w:val="万澈 正文"/>
    <w:basedOn w:val="1"/>
    <w:qFormat/>
    <w:uiPriority w:val="0"/>
    <w:pPr>
      <w:ind w:firstLine="480"/>
    </w:pPr>
    <w:rPr>
      <w:rFonts w:eastAsia="Times New Roman"/>
    </w:rPr>
  </w:style>
  <w:style w:type="paragraph" w:customStyle="1" w:styleId="96">
    <w:name w:val="表格"/>
    <w:basedOn w:val="1"/>
    <w:next w:val="1"/>
    <w:link w:val="97"/>
    <w:qFormat/>
    <w:uiPriority w:val="0"/>
    <w:pPr>
      <w:autoSpaceDE w:val="0"/>
      <w:autoSpaceDN w:val="0"/>
      <w:adjustRightInd w:val="0"/>
      <w:spacing w:line="240" w:lineRule="auto"/>
      <w:jc w:val="center"/>
    </w:pPr>
    <w:rPr>
      <w:rFonts w:eastAsia="楷体_GB2312"/>
      <w:kern w:val="0"/>
      <w:sz w:val="21"/>
      <w:szCs w:val="21"/>
    </w:rPr>
  </w:style>
  <w:style w:type="character" w:customStyle="1" w:styleId="97">
    <w:name w:val="表格 字符"/>
    <w:link w:val="96"/>
    <w:qFormat/>
    <w:uiPriority w:val="0"/>
    <w:rPr>
      <w:rFonts w:ascii="Times New Roman" w:hAnsi="Times New Roman" w:eastAsia="楷体_GB2312" w:cs="Times New Roman"/>
      <w:kern w:val="0"/>
      <w:szCs w:val="21"/>
    </w:rPr>
  </w:style>
  <w:style w:type="paragraph" w:customStyle="1" w:styleId="98">
    <w:name w:val="表头"/>
    <w:basedOn w:val="9"/>
    <w:qFormat/>
    <w:uiPriority w:val="0"/>
  </w:style>
  <w:style w:type="paragraph" w:customStyle="1" w:styleId="99">
    <w:name w:val="环评正文"/>
    <w:basedOn w:val="1"/>
    <w:qFormat/>
    <w:uiPriority w:val="0"/>
    <w:pPr>
      <w:ind w:firstLine="480"/>
    </w:pPr>
  </w:style>
  <w:style w:type="paragraph" w:customStyle="1" w:styleId="100">
    <w:name w:val="表格标注"/>
    <w:basedOn w:val="1"/>
    <w:qFormat/>
    <w:uiPriority w:val="0"/>
    <w:pPr>
      <w:jc w:val="center"/>
    </w:pPr>
    <w:rPr>
      <w:sz w:val="18"/>
      <w:szCs w:val="18"/>
    </w:rPr>
  </w:style>
  <w:style w:type="paragraph" w:customStyle="1" w:styleId="101">
    <w:name w:val="环评表头"/>
    <w:basedOn w:val="1"/>
    <w:qFormat/>
    <w:uiPriority w:val="0"/>
    <w:pPr>
      <w:jc w:val="center"/>
    </w:pPr>
    <w:rPr>
      <w:rFonts w:eastAsia="黑体"/>
      <w:b/>
      <w:szCs w:val="28"/>
    </w:rPr>
  </w:style>
  <w:style w:type="character" w:customStyle="1" w:styleId="102">
    <w:name w:val="目录 1 Char"/>
    <w:link w:val="33"/>
    <w:qFormat/>
    <w:uiPriority w:val="39"/>
    <w:rPr>
      <w:rFonts w:ascii="Times New Roman" w:hAnsi="Times New Roman" w:eastAsia="宋体" w:cs="Times New Roman"/>
      <w:b/>
      <w:sz w:val="28"/>
      <w:szCs w:val="20"/>
    </w:rPr>
  </w:style>
  <w:style w:type="character" w:customStyle="1" w:styleId="103">
    <w:name w:val="页眉 Char"/>
    <w:basedOn w:val="51"/>
    <w:link w:val="31"/>
    <w:qFormat/>
    <w:uiPriority w:val="99"/>
    <w:rPr>
      <w:rFonts w:ascii="Times New Roman" w:hAnsi="Times New Roman" w:eastAsia="宋体" w:cs="Times New Roman"/>
      <w:sz w:val="18"/>
      <w:szCs w:val="20"/>
    </w:rPr>
  </w:style>
  <w:style w:type="paragraph" w:customStyle="1" w:styleId="104">
    <w:name w:val="Table Paragraph"/>
    <w:basedOn w:val="1"/>
    <w:qFormat/>
    <w:uiPriority w:val="0"/>
    <w:rPr>
      <w:rFonts w:ascii="宋体" w:hAnsi="宋体" w:cs="宋体"/>
      <w:lang w:eastAsia="en-US" w:bidi="en-US"/>
    </w:rPr>
  </w:style>
  <w:style w:type="paragraph" w:customStyle="1" w:styleId="105">
    <w:name w:val="环评3标题"/>
    <w:basedOn w:val="1"/>
    <w:qFormat/>
    <w:uiPriority w:val="0"/>
    <w:pPr>
      <w:keepNext/>
      <w:keepLines/>
      <w:outlineLvl w:val="2"/>
    </w:pPr>
    <w:rPr>
      <w:rFonts w:eastAsia="黑体"/>
      <w:b/>
      <w:sz w:val="28"/>
      <w:szCs w:val="28"/>
    </w:rPr>
  </w:style>
  <w:style w:type="paragraph" w:customStyle="1" w:styleId="106">
    <w:name w:val="样式 Arial 小四 行距: 固定值 30 磅 首行缩进:  2 字符"/>
    <w:basedOn w:val="1"/>
    <w:qFormat/>
    <w:uiPriority w:val="0"/>
    <w:pPr>
      <w:ind w:firstLine="480"/>
    </w:pPr>
    <w:rPr>
      <w:rFonts w:ascii="宋体" w:hAnsi="宋体" w:cs="宋体"/>
      <w:szCs w:val="24"/>
    </w:rPr>
  </w:style>
  <w:style w:type="paragraph" w:customStyle="1" w:styleId="107">
    <w:name w:val="样式 小四 行距: 固定值 30 磅 首行缩进:  2 字符1"/>
    <w:basedOn w:val="1"/>
    <w:qFormat/>
    <w:uiPriority w:val="0"/>
    <w:rPr>
      <w:rFonts w:cs="宋体"/>
      <w:szCs w:val="24"/>
    </w:rPr>
  </w:style>
  <w:style w:type="paragraph" w:customStyle="1" w:styleId="108">
    <w:name w:val="环评表格"/>
    <w:basedOn w:val="1"/>
    <w:qFormat/>
    <w:uiPriority w:val="0"/>
    <w:pPr>
      <w:jc w:val="center"/>
    </w:pPr>
    <w:rPr>
      <w:sz w:val="21"/>
    </w:rPr>
  </w:style>
  <w:style w:type="paragraph" w:customStyle="1" w:styleId="109">
    <w:name w:val="文"/>
    <w:qFormat/>
    <w:uiPriority w:val="0"/>
    <w:pPr>
      <w:spacing w:before="50" w:beforeLines="50" w:after="50" w:afterLines="50" w:line="360" w:lineRule="auto"/>
      <w:ind w:firstLine="200" w:firstLineChars="200"/>
    </w:pPr>
    <w:rPr>
      <w:rFonts w:ascii="Times New Roman" w:hAnsi="Times New Roman" w:eastAsia="宋体" w:cs="Times New Roman"/>
      <w:bCs/>
      <w:sz w:val="24"/>
      <w:szCs w:val="28"/>
      <w:lang w:val="en-US" w:eastAsia="zh-CN" w:bidi="ar-SA"/>
    </w:rPr>
  </w:style>
  <w:style w:type="paragraph" w:customStyle="1" w:styleId="110">
    <w:name w:val="环评4标题"/>
    <w:basedOn w:val="1"/>
    <w:qFormat/>
    <w:uiPriority w:val="0"/>
    <w:pPr>
      <w:outlineLvl w:val="3"/>
    </w:pPr>
    <w:rPr>
      <w:b/>
      <w:sz w:val="28"/>
    </w:rPr>
  </w:style>
  <w:style w:type="table" w:customStyle="1" w:styleId="111">
    <w:name w:val="网格型7"/>
    <w:basedOn w:val="48"/>
    <w:qFormat/>
    <w:uiPriority w:val="0"/>
    <w:pPr>
      <w:widowControl w:val="0"/>
      <w:jc w:val="both"/>
    </w:pPr>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2">
    <w:name w:val="表内容"/>
    <w:link w:val="113"/>
    <w:qFormat/>
    <w:uiPriority w:val="0"/>
    <w:pPr>
      <w:adjustRightInd w:val="0"/>
      <w:jc w:val="center"/>
    </w:pPr>
    <w:rPr>
      <w:rFonts w:ascii="Times New Roman" w:hAnsi="Times New Roman" w:eastAsia="宋体" w:cs="Times New Roman"/>
      <w:kern w:val="2"/>
      <w:sz w:val="21"/>
      <w:szCs w:val="21"/>
      <w:lang w:val="en-US" w:eastAsia="zh-CN" w:bidi="ar-SA"/>
    </w:rPr>
  </w:style>
  <w:style w:type="character" w:customStyle="1" w:styleId="113">
    <w:name w:val="表内容 字符"/>
    <w:link w:val="112"/>
    <w:qFormat/>
    <w:uiPriority w:val="0"/>
    <w:rPr>
      <w:rFonts w:ascii="Times New Roman" w:hAnsi="Times New Roman" w:eastAsia="宋体" w:cs="Times New Roman"/>
      <w:szCs w:val="21"/>
    </w:rPr>
  </w:style>
  <w:style w:type="character" w:customStyle="1" w:styleId="114">
    <w:name w:val="font01"/>
    <w:qFormat/>
    <w:uiPriority w:val="0"/>
    <w:rPr>
      <w:rFonts w:hint="eastAsia" w:ascii="宋体" w:hAnsi="宋体" w:eastAsia="宋体"/>
      <w:color w:val="000000"/>
      <w:sz w:val="21"/>
      <w:szCs w:val="21"/>
      <w:u w:val="none"/>
    </w:rPr>
  </w:style>
  <w:style w:type="character" w:customStyle="1" w:styleId="115">
    <w:name w:val="font11"/>
    <w:basedOn w:val="51"/>
    <w:qFormat/>
    <w:uiPriority w:val="0"/>
    <w:rPr>
      <w:rFonts w:hint="eastAsia" w:ascii="宋体" w:hAnsi="宋体" w:eastAsia="宋体"/>
      <w:color w:val="000000"/>
      <w:sz w:val="21"/>
      <w:szCs w:val="21"/>
      <w:u w:val="none"/>
    </w:rPr>
  </w:style>
  <w:style w:type="paragraph" w:customStyle="1" w:styleId="116">
    <w:name w:val="表内文字"/>
    <w:basedOn w:val="1"/>
    <w:link w:val="117"/>
    <w:qFormat/>
    <w:uiPriority w:val="0"/>
    <w:pPr>
      <w:adjustRightInd w:val="0"/>
      <w:snapToGrid w:val="0"/>
      <w:spacing w:line="240" w:lineRule="auto"/>
      <w:jc w:val="center"/>
    </w:pPr>
    <w:rPr>
      <w:kern w:val="0"/>
      <w:sz w:val="21"/>
      <w:szCs w:val="21"/>
    </w:rPr>
  </w:style>
  <w:style w:type="character" w:customStyle="1" w:styleId="117">
    <w:name w:val="表内文字 Char"/>
    <w:link w:val="116"/>
    <w:qFormat/>
    <w:uiPriority w:val="0"/>
    <w:rPr>
      <w:rFonts w:ascii="Times New Roman" w:hAnsi="Times New Roman" w:eastAsia="宋体" w:cs="Times New Roman"/>
      <w:kern w:val="0"/>
      <w:szCs w:val="21"/>
    </w:rPr>
  </w:style>
  <w:style w:type="paragraph" w:customStyle="1" w:styleId="118">
    <w:name w:val="标题5"/>
    <w:basedOn w:val="9"/>
    <w:next w:val="1"/>
    <w:link w:val="119"/>
    <w:qFormat/>
    <w:uiPriority w:val="0"/>
    <w:rPr>
      <w:lang w:val="zh-CN"/>
    </w:rPr>
  </w:style>
  <w:style w:type="character" w:customStyle="1" w:styleId="119">
    <w:name w:val="标题5 字符"/>
    <w:link w:val="118"/>
    <w:qFormat/>
    <w:uiPriority w:val="0"/>
    <w:rPr>
      <w:rFonts w:ascii="Times New Roman" w:hAnsi="Times New Roman" w:eastAsia="宋体" w:cs="Times New Roman"/>
      <w:b/>
      <w:bCs/>
      <w:sz w:val="24"/>
      <w:szCs w:val="28"/>
      <w:lang w:val="zh-CN"/>
    </w:rPr>
  </w:style>
  <w:style w:type="paragraph" w:customStyle="1" w:styleId="120">
    <w:name w:val="C正文"/>
    <w:next w:val="31"/>
    <w:qFormat/>
    <w:uiPriority w:val="0"/>
    <w:pPr>
      <w:wordWrap w:val="0"/>
      <w:adjustRightInd w:val="0"/>
      <w:snapToGrid w:val="0"/>
      <w:spacing w:before="50" w:beforeLines="50" w:after="50" w:afterLines="50" w:line="360" w:lineRule="auto"/>
      <w:ind w:firstLine="200" w:firstLineChars="200"/>
      <w:jc w:val="both"/>
    </w:pPr>
    <w:rPr>
      <w:rFonts w:ascii="Times New Roman" w:hAnsi="Times New Roman" w:eastAsia="仿宋_GB2312" w:cs="Arial"/>
      <w:kern w:val="2"/>
      <w:sz w:val="32"/>
      <w:szCs w:val="30"/>
      <w:lang w:val="en-US" w:eastAsia="zh-CN" w:bidi="ar-SA"/>
    </w:rPr>
  </w:style>
  <w:style w:type="paragraph" w:customStyle="1" w:styleId="121">
    <w:name w:val="xry表格标题"/>
    <w:basedOn w:val="1"/>
    <w:qFormat/>
    <w:uiPriority w:val="0"/>
    <w:pPr>
      <w:spacing w:line="240" w:lineRule="auto"/>
      <w:jc w:val="center"/>
    </w:pPr>
    <w:rPr>
      <w:b/>
      <w:kern w:val="0"/>
      <w:szCs w:val="24"/>
    </w:rPr>
  </w:style>
  <w:style w:type="paragraph" w:customStyle="1" w:styleId="122">
    <w:name w:val="xry表格文字"/>
    <w:basedOn w:val="1"/>
    <w:qFormat/>
    <w:uiPriority w:val="0"/>
    <w:pPr>
      <w:snapToGrid w:val="0"/>
      <w:spacing w:line="240" w:lineRule="auto"/>
      <w:jc w:val="center"/>
    </w:pPr>
    <w:rPr>
      <w:b/>
      <w:kern w:val="0"/>
      <w:sz w:val="21"/>
      <w:szCs w:val="24"/>
    </w:rPr>
  </w:style>
  <w:style w:type="paragraph" w:customStyle="1" w:styleId="123">
    <w:name w:val="表内容1"/>
    <w:basedOn w:val="96"/>
    <w:qFormat/>
    <w:uiPriority w:val="0"/>
    <w:pPr>
      <w:autoSpaceDE/>
      <w:autoSpaceDN/>
      <w:adjustRightInd/>
    </w:pPr>
    <w:rPr>
      <w:rFonts w:eastAsia="宋体" w:cstheme="minorBidi"/>
      <w:kern w:val="2"/>
    </w:rPr>
  </w:style>
  <w:style w:type="paragraph" w:customStyle="1" w:styleId="124">
    <w:name w:val="xry正文"/>
    <w:basedOn w:val="1"/>
    <w:qFormat/>
    <w:uiPriority w:val="0"/>
    <w:rPr>
      <w:szCs w:val="24"/>
    </w:rPr>
  </w:style>
  <w:style w:type="paragraph" w:customStyle="1" w:styleId="125">
    <w:name w:val="表名"/>
    <w:basedOn w:val="1"/>
    <w:link w:val="126"/>
    <w:qFormat/>
    <w:uiPriority w:val="0"/>
    <w:pPr>
      <w:spacing w:line="240" w:lineRule="auto"/>
      <w:jc w:val="center"/>
    </w:pPr>
    <w:rPr>
      <w:b/>
      <w:bCs/>
    </w:rPr>
  </w:style>
  <w:style w:type="character" w:customStyle="1" w:styleId="126">
    <w:name w:val="表名 Char"/>
    <w:link w:val="125"/>
    <w:qFormat/>
    <w:uiPriority w:val="0"/>
    <w:rPr>
      <w:rFonts w:ascii="Times New Roman" w:hAnsi="Times New Roman" w:eastAsia="宋体" w:cs="Times New Roman"/>
      <w:b/>
      <w:bCs/>
      <w:sz w:val="24"/>
      <w:szCs w:val="20"/>
    </w:rPr>
  </w:style>
  <w:style w:type="paragraph" w:customStyle="1" w:styleId="127">
    <w:name w:val="2表内正文CM"/>
    <w:basedOn w:val="1"/>
    <w:next w:val="1"/>
    <w:qFormat/>
    <w:uiPriority w:val="0"/>
    <w:pPr>
      <w:adjustRightInd w:val="0"/>
      <w:snapToGrid w:val="0"/>
      <w:spacing w:line="240" w:lineRule="auto"/>
      <w:jc w:val="center"/>
    </w:pPr>
    <w:rPr>
      <w:kern w:val="0"/>
      <w:sz w:val="20"/>
    </w:rPr>
  </w:style>
  <w:style w:type="paragraph" w:customStyle="1" w:styleId="128">
    <w:name w:val="正文5"/>
    <w:qFormat/>
    <w:uiPriority w:val="0"/>
    <w:pPr>
      <w:spacing w:before="50" w:beforeLines="50" w:after="50" w:afterLines="50" w:line="360" w:lineRule="auto"/>
      <w:jc w:val="both"/>
    </w:pPr>
    <w:rPr>
      <w:rFonts w:ascii="Times New Roman" w:hAnsi="Times New Roman" w:eastAsia="宋体" w:cs="Times New Roman"/>
      <w:kern w:val="2"/>
      <w:sz w:val="21"/>
      <w:szCs w:val="21"/>
      <w:lang w:val="en-US" w:eastAsia="zh-CN" w:bidi="ar-SA"/>
    </w:rPr>
  </w:style>
  <w:style w:type="paragraph" w:customStyle="1" w:styleId="129">
    <w:name w:val="图标标题"/>
    <w:basedOn w:val="10"/>
    <w:qFormat/>
    <w:uiPriority w:val="0"/>
    <w:pPr>
      <w:keepNext w:val="0"/>
      <w:spacing w:before="0" w:after="0" w:line="360" w:lineRule="auto"/>
      <w:jc w:val="center"/>
    </w:pPr>
    <w:rPr>
      <w:rFonts w:ascii="Times New Roman" w:hAnsi="Times New Roman" w:eastAsia="宋体" w:cs="Times New Roman"/>
      <w:kern w:val="0"/>
    </w:rPr>
  </w:style>
  <w:style w:type="paragraph" w:customStyle="1" w:styleId="130">
    <w:name w:val="表内正文-Q"/>
    <w:basedOn w:val="1"/>
    <w:next w:val="1"/>
    <w:link w:val="131"/>
    <w:qFormat/>
    <w:uiPriority w:val="0"/>
    <w:pPr>
      <w:adjustRightInd w:val="0"/>
      <w:snapToGrid w:val="0"/>
      <w:spacing w:line="240" w:lineRule="auto"/>
      <w:jc w:val="center"/>
    </w:pPr>
    <w:rPr>
      <w:sz w:val="21"/>
      <w:szCs w:val="21"/>
    </w:rPr>
  </w:style>
  <w:style w:type="character" w:customStyle="1" w:styleId="131">
    <w:name w:val="表内正文-Q Char"/>
    <w:link w:val="130"/>
    <w:qFormat/>
    <w:uiPriority w:val="0"/>
    <w:rPr>
      <w:rFonts w:ascii="Times New Roman" w:hAnsi="Times New Roman" w:eastAsia="宋体" w:cs="Times New Roman"/>
      <w:szCs w:val="21"/>
    </w:rPr>
  </w:style>
  <w:style w:type="paragraph" w:customStyle="1" w:styleId="132">
    <w:name w:val="样式 宋体 小四 段前: 3.1 磅 段后: 4.65 磅 行距: 多倍行距 1.3 字行"/>
    <w:basedOn w:val="1"/>
    <w:qFormat/>
    <w:uiPriority w:val="0"/>
    <w:pPr>
      <w:spacing w:beforeLines="20" w:afterLines="30" w:line="312" w:lineRule="auto"/>
    </w:pPr>
    <w:rPr>
      <w:rFonts w:ascii="宋体" w:hAnsi="宋体" w:cs="宋体"/>
      <w:kern w:val="32"/>
    </w:rPr>
  </w:style>
  <w:style w:type="character" w:customStyle="1" w:styleId="133">
    <w:name w:val="文档结构图 Char"/>
    <w:basedOn w:val="51"/>
    <w:link w:val="18"/>
    <w:qFormat/>
    <w:uiPriority w:val="0"/>
    <w:rPr>
      <w:rFonts w:ascii="宋体" w:hAnsi="Times New Roman" w:eastAsia="宋体" w:cs="Times New Roman"/>
      <w:sz w:val="18"/>
      <w:szCs w:val="18"/>
    </w:rPr>
  </w:style>
  <w:style w:type="character" w:customStyle="1" w:styleId="134">
    <w:name w:val="正文文本缩进 Char"/>
    <w:basedOn w:val="51"/>
    <w:link w:val="4"/>
    <w:qFormat/>
    <w:uiPriority w:val="99"/>
    <w:rPr>
      <w:rFonts w:ascii="Times New Roman" w:hAnsi="Times New Roman" w:eastAsia="宋体" w:cs="Times New Roman"/>
      <w:sz w:val="24"/>
      <w:szCs w:val="24"/>
    </w:rPr>
  </w:style>
  <w:style w:type="character" w:customStyle="1" w:styleId="135">
    <w:name w:val="正文文本缩进 字符"/>
    <w:basedOn w:val="51"/>
    <w:qFormat/>
    <w:uiPriority w:val="99"/>
    <w:rPr>
      <w:rFonts w:ascii="Times New Roman" w:hAnsi="Times New Roman" w:eastAsia="宋体" w:cs="Times New Roman"/>
      <w:sz w:val="24"/>
      <w:szCs w:val="20"/>
    </w:rPr>
  </w:style>
  <w:style w:type="character" w:customStyle="1" w:styleId="136">
    <w:name w:val="纯文本 Char1"/>
    <w:basedOn w:val="51"/>
    <w:link w:val="25"/>
    <w:qFormat/>
    <w:uiPriority w:val="99"/>
    <w:rPr>
      <w:rFonts w:ascii="Times New Roman" w:hAnsi="Times New Roman" w:eastAsia="宋体" w:cs="Times New Roman"/>
      <w:szCs w:val="24"/>
    </w:rPr>
  </w:style>
  <w:style w:type="character" w:customStyle="1" w:styleId="137">
    <w:name w:val="日期 Char1"/>
    <w:basedOn w:val="51"/>
    <w:link w:val="27"/>
    <w:qFormat/>
    <w:uiPriority w:val="99"/>
    <w:rPr>
      <w:rFonts w:ascii="Times New Roman" w:hAnsi="Times New Roman" w:eastAsia="宋体" w:cs="Times New Roman"/>
      <w:sz w:val="24"/>
      <w:szCs w:val="24"/>
    </w:rPr>
  </w:style>
  <w:style w:type="character" w:customStyle="1" w:styleId="138">
    <w:name w:val="正文文本缩进 2 Char"/>
    <w:basedOn w:val="51"/>
    <w:link w:val="28"/>
    <w:qFormat/>
    <w:uiPriority w:val="99"/>
    <w:rPr>
      <w:rFonts w:ascii="Times New Roman" w:hAnsi="Times New Roman" w:eastAsia="宋体" w:cs="Times New Roman"/>
      <w:sz w:val="24"/>
      <w:szCs w:val="24"/>
    </w:rPr>
  </w:style>
  <w:style w:type="character" w:customStyle="1" w:styleId="139">
    <w:name w:val="签名 Char3"/>
    <w:basedOn w:val="51"/>
    <w:link w:val="32"/>
    <w:qFormat/>
    <w:uiPriority w:val="0"/>
    <w:rPr>
      <w:rFonts w:ascii="Verdana" w:hAnsi="Verdana" w:eastAsia="宋体" w:cs="Times New Roman"/>
      <w:sz w:val="28"/>
    </w:rPr>
  </w:style>
  <w:style w:type="character" w:customStyle="1" w:styleId="140">
    <w:name w:val="副标题 Char"/>
    <w:basedOn w:val="51"/>
    <w:link w:val="35"/>
    <w:qFormat/>
    <w:uiPriority w:val="11"/>
    <w:rPr>
      <w:rFonts w:ascii="Times New Roman" w:hAnsi="Times New Roman" w:eastAsia="宋体" w:cs="Times New Roman"/>
      <w:b/>
      <w:bCs/>
      <w:kern w:val="0"/>
      <w:sz w:val="24"/>
      <w:szCs w:val="28"/>
    </w:rPr>
  </w:style>
  <w:style w:type="character" w:customStyle="1" w:styleId="141">
    <w:name w:val="正文文本缩进 3 Char"/>
    <w:basedOn w:val="51"/>
    <w:link w:val="38"/>
    <w:qFormat/>
    <w:uiPriority w:val="99"/>
    <w:rPr>
      <w:rFonts w:ascii="Times New Roman" w:hAnsi="Times New Roman" w:eastAsia="宋体" w:cs="Times New Roman"/>
      <w:sz w:val="16"/>
      <w:szCs w:val="16"/>
    </w:rPr>
  </w:style>
  <w:style w:type="character" w:customStyle="1" w:styleId="142">
    <w:name w:val="正文文本 2 Char"/>
    <w:basedOn w:val="51"/>
    <w:link w:val="41"/>
    <w:qFormat/>
    <w:uiPriority w:val="99"/>
    <w:rPr>
      <w:rFonts w:ascii="Times New Roman" w:hAnsi="Times New Roman" w:eastAsia="宋体" w:cs="Times New Roman"/>
      <w:sz w:val="24"/>
      <w:szCs w:val="24"/>
    </w:rPr>
  </w:style>
  <w:style w:type="character" w:customStyle="1" w:styleId="143">
    <w:name w:val="信息标题 Char3"/>
    <w:basedOn w:val="51"/>
    <w:link w:val="42"/>
    <w:qFormat/>
    <w:uiPriority w:val="0"/>
    <w:rPr>
      <w:rFonts w:ascii="Verdana" w:hAnsi="Verdana" w:eastAsia="宋体" w:cs="Times New Roman"/>
      <w:sz w:val="28"/>
    </w:rPr>
  </w:style>
  <w:style w:type="character" w:customStyle="1" w:styleId="144">
    <w:name w:val="HTML 预设格式 Char"/>
    <w:basedOn w:val="51"/>
    <w:link w:val="43"/>
    <w:qFormat/>
    <w:uiPriority w:val="99"/>
    <w:rPr>
      <w:rFonts w:ascii="宋体" w:hAnsi="宋体" w:eastAsia="宋体" w:cs="宋体"/>
      <w:kern w:val="0"/>
      <w:sz w:val="24"/>
      <w:szCs w:val="24"/>
    </w:rPr>
  </w:style>
  <w:style w:type="character" w:customStyle="1" w:styleId="145">
    <w:name w:val="正文首行缩进 Char"/>
    <w:basedOn w:val="89"/>
    <w:link w:val="47"/>
    <w:qFormat/>
    <w:uiPriority w:val="99"/>
    <w:rPr>
      <w:rFonts w:ascii="宋体" w:hAnsi="Times New Roman" w:eastAsia="宋体" w:cs="Times New Roman"/>
      <w:sz w:val="28"/>
      <w:szCs w:val="20"/>
      <w:lang w:eastAsia="en-US" w:bidi="en-US"/>
    </w:rPr>
  </w:style>
  <w:style w:type="character" w:customStyle="1" w:styleId="146">
    <w:name w:val="正文首行缩进 2 Char"/>
    <w:basedOn w:val="135"/>
    <w:link w:val="3"/>
    <w:qFormat/>
    <w:uiPriority w:val="99"/>
    <w:rPr>
      <w:rFonts w:ascii="Times New Roman" w:hAnsi="Times New Roman" w:eastAsia="宋体" w:cs="Times New Roman"/>
      <w:sz w:val="24"/>
      <w:szCs w:val="24"/>
    </w:rPr>
  </w:style>
  <w:style w:type="paragraph" w:customStyle="1" w:styleId="147">
    <w:name w:val="_Style 8"/>
    <w:basedOn w:val="1"/>
    <w:qFormat/>
    <w:uiPriority w:val="0"/>
    <w:rPr>
      <w:szCs w:val="24"/>
    </w:rPr>
  </w:style>
  <w:style w:type="paragraph" w:customStyle="1" w:styleId="148">
    <w:name w:val="正文 + 小四"/>
    <w:basedOn w:val="28"/>
    <w:qFormat/>
    <w:uiPriority w:val="0"/>
    <w:pPr>
      <w:snapToGrid/>
      <w:spacing w:line="500" w:lineRule="exact"/>
      <w:ind w:firstLine="480"/>
    </w:pPr>
    <w:rPr>
      <w:rFonts w:ascii="宋体" w:hAnsi="宋体"/>
      <w:bCs/>
    </w:rPr>
  </w:style>
  <w:style w:type="paragraph" w:customStyle="1" w:styleId="149">
    <w:name w:val="目录1级"/>
    <w:basedOn w:val="1"/>
    <w:link w:val="150"/>
    <w:qFormat/>
    <w:uiPriority w:val="0"/>
    <w:pPr>
      <w:tabs>
        <w:tab w:val="right" w:leader="dot" w:pos="8720"/>
      </w:tabs>
      <w:spacing w:before="80" w:after="80" w:line="300" w:lineRule="auto"/>
    </w:pPr>
    <w:rPr>
      <w:rFonts w:ascii="宋体" w:hAnsi="宋体"/>
      <w:b/>
      <w:bCs/>
      <w:caps/>
      <w:szCs w:val="24"/>
    </w:rPr>
  </w:style>
  <w:style w:type="character" w:customStyle="1" w:styleId="150">
    <w:name w:val="目录1级 Char"/>
    <w:link w:val="149"/>
    <w:qFormat/>
    <w:uiPriority w:val="0"/>
    <w:rPr>
      <w:rFonts w:ascii="宋体" w:hAnsi="宋体" w:eastAsia="宋体" w:cs="Times New Roman"/>
      <w:b/>
      <w:bCs/>
      <w:caps/>
      <w:sz w:val="24"/>
      <w:szCs w:val="24"/>
    </w:rPr>
  </w:style>
  <w:style w:type="paragraph" w:customStyle="1" w:styleId="151">
    <w:name w:val="目录2级"/>
    <w:basedOn w:val="39"/>
    <w:qFormat/>
    <w:uiPriority w:val="0"/>
    <w:pPr>
      <w:tabs>
        <w:tab w:val="right" w:leader="dot" w:pos="8720"/>
      </w:tabs>
      <w:ind w:firstLine="1" w:firstLineChars="1"/>
    </w:pPr>
    <w:rPr>
      <w:smallCaps/>
    </w:rPr>
  </w:style>
  <w:style w:type="paragraph" w:customStyle="1" w:styleId="152">
    <w:name w:val="封面标题"/>
    <w:basedOn w:val="1"/>
    <w:next w:val="1"/>
    <w:link w:val="153"/>
    <w:qFormat/>
    <w:uiPriority w:val="0"/>
    <w:pPr>
      <w:jc w:val="center"/>
    </w:pPr>
    <w:rPr>
      <w:rFonts w:eastAsia="黑体"/>
      <w:b/>
      <w:bCs/>
      <w:sz w:val="44"/>
      <w:szCs w:val="24"/>
    </w:rPr>
  </w:style>
  <w:style w:type="character" w:customStyle="1" w:styleId="153">
    <w:name w:val="封面标题 Char"/>
    <w:link w:val="152"/>
    <w:qFormat/>
    <w:uiPriority w:val="0"/>
    <w:rPr>
      <w:rFonts w:ascii="Times New Roman" w:hAnsi="Times New Roman" w:eastAsia="黑体" w:cs="Times New Roman"/>
      <w:b/>
      <w:bCs/>
      <w:sz w:val="44"/>
      <w:szCs w:val="24"/>
    </w:rPr>
  </w:style>
  <w:style w:type="paragraph" w:customStyle="1" w:styleId="154">
    <w:name w:val="封面文字"/>
    <w:basedOn w:val="1"/>
    <w:link w:val="155"/>
    <w:qFormat/>
    <w:uiPriority w:val="0"/>
    <w:pPr>
      <w:ind w:firstLine="448" w:firstLineChars="448"/>
    </w:pPr>
    <w:rPr>
      <w:rFonts w:eastAsia="黑体"/>
      <w:b/>
      <w:bCs/>
      <w:sz w:val="28"/>
      <w:szCs w:val="28"/>
    </w:rPr>
  </w:style>
  <w:style w:type="character" w:customStyle="1" w:styleId="155">
    <w:name w:val="封面文字 Char"/>
    <w:link w:val="154"/>
    <w:qFormat/>
    <w:uiPriority w:val="0"/>
    <w:rPr>
      <w:rFonts w:ascii="Times New Roman" w:hAnsi="Times New Roman" w:eastAsia="黑体" w:cs="Times New Roman"/>
      <w:b/>
      <w:bCs/>
      <w:sz w:val="28"/>
      <w:szCs w:val="28"/>
    </w:rPr>
  </w:style>
  <w:style w:type="paragraph" w:customStyle="1" w:styleId="156">
    <w:name w:val="我的正文"/>
    <w:basedOn w:val="1"/>
    <w:link w:val="157"/>
    <w:qFormat/>
    <w:uiPriority w:val="0"/>
    <w:pPr>
      <w:ind w:firstLine="512"/>
    </w:pPr>
    <w:rPr>
      <w:bCs/>
      <w:spacing w:val="8"/>
      <w:kern w:val="44"/>
      <w:szCs w:val="24"/>
    </w:rPr>
  </w:style>
  <w:style w:type="character" w:customStyle="1" w:styleId="157">
    <w:name w:val="我的正文 Char"/>
    <w:link w:val="156"/>
    <w:qFormat/>
    <w:uiPriority w:val="0"/>
    <w:rPr>
      <w:rFonts w:ascii="Times New Roman" w:hAnsi="Times New Roman" w:eastAsia="宋体" w:cs="Times New Roman"/>
      <w:bCs/>
      <w:spacing w:val="8"/>
      <w:kern w:val="44"/>
      <w:sz w:val="24"/>
      <w:szCs w:val="24"/>
    </w:rPr>
  </w:style>
  <w:style w:type="paragraph" w:customStyle="1" w:styleId="158">
    <w:name w:val="表格头"/>
    <w:link w:val="159"/>
    <w:qFormat/>
    <w:uiPriority w:val="0"/>
    <w:pPr>
      <w:spacing w:before="50" w:beforeLines="50" w:after="50" w:afterLines="50" w:line="360" w:lineRule="auto"/>
      <w:jc w:val="center"/>
    </w:pPr>
    <w:rPr>
      <w:rFonts w:ascii="Times New Roman" w:hAnsi="Times New Roman" w:eastAsia="宋体" w:cs="Times New Roman"/>
      <w:b/>
      <w:bCs/>
      <w:kern w:val="44"/>
      <w:position w:val="-28"/>
      <w:sz w:val="24"/>
      <w:szCs w:val="24"/>
      <w:lang w:val="en-US" w:eastAsia="zh-CN" w:bidi="ar-SA"/>
    </w:rPr>
  </w:style>
  <w:style w:type="character" w:customStyle="1" w:styleId="159">
    <w:name w:val="表格头 Char"/>
    <w:link w:val="158"/>
    <w:qFormat/>
    <w:uiPriority w:val="0"/>
    <w:rPr>
      <w:rFonts w:ascii="Times New Roman" w:hAnsi="Times New Roman" w:eastAsia="宋体" w:cs="Times New Roman"/>
      <w:b/>
      <w:bCs/>
      <w:kern w:val="44"/>
      <w:position w:val="-28"/>
      <w:sz w:val="24"/>
      <w:szCs w:val="24"/>
    </w:rPr>
  </w:style>
  <w:style w:type="paragraph" w:customStyle="1" w:styleId="160">
    <w:name w:val="这里的正文"/>
    <w:basedOn w:val="1"/>
    <w:link w:val="161"/>
    <w:qFormat/>
    <w:uiPriority w:val="0"/>
    <w:pPr>
      <w:ind w:firstLine="482"/>
    </w:pPr>
  </w:style>
  <w:style w:type="character" w:customStyle="1" w:styleId="161">
    <w:name w:val="这里的正文 Char"/>
    <w:link w:val="160"/>
    <w:qFormat/>
    <w:uiPriority w:val="0"/>
    <w:rPr>
      <w:rFonts w:ascii="Times New Roman" w:hAnsi="Times New Roman" w:eastAsia="宋体" w:cs="Times New Roman"/>
      <w:sz w:val="24"/>
      <w:szCs w:val="20"/>
    </w:rPr>
  </w:style>
  <w:style w:type="paragraph" w:customStyle="1" w:styleId="162">
    <w:name w:val="样式1"/>
    <w:basedOn w:val="1"/>
    <w:qFormat/>
    <w:uiPriority w:val="0"/>
    <w:pPr>
      <w:jc w:val="center"/>
    </w:pPr>
    <w:rPr>
      <w:b/>
      <w:szCs w:val="24"/>
    </w:rPr>
  </w:style>
  <w:style w:type="paragraph" w:customStyle="1" w:styleId="163">
    <w:name w:val="图表标题"/>
    <w:basedOn w:val="164"/>
    <w:next w:val="1"/>
    <w:link w:val="168"/>
    <w:qFormat/>
    <w:uiPriority w:val="0"/>
    <w:pPr>
      <w:tabs>
        <w:tab w:val="left" w:pos="1980"/>
        <w:tab w:val="left" w:pos="3825"/>
        <w:tab w:val="left" w:pos="4680"/>
      </w:tabs>
    </w:pPr>
    <w:rPr>
      <w:b/>
      <w:sz w:val="24"/>
    </w:rPr>
  </w:style>
  <w:style w:type="paragraph" w:customStyle="1" w:styleId="164">
    <w:name w:val="表格内文字"/>
    <w:basedOn w:val="165"/>
    <w:link w:val="167"/>
    <w:qFormat/>
    <w:uiPriority w:val="0"/>
    <w:pPr>
      <w:keepNext/>
      <w:tabs>
        <w:tab w:val="left" w:pos="1980"/>
        <w:tab w:val="left" w:pos="3825"/>
        <w:tab w:val="left" w:pos="4680"/>
      </w:tabs>
      <w:adjustRightInd w:val="0"/>
      <w:snapToGrid w:val="0"/>
      <w:spacing w:line="240" w:lineRule="auto"/>
    </w:pPr>
    <w:rPr>
      <w:b w:val="0"/>
      <w:sz w:val="21"/>
      <w:szCs w:val="21"/>
    </w:rPr>
  </w:style>
  <w:style w:type="paragraph" w:customStyle="1" w:styleId="165">
    <w:name w:val="表格名称"/>
    <w:basedOn w:val="1"/>
    <w:next w:val="164"/>
    <w:link w:val="166"/>
    <w:qFormat/>
    <w:uiPriority w:val="0"/>
    <w:pPr>
      <w:tabs>
        <w:tab w:val="left" w:pos="1980"/>
        <w:tab w:val="left" w:pos="3825"/>
        <w:tab w:val="left" w:pos="4680"/>
      </w:tabs>
      <w:jc w:val="center"/>
    </w:pPr>
    <w:rPr>
      <w:b/>
      <w:color w:val="000000"/>
      <w:kern w:val="0"/>
      <w:szCs w:val="24"/>
    </w:rPr>
  </w:style>
  <w:style w:type="character" w:customStyle="1" w:styleId="166">
    <w:name w:val="表格名称 Char"/>
    <w:link w:val="165"/>
    <w:qFormat/>
    <w:uiPriority w:val="0"/>
    <w:rPr>
      <w:rFonts w:ascii="Times New Roman" w:hAnsi="Times New Roman" w:eastAsia="宋体" w:cs="Times New Roman"/>
      <w:b/>
      <w:color w:val="000000"/>
      <w:kern w:val="0"/>
      <w:sz w:val="24"/>
      <w:szCs w:val="24"/>
    </w:rPr>
  </w:style>
  <w:style w:type="character" w:customStyle="1" w:styleId="167">
    <w:name w:val="表格内文字 Char"/>
    <w:link w:val="164"/>
    <w:qFormat/>
    <w:uiPriority w:val="0"/>
    <w:rPr>
      <w:rFonts w:ascii="Times New Roman" w:hAnsi="Times New Roman" w:eastAsia="宋体" w:cs="Times New Roman"/>
      <w:color w:val="000000"/>
      <w:kern w:val="0"/>
      <w:szCs w:val="21"/>
    </w:rPr>
  </w:style>
  <w:style w:type="character" w:customStyle="1" w:styleId="168">
    <w:name w:val="图表标题 Char"/>
    <w:link w:val="163"/>
    <w:qFormat/>
    <w:uiPriority w:val="0"/>
    <w:rPr>
      <w:rFonts w:ascii="Times New Roman" w:hAnsi="Times New Roman" w:eastAsia="宋体" w:cs="Times New Roman"/>
      <w:b/>
      <w:color w:val="000000"/>
      <w:kern w:val="0"/>
      <w:sz w:val="24"/>
      <w:szCs w:val="21"/>
    </w:rPr>
  </w:style>
  <w:style w:type="paragraph" w:customStyle="1" w:styleId="169">
    <w:name w:val="一级目录"/>
    <w:basedOn w:val="33"/>
    <w:link w:val="170"/>
    <w:qFormat/>
    <w:uiPriority w:val="0"/>
    <w:pPr>
      <w:spacing w:line="300" w:lineRule="auto"/>
      <w:ind w:firstLine="1" w:firstLineChars="1"/>
    </w:pPr>
    <w:rPr>
      <w:bCs/>
      <w:caps/>
    </w:rPr>
  </w:style>
  <w:style w:type="character" w:customStyle="1" w:styleId="170">
    <w:name w:val="一级目录 Char"/>
    <w:basedOn w:val="102"/>
    <w:link w:val="169"/>
    <w:qFormat/>
    <w:uiPriority w:val="0"/>
    <w:rPr>
      <w:rFonts w:ascii="Times New Roman" w:hAnsi="Times New Roman" w:eastAsia="宋体" w:cs="Times New Roman"/>
      <w:bCs/>
      <w:caps/>
      <w:sz w:val="28"/>
      <w:szCs w:val="20"/>
    </w:rPr>
  </w:style>
  <w:style w:type="paragraph" w:customStyle="1" w:styleId="171">
    <w:name w:val="二级目录"/>
    <w:basedOn w:val="39"/>
    <w:link w:val="172"/>
    <w:qFormat/>
    <w:uiPriority w:val="0"/>
    <w:pPr>
      <w:tabs>
        <w:tab w:val="right" w:leader="dot" w:pos="8720"/>
      </w:tabs>
      <w:ind w:firstLine="1" w:firstLineChars="1"/>
    </w:pPr>
    <w:rPr>
      <w:szCs w:val="21"/>
    </w:rPr>
  </w:style>
  <w:style w:type="character" w:customStyle="1" w:styleId="172">
    <w:name w:val="二级目录 Char"/>
    <w:link w:val="171"/>
    <w:qFormat/>
    <w:uiPriority w:val="0"/>
    <w:rPr>
      <w:rFonts w:ascii="Times New Roman" w:hAnsi="Times New Roman" w:eastAsia="宋体" w:cs="Times New Roman"/>
      <w:sz w:val="24"/>
      <w:szCs w:val="21"/>
    </w:rPr>
  </w:style>
  <w:style w:type="paragraph" w:customStyle="1" w:styleId="173">
    <w:name w:val="附件标题"/>
    <w:basedOn w:val="1"/>
    <w:link w:val="174"/>
    <w:qFormat/>
    <w:uiPriority w:val="0"/>
    <w:rPr>
      <w:b/>
      <w:sz w:val="28"/>
      <w:szCs w:val="24"/>
    </w:rPr>
  </w:style>
  <w:style w:type="character" w:customStyle="1" w:styleId="174">
    <w:name w:val="附件标题 Char"/>
    <w:basedOn w:val="51"/>
    <w:link w:val="173"/>
    <w:qFormat/>
    <w:uiPriority w:val="0"/>
    <w:rPr>
      <w:rFonts w:ascii="Times New Roman" w:hAnsi="Times New Roman" w:eastAsia="宋体" w:cs="Times New Roman"/>
      <w:b/>
      <w:sz w:val="28"/>
      <w:szCs w:val="24"/>
    </w:rPr>
  </w:style>
  <w:style w:type="paragraph" w:customStyle="1" w:styleId="175">
    <w:name w:val="一级"/>
    <w:basedOn w:val="1"/>
    <w:qFormat/>
    <w:uiPriority w:val="0"/>
    <w:pPr>
      <w:keepNext/>
      <w:adjustRightInd w:val="0"/>
      <w:snapToGrid w:val="0"/>
      <w:outlineLvl w:val="0"/>
    </w:pPr>
    <w:rPr>
      <w:rFonts w:cs="宋体"/>
      <w:b/>
      <w:bCs/>
      <w:sz w:val="32"/>
    </w:rPr>
  </w:style>
  <w:style w:type="paragraph" w:customStyle="1" w:styleId="176">
    <w:name w:val="正文内容"/>
    <w:basedOn w:val="1"/>
    <w:link w:val="177"/>
    <w:qFormat/>
    <w:uiPriority w:val="0"/>
    <w:pPr>
      <w:keepNext/>
      <w:adjustRightInd w:val="0"/>
      <w:snapToGrid w:val="0"/>
      <w:ind w:firstLine="480"/>
    </w:pPr>
    <w:rPr>
      <w:rFonts w:cs="宋体"/>
    </w:rPr>
  </w:style>
  <w:style w:type="character" w:customStyle="1" w:styleId="177">
    <w:name w:val="正文内容 Char"/>
    <w:basedOn w:val="51"/>
    <w:link w:val="176"/>
    <w:qFormat/>
    <w:uiPriority w:val="0"/>
    <w:rPr>
      <w:rFonts w:ascii="Times New Roman" w:hAnsi="Times New Roman" w:eastAsia="宋体" w:cs="宋体"/>
      <w:sz w:val="24"/>
      <w:szCs w:val="20"/>
    </w:rPr>
  </w:style>
  <w:style w:type="paragraph" w:customStyle="1" w:styleId="178">
    <w:name w:val="三级"/>
    <w:basedOn w:val="176"/>
    <w:link w:val="179"/>
    <w:qFormat/>
    <w:uiPriority w:val="0"/>
    <w:pPr>
      <w:outlineLvl w:val="2"/>
    </w:pPr>
    <w:rPr>
      <w:b/>
      <w:bCs/>
    </w:rPr>
  </w:style>
  <w:style w:type="character" w:customStyle="1" w:styleId="179">
    <w:name w:val="三级 Char"/>
    <w:basedOn w:val="177"/>
    <w:link w:val="178"/>
    <w:qFormat/>
    <w:uiPriority w:val="0"/>
    <w:rPr>
      <w:rFonts w:ascii="Times New Roman" w:hAnsi="Times New Roman" w:eastAsia="宋体" w:cs="宋体"/>
      <w:b/>
      <w:bCs/>
      <w:sz w:val="24"/>
      <w:szCs w:val="20"/>
    </w:rPr>
  </w:style>
  <w:style w:type="paragraph" w:customStyle="1" w:styleId="180">
    <w:name w:val="样式 正文0000 + 首行缩进:  2 字符1"/>
    <w:basedOn w:val="1"/>
    <w:link w:val="181"/>
    <w:qFormat/>
    <w:uiPriority w:val="0"/>
    <w:pPr>
      <w:keepNext/>
      <w:tabs>
        <w:tab w:val="left" w:pos="1980"/>
        <w:tab w:val="left" w:pos="3825"/>
        <w:tab w:val="left" w:pos="4680"/>
      </w:tabs>
      <w:adjustRightInd w:val="0"/>
      <w:snapToGrid w:val="0"/>
    </w:pPr>
    <w:rPr>
      <w:rFonts w:cs="宋体"/>
    </w:rPr>
  </w:style>
  <w:style w:type="character" w:customStyle="1" w:styleId="181">
    <w:name w:val="样式 正文0000 + 首行缩进:  2 字符1 Char"/>
    <w:basedOn w:val="51"/>
    <w:link w:val="180"/>
    <w:qFormat/>
    <w:uiPriority w:val="0"/>
    <w:rPr>
      <w:rFonts w:ascii="Times New Roman" w:hAnsi="Times New Roman" w:eastAsia="宋体" w:cs="宋体"/>
      <w:sz w:val="24"/>
      <w:szCs w:val="20"/>
    </w:rPr>
  </w:style>
  <w:style w:type="paragraph" w:customStyle="1" w:styleId="182">
    <w:name w:val="二级"/>
    <w:basedOn w:val="1"/>
    <w:link w:val="183"/>
    <w:qFormat/>
    <w:uiPriority w:val="0"/>
    <w:pPr>
      <w:keepNext/>
      <w:adjustRightInd w:val="0"/>
      <w:snapToGrid w:val="0"/>
      <w:outlineLvl w:val="1"/>
    </w:pPr>
    <w:rPr>
      <w:rFonts w:cs="宋体"/>
      <w:b/>
      <w:bCs/>
      <w:kern w:val="0"/>
      <w:sz w:val="30"/>
    </w:rPr>
  </w:style>
  <w:style w:type="character" w:customStyle="1" w:styleId="183">
    <w:name w:val="二级 Char"/>
    <w:basedOn w:val="51"/>
    <w:link w:val="182"/>
    <w:qFormat/>
    <w:uiPriority w:val="0"/>
    <w:rPr>
      <w:rFonts w:ascii="Times New Roman" w:hAnsi="Times New Roman" w:eastAsia="宋体" w:cs="宋体"/>
      <w:b/>
      <w:bCs/>
      <w:kern w:val="0"/>
      <w:sz w:val="30"/>
      <w:szCs w:val="20"/>
    </w:rPr>
  </w:style>
  <w:style w:type="paragraph" w:customStyle="1" w:styleId="184">
    <w:name w:val="正文1"/>
    <w:basedOn w:val="4"/>
    <w:link w:val="185"/>
    <w:qFormat/>
    <w:uiPriority w:val="0"/>
  </w:style>
  <w:style w:type="character" w:customStyle="1" w:styleId="185">
    <w:name w:val="正文 Char"/>
    <w:basedOn w:val="177"/>
    <w:link w:val="184"/>
    <w:qFormat/>
    <w:uiPriority w:val="0"/>
    <w:rPr>
      <w:rFonts w:ascii="Times New Roman" w:hAnsi="Times New Roman" w:eastAsia="宋体" w:cs="Times New Roman"/>
      <w:sz w:val="24"/>
      <w:szCs w:val="24"/>
    </w:rPr>
  </w:style>
  <w:style w:type="paragraph" w:customStyle="1" w:styleId="186">
    <w:name w:val="首页表内文字"/>
    <w:basedOn w:val="1"/>
    <w:link w:val="187"/>
    <w:qFormat/>
    <w:uiPriority w:val="0"/>
    <w:pPr>
      <w:keepNext/>
      <w:adjustRightInd w:val="0"/>
      <w:snapToGrid w:val="0"/>
      <w:spacing w:line="240" w:lineRule="auto"/>
      <w:jc w:val="center"/>
    </w:pPr>
    <w:rPr>
      <w:szCs w:val="24"/>
    </w:rPr>
  </w:style>
  <w:style w:type="character" w:customStyle="1" w:styleId="187">
    <w:name w:val="首页表内文字 Char"/>
    <w:basedOn w:val="51"/>
    <w:link w:val="186"/>
    <w:qFormat/>
    <w:uiPriority w:val="0"/>
    <w:rPr>
      <w:rFonts w:ascii="Times New Roman" w:hAnsi="Times New Roman" w:eastAsia="宋体" w:cs="Times New Roman"/>
      <w:sz w:val="24"/>
      <w:szCs w:val="24"/>
    </w:rPr>
  </w:style>
  <w:style w:type="character" w:customStyle="1" w:styleId="188">
    <w:name w:val="Font Style92"/>
    <w:qFormat/>
    <w:uiPriority w:val="0"/>
    <w:rPr>
      <w:rFonts w:ascii="宋体" w:eastAsia="宋体" w:cs="宋体"/>
      <w:spacing w:val="10"/>
      <w:sz w:val="26"/>
      <w:szCs w:val="26"/>
    </w:rPr>
  </w:style>
  <w:style w:type="paragraph" w:customStyle="1" w:styleId="189">
    <w:name w:val=".66l.66l"/>
    <w:basedOn w:val="1"/>
    <w:qFormat/>
    <w:uiPriority w:val="0"/>
    <w:pPr>
      <w:keepNext/>
      <w:autoSpaceDE w:val="0"/>
      <w:autoSpaceDN w:val="0"/>
      <w:adjustRightInd w:val="0"/>
      <w:snapToGrid w:val="0"/>
      <w:spacing w:line="312" w:lineRule="atLeast"/>
      <w:ind w:firstLine="570"/>
      <w:textAlignment w:val="baseline"/>
    </w:pPr>
    <w:rPr>
      <w:rFonts w:ascii="宋体"/>
      <w:kern w:val="0"/>
      <w:sz w:val="28"/>
    </w:rPr>
  </w:style>
  <w:style w:type="paragraph" w:styleId="190">
    <w:name w:val="List Paragraph"/>
    <w:basedOn w:val="1"/>
    <w:link w:val="191"/>
    <w:qFormat/>
    <w:uiPriority w:val="99"/>
    <w:pPr>
      <w:ind w:firstLine="420"/>
    </w:pPr>
    <w:rPr>
      <w:szCs w:val="24"/>
    </w:rPr>
  </w:style>
  <w:style w:type="character" w:customStyle="1" w:styleId="191">
    <w:name w:val="列出段落 Char"/>
    <w:basedOn w:val="51"/>
    <w:link w:val="190"/>
    <w:qFormat/>
    <w:uiPriority w:val="34"/>
    <w:rPr>
      <w:rFonts w:ascii="Times New Roman" w:hAnsi="Times New Roman" w:eastAsia="宋体" w:cs="Times New Roman"/>
      <w:sz w:val="24"/>
      <w:szCs w:val="24"/>
    </w:rPr>
  </w:style>
  <w:style w:type="paragraph" w:customStyle="1" w:styleId="192">
    <w:name w:val="四级"/>
    <w:basedOn w:val="178"/>
    <w:link w:val="193"/>
    <w:qFormat/>
    <w:uiPriority w:val="0"/>
    <w:pPr>
      <w:outlineLvl w:val="3"/>
    </w:pPr>
    <w:rPr>
      <w:b w:val="0"/>
      <w:bCs w:val="0"/>
    </w:rPr>
  </w:style>
  <w:style w:type="character" w:customStyle="1" w:styleId="193">
    <w:name w:val="四级 Char"/>
    <w:basedOn w:val="179"/>
    <w:link w:val="192"/>
    <w:qFormat/>
    <w:uiPriority w:val="0"/>
    <w:rPr>
      <w:rFonts w:ascii="Times New Roman" w:hAnsi="Times New Roman" w:eastAsia="宋体" w:cs="宋体"/>
      <w:b w:val="0"/>
      <w:bCs w:val="0"/>
      <w:sz w:val="24"/>
      <w:szCs w:val="20"/>
    </w:rPr>
  </w:style>
  <w:style w:type="paragraph" w:customStyle="1" w:styleId="194">
    <w:name w:val="5文章"/>
    <w:basedOn w:val="1"/>
    <w:qFormat/>
    <w:uiPriority w:val="0"/>
    <w:pPr>
      <w:keepNext/>
      <w:ind w:firstLine="480"/>
    </w:pPr>
    <w:rPr>
      <w:rFonts w:ascii="Arial" w:hAnsi="Arial" w:cs="Tahoma"/>
      <w:szCs w:val="21"/>
    </w:rPr>
  </w:style>
  <w:style w:type="paragraph" w:customStyle="1" w:styleId="195">
    <w:name w:val="样式 四号 加粗 行距: 1.5 倍行距"/>
    <w:basedOn w:val="1"/>
    <w:qFormat/>
    <w:uiPriority w:val="0"/>
    <w:pPr>
      <w:keepNext/>
    </w:pPr>
    <w:rPr>
      <w:rFonts w:cs="宋体"/>
      <w:b/>
      <w:bCs/>
    </w:rPr>
  </w:style>
  <w:style w:type="paragraph" w:customStyle="1" w:styleId="196">
    <w:name w:val="_Style 4"/>
    <w:basedOn w:val="1"/>
    <w:qFormat/>
    <w:uiPriority w:val="0"/>
    <w:pPr>
      <w:tabs>
        <w:tab w:val="left" w:pos="4665"/>
        <w:tab w:val="left" w:pos="8970"/>
      </w:tabs>
      <w:spacing w:line="240" w:lineRule="auto"/>
      <w:ind w:firstLine="400"/>
    </w:pPr>
    <w:rPr>
      <w:rFonts w:ascii="宋体" w:hAnsi="宋体"/>
      <w:kern w:val="0"/>
      <w:sz w:val="30"/>
      <w:szCs w:val="30"/>
    </w:rPr>
  </w:style>
  <w:style w:type="character" w:customStyle="1" w:styleId="197">
    <w:name w:val="apple-converted-space"/>
    <w:basedOn w:val="51"/>
    <w:qFormat/>
    <w:uiPriority w:val="0"/>
  </w:style>
  <w:style w:type="paragraph" w:customStyle="1" w:styleId="198">
    <w:name w:val="表下注释"/>
    <w:basedOn w:val="116"/>
    <w:link w:val="199"/>
    <w:qFormat/>
    <w:uiPriority w:val="0"/>
    <w:pPr>
      <w:jc w:val="both"/>
    </w:pPr>
  </w:style>
  <w:style w:type="character" w:customStyle="1" w:styleId="199">
    <w:name w:val="表下注释 Char"/>
    <w:basedOn w:val="117"/>
    <w:link w:val="198"/>
    <w:qFormat/>
    <w:uiPriority w:val="0"/>
    <w:rPr>
      <w:rFonts w:ascii="Times New Roman" w:hAnsi="Times New Roman" w:eastAsia="宋体" w:cs="Times New Roman"/>
      <w:kern w:val="0"/>
      <w:szCs w:val="21"/>
    </w:rPr>
  </w:style>
  <w:style w:type="paragraph" w:customStyle="1" w:styleId="200">
    <w:name w:val="reader-word-layer"/>
    <w:basedOn w:val="1"/>
    <w:qFormat/>
    <w:uiPriority w:val="0"/>
    <w:pPr>
      <w:spacing w:before="100" w:beforeAutospacing="1" w:after="100" w:afterAutospacing="1" w:line="240" w:lineRule="auto"/>
    </w:pPr>
    <w:rPr>
      <w:rFonts w:ascii="宋体" w:hAnsi="宋体" w:cs="宋体"/>
      <w:kern w:val="0"/>
      <w:szCs w:val="24"/>
    </w:rPr>
  </w:style>
  <w:style w:type="paragraph" w:customStyle="1" w:styleId="201">
    <w:name w:val="Char1 Char Char Char Char Char Char12"/>
    <w:basedOn w:val="1"/>
    <w:qFormat/>
    <w:uiPriority w:val="0"/>
    <w:pPr>
      <w:spacing w:line="240" w:lineRule="auto"/>
    </w:pPr>
    <w:rPr>
      <w:sz w:val="21"/>
      <w:szCs w:val="21"/>
    </w:rPr>
  </w:style>
  <w:style w:type="paragraph" w:customStyle="1" w:styleId="202">
    <w:name w:val="样式4"/>
    <w:basedOn w:val="149"/>
    <w:qFormat/>
    <w:uiPriority w:val="0"/>
    <w:pPr>
      <w:tabs>
        <w:tab w:val="clear" w:pos="8720"/>
      </w:tabs>
      <w:spacing w:before="0" w:after="0" w:line="360" w:lineRule="auto"/>
      <w:ind w:firstLine="480"/>
    </w:pPr>
    <w:rPr>
      <w:rFonts w:ascii="Times New Roman" w:hAnsi="Times New Roman"/>
      <w:b w:val="0"/>
      <w:bCs w:val="0"/>
      <w:caps w:val="0"/>
      <w:szCs w:val="28"/>
    </w:rPr>
  </w:style>
  <w:style w:type="paragraph" w:customStyle="1" w:styleId="203">
    <w:name w:val="Char"/>
    <w:basedOn w:val="1"/>
    <w:qFormat/>
    <w:uiPriority w:val="0"/>
    <w:pPr>
      <w:spacing w:line="240" w:lineRule="auto"/>
    </w:pPr>
    <w:rPr>
      <w:sz w:val="21"/>
      <w:szCs w:val="24"/>
    </w:rPr>
  </w:style>
  <w:style w:type="paragraph" w:customStyle="1" w:styleId="204">
    <w:name w:val="表格2"/>
    <w:basedOn w:val="1"/>
    <w:qFormat/>
    <w:uiPriority w:val="0"/>
    <w:pPr>
      <w:autoSpaceDE w:val="0"/>
      <w:autoSpaceDN w:val="0"/>
      <w:adjustRightInd w:val="0"/>
      <w:spacing w:line="240" w:lineRule="auto"/>
      <w:ind w:left="-1" w:leftChars="-16" w:hanging="31" w:hangingChars="15"/>
      <w:jc w:val="center"/>
    </w:pPr>
    <w:rPr>
      <w:kern w:val="0"/>
      <w:sz w:val="21"/>
    </w:rPr>
  </w:style>
  <w:style w:type="paragraph" w:styleId="205">
    <w:name w:val="No Spacing"/>
    <w:link w:val="206"/>
    <w:qFormat/>
    <w:uiPriority w:val="99"/>
    <w:pPr>
      <w:widowControl w:val="0"/>
      <w:spacing w:before="50" w:beforeLines="50" w:after="50" w:afterLines="50"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206">
    <w:name w:val="无间隔 Char"/>
    <w:link w:val="205"/>
    <w:qFormat/>
    <w:uiPriority w:val="0"/>
    <w:rPr>
      <w:rFonts w:ascii="Times New Roman" w:hAnsi="Times New Roman" w:eastAsia="宋体" w:cs="Times New Roman"/>
      <w:sz w:val="24"/>
      <w:szCs w:val="24"/>
    </w:rPr>
  </w:style>
  <w:style w:type="paragraph" w:customStyle="1" w:styleId="207">
    <w:name w:val="封面下方"/>
    <w:basedOn w:val="45"/>
    <w:link w:val="208"/>
    <w:qFormat/>
    <w:uiPriority w:val="0"/>
    <w:pPr>
      <w:spacing w:before="0" w:after="0"/>
      <w:ind w:firstLine="600" w:firstLineChars="600"/>
      <w:jc w:val="left"/>
      <w:outlineLvl w:val="9"/>
    </w:pPr>
    <w:rPr>
      <w:rFonts w:ascii="Cambria" w:hAnsi="Cambria" w:eastAsia="黑体" w:cs="Times New Roman"/>
      <w:sz w:val="28"/>
    </w:rPr>
  </w:style>
  <w:style w:type="character" w:customStyle="1" w:styleId="208">
    <w:name w:val="封面下方 Char"/>
    <w:basedOn w:val="72"/>
    <w:link w:val="207"/>
    <w:qFormat/>
    <w:uiPriority w:val="0"/>
    <w:rPr>
      <w:rFonts w:ascii="Cambria" w:hAnsi="Cambria" w:eastAsia="黑体" w:cs="Times New Roman"/>
      <w:sz w:val="28"/>
      <w:szCs w:val="32"/>
    </w:rPr>
  </w:style>
  <w:style w:type="paragraph" w:customStyle="1" w:styleId="209">
    <w:name w:val="海河课题正文"/>
    <w:basedOn w:val="1"/>
    <w:qFormat/>
    <w:uiPriority w:val="0"/>
    <w:pPr>
      <w:adjustRightInd w:val="0"/>
      <w:snapToGrid w:val="0"/>
      <w:ind w:firstLine="192" w:firstLineChars="192"/>
    </w:pPr>
    <w:rPr>
      <w:rFonts w:eastAsia="仿宋_GB2312"/>
      <w:sz w:val="28"/>
      <w:szCs w:val="28"/>
    </w:rPr>
  </w:style>
  <w:style w:type="paragraph" w:customStyle="1" w:styleId="210">
    <w:name w:val="表格正文"/>
    <w:basedOn w:val="1"/>
    <w:qFormat/>
    <w:uiPriority w:val="0"/>
    <w:pPr>
      <w:spacing w:line="240" w:lineRule="auto"/>
      <w:jc w:val="center"/>
    </w:pPr>
    <w:rPr>
      <w:kern w:val="0"/>
      <w:sz w:val="21"/>
      <w:szCs w:val="24"/>
    </w:rPr>
  </w:style>
  <w:style w:type="paragraph" w:customStyle="1" w:styleId="211">
    <w:name w:val="表格文字"/>
    <w:link w:val="212"/>
    <w:qFormat/>
    <w:uiPriority w:val="0"/>
    <w:pPr>
      <w:spacing w:before="50" w:beforeLines="50" w:after="200" w:afterLines="50" w:line="252" w:lineRule="auto"/>
      <w:jc w:val="center"/>
    </w:pPr>
    <w:rPr>
      <w:rFonts w:ascii="Times New Roman" w:hAnsi="Times New Roman" w:eastAsia="宋体" w:cs="Times New Roman"/>
      <w:sz w:val="21"/>
      <w:lang w:val="en-US" w:eastAsia="zh-CN" w:bidi="ar-SA"/>
    </w:rPr>
  </w:style>
  <w:style w:type="character" w:customStyle="1" w:styleId="212">
    <w:name w:val="表格文字 Char Char1"/>
    <w:basedOn w:val="51"/>
    <w:link w:val="211"/>
    <w:qFormat/>
    <w:uiPriority w:val="0"/>
    <w:rPr>
      <w:rFonts w:ascii="Times New Roman" w:hAnsi="Times New Roman" w:eastAsia="宋体" w:cs="Times New Roman"/>
      <w:kern w:val="0"/>
      <w:szCs w:val="20"/>
    </w:rPr>
  </w:style>
  <w:style w:type="paragraph" w:customStyle="1" w:styleId="213">
    <w:name w:val="TOC 标题1"/>
    <w:basedOn w:val="5"/>
    <w:next w:val="1"/>
    <w:unhideWhenUsed/>
    <w:qFormat/>
    <w:uiPriority w:val="39"/>
    <w:pPr>
      <w:keepNext/>
      <w:pageBreakBefore/>
      <w:spacing w:before="156" w:after="156"/>
      <w:outlineLvl w:val="9"/>
    </w:pPr>
    <w:rPr>
      <w:rFonts w:ascii="Cambria" w:hAnsi="Cambria"/>
      <w:bCs w:val="0"/>
      <w:iCs/>
      <w:kern w:val="32"/>
      <w:szCs w:val="32"/>
    </w:rPr>
  </w:style>
  <w:style w:type="character" w:customStyle="1" w:styleId="214">
    <w:name w:val="不明显强调1"/>
    <w:basedOn w:val="51"/>
    <w:qFormat/>
    <w:uiPriority w:val="19"/>
    <w:rPr>
      <w:i/>
      <w:iCs/>
      <w:color w:val="808080"/>
    </w:rPr>
  </w:style>
  <w:style w:type="character" w:customStyle="1" w:styleId="215">
    <w:name w:val="fontstyle01"/>
    <w:basedOn w:val="51"/>
    <w:qFormat/>
    <w:uiPriority w:val="0"/>
    <w:rPr>
      <w:rFonts w:hint="default" w:ascii="仿宋" w:hAnsi="仿宋"/>
      <w:color w:val="000000"/>
      <w:sz w:val="28"/>
      <w:szCs w:val="28"/>
    </w:rPr>
  </w:style>
  <w:style w:type="paragraph" w:customStyle="1" w:styleId="216">
    <w:name w:val="样式 四号 左 行距: 1.5 倍行距 首行缩进:  2 字符"/>
    <w:basedOn w:val="1"/>
    <w:qFormat/>
    <w:uiPriority w:val="0"/>
    <w:pPr>
      <w:ind w:firstLine="560"/>
    </w:pPr>
    <w:rPr>
      <w:rFonts w:cs="宋体"/>
    </w:rPr>
  </w:style>
  <w:style w:type="paragraph" w:customStyle="1" w:styleId="217">
    <w:name w:val="彩色列表 - 强调文字颜色 11"/>
    <w:basedOn w:val="1"/>
    <w:qFormat/>
    <w:uiPriority w:val="0"/>
    <w:pPr>
      <w:spacing w:line="240" w:lineRule="auto"/>
      <w:ind w:firstLine="420"/>
    </w:pPr>
    <w:rPr>
      <w:rFonts w:ascii="Calibri" w:hAnsi="Calibri"/>
      <w:sz w:val="21"/>
    </w:rPr>
  </w:style>
  <w:style w:type="paragraph" w:customStyle="1" w:styleId="218">
    <w:name w:val="图表标题-带单位"/>
    <w:basedOn w:val="163"/>
    <w:link w:val="219"/>
    <w:qFormat/>
    <w:uiPriority w:val="0"/>
    <w:pPr>
      <w:jc w:val="right"/>
    </w:pPr>
  </w:style>
  <w:style w:type="character" w:customStyle="1" w:styleId="219">
    <w:name w:val="图表标题-带单位 Char"/>
    <w:basedOn w:val="168"/>
    <w:link w:val="218"/>
    <w:qFormat/>
    <w:uiPriority w:val="0"/>
    <w:rPr>
      <w:rFonts w:ascii="Times New Roman" w:hAnsi="Times New Roman" w:eastAsia="宋体" w:cs="Times New Roman"/>
      <w:color w:val="000000"/>
      <w:kern w:val="0"/>
      <w:sz w:val="24"/>
      <w:szCs w:val="21"/>
    </w:rPr>
  </w:style>
  <w:style w:type="paragraph" w:customStyle="1" w:styleId="220">
    <w:name w:val="目录标题"/>
    <w:basedOn w:val="5"/>
    <w:link w:val="221"/>
    <w:qFormat/>
    <w:uiPriority w:val="0"/>
    <w:pPr>
      <w:keepNext/>
      <w:keepLines/>
      <w:adjustRightInd w:val="0"/>
      <w:snapToGrid w:val="0"/>
    </w:pPr>
  </w:style>
  <w:style w:type="character" w:customStyle="1" w:styleId="221">
    <w:name w:val="目录标题 Char"/>
    <w:basedOn w:val="61"/>
    <w:link w:val="220"/>
    <w:qFormat/>
    <w:uiPriority w:val="0"/>
    <w:rPr>
      <w:rFonts w:ascii="Times New Roman" w:hAnsi="Times New Roman" w:eastAsia="宋体" w:cs="Times New Roman"/>
      <w:kern w:val="44"/>
      <w:sz w:val="44"/>
      <w:szCs w:val="44"/>
    </w:rPr>
  </w:style>
  <w:style w:type="paragraph" w:customStyle="1" w:styleId="222">
    <w:name w:val="Char Char Char Char"/>
    <w:basedOn w:val="1"/>
    <w:qFormat/>
    <w:uiPriority w:val="0"/>
    <w:pPr>
      <w:spacing w:line="240" w:lineRule="auto"/>
    </w:pPr>
    <w:rPr>
      <w:szCs w:val="24"/>
    </w:rPr>
  </w:style>
  <w:style w:type="character" w:customStyle="1" w:styleId="223">
    <w:name w:val="图名称 Char"/>
    <w:link w:val="224"/>
    <w:qFormat/>
    <w:uiPriority w:val="0"/>
    <w:rPr>
      <w:b/>
      <w:sz w:val="24"/>
    </w:rPr>
  </w:style>
  <w:style w:type="paragraph" w:customStyle="1" w:styleId="224">
    <w:name w:val="图名称"/>
    <w:basedOn w:val="164"/>
    <w:link w:val="223"/>
    <w:qFormat/>
    <w:uiPriority w:val="0"/>
    <w:pPr>
      <w:keepNext w:val="0"/>
    </w:pPr>
    <w:rPr>
      <w:rFonts w:asciiTheme="minorHAnsi" w:hAnsiTheme="minorHAnsi" w:eastAsiaTheme="minorEastAsia" w:cstheme="minorBidi"/>
      <w:b/>
      <w:color w:val="auto"/>
      <w:kern w:val="2"/>
      <w:sz w:val="24"/>
      <w:szCs w:val="22"/>
    </w:rPr>
  </w:style>
  <w:style w:type="character" w:customStyle="1" w:styleId="225">
    <w:name w:val="无"/>
    <w:qFormat/>
    <w:uiPriority w:val="0"/>
  </w:style>
  <w:style w:type="paragraph" w:customStyle="1" w:styleId="226">
    <w:name w:val="无间隔1"/>
    <w:basedOn w:val="1"/>
    <w:next w:val="21"/>
    <w:qFormat/>
    <w:uiPriority w:val="99"/>
    <w:pPr>
      <w:tabs>
        <w:tab w:val="right" w:pos="8502"/>
        <w:tab w:val="right" w:pos="8802"/>
      </w:tabs>
      <w:kinsoku w:val="0"/>
      <w:autoSpaceDE w:val="0"/>
      <w:autoSpaceDN w:val="0"/>
      <w:adjustRightInd w:val="0"/>
      <w:snapToGrid w:val="0"/>
      <w:spacing w:line="240" w:lineRule="auto"/>
      <w:jc w:val="center"/>
      <w:textAlignment w:val="baseline"/>
    </w:pPr>
    <w:rPr>
      <w:sz w:val="21"/>
      <w:szCs w:val="21"/>
    </w:rPr>
  </w:style>
  <w:style w:type="character" w:customStyle="1" w:styleId="227">
    <w:name w:val="表格内段落 Char"/>
    <w:link w:val="228"/>
    <w:qFormat/>
    <w:uiPriority w:val="0"/>
    <w:rPr>
      <w:szCs w:val="21"/>
    </w:rPr>
  </w:style>
  <w:style w:type="paragraph" w:customStyle="1" w:styleId="228">
    <w:name w:val="表格内段落"/>
    <w:basedOn w:val="1"/>
    <w:link w:val="227"/>
    <w:qFormat/>
    <w:uiPriority w:val="0"/>
    <w:pPr>
      <w:tabs>
        <w:tab w:val="left" w:pos="1980"/>
        <w:tab w:val="left" w:pos="3825"/>
        <w:tab w:val="left" w:pos="4680"/>
      </w:tabs>
      <w:spacing w:line="240" w:lineRule="auto"/>
      <w:ind w:firstLine="420"/>
    </w:pPr>
    <w:rPr>
      <w:rFonts w:asciiTheme="minorHAnsi" w:hAnsiTheme="minorHAnsi" w:eastAsiaTheme="minorEastAsia" w:cstheme="minorBidi"/>
      <w:sz w:val="21"/>
      <w:szCs w:val="21"/>
    </w:rPr>
  </w:style>
  <w:style w:type="paragraph" w:customStyle="1" w:styleId="229">
    <w:name w:val="表格内段落（顶格）"/>
    <w:basedOn w:val="228"/>
    <w:qFormat/>
    <w:uiPriority w:val="0"/>
    <w:pPr>
      <w:ind w:firstLine="0"/>
      <w:jc w:val="center"/>
    </w:pPr>
  </w:style>
  <w:style w:type="paragraph" w:customStyle="1" w:styleId="230">
    <w:name w:val="目录"/>
    <w:basedOn w:val="1"/>
    <w:qFormat/>
    <w:uiPriority w:val="0"/>
    <w:pPr>
      <w:tabs>
        <w:tab w:val="left" w:pos="1980"/>
        <w:tab w:val="left" w:pos="3825"/>
        <w:tab w:val="left" w:pos="4680"/>
      </w:tabs>
      <w:jc w:val="center"/>
    </w:pPr>
    <w:rPr>
      <w:rFonts w:cs="Calibri"/>
      <w:b/>
      <w:sz w:val="36"/>
      <w:szCs w:val="36"/>
    </w:rPr>
  </w:style>
  <w:style w:type="paragraph" w:customStyle="1" w:styleId="231">
    <w:name w:val="首页标题"/>
    <w:basedOn w:val="1"/>
    <w:qFormat/>
    <w:uiPriority w:val="0"/>
    <w:pPr>
      <w:tabs>
        <w:tab w:val="left" w:pos="1980"/>
        <w:tab w:val="left" w:pos="3825"/>
        <w:tab w:val="left" w:pos="4680"/>
      </w:tabs>
      <w:jc w:val="center"/>
    </w:pPr>
    <w:rPr>
      <w:b/>
      <w:sz w:val="44"/>
      <w:szCs w:val="44"/>
    </w:rPr>
  </w:style>
  <w:style w:type="paragraph" w:customStyle="1" w:styleId="232">
    <w:name w:val="注释"/>
    <w:basedOn w:val="165"/>
    <w:qFormat/>
    <w:uiPriority w:val="0"/>
    <w:pPr>
      <w:spacing w:line="240" w:lineRule="auto"/>
      <w:jc w:val="left"/>
    </w:pPr>
    <w:rPr>
      <w:b w:val="0"/>
      <w:color w:val="auto"/>
      <w:kern w:val="2"/>
      <w:sz w:val="21"/>
      <w:szCs w:val="21"/>
    </w:rPr>
  </w:style>
  <w:style w:type="paragraph" w:customStyle="1" w:styleId="233">
    <w:name w:val="表格内文字（两端对齐）"/>
    <w:basedOn w:val="164"/>
    <w:qFormat/>
    <w:uiPriority w:val="0"/>
    <w:pPr>
      <w:keepNext w:val="0"/>
      <w:bidi/>
    </w:pPr>
    <w:rPr>
      <w:snapToGrid w:val="0"/>
    </w:rPr>
  </w:style>
  <w:style w:type="paragraph" w:customStyle="1" w:styleId="234">
    <w:name w:val="备注"/>
    <w:basedOn w:val="8"/>
    <w:link w:val="235"/>
    <w:qFormat/>
    <w:uiPriority w:val="0"/>
    <w:pPr>
      <w:keepNext/>
      <w:keepLines/>
      <w:tabs>
        <w:tab w:val="left" w:pos="1980"/>
        <w:tab w:val="left" w:pos="3825"/>
        <w:tab w:val="left" w:pos="4680"/>
        <w:tab w:val="clear" w:pos="5400"/>
      </w:tabs>
      <w:spacing w:line="240" w:lineRule="auto"/>
    </w:pPr>
    <w:rPr>
      <w:b w:val="0"/>
      <w:bCs w:val="0"/>
      <w:sz w:val="21"/>
      <w:szCs w:val="21"/>
    </w:rPr>
  </w:style>
  <w:style w:type="character" w:customStyle="1" w:styleId="235">
    <w:name w:val="备注 字符"/>
    <w:basedOn w:val="236"/>
    <w:link w:val="234"/>
    <w:qFormat/>
    <w:uiPriority w:val="0"/>
    <w:rPr>
      <w:rFonts w:ascii="Times New Roman" w:hAnsi="Times New Roman" w:eastAsia="宋体" w:cs="Times New Roman"/>
      <w:szCs w:val="21"/>
    </w:rPr>
  </w:style>
  <w:style w:type="character" w:customStyle="1" w:styleId="236">
    <w:name w:val="表格内文字 字符"/>
    <w:basedOn w:val="51"/>
    <w:qFormat/>
    <w:uiPriority w:val="0"/>
    <w:rPr>
      <w:rFonts w:ascii="Times New Roman" w:hAnsi="Times New Roman" w:eastAsia="宋体"/>
    </w:rPr>
  </w:style>
  <w:style w:type="paragraph" w:customStyle="1" w:styleId="237">
    <w:name w:val="默认"/>
    <w:qFormat/>
    <w:uiPriority w:val="0"/>
    <w:pPr>
      <w:framePr w:wrap="around" w:vAnchor="margin" w:hAnchor="text" w:yAlign="top"/>
      <w:spacing w:before="50" w:beforeLines="50" w:after="50" w:afterLines="50" w:line="360" w:lineRule="auto"/>
    </w:pPr>
    <w:rPr>
      <w:rFonts w:ascii="Helvetica Neue" w:hAnsi="Helvetica Neue" w:eastAsia="Helvetica Neue" w:cs="Helvetica Neue"/>
      <w:color w:val="000000"/>
      <w:sz w:val="22"/>
      <w:szCs w:val="22"/>
      <w:lang w:val="en-US" w:eastAsia="zh-CN" w:bidi="ar-SA"/>
    </w:rPr>
  </w:style>
  <w:style w:type="paragraph" w:customStyle="1" w:styleId="238">
    <w:name w:val="报告书项目名称"/>
    <w:basedOn w:val="239"/>
    <w:qFormat/>
    <w:uiPriority w:val="0"/>
    <w:pPr>
      <w:tabs>
        <w:tab w:val="left" w:pos="1980"/>
        <w:tab w:val="left" w:pos="3825"/>
        <w:tab w:val="left" w:pos="4680"/>
      </w:tabs>
      <w:jc w:val="center"/>
    </w:pPr>
    <w:rPr>
      <w:sz w:val="44"/>
    </w:rPr>
  </w:style>
  <w:style w:type="paragraph" w:customStyle="1" w:styleId="239">
    <w:name w:val="证书编号"/>
    <w:basedOn w:val="1"/>
    <w:qFormat/>
    <w:uiPriority w:val="0"/>
    <w:pPr>
      <w:tabs>
        <w:tab w:val="left" w:pos="1980"/>
        <w:tab w:val="left" w:pos="3825"/>
        <w:tab w:val="left" w:pos="4680"/>
      </w:tabs>
    </w:pPr>
    <w:rPr>
      <w:rFonts w:eastAsia="黑体" w:cs="Calibri"/>
      <w:b/>
      <w:sz w:val="28"/>
      <w:szCs w:val="24"/>
    </w:rPr>
  </w:style>
  <w:style w:type="paragraph" w:customStyle="1" w:styleId="240">
    <w:name w:val="建设单位"/>
    <w:basedOn w:val="241"/>
    <w:qFormat/>
    <w:uiPriority w:val="0"/>
    <w:pPr>
      <w:tabs>
        <w:tab w:val="left" w:pos="1980"/>
        <w:tab w:val="left" w:pos="3825"/>
        <w:tab w:val="left" w:pos="4680"/>
      </w:tabs>
      <w:jc w:val="both"/>
    </w:pPr>
    <w:rPr>
      <w:b/>
      <w:sz w:val="28"/>
    </w:rPr>
  </w:style>
  <w:style w:type="paragraph" w:customStyle="1" w:styleId="241">
    <w:name w:val="（报批稿）"/>
    <w:basedOn w:val="238"/>
    <w:qFormat/>
    <w:uiPriority w:val="0"/>
    <w:rPr>
      <w:b w:val="0"/>
      <w:sz w:val="30"/>
    </w:rPr>
  </w:style>
  <w:style w:type="paragraph" w:customStyle="1" w:styleId="242">
    <w:name w:val="表号"/>
    <w:qFormat/>
    <w:uiPriority w:val="0"/>
    <w:pPr>
      <w:adjustRightInd w:val="0"/>
      <w:snapToGrid w:val="0"/>
      <w:spacing w:before="50" w:beforeLines="50" w:after="50" w:afterLines="50" w:line="240" w:lineRule="atLeast"/>
      <w:jc w:val="both"/>
      <w:outlineLvl w:val="4"/>
    </w:pPr>
    <w:rPr>
      <w:rFonts w:ascii="宋体" w:hAnsi="宋体" w:eastAsia="宋体" w:cs="Calibri"/>
      <w:snapToGrid w:val="0"/>
      <w:sz w:val="24"/>
      <w:szCs w:val="24"/>
      <w:lang w:val="en-US" w:eastAsia="zh-CN" w:bidi="ar-SA"/>
    </w:rPr>
  </w:style>
  <w:style w:type="paragraph" w:customStyle="1" w:styleId="243">
    <w:name w:val="图表标题-单位"/>
    <w:basedOn w:val="163"/>
    <w:link w:val="244"/>
    <w:qFormat/>
    <w:uiPriority w:val="0"/>
    <w:pPr>
      <w:autoSpaceDE w:val="0"/>
      <w:autoSpaceDN w:val="0"/>
      <w:jc w:val="right"/>
    </w:pPr>
  </w:style>
  <w:style w:type="character" w:customStyle="1" w:styleId="244">
    <w:name w:val="图表标题-单位 Char"/>
    <w:basedOn w:val="168"/>
    <w:link w:val="243"/>
    <w:qFormat/>
    <w:uiPriority w:val="0"/>
    <w:rPr>
      <w:rFonts w:ascii="Times New Roman" w:hAnsi="Times New Roman" w:eastAsia="宋体" w:cs="Times New Roman"/>
      <w:color w:val="000000"/>
      <w:kern w:val="0"/>
      <w:sz w:val="24"/>
      <w:szCs w:val="21"/>
    </w:rPr>
  </w:style>
  <w:style w:type="character" w:customStyle="1" w:styleId="245">
    <w:name w:val="表格 Char"/>
    <w:qFormat/>
    <w:uiPriority w:val="0"/>
    <w:rPr>
      <w:rFonts w:eastAsia="楷体_GB2312"/>
      <w:sz w:val="21"/>
      <w:lang w:val="en-US" w:eastAsia="zh-CN" w:bidi="ar-SA"/>
    </w:rPr>
  </w:style>
  <w:style w:type="character" w:customStyle="1" w:styleId="246">
    <w:name w:val="font41"/>
    <w:basedOn w:val="51"/>
    <w:qFormat/>
    <w:uiPriority w:val="0"/>
    <w:rPr>
      <w:rFonts w:hint="default" w:ascii="Times New Roman" w:hAnsi="Times New Roman" w:cs="Times New Roman"/>
      <w:color w:val="000000"/>
      <w:sz w:val="16"/>
      <w:szCs w:val="16"/>
      <w:u w:val="none"/>
    </w:rPr>
  </w:style>
  <w:style w:type="paragraph" w:customStyle="1" w:styleId="247">
    <w:name w:val="正文 New New New New New New New New New"/>
    <w:qFormat/>
    <w:uiPriority w:val="0"/>
    <w:pPr>
      <w:widowControl w:val="0"/>
      <w:spacing w:before="50" w:beforeLines="50" w:after="50" w:afterLines="50" w:line="360" w:lineRule="auto"/>
      <w:jc w:val="both"/>
    </w:pPr>
    <w:rPr>
      <w:rFonts w:ascii="Times New Roman" w:hAnsi="Times New Roman" w:eastAsia="宋体" w:cs="Times New Roman"/>
      <w:kern w:val="2"/>
      <w:sz w:val="21"/>
      <w:szCs w:val="24"/>
      <w:lang w:val="en-US" w:eastAsia="zh-CN" w:bidi="ar-SA"/>
    </w:rPr>
  </w:style>
  <w:style w:type="character" w:customStyle="1" w:styleId="248">
    <w:name w:val="正文文本_"/>
    <w:link w:val="249"/>
    <w:unhideWhenUsed/>
    <w:qFormat/>
    <w:uiPriority w:val="99"/>
    <w:rPr>
      <w:rFonts w:ascii="MingLiU" w:hAnsi="MingLiU" w:eastAsia="MingLiU"/>
      <w:spacing w:val="10"/>
      <w:shd w:val="clear" w:color="auto" w:fill="FFFFFF"/>
    </w:rPr>
  </w:style>
  <w:style w:type="paragraph" w:customStyle="1" w:styleId="249">
    <w:name w:val="正文文本1"/>
    <w:basedOn w:val="1"/>
    <w:link w:val="248"/>
    <w:unhideWhenUsed/>
    <w:qFormat/>
    <w:uiPriority w:val="99"/>
    <w:pPr>
      <w:shd w:val="clear" w:color="auto" w:fill="FFFFFF"/>
      <w:spacing w:line="466" w:lineRule="exact"/>
      <w:jc w:val="distribute"/>
    </w:pPr>
    <w:rPr>
      <w:rFonts w:ascii="MingLiU" w:hAnsi="MingLiU" w:eastAsia="MingLiU" w:cstheme="minorBidi"/>
      <w:spacing w:val="10"/>
      <w:sz w:val="21"/>
      <w:szCs w:val="22"/>
    </w:rPr>
  </w:style>
  <w:style w:type="paragraph" w:customStyle="1" w:styleId="250">
    <w:name w:val="Char Char7"/>
    <w:basedOn w:val="1"/>
    <w:qFormat/>
    <w:uiPriority w:val="0"/>
    <w:pPr>
      <w:adjustRightInd w:val="0"/>
      <w:spacing w:line="240" w:lineRule="auto"/>
      <w:textAlignment w:val="baseline"/>
    </w:pPr>
    <w:rPr>
      <w:sz w:val="21"/>
      <w:szCs w:val="24"/>
    </w:rPr>
  </w:style>
  <w:style w:type="paragraph" w:customStyle="1" w:styleId="251">
    <w:name w:val="自编号正文"/>
    <w:basedOn w:val="190"/>
    <w:link w:val="252"/>
    <w:qFormat/>
    <w:uiPriority w:val="0"/>
    <w:pPr>
      <w:numPr>
        <w:ilvl w:val="0"/>
        <w:numId w:val="3"/>
      </w:numPr>
      <w:ind w:firstLine="200"/>
    </w:pPr>
  </w:style>
  <w:style w:type="character" w:customStyle="1" w:styleId="252">
    <w:name w:val="自编号正文 字符"/>
    <w:basedOn w:val="191"/>
    <w:link w:val="251"/>
    <w:qFormat/>
    <w:uiPriority w:val="0"/>
    <w:rPr>
      <w:rFonts w:ascii="Times New Roman" w:hAnsi="Times New Roman" w:eastAsia="宋体" w:cs="Times New Roman"/>
      <w:sz w:val="24"/>
      <w:szCs w:val="24"/>
    </w:rPr>
  </w:style>
  <w:style w:type="paragraph" w:customStyle="1" w:styleId="253">
    <w:name w:val="2级标题"/>
    <w:basedOn w:val="6"/>
    <w:link w:val="254"/>
    <w:qFormat/>
    <w:uiPriority w:val="0"/>
    <w:pPr>
      <w:keepNext/>
      <w:keepLines/>
      <w:numPr>
        <w:ilvl w:val="0"/>
        <w:numId w:val="4"/>
      </w:numPr>
      <w:adjustRightInd w:val="0"/>
      <w:snapToGrid w:val="0"/>
      <w:spacing w:before="0" w:beforeLines="0"/>
    </w:pPr>
  </w:style>
  <w:style w:type="character" w:customStyle="1" w:styleId="254">
    <w:name w:val="2级标题 字符"/>
    <w:basedOn w:val="62"/>
    <w:link w:val="253"/>
    <w:qFormat/>
    <w:uiPriority w:val="0"/>
    <w:rPr>
      <w:rFonts w:ascii="Times New Roman" w:hAnsi="Times New Roman" w:eastAsia="宋体" w:cs="Times New Roman"/>
      <w:kern w:val="0"/>
      <w:sz w:val="32"/>
      <w:szCs w:val="32"/>
    </w:rPr>
  </w:style>
  <w:style w:type="paragraph" w:customStyle="1" w:styleId="255">
    <w:name w:val="3级标题"/>
    <w:basedOn w:val="7"/>
    <w:link w:val="256"/>
    <w:qFormat/>
    <w:uiPriority w:val="0"/>
    <w:pPr>
      <w:keepNext/>
      <w:keepLines/>
      <w:numPr>
        <w:ilvl w:val="0"/>
        <w:numId w:val="5"/>
      </w:numPr>
      <w:ind w:left="0" w:firstLine="0"/>
    </w:pPr>
    <w:rPr>
      <w:szCs w:val="32"/>
    </w:rPr>
  </w:style>
  <w:style w:type="character" w:customStyle="1" w:styleId="256">
    <w:name w:val="3级标题 字符"/>
    <w:basedOn w:val="63"/>
    <w:link w:val="255"/>
    <w:qFormat/>
    <w:uiPriority w:val="0"/>
    <w:rPr>
      <w:rFonts w:ascii="Times New Roman" w:hAnsi="Times New Roman" w:eastAsia="宋体" w:cs="Times New Roman"/>
      <w:snapToGrid w:val="0"/>
      <w:kern w:val="0"/>
      <w:sz w:val="28"/>
      <w:szCs w:val="32"/>
    </w:rPr>
  </w:style>
  <w:style w:type="paragraph" w:customStyle="1" w:styleId="257">
    <w:name w:val="4级标题"/>
    <w:basedOn w:val="8"/>
    <w:link w:val="258"/>
    <w:qFormat/>
    <w:uiPriority w:val="0"/>
    <w:pPr>
      <w:keepNext/>
      <w:keepLines/>
      <w:tabs>
        <w:tab w:val="clear" w:pos="5400"/>
      </w:tabs>
      <w:adjustRightInd w:val="0"/>
      <w:snapToGrid w:val="0"/>
      <w:ind w:left="425" w:hanging="425"/>
    </w:pPr>
    <w:rPr>
      <w:kern w:val="0"/>
    </w:rPr>
  </w:style>
  <w:style w:type="character" w:customStyle="1" w:styleId="258">
    <w:name w:val="4级标题 字符"/>
    <w:basedOn w:val="64"/>
    <w:link w:val="257"/>
    <w:qFormat/>
    <w:uiPriority w:val="0"/>
    <w:rPr>
      <w:rFonts w:ascii="Times New Roman" w:hAnsi="Times New Roman" w:eastAsia="宋体" w:cs="Times New Roman"/>
      <w:sz w:val="24"/>
      <w:szCs w:val="28"/>
    </w:rPr>
  </w:style>
  <w:style w:type="paragraph" w:customStyle="1" w:styleId="259">
    <w:name w:val="表格文字小四"/>
    <w:basedOn w:val="1"/>
    <w:qFormat/>
    <w:uiPriority w:val="0"/>
    <w:pPr>
      <w:spacing w:line="240" w:lineRule="auto"/>
      <w:jc w:val="center"/>
    </w:pPr>
    <w:rPr>
      <w:rFonts w:ascii="Times" w:hAnsi="Times"/>
      <w:kern w:val="24"/>
      <w:szCs w:val="24"/>
    </w:rPr>
  </w:style>
  <w:style w:type="character" w:customStyle="1" w:styleId="260">
    <w:name w:val="正文首行缩进 Char Char"/>
    <w:link w:val="261"/>
    <w:qFormat/>
    <w:uiPriority w:val="0"/>
  </w:style>
  <w:style w:type="paragraph" w:customStyle="1" w:styleId="261">
    <w:name w:val="正文首行缩进1"/>
    <w:basedOn w:val="1"/>
    <w:link w:val="260"/>
    <w:qFormat/>
    <w:uiPriority w:val="0"/>
    <w:pPr>
      <w:snapToGrid w:val="0"/>
      <w:spacing w:after="120" w:line="240" w:lineRule="auto"/>
      <w:ind w:firstLine="420" w:firstLineChars="100"/>
    </w:pPr>
    <w:rPr>
      <w:rFonts w:asciiTheme="minorHAnsi" w:hAnsiTheme="minorHAnsi" w:eastAsiaTheme="minorEastAsia" w:cstheme="minorBidi"/>
      <w:sz w:val="21"/>
      <w:szCs w:val="22"/>
    </w:rPr>
  </w:style>
  <w:style w:type="character" w:customStyle="1" w:styleId="262">
    <w:name w:val="茂名 正文 Char"/>
    <w:link w:val="263"/>
    <w:qFormat/>
    <w:uiPriority w:val="0"/>
    <w:rPr>
      <w:rFonts w:ascii="Arial" w:hAnsi="Arial" w:cs="Arial"/>
      <w:sz w:val="24"/>
      <w:szCs w:val="24"/>
    </w:rPr>
  </w:style>
  <w:style w:type="paragraph" w:customStyle="1" w:styleId="263">
    <w:name w:val="茂名 正文"/>
    <w:basedOn w:val="1"/>
    <w:link w:val="262"/>
    <w:qFormat/>
    <w:uiPriority w:val="0"/>
    <w:pPr>
      <w:topLinePunct/>
      <w:spacing w:line="480" w:lineRule="exact"/>
      <w:ind w:firstLine="539"/>
    </w:pPr>
    <w:rPr>
      <w:rFonts w:ascii="Arial" w:hAnsi="Arial" w:cs="Arial" w:eastAsiaTheme="minorEastAsia"/>
      <w:szCs w:val="24"/>
    </w:rPr>
  </w:style>
  <w:style w:type="character" w:customStyle="1" w:styleId="264">
    <w:name w:val="正文样式 Char1"/>
    <w:link w:val="265"/>
    <w:qFormat/>
    <w:uiPriority w:val="0"/>
    <w:rPr>
      <w:sz w:val="28"/>
      <w:szCs w:val="24"/>
    </w:rPr>
  </w:style>
  <w:style w:type="paragraph" w:customStyle="1" w:styleId="265">
    <w:name w:val="正文样式"/>
    <w:basedOn w:val="1"/>
    <w:link w:val="264"/>
    <w:qFormat/>
    <w:uiPriority w:val="0"/>
    <w:rPr>
      <w:rFonts w:asciiTheme="minorHAnsi" w:hAnsiTheme="minorHAnsi" w:eastAsiaTheme="minorEastAsia" w:cstheme="minorBidi"/>
      <w:sz w:val="28"/>
      <w:szCs w:val="24"/>
    </w:rPr>
  </w:style>
  <w:style w:type="character" w:customStyle="1" w:styleId="266">
    <w:name w:val="批注主题 Char Char"/>
    <w:link w:val="267"/>
    <w:qFormat/>
    <w:uiPriority w:val="0"/>
    <w:rPr>
      <w:b/>
      <w:bCs/>
      <w:sz w:val="24"/>
      <w:szCs w:val="28"/>
    </w:rPr>
  </w:style>
  <w:style w:type="paragraph" w:customStyle="1" w:styleId="267">
    <w:name w:val="批注主题1"/>
    <w:basedOn w:val="268"/>
    <w:next w:val="268"/>
    <w:link w:val="266"/>
    <w:qFormat/>
    <w:uiPriority w:val="0"/>
    <w:pPr>
      <w:snapToGrid/>
      <w:spacing w:before="100" w:beforeAutospacing="1" w:after="100" w:afterAutospacing="1"/>
    </w:pPr>
    <w:rPr>
      <w:rFonts w:asciiTheme="minorHAnsi" w:hAnsiTheme="minorHAnsi" w:eastAsiaTheme="minorEastAsia" w:cstheme="minorBidi"/>
      <w:b/>
      <w:bCs/>
      <w:szCs w:val="28"/>
    </w:rPr>
  </w:style>
  <w:style w:type="paragraph" w:customStyle="1" w:styleId="268">
    <w:name w:val="批注文字1"/>
    <w:basedOn w:val="1"/>
    <w:link w:val="269"/>
    <w:qFormat/>
    <w:uiPriority w:val="0"/>
    <w:pPr>
      <w:snapToGrid w:val="0"/>
    </w:pPr>
    <w:rPr>
      <w:szCs w:val="24"/>
    </w:rPr>
  </w:style>
  <w:style w:type="character" w:customStyle="1" w:styleId="269">
    <w:name w:val="批注文字 Char Char"/>
    <w:link w:val="268"/>
    <w:qFormat/>
    <w:uiPriority w:val="0"/>
    <w:rPr>
      <w:rFonts w:ascii="Times New Roman" w:hAnsi="Times New Roman" w:eastAsia="宋体" w:cs="Times New Roman"/>
      <w:sz w:val="24"/>
      <w:szCs w:val="24"/>
    </w:rPr>
  </w:style>
  <w:style w:type="character" w:customStyle="1" w:styleId="270">
    <w:name w:val="正文文本缩进 2 Char Char"/>
    <w:link w:val="271"/>
    <w:qFormat/>
    <w:uiPriority w:val="0"/>
    <w:rPr>
      <w:rFonts w:ascii="宋体"/>
      <w:sz w:val="28"/>
    </w:rPr>
  </w:style>
  <w:style w:type="paragraph" w:customStyle="1" w:styleId="271">
    <w:name w:val="正文文本缩进 21"/>
    <w:basedOn w:val="1"/>
    <w:link w:val="270"/>
    <w:qFormat/>
    <w:uiPriority w:val="0"/>
    <w:pPr>
      <w:snapToGrid w:val="0"/>
      <w:ind w:firstLine="630"/>
    </w:pPr>
    <w:rPr>
      <w:rFonts w:ascii="宋体" w:hAnsiTheme="minorHAnsi" w:eastAsiaTheme="minorEastAsia" w:cstheme="minorBidi"/>
      <w:sz w:val="28"/>
      <w:szCs w:val="22"/>
    </w:rPr>
  </w:style>
  <w:style w:type="character" w:customStyle="1" w:styleId="272">
    <w:name w:val="规定正文 Char"/>
    <w:link w:val="273"/>
    <w:qFormat/>
    <w:uiPriority w:val="0"/>
    <w:rPr>
      <w:sz w:val="24"/>
    </w:rPr>
  </w:style>
  <w:style w:type="paragraph" w:customStyle="1" w:styleId="273">
    <w:name w:val="规定正文"/>
    <w:link w:val="272"/>
    <w:qFormat/>
    <w:uiPriority w:val="0"/>
    <w:pPr>
      <w:spacing w:before="160" w:beforeLines="50" w:after="50" w:afterLines="50" w:line="440" w:lineRule="atLeast"/>
      <w:ind w:left="425" w:firstLine="425"/>
      <w:contextualSpacing/>
      <w:jc w:val="both"/>
    </w:pPr>
    <w:rPr>
      <w:rFonts w:asciiTheme="minorHAnsi" w:hAnsiTheme="minorHAnsi" w:eastAsiaTheme="minorEastAsia" w:cstheme="minorBidi"/>
      <w:kern w:val="2"/>
      <w:sz w:val="24"/>
      <w:szCs w:val="22"/>
      <w:lang w:val="en-US" w:eastAsia="zh-CN" w:bidi="ar-SA"/>
    </w:rPr>
  </w:style>
  <w:style w:type="character" w:customStyle="1" w:styleId="274">
    <w:name w:val="样式3 Char"/>
    <w:qFormat/>
    <w:uiPriority w:val="0"/>
  </w:style>
  <w:style w:type="character" w:customStyle="1" w:styleId="275">
    <w:name w:val="可研报告正文 Char Char"/>
    <w:link w:val="276"/>
    <w:qFormat/>
    <w:uiPriority w:val="0"/>
    <w:rPr>
      <w:sz w:val="24"/>
      <w:szCs w:val="24"/>
    </w:rPr>
  </w:style>
  <w:style w:type="paragraph" w:customStyle="1" w:styleId="276">
    <w:name w:val="可研报告正文"/>
    <w:link w:val="275"/>
    <w:qFormat/>
    <w:uiPriority w:val="0"/>
    <w:pPr>
      <w:tabs>
        <w:tab w:val="left" w:pos="5880"/>
      </w:tabs>
      <w:spacing w:before="50" w:beforeLines="50" w:after="50" w:afterLines="50" w:line="440" w:lineRule="exact"/>
      <w:ind w:left="425" w:firstLine="482"/>
      <w:jc w:val="both"/>
    </w:pPr>
    <w:rPr>
      <w:rFonts w:asciiTheme="minorHAnsi" w:hAnsiTheme="minorHAnsi" w:eastAsiaTheme="minorEastAsia" w:cstheme="minorBidi"/>
      <w:kern w:val="2"/>
      <w:sz w:val="24"/>
      <w:szCs w:val="24"/>
      <w:lang w:val="en-US" w:eastAsia="zh-CN" w:bidi="ar-SA"/>
    </w:rPr>
  </w:style>
  <w:style w:type="character" w:customStyle="1" w:styleId="277">
    <w:name w:val="样式3 Char Char"/>
    <w:basedOn w:val="278"/>
    <w:link w:val="280"/>
    <w:qFormat/>
    <w:uiPriority w:val="0"/>
    <w:rPr>
      <w:rFonts w:ascii="黑体" w:hAnsi="黑体" w:eastAsia="黑体"/>
      <w:kern w:val="44"/>
      <w:sz w:val="24"/>
      <w:szCs w:val="28"/>
      <w:lang w:val="zh-CN"/>
    </w:rPr>
  </w:style>
  <w:style w:type="character" w:customStyle="1" w:styleId="278">
    <w:name w:val="样式2 Char Char"/>
    <w:link w:val="279"/>
    <w:qFormat/>
    <w:uiPriority w:val="0"/>
    <w:rPr>
      <w:rFonts w:ascii="黑体" w:hAnsi="黑体" w:eastAsia="黑体"/>
      <w:b/>
      <w:bCs/>
      <w:kern w:val="44"/>
      <w:sz w:val="24"/>
      <w:szCs w:val="28"/>
      <w:lang w:val="zh-CN"/>
    </w:rPr>
  </w:style>
  <w:style w:type="paragraph" w:customStyle="1" w:styleId="279">
    <w:name w:val="样式2"/>
    <w:basedOn w:val="7"/>
    <w:link w:val="278"/>
    <w:qFormat/>
    <w:uiPriority w:val="0"/>
    <w:pPr>
      <w:tabs>
        <w:tab w:val="left" w:pos="720"/>
      </w:tabs>
      <w:spacing w:before="312" w:beforeLines="100"/>
      <w:jc w:val="center"/>
    </w:pPr>
    <w:rPr>
      <w:rFonts w:ascii="黑体" w:hAnsi="黑体" w:eastAsia="黑体" w:cstheme="minorBidi"/>
      <w:kern w:val="44"/>
      <w:szCs w:val="28"/>
      <w:lang w:val="zh-CN"/>
    </w:rPr>
  </w:style>
  <w:style w:type="paragraph" w:customStyle="1" w:styleId="280">
    <w:name w:val="样式3"/>
    <w:basedOn w:val="7"/>
    <w:link w:val="277"/>
    <w:qFormat/>
    <w:uiPriority w:val="0"/>
    <w:pPr>
      <w:tabs>
        <w:tab w:val="left" w:pos="720"/>
      </w:tabs>
      <w:spacing w:before="312" w:beforeLines="100"/>
      <w:jc w:val="center"/>
    </w:pPr>
    <w:rPr>
      <w:rFonts w:ascii="黑体" w:hAnsi="黑体" w:eastAsia="黑体" w:cstheme="minorBidi"/>
      <w:kern w:val="44"/>
      <w:szCs w:val="28"/>
      <w:lang w:val="zh-CN"/>
    </w:rPr>
  </w:style>
  <w:style w:type="character" w:customStyle="1" w:styleId="281">
    <w:name w:val="正文文本缩进 Char Char"/>
    <w:link w:val="282"/>
    <w:qFormat/>
    <w:uiPriority w:val="0"/>
    <w:rPr>
      <w:rFonts w:ascii="宋体"/>
      <w:sz w:val="28"/>
    </w:rPr>
  </w:style>
  <w:style w:type="paragraph" w:customStyle="1" w:styleId="282">
    <w:name w:val="正文文本缩进1"/>
    <w:basedOn w:val="1"/>
    <w:link w:val="281"/>
    <w:qFormat/>
    <w:uiPriority w:val="0"/>
    <w:pPr>
      <w:snapToGrid w:val="0"/>
      <w:ind w:firstLine="900"/>
    </w:pPr>
    <w:rPr>
      <w:rFonts w:ascii="宋体" w:hAnsiTheme="minorHAnsi" w:eastAsiaTheme="minorEastAsia" w:cstheme="minorBidi"/>
      <w:sz w:val="28"/>
      <w:szCs w:val="22"/>
    </w:rPr>
  </w:style>
  <w:style w:type="character" w:customStyle="1" w:styleId="283">
    <w:name w:val="标题 3 字符1"/>
    <w:qFormat/>
    <w:uiPriority w:val="0"/>
    <w:rPr>
      <w:rFonts w:ascii="宋体" w:hAnsi="宋体" w:eastAsia="黑体"/>
      <w:kern w:val="2"/>
      <w:sz w:val="28"/>
      <w:szCs w:val="28"/>
      <w:lang w:val="zh-CN"/>
    </w:rPr>
  </w:style>
  <w:style w:type="character" w:customStyle="1" w:styleId="284">
    <w:name w:val="标题 Char1"/>
    <w:qFormat/>
    <w:uiPriority w:val="10"/>
    <w:rPr>
      <w:rFonts w:ascii="Cambria" w:hAnsi="Cambria" w:cs="Times New Roman"/>
      <w:b/>
      <w:bCs/>
      <w:kern w:val="2"/>
      <w:sz w:val="32"/>
      <w:szCs w:val="32"/>
    </w:rPr>
  </w:style>
  <w:style w:type="character" w:customStyle="1" w:styleId="285">
    <w:name w:val="文档结构图 Char Char"/>
    <w:link w:val="286"/>
    <w:qFormat/>
    <w:uiPriority w:val="0"/>
    <w:rPr>
      <w:rFonts w:ascii="宋体"/>
      <w:sz w:val="18"/>
      <w:szCs w:val="18"/>
    </w:rPr>
  </w:style>
  <w:style w:type="paragraph" w:customStyle="1" w:styleId="286">
    <w:name w:val="文档结构图1"/>
    <w:basedOn w:val="1"/>
    <w:link w:val="285"/>
    <w:qFormat/>
    <w:uiPriority w:val="0"/>
    <w:pPr>
      <w:snapToGrid w:val="0"/>
    </w:pPr>
    <w:rPr>
      <w:rFonts w:ascii="宋体" w:hAnsiTheme="minorHAnsi" w:eastAsiaTheme="minorEastAsia" w:cstheme="minorBidi"/>
      <w:sz w:val="18"/>
      <w:szCs w:val="18"/>
    </w:rPr>
  </w:style>
  <w:style w:type="character" w:customStyle="1" w:styleId="287">
    <w:name w:val="apple-style-span"/>
    <w:basedOn w:val="51"/>
    <w:qFormat/>
    <w:uiPriority w:val="0"/>
  </w:style>
  <w:style w:type="character" w:customStyle="1" w:styleId="288">
    <w:name w:val="页脚 Char"/>
    <w:link w:val="289"/>
    <w:qFormat/>
    <w:uiPriority w:val="99"/>
    <w:rPr>
      <w:sz w:val="18"/>
    </w:rPr>
  </w:style>
  <w:style w:type="paragraph" w:customStyle="1" w:styleId="289">
    <w:name w:val="页脚1"/>
    <w:basedOn w:val="1"/>
    <w:link w:val="288"/>
    <w:qFormat/>
    <w:uiPriority w:val="99"/>
    <w:pPr>
      <w:pBdr>
        <w:top w:val="thickThinSmallGap" w:color="auto" w:sz="12" w:space="1"/>
      </w:pBdr>
      <w:tabs>
        <w:tab w:val="center" w:pos="4153"/>
        <w:tab w:val="right" w:pos="8306"/>
      </w:tabs>
      <w:snapToGrid w:val="0"/>
    </w:pPr>
    <w:rPr>
      <w:rFonts w:asciiTheme="minorHAnsi" w:hAnsiTheme="minorHAnsi" w:eastAsiaTheme="minorEastAsia" w:cstheme="minorBidi"/>
      <w:sz w:val="18"/>
      <w:szCs w:val="22"/>
    </w:rPr>
  </w:style>
  <w:style w:type="character" w:customStyle="1" w:styleId="290">
    <w:name w:val="访问过的超链接1"/>
    <w:qFormat/>
    <w:uiPriority w:val="0"/>
    <w:rPr>
      <w:color w:val="800080"/>
      <w:u w:val="single"/>
    </w:rPr>
  </w:style>
  <w:style w:type="character" w:customStyle="1" w:styleId="291">
    <w:name w:val="页码1"/>
    <w:basedOn w:val="51"/>
    <w:qFormat/>
    <w:uiPriority w:val="0"/>
  </w:style>
  <w:style w:type="character" w:customStyle="1" w:styleId="292">
    <w:name w:val="标题六 Char"/>
    <w:qFormat/>
    <w:uiPriority w:val="0"/>
    <w:rPr>
      <w:rFonts w:eastAsia="宋体"/>
      <w:kern w:val="2"/>
      <w:sz w:val="28"/>
      <w:szCs w:val="24"/>
      <w:lang w:val="en-US" w:eastAsia="zh-CN"/>
    </w:rPr>
  </w:style>
  <w:style w:type="character" w:customStyle="1" w:styleId="293">
    <w:name w:val="标题 Char Char"/>
    <w:link w:val="294"/>
    <w:qFormat/>
    <w:uiPriority w:val="0"/>
    <w:rPr>
      <w:rFonts w:ascii="Cambria" w:hAnsi="Cambria"/>
      <w:b/>
      <w:bCs/>
      <w:sz w:val="32"/>
      <w:szCs w:val="32"/>
    </w:rPr>
  </w:style>
  <w:style w:type="paragraph" w:customStyle="1" w:styleId="294">
    <w:name w:val="标题1"/>
    <w:basedOn w:val="1"/>
    <w:next w:val="1"/>
    <w:link w:val="293"/>
    <w:qFormat/>
    <w:uiPriority w:val="0"/>
    <w:pPr>
      <w:snapToGrid w:val="0"/>
      <w:spacing w:before="240" w:after="60"/>
      <w:jc w:val="center"/>
      <w:outlineLvl w:val="0"/>
    </w:pPr>
    <w:rPr>
      <w:rFonts w:ascii="Cambria" w:hAnsi="Cambria" w:eastAsiaTheme="minorEastAsia" w:cstheme="minorBidi"/>
      <w:b/>
      <w:bCs/>
      <w:sz w:val="32"/>
      <w:szCs w:val="32"/>
    </w:rPr>
  </w:style>
  <w:style w:type="character" w:customStyle="1" w:styleId="295">
    <w:name w:val="签名 Char1"/>
    <w:qFormat/>
    <w:uiPriority w:val="0"/>
    <w:rPr>
      <w:rFonts w:ascii="Verdana" w:hAnsi="Verdana"/>
      <w:kern w:val="2"/>
      <w:sz w:val="28"/>
      <w:szCs w:val="22"/>
    </w:rPr>
  </w:style>
  <w:style w:type="character" w:customStyle="1" w:styleId="296">
    <w:name w:val="正文缩进 字符"/>
    <w:qFormat/>
    <w:uiPriority w:val="0"/>
    <w:rPr>
      <w:rFonts w:hint="eastAsia" w:ascii="宋体" w:hAnsi="宋体" w:eastAsia="宋体"/>
      <w:kern w:val="2"/>
      <w:sz w:val="21"/>
      <w:szCs w:val="24"/>
    </w:rPr>
  </w:style>
  <w:style w:type="character" w:customStyle="1" w:styleId="297">
    <w:name w:val="页眉 Char Char"/>
    <w:qFormat/>
    <w:uiPriority w:val="0"/>
    <w:rPr>
      <w:kern w:val="2"/>
      <w:sz w:val="18"/>
      <w:szCs w:val="18"/>
    </w:rPr>
  </w:style>
  <w:style w:type="character" w:customStyle="1" w:styleId="298">
    <w:name w:val="正文文本缩进 3 Char Char"/>
    <w:link w:val="299"/>
    <w:qFormat/>
    <w:uiPriority w:val="0"/>
    <w:rPr>
      <w:rFonts w:ascii="宋体"/>
      <w:sz w:val="28"/>
    </w:rPr>
  </w:style>
  <w:style w:type="paragraph" w:customStyle="1" w:styleId="299">
    <w:name w:val="正文文本缩进 32"/>
    <w:basedOn w:val="1"/>
    <w:link w:val="298"/>
    <w:qFormat/>
    <w:uiPriority w:val="0"/>
    <w:pPr>
      <w:snapToGrid w:val="0"/>
      <w:ind w:firstLine="420"/>
      <w:outlineLvl w:val="0"/>
    </w:pPr>
    <w:rPr>
      <w:rFonts w:ascii="宋体" w:hAnsiTheme="minorHAnsi" w:eastAsiaTheme="minorEastAsia" w:cstheme="minorBidi"/>
      <w:sz w:val="28"/>
      <w:szCs w:val="22"/>
    </w:rPr>
  </w:style>
  <w:style w:type="character" w:customStyle="1" w:styleId="300">
    <w:name w:val="short_text"/>
    <w:basedOn w:val="51"/>
    <w:qFormat/>
    <w:uiPriority w:val="0"/>
  </w:style>
  <w:style w:type="character" w:customStyle="1" w:styleId="301">
    <w:name w:val="信息标题 Char1"/>
    <w:qFormat/>
    <w:uiPriority w:val="0"/>
    <w:rPr>
      <w:rFonts w:ascii="Verdana" w:hAnsi="Verdana"/>
      <w:kern w:val="2"/>
      <w:sz w:val="28"/>
      <w:szCs w:val="22"/>
    </w:rPr>
  </w:style>
  <w:style w:type="character" w:customStyle="1" w:styleId="302">
    <w:name w:val="样式2 Char"/>
    <w:qFormat/>
    <w:uiPriority w:val="0"/>
    <w:rPr>
      <w:rFonts w:ascii="黑体" w:hAnsi="黑体" w:eastAsia="黑体"/>
      <w:b/>
      <w:bCs/>
      <w:sz w:val="24"/>
      <w:szCs w:val="28"/>
    </w:rPr>
  </w:style>
  <w:style w:type="character" w:customStyle="1" w:styleId="303">
    <w:name w:val="表题 Char"/>
    <w:link w:val="304"/>
    <w:qFormat/>
    <w:uiPriority w:val="0"/>
    <w:rPr>
      <w:rFonts w:ascii="黑体" w:hAnsi="宋体" w:eastAsia="黑体"/>
      <w:sz w:val="24"/>
      <w:szCs w:val="24"/>
    </w:rPr>
  </w:style>
  <w:style w:type="paragraph" w:customStyle="1" w:styleId="304">
    <w:name w:val="表题"/>
    <w:link w:val="303"/>
    <w:qFormat/>
    <w:uiPriority w:val="0"/>
    <w:pPr>
      <w:widowControl w:val="0"/>
      <w:adjustRightInd w:val="0"/>
      <w:snapToGrid w:val="0"/>
      <w:spacing w:before="50" w:beforeLines="50" w:after="50" w:afterLines="50" w:line="300" w:lineRule="auto"/>
      <w:jc w:val="center"/>
    </w:pPr>
    <w:rPr>
      <w:rFonts w:ascii="黑体" w:hAnsi="宋体" w:eastAsia="黑体" w:cstheme="minorBidi"/>
      <w:kern w:val="2"/>
      <w:sz w:val="24"/>
      <w:szCs w:val="24"/>
      <w:lang w:val="en-US" w:eastAsia="zh-CN" w:bidi="ar-SA"/>
    </w:rPr>
  </w:style>
  <w:style w:type="character" w:customStyle="1" w:styleId="305">
    <w:name w:val="纯文本 Char"/>
    <w:link w:val="306"/>
    <w:qFormat/>
    <w:uiPriority w:val="0"/>
    <w:rPr>
      <w:rFonts w:ascii="宋体" w:hAnsi="Courier New" w:cs="Courier New"/>
      <w:sz w:val="24"/>
      <w:szCs w:val="21"/>
    </w:rPr>
  </w:style>
  <w:style w:type="paragraph" w:customStyle="1" w:styleId="306">
    <w:name w:val="纯文本1"/>
    <w:basedOn w:val="1"/>
    <w:next w:val="25"/>
    <w:link w:val="305"/>
    <w:qFormat/>
    <w:uiPriority w:val="99"/>
    <w:pPr>
      <w:snapToGrid w:val="0"/>
    </w:pPr>
    <w:rPr>
      <w:rFonts w:ascii="宋体" w:hAnsi="Courier New" w:cs="Courier New" w:eastAsiaTheme="minorEastAsia"/>
      <w:szCs w:val="21"/>
    </w:rPr>
  </w:style>
  <w:style w:type="character" w:customStyle="1" w:styleId="307">
    <w:name w:val="Default Char"/>
    <w:link w:val="308"/>
    <w:qFormat/>
    <w:uiPriority w:val="0"/>
    <w:rPr>
      <w:rFonts w:ascii="宋体"/>
      <w:color w:val="000000"/>
      <w:sz w:val="24"/>
      <w:szCs w:val="24"/>
    </w:rPr>
  </w:style>
  <w:style w:type="paragraph" w:customStyle="1" w:styleId="308">
    <w:name w:val="Default"/>
    <w:basedOn w:val="306"/>
    <w:next w:val="14"/>
    <w:link w:val="307"/>
    <w:qFormat/>
    <w:uiPriority w:val="0"/>
    <w:pPr>
      <w:widowControl w:val="0"/>
      <w:autoSpaceDE w:val="0"/>
      <w:autoSpaceDN w:val="0"/>
      <w:adjustRightInd w:val="0"/>
      <w:spacing w:before="50" w:beforeLines="50" w:after="50" w:afterLines="50" w:line="360" w:lineRule="auto"/>
    </w:pPr>
    <w:rPr>
      <w:rFonts w:ascii="宋体" w:hAnsiTheme="minorHAnsi" w:eastAsiaTheme="minorEastAsia" w:cstheme="minorBidi"/>
      <w:color w:val="000000"/>
      <w:kern w:val="2"/>
      <w:sz w:val="24"/>
      <w:szCs w:val="24"/>
      <w:lang w:val="en-US" w:eastAsia="zh-CN" w:bidi="ar-SA"/>
    </w:rPr>
  </w:style>
  <w:style w:type="character" w:customStyle="1" w:styleId="309">
    <w:name w:val="正文缩进 Char"/>
    <w:link w:val="310"/>
    <w:qFormat/>
    <w:uiPriority w:val="0"/>
    <w:rPr>
      <w:szCs w:val="24"/>
    </w:rPr>
  </w:style>
  <w:style w:type="paragraph" w:customStyle="1" w:styleId="310">
    <w:name w:val="正文缩进1"/>
    <w:basedOn w:val="1"/>
    <w:link w:val="309"/>
    <w:qFormat/>
    <w:uiPriority w:val="0"/>
    <w:pPr>
      <w:snapToGrid w:val="0"/>
      <w:ind w:firstLine="420"/>
    </w:pPr>
    <w:rPr>
      <w:rFonts w:asciiTheme="minorHAnsi" w:hAnsiTheme="minorHAnsi" w:eastAsiaTheme="minorEastAsia" w:cstheme="minorBidi"/>
      <w:sz w:val="21"/>
      <w:szCs w:val="24"/>
    </w:rPr>
  </w:style>
  <w:style w:type="character" w:customStyle="1" w:styleId="311">
    <w:name w:val="正文文本 2 Char Char"/>
    <w:link w:val="312"/>
    <w:qFormat/>
    <w:uiPriority w:val="0"/>
    <w:rPr>
      <w:sz w:val="24"/>
    </w:rPr>
  </w:style>
  <w:style w:type="paragraph" w:customStyle="1" w:styleId="312">
    <w:name w:val="正文文本 21"/>
    <w:basedOn w:val="1"/>
    <w:link w:val="311"/>
    <w:qFormat/>
    <w:uiPriority w:val="0"/>
    <w:pPr>
      <w:snapToGrid w:val="0"/>
      <w:jc w:val="center"/>
    </w:pPr>
    <w:rPr>
      <w:rFonts w:asciiTheme="minorHAnsi" w:hAnsiTheme="minorHAnsi" w:eastAsiaTheme="minorEastAsia" w:cstheme="minorBidi"/>
      <w:szCs w:val="22"/>
    </w:rPr>
  </w:style>
  <w:style w:type="character" w:customStyle="1" w:styleId="313">
    <w:name w:val="标题 1 Char1"/>
    <w:qFormat/>
    <w:uiPriority w:val="0"/>
    <w:rPr>
      <w:b/>
      <w:bCs/>
      <w:kern w:val="44"/>
      <w:sz w:val="44"/>
      <w:szCs w:val="44"/>
    </w:rPr>
  </w:style>
  <w:style w:type="character" w:customStyle="1" w:styleId="314">
    <w:name w:val="日期 Char Char"/>
    <w:link w:val="315"/>
    <w:qFormat/>
    <w:uiPriority w:val="0"/>
    <w:rPr>
      <w:rFonts w:ascii="宋体"/>
      <w:sz w:val="24"/>
    </w:rPr>
  </w:style>
  <w:style w:type="paragraph" w:customStyle="1" w:styleId="315">
    <w:name w:val="日期1"/>
    <w:basedOn w:val="1"/>
    <w:next w:val="1"/>
    <w:link w:val="314"/>
    <w:qFormat/>
    <w:uiPriority w:val="0"/>
    <w:pPr>
      <w:snapToGrid w:val="0"/>
    </w:pPr>
    <w:rPr>
      <w:rFonts w:ascii="宋体" w:hAnsiTheme="minorHAnsi" w:eastAsiaTheme="minorEastAsia" w:cstheme="minorBidi"/>
      <w:szCs w:val="22"/>
    </w:rPr>
  </w:style>
  <w:style w:type="character" w:customStyle="1" w:styleId="316">
    <w:name w:val="正文首行缩进 2 Char Char"/>
    <w:basedOn w:val="281"/>
    <w:link w:val="317"/>
    <w:qFormat/>
    <w:uiPriority w:val="0"/>
    <w:rPr>
      <w:rFonts w:ascii="宋体"/>
      <w:sz w:val="28"/>
    </w:rPr>
  </w:style>
  <w:style w:type="paragraph" w:customStyle="1" w:styleId="317">
    <w:name w:val="正文首行缩进 21"/>
    <w:basedOn w:val="282"/>
    <w:link w:val="316"/>
    <w:qFormat/>
    <w:uiPriority w:val="0"/>
    <w:pPr>
      <w:spacing w:after="120"/>
      <w:ind w:left="420" w:leftChars="200" w:firstLine="420"/>
    </w:pPr>
  </w:style>
  <w:style w:type="character" w:customStyle="1" w:styleId="318">
    <w:name w:val="批注框文本 Char Char"/>
    <w:link w:val="319"/>
    <w:qFormat/>
    <w:uiPriority w:val="0"/>
    <w:rPr>
      <w:sz w:val="18"/>
      <w:szCs w:val="18"/>
    </w:rPr>
  </w:style>
  <w:style w:type="paragraph" w:customStyle="1" w:styleId="319">
    <w:name w:val="批注框文本1"/>
    <w:basedOn w:val="1"/>
    <w:link w:val="318"/>
    <w:qFormat/>
    <w:uiPriority w:val="0"/>
    <w:pPr>
      <w:snapToGrid w:val="0"/>
    </w:pPr>
    <w:rPr>
      <w:rFonts w:asciiTheme="minorHAnsi" w:hAnsiTheme="minorHAnsi" w:eastAsiaTheme="minorEastAsia" w:cstheme="minorBidi"/>
      <w:sz w:val="18"/>
      <w:szCs w:val="18"/>
    </w:rPr>
  </w:style>
  <w:style w:type="character" w:customStyle="1" w:styleId="320">
    <w:name w:val="表格 Char Char"/>
    <w:qFormat/>
    <w:uiPriority w:val="0"/>
    <w:rPr>
      <w:kern w:val="2"/>
      <w:sz w:val="28"/>
      <w:szCs w:val="24"/>
    </w:rPr>
  </w:style>
  <w:style w:type="paragraph" w:customStyle="1" w:styleId="321">
    <w:name w:val="高表内"/>
    <w:basedOn w:val="306"/>
    <w:qFormat/>
    <w:uiPriority w:val="0"/>
    <w:pPr>
      <w:autoSpaceDE w:val="0"/>
      <w:adjustRightInd w:val="0"/>
      <w:jc w:val="center"/>
      <w:textAlignment w:val="baseline"/>
    </w:pPr>
    <w:rPr>
      <w:rFonts w:ascii="Arial" w:hAnsi="Arial" w:eastAsia="楷体_GB2312"/>
      <w:szCs w:val="20"/>
    </w:rPr>
  </w:style>
  <w:style w:type="paragraph" w:customStyle="1" w:styleId="322">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cs="宋体"/>
      <w:kern w:val="0"/>
      <w:sz w:val="12"/>
      <w:szCs w:val="12"/>
    </w:rPr>
  </w:style>
  <w:style w:type="paragraph" w:customStyle="1" w:styleId="323">
    <w:name w:val="TOC 标题11"/>
    <w:basedOn w:val="5"/>
    <w:next w:val="1"/>
    <w:qFormat/>
    <w:uiPriority w:val="0"/>
    <w:pPr>
      <w:snapToGrid w:val="0"/>
      <w:spacing w:before="480" w:line="276" w:lineRule="auto"/>
      <w:outlineLvl w:val="9"/>
    </w:pPr>
    <w:rPr>
      <w:rFonts w:ascii="Cambria" w:hAnsi="Cambria"/>
      <w:b w:val="0"/>
      <w:color w:val="365F91"/>
      <w:kern w:val="0"/>
      <w:sz w:val="32"/>
      <w:szCs w:val="28"/>
      <w:lang w:val="zh-CN"/>
    </w:rPr>
  </w:style>
  <w:style w:type="paragraph" w:customStyle="1" w:styleId="324">
    <w:name w:val="默认段落字体 Para Char Char Char Char"/>
    <w:basedOn w:val="1"/>
    <w:qFormat/>
    <w:uiPriority w:val="0"/>
    <w:pPr>
      <w:spacing w:line="240" w:lineRule="auto"/>
    </w:pPr>
    <w:rPr>
      <w:sz w:val="21"/>
      <w:szCs w:val="24"/>
    </w:rPr>
  </w:style>
  <w:style w:type="paragraph" w:customStyle="1" w:styleId="325">
    <w:name w:val="font7"/>
    <w:basedOn w:val="1"/>
    <w:qFormat/>
    <w:uiPriority w:val="0"/>
    <w:pPr>
      <w:spacing w:before="100" w:beforeAutospacing="1" w:after="100" w:afterAutospacing="1" w:line="240" w:lineRule="auto"/>
    </w:pPr>
    <w:rPr>
      <w:rFonts w:eastAsia="Arial Unicode MS"/>
      <w:b/>
      <w:bCs/>
      <w:kern w:val="0"/>
      <w:sz w:val="18"/>
      <w:szCs w:val="18"/>
    </w:rPr>
  </w:style>
  <w:style w:type="paragraph" w:customStyle="1" w:styleId="326">
    <w:name w:val="Char1"/>
    <w:basedOn w:val="1"/>
    <w:qFormat/>
    <w:uiPriority w:val="0"/>
    <w:pPr>
      <w:spacing w:line="240" w:lineRule="auto"/>
    </w:pPr>
    <w:rPr>
      <w:rFonts w:ascii="Tahoma" w:hAnsi="Tahoma"/>
    </w:rPr>
  </w:style>
  <w:style w:type="paragraph" w:customStyle="1" w:styleId="327">
    <w:name w:val="列出段落1"/>
    <w:basedOn w:val="1"/>
    <w:qFormat/>
    <w:uiPriority w:val="0"/>
    <w:pPr>
      <w:adjustRightInd w:val="0"/>
      <w:snapToGrid w:val="0"/>
    </w:pPr>
    <w:rPr>
      <w:szCs w:val="24"/>
    </w:rPr>
  </w:style>
  <w:style w:type="paragraph" w:customStyle="1" w:styleId="328">
    <w:name w:val="正文2"/>
    <w:qFormat/>
    <w:uiPriority w:val="0"/>
    <w:pPr>
      <w:widowControl w:val="0"/>
      <w:adjustRightInd w:val="0"/>
      <w:spacing w:before="50" w:beforeLines="50" w:after="50" w:afterLines="50" w:line="360" w:lineRule="atLeast"/>
    </w:pPr>
    <w:rPr>
      <w:rFonts w:ascii="宋体" w:hAnsi="Times New Roman" w:eastAsia="宋体" w:cs="Times New Roman"/>
      <w:sz w:val="24"/>
      <w:szCs w:val="24"/>
      <w:lang w:val="en-US" w:eastAsia="zh-CN" w:bidi="ar-SA"/>
    </w:rPr>
  </w:style>
  <w:style w:type="paragraph" w:customStyle="1" w:styleId="329">
    <w:name w:val="_a) énum. (1er niveau)"/>
    <w:qFormat/>
    <w:uiPriority w:val="0"/>
    <w:pPr>
      <w:spacing w:before="50" w:beforeLines="50" w:after="120" w:afterLines="50" w:line="280" w:lineRule="atLeast"/>
      <w:ind w:left="993" w:hanging="426"/>
      <w:jc w:val="both"/>
    </w:pPr>
    <w:rPr>
      <w:rFonts w:ascii="Times New Roman" w:hAnsi="Times New Roman" w:eastAsia="宋体" w:cs="Times New Roman"/>
      <w:b/>
      <w:sz w:val="24"/>
      <w:lang w:val="en-US" w:eastAsia="zh-CN" w:bidi="ar-SA"/>
    </w:rPr>
  </w:style>
  <w:style w:type="paragraph" w:customStyle="1" w:styleId="330">
    <w:name w:val="样式6"/>
    <w:basedOn w:val="7"/>
    <w:qFormat/>
    <w:uiPriority w:val="0"/>
    <w:pPr>
      <w:tabs>
        <w:tab w:val="left" w:pos="720"/>
      </w:tabs>
      <w:spacing w:before="312" w:beforeLines="100"/>
      <w:jc w:val="center"/>
    </w:pPr>
    <w:rPr>
      <w:rFonts w:ascii="黑体" w:hAnsi="黑体" w:eastAsia="黑体"/>
      <w:b w:val="0"/>
      <w:bCs w:val="0"/>
      <w:szCs w:val="28"/>
      <w:lang w:val="zh-CN"/>
    </w:rPr>
  </w:style>
  <w:style w:type="paragraph" w:customStyle="1" w:styleId="331">
    <w:name w:val="Char Char Char Char Char Char Char Char Char Char"/>
    <w:basedOn w:val="1"/>
    <w:qFormat/>
    <w:uiPriority w:val="0"/>
    <w:pPr>
      <w:spacing w:line="240" w:lineRule="auto"/>
    </w:pPr>
    <w:rPr>
      <w:sz w:val="28"/>
      <w:szCs w:val="24"/>
    </w:rPr>
  </w:style>
  <w:style w:type="paragraph" w:customStyle="1" w:styleId="332">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cs="宋体"/>
      <w:kern w:val="0"/>
      <w:sz w:val="12"/>
      <w:szCs w:val="12"/>
    </w:rPr>
  </w:style>
  <w:style w:type="paragraph" w:customStyle="1" w:styleId="333">
    <w:name w:val="标题一"/>
    <w:basedOn w:val="1"/>
    <w:qFormat/>
    <w:uiPriority w:val="0"/>
    <w:pPr>
      <w:jc w:val="center"/>
    </w:pPr>
    <w:rPr>
      <w:b/>
      <w:sz w:val="32"/>
      <w:szCs w:val="24"/>
    </w:rPr>
  </w:style>
  <w:style w:type="paragraph" w:customStyle="1" w:styleId="334">
    <w:name w:val="xl33"/>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line="240" w:lineRule="auto"/>
    </w:pPr>
    <w:rPr>
      <w:rFonts w:hint="eastAsia" w:ascii="宋体" w:hAnsi="宋体" w:cs="Arial Unicode MS"/>
      <w:kern w:val="0"/>
      <w:szCs w:val="24"/>
    </w:rPr>
  </w:style>
  <w:style w:type="paragraph" w:customStyle="1" w:styleId="335">
    <w:name w:val="表标"/>
    <w:basedOn w:val="1"/>
    <w:qFormat/>
    <w:uiPriority w:val="0"/>
    <w:pPr>
      <w:snapToGrid w:val="0"/>
      <w:spacing w:line="240" w:lineRule="auto"/>
      <w:jc w:val="center"/>
    </w:pPr>
    <w:rPr>
      <w:rFonts w:ascii="Arial" w:hAnsi="Arial" w:eastAsia="黑体"/>
      <w:b/>
      <w:color w:val="000000"/>
      <w:sz w:val="21"/>
      <w:szCs w:val="21"/>
    </w:rPr>
  </w:style>
  <w:style w:type="paragraph" w:customStyle="1" w:styleId="336">
    <w:name w:val="列表编号1"/>
    <w:basedOn w:val="1"/>
    <w:qFormat/>
    <w:uiPriority w:val="0"/>
    <w:pPr>
      <w:numPr>
        <w:ilvl w:val="0"/>
        <w:numId w:val="6"/>
      </w:numPr>
      <w:snapToGrid w:val="0"/>
      <w:ind w:firstLine="0"/>
    </w:pPr>
    <w:rPr>
      <w:szCs w:val="24"/>
    </w:rPr>
  </w:style>
  <w:style w:type="paragraph" w:customStyle="1" w:styleId="337">
    <w:name w:val="xl69"/>
    <w:basedOn w:val="1"/>
    <w:qFormat/>
    <w:uiPriority w:val="0"/>
    <w:pPr>
      <w:spacing w:before="100" w:beforeAutospacing="1" w:after="100" w:afterAutospacing="1" w:line="240" w:lineRule="auto"/>
    </w:pPr>
    <w:rPr>
      <w:rFonts w:ascii="宋体" w:hAnsi="宋体" w:cs="宋体"/>
      <w:kern w:val="0"/>
      <w:sz w:val="12"/>
      <w:szCs w:val="12"/>
    </w:rPr>
  </w:style>
  <w:style w:type="paragraph" w:customStyle="1" w:styleId="338">
    <w:name w:val="正文21"/>
    <w:qFormat/>
    <w:uiPriority w:val="0"/>
    <w:pPr>
      <w:widowControl w:val="0"/>
      <w:adjustRightInd w:val="0"/>
      <w:spacing w:before="50" w:beforeLines="50" w:after="50" w:afterLines="50" w:line="360" w:lineRule="atLeast"/>
      <w:textAlignment w:val="baseline"/>
    </w:pPr>
    <w:rPr>
      <w:rFonts w:ascii="宋体" w:hAnsi="Times New Roman" w:eastAsia="宋体" w:cs="Times New Roman"/>
      <w:sz w:val="24"/>
      <w:szCs w:val="24"/>
      <w:lang w:val="en-US" w:eastAsia="zh-CN" w:bidi="ar-SA"/>
    </w:rPr>
  </w:style>
  <w:style w:type="paragraph" w:customStyle="1" w:styleId="339">
    <w:name w:val="xl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hint="eastAsia" w:ascii="宋体" w:hAnsi="宋体" w:cs="Arial Unicode MS"/>
      <w:kern w:val="0"/>
      <w:szCs w:val="24"/>
    </w:rPr>
  </w:style>
  <w:style w:type="paragraph" w:customStyle="1" w:styleId="340">
    <w:name w:val="列表1"/>
    <w:basedOn w:val="1"/>
    <w:qFormat/>
    <w:uiPriority w:val="0"/>
    <w:pPr>
      <w:spacing w:line="240" w:lineRule="auto"/>
      <w:ind w:left="420" w:hanging="420"/>
    </w:pPr>
    <w:rPr>
      <w:sz w:val="21"/>
    </w:rPr>
  </w:style>
  <w:style w:type="paragraph" w:customStyle="1" w:styleId="341">
    <w:name w:val="四号 正文"/>
    <w:basedOn w:val="1"/>
    <w:qFormat/>
    <w:uiPriority w:val="0"/>
    <w:pPr>
      <w:snapToGrid w:val="0"/>
      <w:ind w:firstLine="584"/>
    </w:pPr>
    <w:rPr>
      <w:rFonts w:cs="宋体"/>
      <w:spacing w:val="6"/>
      <w:sz w:val="28"/>
      <w:szCs w:val="24"/>
    </w:rPr>
  </w:style>
  <w:style w:type="paragraph" w:customStyle="1" w:styleId="342">
    <w:name w:val="样式 标题4 + 黑色"/>
    <w:basedOn w:val="1"/>
    <w:qFormat/>
    <w:uiPriority w:val="0"/>
    <w:pPr>
      <w:keepNext/>
      <w:keepLines/>
      <w:spacing w:before="120" w:after="120"/>
      <w:outlineLvl w:val="2"/>
    </w:pPr>
    <w:rPr>
      <w:rFonts w:eastAsia="黑体"/>
      <w:b/>
      <w:bCs/>
      <w:color w:val="000000"/>
      <w:sz w:val="28"/>
      <w:szCs w:val="32"/>
    </w:rPr>
  </w:style>
  <w:style w:type="paragraph" w:customStyle="1" w:styleId="343">
    <w:name w:val="Char Char Char Char Char Char1 Char"/>
    <w:basedOn w:val="1"/>
    <w:qFormat/>
    <w:uiPriority w:val="0"/>
    <w:pPr>
      <w:spacing w:after="160" w:line="240" w:lineRule="exact"/>
    </w:pPr>
    <w:rPr>
      <w:rFonts w:ascii="Arial" w:hAnsi="Arial" w:eastAsia="Times New Roman" w:cs="Verdana"/>
      <w:b/>
      <w:kern w:val="0"/>
      <w:lang w:eastAsia="en-US"/>
    </w:rPr>
  </w:style>
  <w:style w:type="paragraph" w:customStyle="1" w:styleId="344">
    <w:name w:val="样式5"/>
    <w:basedOn w:val="7"/>
    <w:qFormat/>
    <w:uiPriority w:val="0"/>
    <w:pPr>
      <w:tabs>
        <w:tab w:val="left" w:pos="720"/>
      </w:tabs>
      <w:spacing w:before="312" w:beforeLines="100"/>
      <w:jc w:val="center"/>
    </w:pPr>
    <w:rPr>
      <w:rFonts w:ascii="黑体" w:hAnsi="黑体" w:eastAsia="黑体"/>
      <w:b w:val="0"/>
      <w:bCs w:val="0"/>
      <w:szCs w:val="28"/>
      <w:lang w:val="zh-CN"/>
    </w:rPr>
  </w:style>
  <w:style w:type="paragraph" w:customStyle="1" w:styleId="345">
    <w:name w:val="正文首行缩进2"/>
    <w:basedOn w:val="346"/>
    <w:qFormat/>
    <w:uiPriority w:val="0"/>
    <w:pPr>
      <w:spacing w:after="120" w:line="240" w:lineRule="auto"/>
      <w:ind w:firstLine="420" w:firstLineChars="100"/>
    </w:pPr>
    <w:rPr>
      <w:rFonts w:ascii="Times New Roman"/>
      <w:sz w:val="21"/>
      <w:lang w:val="zh-CN"/>
    </w:rPr>
  </w:style>
  <w:style w:type="paragraph" w:customStyle="1" w:styleId="346">
    <w:name w:val="正文文本2"/>
    <w:basedOn w:val="1"/>
    <w:qFormat/>
    <w:uiPriority w:val="0"/>
    <w:pPr>
      <w:snapToGrid w:val="0"/>
    </w:pPr>
    <w:rPr>
      <w:rFonts w:ascii="宋体"/>
      <w:sz w:val="28"/>
    </w:rPr>
  </w:style>
  <w:style w:type="paragraph" w:customStyle="1" w:styleId="347">
    <w:name w:val="aa"/>
    <w:basedOn w:val="1"/>
    <w:qFormat/>
    <w:uiPriority w:val="0"/>
    <w:pPr>
      <w:snapToGrid w:val="0"/>
      <w:ind w:firstLine="420"/>
    </w:pPr>
    <w:rPr>
      <w:szCs w:val="24"/>
    </w:rPr>
  </w:style>
  <w:style w:type="paragraph" w:customStyle="1" w:styleId="348">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hint="eastAsia" w:ascii="宋体" w:hAnsi="宋体" w:cs="Arial Unicode MS"/>
      <w:b/>
      <w:bCs/>
      <w:kern w:val="0"/>
      <w:szCs w:val="24"/>
    </w:rPr>
  </w:style>
  <w:style w:type="paragraph" w:customStyle="1" w:styleId="349">
    <w:name w:val="p0"/>
    <w:basedOn w:val="1"/>
    <w:qFormat/>
    <w:uiPriority w:val="0"/>
    <w:pPr>
      <w:spacing w:before="100" w:beforeAutospacing="1" w:after="100" w:afterAutospacing="1" w:line="240" w:lineRule="auto"/>
    </w:pPr>
    <w:rPr>
      <w:rFonts w:ascii="宋体" w:hAnsi="宋体" w:cs="宋体"/>
      <w:kern w:val="0"/>
      <w:szCs w:val="24"/>
    </w:rPr>
  </w:style>
  <w:style w:type="paragraph" w:customStyle="1" w:styleId="350">
    <w:name w:val="13级正文"/>
    <w:basedOn w:val="1"/>
    <w:qFormat/>
    <w:uiPriority w:val="0"/>
    <w:pPr>
      <w:adjustRightInd w:val="0"/>
      <w:snapToGrid w:val="0"/>
      <w:ind w:left="980" w:leftChars="350" w:firstLine="504"/>
    </w:pPr>
    <w:rPr>
      <w:sz w:val="21"/>
      <w:szCs w:val="24"/>
    </w:rPr>
  </w:style>
  <w:style w:type="paragraph" w:customStyle="1" w:styleId="351">
    <w:name w:val="font6"/>
    <w:basedOn w:val="1"/>
    <w:qFormat/>
    <w:uiPriority w:val="0"/>
    <w:pPr>
      <w:spacing w:before="100" w:beforeAutospacing="1" w:after="100" w:afterAutospacing="1" w:line="240" w:lineRule="auto"/>
    </w:pPr>
    <w:rPr>
      <w:rFonts w:hint="eastAsia" w:ascii="宋体" w:hAnsi="宋体" w:cs="Arial Unicode MS"/>
      <w:b/>
      <w:bCs/>
      <w:kern w:val="0"/>
      <w:sz w:val="18"/>
      <w:szCs w:val="18"/>
    </w:rPr>
  </w:style>
  <w:style w:type="paragraph" w:customStyle="1" w:styleId="352">
    <w:name w:val="表格文字五号"/>
    <w:basedOn w:val="1"/>
    <w:qFormat/>
    <w:uiPriority w:val="0"/>
    <w:pPr>
      <w:spacing w:line="240" w:lineRule="auto"/>
      <w:jc w:val="center"/>
    </w:pPr>
    <w:rPr>
      <w:bCs/>
      <w:sz w:val="21"/>
      <w:szCs w:val="24"/>
    </w:rPr>
  </w:style>
  <w:style w:type="paragraph" w:customStyle="1" w:styleId="353">
    <w:name w:val="默认段落字体 Para Char"/>
    <w:basedOn w:val="1"/>
    <w:qFormat/>
    <w:uiPriority w:val="0"/>
    <w:rPr>
      <w:rFonts w:ascii="宋体" w:hAnsi="宋体" w:cs="宋体"/>
      <w:szCs w:val="24"/>
    </w:rPr>
  </w:style>
  <w:style w:type="paragraph" w:customStyle="1" w:styleId="354">
    <w:name w:val="xl27"/>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line="240" w:lineRule="auto"/>
    </w:pPr>
    <w:rPr>
      <w:rFonts w:hint="eastAsia" w:ascii="宋体" w:hAnsi="宋体" w:cs="Arial Unicode MS"/>
      <w:kern w:val="0"/>
      <w:szCs w:val="24"/>
    </w:rPr>
  </w:style>
  <w:style w:type="paragraph" w:customStyle="1" w:styleId="355">
    <w:name w:val="CM7"/>
    <w:basedOn w:val="308"/>
    <w:next w:val="308"/>
    <w:qFormat/>
    <w:uiPriority w:val="0"/>
    <w:pPr>
      <w:spacing w:line="468" w:lineRule="atLeast"/>
    </w:pPr>
    <w:rPr>
      <w:color w:val="auto"/>
      <w:sz w:val="20"/>
    </w:rPr>
  </w:style>
  <w:style w:type="paragraph" w:customStyle="1" w:styleId="356">
    <w:name w:val="列出段落2"/>
    <w:basedOn w:val="1"/>
    <w:qFormat/>
    <w:uiPriority w:val="0"/>
    <w:pPr>
      <w:spacing w:line="240" w:lineRule="auto"/>
      <w:ind w:firstLine="420"/>
    </w:pPr>
    <w:rPr>
      <w:rFonts w:ascii="宋体" w:hAnsi="宋体" w:cs="宋体"/>
      <w:kern w:val="0"/>
      <w:szCs w:val="24"/>
    </w:rPr>
  </w:style>
  <w:style w:type="paragraph" w:customStyle="1" w:styleId="357">
    <w:name w:val="font9"/>
    <w:basedOn w:val="1"/>
    <w:qFormat/>
    <w:uiPriority w:val="0"/>
    <w:pPr>
      <w:spacing w:before="100" w:beforeAutospacing="1" w:after="100" w:afterAutospacing="1" w:line="240" w:lineRule="auto"/>
    </w:pPr>
    <w:rPr>
      <w:rFonts w:ascii="宋体" w:hAnsi="宋体" w:cs="宋体"/>
      <w:kern w:val="0"/>
      <w:sz w:val="18"/>
      <w:szCs w:val="18"/>
    </w:rPr>
  </w:style>
  <w:style w:type="paragraph" w:customStyle="1" w:styleId="358">
    <w:name w:val="xl41"/>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rFonts w:eastAsia="Arial Unicode MS"/>
      <w:b/>
      <w:bCs/>
      <w:kern w:val="0"/>
      <w:szCs w:val="24"/>
    </w:rPr>
  </w:style>
  <w:style w:type="paragraph" w:customStyle="1" w:styleId="359">
    <w:name w:val="正文文本缩进 31"/>
    <w:basedOn w:val="1"/>
    <w:qFormat/>
    <w:uiPriority w:val="99"/>
    <w:pPr>
      <w:adjustRightInd w:val="0"/>
      <w:snapToGrid w:val="0"/>
    </w:pPr>
    <w:rPr>
      <w:rFonts w:ascii="宋体" w:hAnsi="宋体"/>
      <w:color w:val="000000"/>
      <w:szCs w:val="24"/>
    </w:rPr>
  </w:style>
  <w:style w:type="paragraph" w:customStyle="1" w:styleId="360">
    <w:name w:val="xl28"/>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line="240" w:lineRule="auto"/>
      <w:textAlignment w:val="top"/>
    </w:pPr>
    <w:rPr>
      <w:rFonts w:hint="eastAsia" w:ascii="宋体" w:hAnsi="宋体" w:cs="Arial Unicode MS"/>
      <w:kern w:val="0"/>
      <w:szCs w:val="24"/>
    </w:rPr>
  </w:style>
  <w:style w:type="paragraph" w:customStyle="1" w:styleId="361">
    <w:name w:val="xl43"/>
    <w:basedOn w:val="1"/>
    <w:qFormat/>
    <w:uiPriority w:val="0"/>
    <w:pPr>
      <w:pBdr>
        <w:top w:val="single" w:color="auto" w:sz="4" w:space="0"/>
        <w:left w:val="single" w:color="auto" w:sz="4" w:space="0"/>
        <w:bottom w:val="single" w:color="auto" w:sz="4" w:space="0"/>
      </w:pBdr>
      <w:spacing w:before="100" w:beforeAutospacing="1" w:after="100" w:afterAutospacing="1" w:line="240" w:lineRule="auto"/>
      <w:jc w:val="center"/>
    </w:pPr>
    <w:rPr>
      <w:rFonts w:hint="eastAsia" w:ascii="宋体" w:hAnsi="宋体" w:cs="Arial Unicode MS"/>
      <w:b/>
      <w:bCs/>
      <w:kern w:val="0"/>
      <w:szCs w:val="24"/>
    </w:rPr>
  </w:style>
  <w:style w:type="paragraph" w:customStyle="1" w:styleId="362">
    <w:name w:val="表格文字－四号"/>
    <w:basedOn w:val="1"/>
    <w:qFormat/>
    <w:uiPriority w:val="0"/>
    <w:pPr>
      <w:adjustRightInd w:val="0"/>
      <w:snapToGrid w:val="0"/>
    </w:pPr>
    <w:rPr>
      <w:sz w:val="28"/>
      <w:szCs w:val="24"/>
    </w:rPr>
  </w:style>
  <w:style w:type="paragraph" w:customStyle="1" w:styleId="363">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cs="宋体"/>
      <w:color w:val="FF0000"/>
      <w:kern w:val="0"/>
      <w:sz w:val="12"/>
      <w:szCs w:val="12"/>
    </w:rPr>
  </w:style>
  <w:style w:type="paragraph" w:customStyle="1" w:styleId="364">
    <w:name w:val="ab"/>
    <w:basedOn w:val="347"/>
    <w:qFormat/>
    <w:uiPriority w:val="0"/>
  </w:style>
  <w:style w:type="paragraph" w:customStyle="1" w:styleId="365">
    <w:name w:val="font8"/>
    <w:basedOn w:val="1"/>
    <w:qFormat/>
    <w:uiPriority w:val="0"/>
    <w:pPr>
      <w:spacing w:before="100" w:beforeAutospacing="1" w:after="100" w:afterAutospacing="1" w:line="240" w:lineRule="auto"/>
    </w:pPr>
    <w:rPr>
      <w:rFonts w:eastAsia="Arial Unicode MS"/>
      <w:kern w:val="0"/>
      <w:sz w:val="18"/>
      <w:szCs w:val="18"/>
    </w:rPr>
  </w:style>
  <w:style w:type="paragraph" w:customStyle="1" w:styleId="366">
    <w:name w:val="表内字"/>
    <w:basedOn w:val="1"/>
    <w:next w:val="1"/>
    <w:qFormat/>
    <w:uiPriority w:val="0"/>
    <w:pPr>
      <w:adjustRightInd w:val="0"/>
      <w:snapToGrid w:val="0"/>
      <w:spacing w:line="240" w:lineRule="auto"/>
      <w:jc w:val="center"/>
    </w:pPr>
    <w:rPr>
      <w:rFonts w:ascii="宋体" w:hAnsi="宋体" w:cs="Courier New"/>
      <w:color w:val="000000"/>
      <w:sz w:val="21"/>
      <w:szCs w:val="21"/>
    </w:rPr>
  </w:style>
  <w:style w:type="paragraph" w:customStyle="1" w:styleId="367">
    <w:name w:val="font5"/>
    <w:basedOn w:val="1"/>
    <w:qFormat/>
    <w:uiPriority w:val="0"/>
    <w:pPr>
      <w:spacing w:before="100" w:beforeAutospacing="1" w:after="100" w:afterAutospacing="1" w:line="240" w:lineRule="auto"/>
    </w:pPr>
    <w:rPr>
      <w:rFonts w:hint="eastAsia" w:ascii="宋体" w:hAnsi="宋体" w:cs="Arial Unicode MS"/>
      <w:kern w:val="0"/>
      <w:sz w:val="18"/>
      <w:szCs w:val="18"/>
    </w:rPr>
  </w:style>
  <w:style w:type="paragraph" w:customStyle="1" w:styleId="368">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cs="宋体"/>
      <w:kern w:val="0"/>
      <w:sz w:val="12"/>
      <w:szCs w:val="12"/>
    </w:rPr>
  </w:style>
  <w:style w:type="paragraph" w:customStyle="1" w:styleId="369">
    <w:name w:val="Char Char26 Char Char"/>
    <w:basedOn w:val="1"/>
    <w:qFormat/>
    <w:uiPriority w:val="0"/>
    <w:rPr>
      <w:szCs w:val="24"/>
    </w:rPr>
  </w:style>
  <w:style w:type="paragraph" w:customStyle="1" w:styleId="370">
    <w:name w:val="CM35"/>
    <w:basedOn w:val="308"/>
    <w:next w:val="308"/>
    <w:qFormat/>
    <w:uiPriority w:val="0"/>
    <w:pPr>
      <w:spacing w:after="278"/>
    </w:pPr>
    <w:rPr>
      <w:rFonts w:hint="eastAsia" w:hAnsi="宋体"/>
      <w:color w:val="auto"/>
    </w:rPr>
  </w:style>
  <w:style w:type="paragraph" w:customStyle="1" w:styleId="371">
    <w:name w:val="xl3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rFonts w:hint="eastAsia" w:ascii="宋体" w:hAnsi="宋体" w:cs="Arial Unicode MS"/>
      <w:b/>
      <w:bCs/>
      <w:kern w:val="0"/>
      <w:szCs w:val="24"/>
    </w:rPr>
  </w:style>
  <w:style w:type="paragraph" w:customStyle="1" w:styleId="372">
    <w:name w:val="样式7"/>
    <w:basedOn w:val="7"/>
    <w:qFormat/>
    <w:uiPriority w:val="0"/>
    <w:pPr>
      <w:tabs>
        <w:tab w:val="left" w:pos="720"/>
      </w:tabs>
      <w:spacing w:before="312" w:beforeLines="100"/>
      <w:jc w:val="center"/>
    </w:pPr>
    <w:rPr>
      <w:rFonts w:ascii="黑体" w:hAnsi="黑体" w:eastAsia="黑体"/>
      <w:b w:val="0"/>
      <w:bCs w:val="0"/>
      <w:szCs w:val="28"/>
      <w:lang w:val="zh-CN"/>
    </w:rPr>
  </w:style>
  <w:style w:type="paragraph" w:customStyle="1" w:styleId="373">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cs="宋体"/>
      <w:kern w:val="0"/>
      <w:sz w:val="12"/>
      <w:szCs w:val="12"/>
    </w:rPr>
  </w:style>
  <w:style w:type="paragraph" w:customStyle="1" w:styleId="374">
    <w:name w:val="xl31"/>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Cs w:val="24"/>
    </w:rPr>
  </w:style>
  <w:style w:type="paragraph" w:customStyle="1" w:styleId="375">
    <w:name w:val="xl32"/>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line="240" w:lineRule="auto"/>
    </w:pPr>
    <w:rPr>
      <w:rFonts w:hint="eastAsia" w:ascii="宋体" w:hAnsi="宋体" w:cs="Arial Unicode MS"/>
      <w:kern w:val="0"/>
      <w:szCs w:val="24"/>
    </w:rPr>
  </w:style>
  <w:style w:type="paragraph" w:customStyle="1" w:styleId="376">
    <w:name w:val="文本块1"/>
    <w:basedOn w:val="1"/>
    <w:qFormat/>
    <w:uiPriority w:val="0"/>
    <w:pPr>
      <w:adjustRightInd w:val="0"/>
      <w:snapToGrid w:val="0"/>
      <w:ind w:left="240" w:right="567" w:firstLine="600"/>
      <w:textAlignment w:val="baseline"/>
    </w:pPr>
    <w:rPr>
      <w:rFonts w:ascii="宋体"/>
      <w:kern w:val="0"/>
      <w:sz w:val="28"/>
    </w:rPr>
  </w:style>
  <w:style w:type="paragraph" w:customStyle="1" w:styleId="377">
    <w:name w:val="xl29"/>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Cs w:val="24"/>
    </w:rPr>
  </w:style>
  <w:style w:type="paragraph" w:customStyle="1" w:styleId="378">
    <w:name w:val="?y??"/>
    <w:qFormat/>
    <w:uiPriority w:val="0"/>
    <w:pPr>
      <w:overflowPunct w:val="0"/>
      <w:autoSpaceDE w:val="0"/>
      <w:autoSpaceDN w:val="0"/>
      <w:adjustRightInd w:val="0"/>
      <w:spacing w:before="50" w:beforeLines="50" w:after="50" w:afterLines="50" w:line="360" w:lineRule="auto"/>
      <w:ind w:left="567" w:right="567" w:firstLine="680"/>
      <w:textAlignment w:val="baseline"/>
    </w:pPr>
    <w:rPr>
      <w:rFonts w:ascii="宋体" w:hAnsi="Times New Roman" w:eastAsia="宋体" w:cs="Times New Roman"/>
      <w:sz w:val="24"/>
      <w:szCs w:val="24"/>
      <w:lang w:val="en-US" w:eastAsia="zh-CN" w:bidi="ar-SA"/>
    </w:rPr>
  </w:style>
  <w:style w:type="paragraph" w:customStyle="1" w:styleId="379">
    <w:name w:val="xl40"/>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rFonts w:hint="eastAsia" w:ascii="宋体" w:hAnsi="宋体" w:cs="Arial Unicode MS"/>
      <w:b/>
      <w:bCs/>
      <w:kern w:val="0"/>
      <w:szCs w:val="24"/>
    </w:rPr>
  </w:style>
  <w:style w:type="paragraph" w:customStyle="1" w:styleId="380">
    <w:name w:val="样式一二三"/>
    <w:basedOn w:val="1"/>
    <w:next w:val="1"/>
    <w:qFormat/>
    <w:uiPriority w:val="0"/>
    <w:pPr>
      <w:tabs>
        <w:tab w:val="left" w:pos="360"/>
      </w:tabs>
      <w:adjustRightInd w:val="0"/>
      <w:snapToGrid w:val="0"/>
    </w:pPr>
  </w:style>
  <w:style w:type="paragraph" w:customStyle="1" w:styleId="381">
    <w:name w:val="SSBR 标3"/>
    <w:basedOn w:val="7"/>
    <w:qFormat/>
    <w:uiPriority w:val="0"/>
    <w:pPr>
      <w:keepNext/>
      <w:keepLines/>
      <w:tabs>
        <w:tab w:val="left" w:pos="425"/>
        <w:tab w:val="left" w:pos="720"/>
      </w:tabs>
      <w:ind w:left="425" w:hanging="425"/>
      <w:jc w:val="center"/>
    </w:pPr>
    <w:rPr>
      <w:rFonts w:ascii="宋体"/>
      <w:lang w:val="zh-CN"/>
    </w:rPr>
  </w:style>
  <w:style w:type="paragraph" w:customStyle="1" w:styleId="382">
    <w:name w:val="xl67"/>
    <w:basedOn w:val="1"/>
    <w:qFormat/>
    <w:uiPriority w:val="0"/>
    <w:pPr>
      <w:pBdr>
        <w:bottom w:val="single" w:color="auto" w:sz="4" w:space="0"/>
        <w:right w:val="single" w:color="auto" w:sz="4" w:space="0"/>
      </w:pBdr>
      <w:snapToGrid w:val="0"/>
      <w:spacing w:before="100" w:after="100"/>
      <w:jc w:val="center"/>
      <w:textAlignment w:val="center"/>
    </w:pPr>
    <w:rPr>
      <w:rFonts w:hint="eastAsia" w:ascii="MS PGothic" w:hAnsi="宋体" w:eastAsia="MS PGothic"/>
      <w:kern w:val="0"/>
    </w:rPr>
  </w:style>
  <w:style w:type="paragraph" w:customStyle="1" w:styleId="383">
    <w:name w:val="1.1样式2"/>
    <w:basedOn w:val="1"/>
    <w:qFormat/>
    <w:uiPriority w:val="0"/>
    <w:pPr>
      <w:keepNext/>
      <w:keepLines/>
      <w:snapToGrid w:val="0"/>
      <w:spacing w:before="240" w:after="240"/>
      <w:outlineLvl w:val="1"/>
    </w:pPr>
    <w:rPr>
      <w:rFonts w:ascii="宋体"/>
      <w:bCs/>
      <w:kern w:val="44"/>
      <w:szCs w:val="44"/>
    </w:rPr>
  </w:style>
  <w:style w:type="paragraph" w:customStyle="1" w:styleId="384">
    <w:name w:val="xl36"/>
    <w:basedOn w:val="1"/>
    <w:qFormat/>
    <w:uiPriority w:val="0"/>
    <w:pPr>
      <w:pBdr>
        <w:top w:val="single" w:color="auto" w:sz="8" w:space="0"/>
        <w:left w:val="single" w:color="auto" w:sz="4" w:space="0"/>
        <w:bottom w:val="single" w:color="auto" w:sz="4" w:space="0"/>
        <w:right w:val="single" w:color="auto" w:sz="8" w:space="0"/>
      </w:pBdr>
      <w:spacing w:before="100" w:beforeAutospacing="1" w:after="100" w:afterAutospacing="1" w:line="240" w:lineRule="auto"/>
      <w:jc w:val="center"/>
    </w:pPr>
    <w:rPr>
      <w:rFonts w:hint="eastAsia" w:ascii="宋体" w:hAnsi="宋体" w:cs="Arial Unicode MS"/>
      <w:b/>
      <w:bCs/>
      <w:kern w:val="0"/>
      <w:szCs w:val="24"/>
    </w:rPr>
  </w:style>
  <w:style w:type="paragraph" w:customStyle="1" w:styleId="385">
    <w:name w:val="xl35"/>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pPr>
    <w:rPr>
      <w:rFonts w:hint="eastAsia" w:ascii="宋体" w:hAnsi="宋体" w:cs="Arial Unicode MS"/>
      <w:b/>
      <w:bCs/>
      <w:kern w:val="0"/>
      <w:szCs w:val="24"/>
    </w:rPr>
  </w:style>
  <w:style w:type="paragraph" w:customStyle="1" w:styleId="386">
    <w:name w:val="页号"/>
    <w:basedOn w:val="289"/>
    <w:qFormat/>
    <w:uiPriority w:val="0"/>
    <w:pPr>
      <w:tabs>
        <w:tab w:val="center" w:pos="4320"/>
        <w:tab w:val="right" w:pos="8640"/>
        <w:tab w:val="clear" w:pos="4153"/>
        <w:tab w:val="clear" w:pos="8306"/>
      </w:tabs>
      <w:adjustRightInd w:val="0"/>
      <w:snapToGrid/>
      <w:jc w:val="center"/>
      <w:textAlignment w:val="baseline"/>
    </w:pPr>
    <w:rPr>
      <w:rFonts w:ascii="宋体" w:hAnsi="Arial"/>
      <w:spacing w:val="3"/>
      <w:kern w:val="24"/>
      <w:sz w:val="24"/>
    </w:rPr>
  </w:style>
  <w:style w:type="paragraph" w:customStyle="1" w:styleId="387">
    <w:name w:val="xl39"/>
    <w:basedOn w:val="1"/>
    <w:qFormat/>
    <w:uiPriority w:val="0"/>
    <w:pPr>
      <w:pBdr>
        <w:top w:val="single" w:color="auto" w:sz="4" w:space="0"/>
        <w:left w:val="single" w:color="auto" w:sz="4" w:space="0"/>
        <w:bottom w:val="single" w:color="auto" w:sz="4" w:space="0"/>
      </w:pBdr>
      <w:spacing w:before="100" w:beforeAutospacing="1" w:after="100" w:afterAutospacing="1" w:line="240" w:lineRule="auto"/>
      <w:jc w:val="center"/>
    </w:pPr>
    <w:rPr>
      <w:rFonts w:hint="eastAsia" w:ascii="宋体" w:hAnsi="宋体" w:cs="Arial Unicode MS"/>
      <w:b/>
      <w:bCs/>
      <w:kern w:val="0"/>
      <w:szCs w:val="24"/>
    </w:rPr>
  </w:style>
  <w:style w:type="paragraph" w:customStyle="1" w:styleId="388">
    <w:name w:val="CM8"/>
    <w:basedOn w:val="308"/>
    <w:next w:val="308"/>
    <w:qFormat/>
    <w:uiPriority w:val="0"/>
    <w:pPr>
      <w:spacing w:line="468" w:lineRule="atLeast"/>
    </w:pPr>
    <w:rPr>
      <w:color w:val="auto"/>
      <w:sz w:val="20"/>
    </w:rPr>
  </w:style>
  <w:style w:type="paragraph" w:customStyle="1" w:styleId="389">
    <w:name w:val="表头 Char"/>
    <w:basedOn w:val="1"/>
    <w:qFormat/>
    <w:uiPriority w:val="0"/>
    <w:pPr>
      <w:wordWrap w:val="0"/>
      <w:snapToGrid w:val="0"/>
      <w:spacing w:line="300" w:lineRule="auto"/>
      <w:jc w:val="right"/>
    </w:pPr>
    <w:rPr>
      <w:rFonts w:ascii="黑体" w:eastAsia="黑体"/>
    </w:rPr>
  </w:style>
  <w:style w:type="paragraph" w:customStyle="1" w:styleId="390">
    <w:name w:val="正文1（缩进）"/>
    <w:basedOn w:val="310"/>
    <w:qFormat/>
    <w:uiPriority w:val="0"/>
    <w:pPr>
      <w:ind w:firstLine="473" w:firstLineChars="225"/>
    </w:pPr>
    <w:rPr>
      <w:rFonts w:ascii="宋体" w:hAnsi="宋体"/>
      <w:color w:val="000000"/>
      <w:szCs w:val="21"/>
    </w:rPr>
  </w:style>
  <w:style w:type="paragraph" w:customStyle="1" w:styleId="391">
    <w:name w:val="表格左对齐"/>
    <w:basedOn w:val="1"/>
    <w:qFormat/>
    <w:uiPriority w:val="0"/>
    <w:pPr>
      <w:adjustRightInd w:val="0"/>
      <w:snapToGrid w:val="0"/>
      <w:jc w:val="center"/>
    </w:pPr>
    <w:rPr>
      <w:rFonts w:ascii="宋体"/>
      <w:szCs w:val="24"/>
    </w:rPr>
  </w:style>
  <w:style w:type="paragraph" w:customStyle="1" w:styleId="392">
    <w:name w:val="标题二"/>
    <w:basedOn w:val="1"/>
    <w:qFormat/>
    <w:uiPriority w:val="0"/>
    <w:pPr>
      <w:spacing w:line="240" w:lineRule="auto"/>
    </w:pPr>
    <w:rPr>
      <w:color w:val="000000"/>
      <w:sz w:val="30"/>
      <w:szCs w:val="24"/>
    </w:rPr>
  </w:style>
  <w:style w:type="paragraph" w:customStyle="1" w:styleId="393">
    <w:name w:val="SSBR 标2"/>
    <w:basedOn w:val="6"/>
    <w:qFormat/>
    <w:uiPriority w:val="0"/>
    <w:pPr>
      <w:keepNext/>
      <w:keepLines/>
      <w:tabs>
        <w:tab w:val="left" w:pos="425"/>
      </w:tabs>
      <w:spacing w:before="120" w:beforeLines="0"/>
      <w:jc w:val="center"/>
    </w:pPr>
    <w:rPr>
      <w:rFonts w:ascii="宋体" w:hAnsi="宋体" w:eastAsia="黑体"/>
      <w:b w:val="0"/>
      <w:kern w:val="2"/>
      <w:sz w:val="24"/>
      <w:szCs w:val="24"/>
      <w:lang w:val="zh-CN"/>
    </w:rPr>
  </w:style>
  <w:style w:type="paragraph" w:customStyle="1" w:styleId="394">
    <w:name w:val="ÕýÎÄ"/>
    <w:qFormat/>
    <w:uiPriority w:val="0"/>
    <w:pPr>
      <w:overflowPunct w:val="0"/>
      <w:autoSpaceDE w:val="0"/>
      <w:autoSpaceDN w:val="0"/>
      <w:adjustRightInd w:val="0"/>
      <w:spacing w:before="50" w:beforeLines="50" w:after="50" w:afterLines="50" w:line="360" w:lineRule="auto"/>
      <w:ind w:left="567" w:right="567" w:firstLine="680"/>
      <w:textAlignment w:val="baseline"/>
    </w:pPr>
    <w:rPr>
      <w:rFonts w:ascii="宋体" w:hAnsi="Times New Roman" w:eastAsia="宋体" w:cs="Times New Roman"/>
      <w:sz w:val="24"/>
      <w:szCs w:val="24"/>
      <w:lang w:val="en-US" w:eastAsia="zh-CN" w:bidi="ar-SA"/>
    </w:rPr>
  </w:style>
  <w:style w:type="paragraph" w:customStyle="1" w:styleId="395">
    <w:name w:val="xl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Cs w:val="24"/>
    </w:rPr>
  </w:style>
  <w:style w:type="paragraph" w:customStyle="1" w:styleId="396">
    <w:name w:val="标3"/>
    <w:qFormat/>
    <w:uiPriority w:val="0"/>
    <w:pPr>
      <w:spacing w:before="50" w:beforeLines="50" w:after="50" w:afterLines="50" w:line="300" w:lineRule="auto"/>
    </w:pPr>
    <w:rPr>
      <w:rFonts w:ascii="宋体" w:hAnsi="宋体" w:eastAsia="宋体" w:cs="Times New Roman"/>
      <w:kern w:val="2"/>
      <w:sz w:val="28"/>
      <w:szCs w:val="24"/>
      <w:lang w:val="en-US" w:eastAsia="zh-CN" w:bidi="ar-SA"/>
    </w:rPr>
  </w:style>
  <w:style w:type="paragraph" w:customStyle="1" w:styleId="397">
    <w:name w:val="xl30"/>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Cs w:val="24"/>
    </w:rPr>
  </w:style>
  <w:style w:type="paragraph" w:customStyle="1" w:styleId="398">
    <w:name w:val="xl34"/>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pPr>
    <w:rPr>
      <w:rFonts w:hint="eastAsia" w:ascii="宋体" w:hAnsi="宋体" w:cs="Arial Unicode MS"/>
      <w:b/>
      <w:bCs/>
      <w:kern w:val="0"/>
      <w:szCs w:val="24"/>
    </w:rPr>
  </w:style>
  <w:style w:type="paragraph" w:customStyle="1" w:styleId="399">
    <w:name w:val="普通(网站)1"/>
    <w:basedOn w:val="1"/>
    <w:qFormat/>
    <w:uiPriority w:val="0"/>
    <w:pPr>
      <w:spacing w:before="100" w:beforeAutospacing="1" w:after="100" w:afterAutospacing="1" w:line="240" w:lineRule="auto"/>
    </w:pPr>
    <w:rPr>
      <w:rFonts w:ascii="ˎ̥" w:hAnsi="ˎ̥" w:cs="宋体"/>
      <w:kern w:val="0"/>
      <w:szCs w:val="24"/>
    </w:rPr>
  </w:style>
  <w:style w:type="paragraph" w:customStyle="1" w:styleId="400">
    <w:name w:val="xl44"/>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rFonts w:hint="eastAsia" w:ascii="宋体" w:hAnsi="宋体" w:cs="Arial Unicode MS"/>
      <w:b/>
      <w:bCs/>
      <w:kern w:val="0"/>
      <w:szCs w:val="24"/>
    </w:rPr>
  </w:style>
  <w:style w:type="paragraph" w:customStyle="1" w:styleId="401">
    <w:name w:val="SSBR 标1"/>
    <w:basedOn w:val="5"/>
    <w:qFormat/>
    <w:uiPriority w:val="0"/>
    <w:pPr>
      <w:keepNext/>
      <w:keepLines/>
      <w:numPr>
        <w:numId w:val="7"/>
      </w:numPr>
      <w:tabs>
        <w:tab w:val="left" w:pos="425"/>
      </w:tabs>
      <w:spacing w:before="120" w:after="120"/>
    </w:pPr>
    <w:rPr>
      <w:rFonts w:ascii="黑体"/>
      <w:b w:val="0"/>
      <w:bCs w:val="0"/>
      <w:sz w:val="28"/>
      <w:szCs w:val="20"/>
      <w:lang w:val="zh-CN"/>
    </w:rPr>
  </w:style>
  <w:style w:type="paragraph" w:customStyle="1" w:styleId="402">
    <w:name w:val="CM9"/>
    <w:basedOn w:val="308"/>
    <w:next w:val="308"/>
    <w:qFormat/>
    <w:uiPriority w:val="0"/>
    <w:pPr>
      <w:spacing w:line="460" w:lineRule="atLeast"/>
    </w:pPr>
    <w:rPr>
      <w:color w:val="auto"/>
      <w:sz w:val="20"/>
    </w:rPr>
  </w:style>
  <w:style w:type="paragraph" w:customStyle="1" w:styleId="403">
    <w:name w:val="xl4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hint="eastAsia" w:ascii="宋体" w:hAnsi="宋体" w:cs="Arial Unicode MS"/>
      <w:b/>
      <w:bCs/>
      <w:kern w:val="0"/>
      <w:szCs w:val="24"/>
    </w:rPr>
  </w:style>
  <w:style w:type="paragraph" w:customStyle="1" w:styleId="404">
    <w:name w:val="TxBr_c4"/>
    <w:basedOn w:val="1"/>
    <w:qFormat/>
    <w:uiPriority w:val="0"/>
    <w:pPr>
      <w:snapToGrid w:val="0"/>
      <w:spacing w:line="240" w:lineRule="atLeast"/>
      <w:jc w:val="center"/>
    </w:pPr>
    <w:rPr>
      <w:snapToGrid w:val="0"/>
      <w:kern w:val="0"/>
      <w:lang w:eastAsia="en-US"/>
    </w:rPr>
  </w:style>
  <w:style w:type="paragraph" w:customStyle="1" w:styleId="405">
    <w:name w:val="xl25"/>
    <w:basedOn w:val="1"/>
    <w:qFormat/>
    <w:uiPriority w:val="0"/>
    <w:pPr>
      <w:spacing w:before="100" w:beforeAutospacing="1" w:after="100" w:afterAutospacing="1" w:line="240" w:lineRule="auto"/>
      <w:jc w:val="center"/>
      <w:textAlignment w:val="top"/>
    </w:pPr>
    <w:rPr>
      <w:rFonts w:eastAsia="Arial Unicode MS"/>
      <w:kern w:val="0"/>
      <w:sz w:val="21"/>
      <w:szCs w:val="21"/>
    </w:rPr>
  </w:style>
  <w:style w:type="paragraph" w:customStyle="1" w:styleId="406">
    <w:name w:val="正文文本缩进 311"/>
    <w:basedOn w:val="1"/>
    <w:qFormat/>
    <w:uiPriority w:val="99"/>
    <w:pPr>
      <w:spacing w:line="240" w:lineRule="auto"/>
    </w:pPr>
    <w:rPr>
      <w:rFonts w:ascii="宋体" w:hAnsi="宋体"/>
      <w:color w:val="000000"/>
      <w:szCs w:val="24"/>
    </w:rPr>
  </w:style>
  <w:style w:type="character" w:customStyle="1" w:styleId="407">
    <w:name w:val="图表标题 字符"/>
    <w:basedOn w:val="236"/>
    <w:qFormat/>
    <w:uiPriority w:val="0"/>
    <w:rPr>
      <w:rFonts w:ascii="Times New Roman" w:hAnsi="Times New Roman" w:eastAsia="宋体"/>
      <w:b/>
      <w:sz w:val="24"/>
    </w:rPr>
  </w:style>
  <w:style w:type="paragraph" w:customStyle="1" w:styleId="408">
    <w:name w:val="二级标题"/>
    <w:basedOn w:val="1"/>
    <w:link w:val="409"/>
    <w:qFormat/>
    <w:uiPriority w:val="0"/>
    <w:pPr>
      <w:outlineLvl w:val="1"/>
    </w:pPr>
    <w:rPr>
      <w:b/>
      <w:sz w:val="30"/>
      <w:szCs w:val="30"/>
    </w:rPr>
  </w:style>
  <w:style w:type="character" w:customStyle="1" w:styleId="409">
    <w:name w:val="二级标题 字符"/>
    <w:basedOn w:val="51"/>
    <w:link w:val="408"/>
    <w:qFormat/>
    <w:uiPriority w:val="0"/>
    <w:rPr>
      <w:rFonts w:ascii="Times New Roman" w:hAnsi="Times New Roman" w:eastAsia="宋体" w:cs="Times New Roman"/>
      <w:b/>
      <w:sz w:val="30"/>
      <w:szCs w:val="30"/>
    </w:rPr>
  </w:style>
  <w:style w:type="paragraph" w:customStyle="1" w:styleId="410">
    <w:name w:val="三级标题"/>
    <w:basedOn w:val="1"/>
    <w:link w:val="411"/>
    <w:qFormat/>
    <w:uiPriority w:val="0"/>
    <w:pPr>
      <w:outlineLvl w:val="2"/>
    </w:pPr>
    <w:rPr>
      <w:b/>
      <w:szCs w:val="24"/>
    </w:rPr>
  </w:style>
  <w:style w:type="character" w:customStyle="1" w:styleId="411">
    <w:name w:val="三级标题 字符"/>
    <w:basedOn w:val="51"/>
    <w:link w:val="410"/>
    <w:qFormat/>
    <w:uiPriority w:val="0"/>
    <w:rPr>
      <w:rFonts w:ascii="Times New Roman" w:hAnsi="Times New Roman" w:eastAsia="宋体" w:cs="Times New Roman"/>
      <w:b/>
      <w:sz w:val="24"/>
      <w:szCs w:val="24"/>
    </w:rPr>
  </w:style>
  <w:style w:type="paragraph" w:customStyle="1" w:styleId="412">
    <w:name w:val="正文首行缩进3"/>
    <w:basedOn w:val="1"/>
    <w:qFormat/>
    <w:uiPriority w:val="0"/>
    <w:pPr>
      <w:snapToGrid w:val="0"/>
      <w:spacing w:after="120" w:line="240" w:lineRule="auto"/>
      <w:ind w:firstLine="420" w:firstLineChars="100"/>
    </w:pPr>
    <w:rPr>
      <w:sz w:val="21"/>
    </w:rPr>
  </w:style>
  <w:style w:type="paragraph" w:customStyle="1" w:styleId="413">
    <w:name w:val="四级标题"/>
    <w:basedOn w:val="1"/>
    <w:link w:val="414"/>
    <w:qFormat/>
    <w:uiPriority w:val="0"/>
    <w:pPr>
      <w:outlineLvl w:val="3"/>
    </w:pPr>
    <w:rPr>
      <w:szCs w:val="24"/>
    </w:rPr>
  </w:style>
  <w:style w:type="character" w:customStyle="1" w:styleId="414">
    <w:name w:val="四级标题 字符"/>
    <w:basedOn w:val="51"/>
    <w:link w:val="413"/>
    <w:qFormat/>
    <w:uiPriority w:val="0"/>
    <w:rPr>
      <w:rFonts w:ascii="Times New Roman" w:hAnsi="Times New Roman" w:eastAsia="宋体" w:cs="Times New Roman"/>
      <w:sz w:val="24"/>
      <w:szCs w:val="24"/>
    </w:rPr>
  </w:style>
  <w:style w:type="paragraph" w:customStyle="1" w:styleId="415">
    <w:name w:val="附图附件"/>
    <w:basedOn w:val="1"/>
    <w:link w:val="416"/>
    <w:qFormat/>
    <w:uiPriority w:val="0"/>
    <w:pPr>
      <w:outlineLvl w:val="0"/>
    </w:pPr>
    <w:rPr>
      <w:rFonts w:cstheme="minorBidi"/>
      <w:szCs w:val="22"/>
    </w:rPr>
  </w:style>
  <w:style w:type="character" w:customStyle="1" w:styleId="416">
    <w:name w:val="附图附件 字符"/>
    <w:basedOn w:val="51"/>
    <w:link w:val="415"/>
    <w:qFormat/>
    <w:uiPriority w:val="0"/>
    <w:rPr>
      <w:rFonts w:ascii="Times New Roman" w:hAnsi="Times New Roman" w:eastAsia="宋体"/>
      <w:sz w:val="24"/>
    </w:rPr>
  </w:style>
  <w:style w:type="paragraph" w:customStyle="1" w:styleId="417">
    <w:name w:val="一级标题"/>
    <w:basedOn w:val="1"/>
    <w:link w:val="418"/>
    <w:qFormat/>
    <w:uiPriority w:val="0"/>
    <w:pPr>
      <w:spacing w:before="300" w:after="300"/>
      <w:jc w:val="center"/>
      <w:outlineLvl w:val="0"/>
    </w:pPr>
    <w:rPr>
      <w:b/>
      <w:sz w:val="36"/>
      <w:szCs w:val="44"/>
    </w:rPr>
  </w:style>
  <w:style w:type="character" w:customStyle="1" w:styleId="418">
    <w:name w:val="一级标题 字符"/>
    <w:basedOn w:val="51"/>
    <w:link w:val="417"/>
    <w:qFormat/>
    <w:uiPriority w:val="0"/>
    <w:rPr>
      <w:rFonts w:ascii="Times New Roman" w:hAnsi="Times New Roman" w:eastAsia="宋体" w:cs="Times New Roman"/>
      <w:b/>
      <w:sz w:val="36"/>
      <w:szCs w:val="44"/>
    </w:rPr>
  </w:style>
  <w:style w:type="character" w:customStyle="1" w:styleId="419">
    <w:name w:val="表格单位 Char Char"/>
    <w:link w:val="420"/>
    <w:qFormat/>
    <w:uiPriority w:val="0"/>
    <w:rPr>
      <w:b/>
      <w:bCs/>
      <w:sz w:val="18"/>
      <w:szCs w:val="24"/>
    </w:rPr>
  </w:style>
  <w:style w:type="paragraph" w:customStyle="1" w:styleId="420">
    <w:name w:val="表格单位"/>
    <w:basedOn w:val="165"/>
    <w:link w:val="419"/>
    <w:qFormat/>
    <w:uiPriority w:val="0"/>
    <w:pPr>
      <w:tabs>
        <w:tab w:val="clear" w:pos="1980"/>
        <w:tab w:val="clear" w:pos="3825"/>
        <w:tab w:val="clear" w:pos="4680"/>
      </w:tabs>
      <w:ind w:firstLine="480"/>
    </w:pPr>
    <w:rPr>
      <w:rFonts w:asciiTheme="minorHAnsi" w:hAnsiTheme="minorHAnsi" w:eastAsiaTheme="minorEastAsia" w:cstheme="minorBidi"/>
      <w:bCs/>
      <w:color w:val="auto"/>
      <w:kern w:val="2"/>
      <w:sz w:val="18"/>
    </w:rPr>
  </w:style>
  <w:style w:type="paragraph" w:customStyle="1" w:styleId="421">
    <w:name w:val="正文格式"/>
    <w:basedOn w:val="422"/>
    <w:link w:val="423"/>
    <w:qFormat/>
    <w:uiPriority w:val="0"/>
    <w:pPr>
      <w:ind w:firstLine="482"/>
    </w:pPr>
    <w:rPr>
      <w:rFonts w:ascii="宋体" w:hAnsi="宋体"/>
      <w:szCs w:val="24"/>
      <w:lang w:val="zh-CN"/>
    </w:rPr>
  </w:style>
  <w:style w:type="paragraph" w:customStyle="1" w:styleId="422">
    <w:name w:val="lin正文"/>
    <w:basedOn w:val="21"/>
    <w:qFormat/>
    <w:uiPriority w:val="0"/>
    <w:pPr>
      <w:widowControl w:val="0"/>
      <w:spacing w:line="560" w:lineRule="exact"/>
      <w:ind w:firstLine="200" w:firstLineChars="200"/>
      <w:jc w:val="both"/>
    </w:pPr>
    <w:rPr>
      <w:rFonts w:ascii="Tahoma" w:hAnsi="Tahoma" w:eastAsia="宋体"/>
      <w:color w:val="000000"/>
      <w:spacing w:val="0"/>
      <w:szCs w:val="24"/>
    </w:rPr>
  </w:style>
  <w:style w:type="character" w:customStyle="1" w:styleId="423">
    <w:name w:val="正文格式 Char"/>
    <w:link w:val="421"/>
    <w:qFormat/>
    <w:uiPriority w:val="0"/>
    <w:rPr>
      <w:rFonts w:ascii="宋体" w:hAnsi="宋体" w:eastAsia="宋体" w:cs="Times New Roman"/>
      <w:sz w:val="24"/>
      <w:szCs w:val="24"/>
      <w:lang w:val="zh-CN"/>
    </w:rPr>
  </w:style>
  <w:style w:type="paragraph" w:customStyle="1" w:styleId="424">
    <w:name w:val="表格标题"/>
    <w:basedOn w:val="1"/>
    <w:next w:val="425"/>
    <w:link w:val="426"/>
    <w:qFormat/>
    <w:uiPriority w:val="0"/>
    <w:pPr>
      <w:adjustRightInd w:val="0"/>
      <w:snapToGrid w:val="0"/>
      <w:jc w:val="center"/>
    </w:pPr>
    <w:rPr>
      <w:rFonts w:cs="Calibri"/>
      <w:b/>
      <w:szCs w:val="24"/>
    </w:rPr>
  </w:style>
  <w:style w:type="paragraph" w:customStyle="1" w:styleId="425">
    <w:name w:val="5段落"/>
    <w:basedOn w:val="1"/>
    <w:qFormat/>
    <w:uiPriority w:val="0"/>
    <w:pPr>
      <w:spacing w:line="360" w:lineRule="auto"/>
      <w:ind w:firstLine="480" w:firstLineChars="200"/>
    </w:pPr>
    <w:rPr>
      <w:color w:val="000000"/>
      <w:sz w:val="24"/>
    </w:rPr>
  </w:style>
  <w:style w:type="character" w:customStyle="1" w:styleId="426">
    <w:name w:val="表格标题 字符"/>
    <w:link w:val="424"/>
    <w:qFormat/>
    <w:uiPriority w:val="0"/>
    <w:rPr>
      <w:rFonts w:ascii="Times New Roman" w:hAnsi="Times New Roman" w:eastAsia="宋体" w:cs="Calibri"/>
      <w:b/>
      <w:sz w:val="24"/>
      <w:szCs w:val="24"/>
    </w:rPr>
  </w:style>
  <w:style w:type="paragraph" w:customStyle="1" w:styleId="427">
    <w:name w:val="表格内正文1"/>
    <w:basedOn w:val="1"/>
    <w:next w:val="1"/>
    <w:link w:val="428"/>
    <w:qFormat/>
    <w:uiPriority w:val="0"/>
    <w:pPr>
      <w:adjustRightInd w:val="0"/>
      <w:snapToGrid w:val="0"/>
      <w:spacing w:line="240" w:lineRule="auto"/>
      <w:jc w:val="center"/>
    </w:pPr>
    <w:rPr>
      <w:rFonts w:cs="Calibri"/>
      <w:sz w:val="21"/>
      <w:szCs w:val="24"/>
    </w:rPr>
  </w:style>
  <w:style w:type="character" w:customStyle="1" w:styleId="428">
    <w:name w:val="表格内正文1 Char"/>
    <w:link w:val="427"/>
    <w:qFormat/>
    <w:uiPriority w:val="0"/>
    <w:rPr>
      <w:rFonts w:ascii="Times New Roman" w:hAnsi="Times New Roman" w:eastAsia="宋体" w:cs="Calibri"/>
      <w:szCs w:val="24"/>
    </w:rPr>
  </w:style>
  <w:style w:type="character" w:customStyle="1" w:styleId="429">
    <w:name w:val="表格内正文1 Char Char"/>
    <w:qFormat/>
    <w:uiPriority w:val="0"/>
    <w:rPr>
      <w:rFonts w:cs="Calibri"/>
      <w:kern w:val="2"/>
      <w:sz w:val="21"/>
      <w:szCs w:val="24"/>
    </w:rPr>
  </w:style>
  <w:style w:type="character" w:customStyle="1" w:styleId="430">
    <w:name w:val="正文内容 Char Char"/>
    <w:qFormat/>
    <w:uiPriority w:val="0"/>
    <w:rPr>
      <w:rFonts w:ascii="Times New Roman" w:hAnsi="Times New Roman" w:eastAsia="宋体" w:cs="Calibri"/>
      <w:sz w:val="24"/>
      <w:szCs w:val="24"/>
    </w:rPr>
  </w:style>
  <w:style w:type="paragraph" w:customStyle="1" w:styleId="431">
    <w:name w:val="封面项目名称"/>
    <w:basedOn w:val="1"/>
    <w:next w:val="1"/>
    <w:link w:val="432"/>
    <w:qFormat/>
    <w:uiPriority w:val="0"/>
    <w:pPr>
      <w:jc w:val="center"/>
      <w:outlineLvl w:val="0"/>
    </w:pPr>
    <w:rPr>
      <w:b/>
      <w:bCs/>
      <w:sz w:val="44"/>
      <w:szCs w:val="24"/>
    </w:rPr>
  </w:style>
  <w:style w:type="character" w:customStyle="1" w:styleId="432">
    <w:name w:val="封面项目名称 字符"/>
    <w:link w:val="431"/>
    <w:qFormat/>
    <w:uiPriority w:val="0"/>
    <w:rPr>
      <w:rFonts w:ascii="Times New Roman" w:hAnsi="Times New Roman" w:eastAsia="宋体" w:cs="Times New Roman"/>
      <w:b/>
      <w:bCs/>
      <w:sz w:val="44"/>
      <w:szCs w:val="24"/>
    </w:rPr>
  </w:style>
  <w:style w:type="paragraph" w:customStyle="1" w:styleId="433">
    <w:name w:val="封面单位"/>
    <w:basedOn w:val="45"/>
    <w:link w:val="434"/>
    <w:qFormat/>
    <w:uiPriority w:val="0"/>
    <w:pPr>
      <w:spacing w:before="0" w:after="0"/>
      <w:outlineLvl w:val="9"/>
    </w:pPr>
    <w:rPr>
      <w:rFonts w:ascii="Cambria" w:hAnsi="Cambria" w:cs="Times New Roman"/>
      <w:sz w:val="36"/>
    </w:rPr>
  </w:style>
  <w:style w:type="character" w:customStyle="1" w:styleId="434">
    <w:name w:val="封面单位 字符"/>
    <w:basedOn w:val="72"/>
    <w:link w:val="433"/>
    <w:qFormat/>
    <w:uiPriority w:val="0"/>
    <w:rPr>
      <w:rFonts w:ascii="Cambria" w:hAnsi="Cambria" w:cs="Times New Roman"/>
      <w:sz w:val="36"/>
      <w:szCs w:val="32"/>
    </w:rPr>
  </w:style>
  <w:style w:type="paragraph" w:customStyle="1" w:styleId="435">
    <w:name w:val="封面报告类型"/>
    <w:basedOn w:val="431"/>
    <w:link w:val="436"/>
    <w:qFormat/>
    <w:uiPriority w:val="0"/>
    <w:rPr>
      <w:rFonts w:eastAsia="黑体"/>
      <w:sz w:val="52"/>
    </w:rPr>
  </w:style>
  <w:style w:type="character" w:customStyle="1" w:styleId="436">
    <w:name w:val="封面报告类型 字符"/>
    <w:basedOn w:val="432"/>
    <w:link w:val="435"/>
    <w:qFormat/>
    <w:uiPriority w:val="0"/>
    <w:rPr>
      <w:rFonts w:ascii="Times New Roman" w:hAnsi="Times New Roman" w:eastAsia="黑体" w:cs="Times New Roman"/>
      <w:sz w:val="52"/>
      <w:szCs w:val="24"/>
    </w:rPr>
  </w:style>
  <w:style w:type="paragraph" w:customStyle="1" w:styleId="437">
    <w:name w:val="封面时间"/>
    <w:basedOn w:val="433"/>
    <w:link w:val="438"/>
    <w:qFormat/>
    <w:uiPriority w:val="0"/>
    <w:pPr>
      <w:spacing w:before="50" w:after="50"/>
    </w:pPr>
    <w:rPr>
      <w:sz w:val="32"/>
    </w:rPr>
  </w:style>
  <w:style w:type="character" w:customStyle="1" w:styleId="438">
    <w:name w:val="封面时间 字符"/>
    <w:basedOn w:val="434"/>
    <w:link w:val="437"/>
    <w:qFormat/>
    <w:uiPriority w:val="0"/>
    <w:rPr>
      <w:rFonts w:ascii="Cambria" w:hAnsi="Cambria" w:cs="Times New Roman"/>
      <w:sz w:val="32"/>
      <w:szCs w:val="32"/>
    </w:rPr>
  </w:style>
  <w:style w:type="character" w:customStyle="1" w:styleId="439">
    <w:name w:val="无间隔 字符1"/>
    <w:qFormat/>
    <w:uiPriority w:val="1"/>
    <w:rPr>
      <w:kern w:val="2"/>
      <w:sz w:val="21"/>
      <w:szCs w:val="24"/>
    </w:rPr>
  </w:style>
  <w:style w:type="character" w:customStyle="1" w:styleId="440">
    <w:name w:val="6表(图)头(治) Char"/>
    <w:link w:val="441"/>
    <w:qFormat/>
    <w:uiPriority w:val="0"/>
    <w:rPr>
      <w:rFonts w:eastAsia="黑体"/>
      <w:b/>
      <w:bCs/>
      <w:sz w:val="24"/>
      <w:szCs w:val="30"/>
    </w:rPr>
  </w:style>
  <w:style w:type="paragraph" w:customStyle="1" w:styleId="441">
    <w:name w:val="6表(图)头(治)"/>
    <w:next w:val="1"/>
    <w:link w:val="440"/>
    <w:qFormat/>
    <w:uiPriority w:val="0"/>
    <w:pPr>
      <w:widowControl w:val="0"/>
      <w:spacing w:before="50" w:beforeLines="50" w:after="50" w:afterLines="50" w:line="360" w:lineRule="auto"/>
      <w:jc w:val="center"/>
    </w:pPr>
    <w:rPr>
      <w:rFonts w:eastAsia="黑体" w:asciiTheme="minorHAnsi" w:hAnsiTheme="minorHAnsi" w:cstheme="minorBidi"/>
      <w:b/>
      <w:bCs/>
      <w:kern w:val="2"/>
      <w:sz w:val="24"/>
      <w:szCs w:val="30"/>
      <w:lang w:val="en-US" w:eastAsia="zh-CN" w:bidi="ar-SA"/>
    </w:rPr>
  </w:style>
  <w:style w:type="character" w:customStyle="1" w:styleId="442">
    <w:name w:val="批注文字 Char"/>
    <w:basedOn w:val="51"/>
    <w:qFormat/>
    <w:uiPriority w:val="0"/>
  </w:style>
  <w:style w:type="character" w:customStyle="1" w:styleId="443">
    <w:name w:val="日期 Char"/>
    <w:basedOn w:val="51"/>
    <w:qFormat/>
    <w:uiPriority w:val="0"/>
  </w:style>
  <w:style w:type="character" w:customStyle="1" w:styleId="444">
    <w:name w:val="表格格式222 Char"/>
    <w:link w:val="445"/>
    <w:qFormat/>
    <w:uiPriority w:val="0"/>
    <w:rPr>
      <w:rFonts w:cs="宋体"/>
      <w:sz w:val="24"/>
      <w:szCs w:val="21"/>
    </w:rPr>
  </w:style>
  <w:style w:type="paragraph" w:customStyle="1" w:styleId="445">
    <w:name w:val="表格格式222"/>
    <w:basedOn w:val="1"/>
    <w:link w:val="444"/>
    <w:qFormat/>
    <w:uiPriority w:val="0"/>
    <w:pPr>
      <w:spacing w:line="240" w:lineRule="auto"/>
      <w:jc w:val="center"/>
    </w:pPr>
    <w:rPr>
      <w:rFonts w:cs="宋体" w:asciiTheme="minorHAnsi" w:hAnsiTheme="minorHAnsi" w:eastAsiaTheme="minorEastAsia"/>
      <w:szCs w:val="21"/>
    </w:rPr>
  </w:style>
  <w:style w:type="character" w:customStyle="1" w:styleId="446">
    <w:name w:val="批注主题 Char"/>
    <w:qFormat/>
    <w:uiPriority w:val="0"/>
    <w:rPr>
      <w:b/>
      <w:bCs/>
    </w:rPr>
  </w:style>
  <w:style w:type="paragraph" w:customStyle="1" w:styleId="447">
    <w:name w:val="2标题(治)"/>
    <w:basedOn w:val="6"/>
    <w:qFormat/>
    <w:uiPriority w:val="0"/>
    <w:pPr>
      <w:keepNext/>
      <w:keepLines/>
      <w:spacing w:before="0" w:beforeLines="0"/>
    </w:pPr>
    <w:rPr>
      <w:rFonts w:eastAsia="黑体"/>
      <w:kern w:val="2"/>
      <w:szCs w:val="30"/>
    </w:rPr>
  </w:style>
  <w:style w:type="paragraph" w:customStyle="1" w:styleId="448">
    <w:name w:val="1章(治)"/>
    <w:basedOn w:val="1"/>
    <w:next w:val="1"/>
    <w:qFormat/>
    <w:uiPriority w:val="0"/>
    <w:pPr>
      <w:jc w:val="center"/>
      <w:outlineLvl w:val="0"/>
    </w:pPr>
    <w:rPr>
      <w:rFonts w:ascii="黑体" w:hAnsi="宋体" w:eastAsia="黑体"/>
      <w:b/>
      <w:sz w:val="44"/>
      <w:szCs w:val="44"/>
    </w:rPr>
  </w:style>
  <w:style w:type="paragraph" w:customStyle="1" w:styleId="449">
    <w:name w:val="Char Char11"/>
    <w:basedOn w:val="1"/>
    <w:qFormat/>
    <w:uiPriority w:val="0"/>
    <w:rPr>
      <w:rFonts w:ascii="宋体" w:hAnsi="宋体" w:cs="宋体"/>
      <w:szCs w:val="24"/>
    </w:rPr>
  </w:style>
  <w:style w:type="paragraph" w:customStyle="1" w:styleId="450">
    <w:name w:val="Char Char Char Char Char Char Char Char Char Char Char Char Char Char Char Char Char Char Char Char Char Char Char Char Char Char Char Char Char Char Char Char Char"/>
    <w:basedOn w:val="1"/>
    <w:qFormat/>
    <w:uiPriority w:val="0"/>
    <w:pPr>
      <w:spacing w:after="160" w:line="240" w:lineRule="exact"/>
    </w:pPr>
    <w:rPr>
      <w:sz w:val="21"/>
    </w:rPr>
  </w:style>
  <w:style w:type="paragraph" w:customStyle="1" w:styleId="451">
    <w:name w:val="4标题(治)"/>
    <w:basedOn w:val="1"/>
    <w:next w:val="1"/>
    <w:qFormat/>
    <w:uiPriority w:val="0"/>
    <w:pPr>
      <w:adjustRightInd w:val="0"/>
      <w:snapToGrid w:val="0"/>
      <w:textAlignment w:val="baseline"/>
      <w:outlineLvl w:val="3"/>
    </w:pPr>
    <w:rPr>
      <w:rFonts w:eastAsia="黑体"/>
      <w:kern w:val="0"/>
      <w:sz w:val="28"/>
    </w:rPr>
  </w:style>
  <w:style w:type="paragraph" w:customStyle="1" w:styleId="452">
    <w:name w:val="列出段落3"/>
    <w:basedOn w:val="1"/>
    <w:qFormat/>
    <w:uiPriority w:val="0"/>
    <w:pPr>
      <w:spacing w:line="240" w:lineRule="auto"/>
      <w:ind w:firstLine="420"/>
    </w:pPr>
    <w:rPr>
      <w:rFonts w:ascii="Calibri" w:hAnsi="Calibri"/>
      <w:sz w:val="21"/>
      <w:szCs w:val="21"/>
    </w:rPr>
  </w:style>
  <w:style w:type="paragraph" w:customStyle="1" w:styleId="453">
    <w:name w:val="3标题(治)"/>
    <w:basedOn w:val="7"/>
    <w:qFormat/>
    <w:uiPriority w:val="0"/>
    <w:pPr>
      <w:keepNext/>
      <w:keepLines/>
      <w:textAlignment w:val="baseline"/>
    </w:pPr>
    <w:rPr>
      <w:rFonts w:eastAsia="黑体"/>
      <w:bCs w:val="0"/>
      <w:szCs w:val="28"/>
    </w:rPr>
  </w:style>
  <w:style w:type="paragraph" w:customStyle="1" w:styleId="454">
    <w:name w:val="5"/>
    <w:basedOn w:val="1"/>
    <w:qFormat/>
    <w:uiPriority w:val="0"/>
    <w:pPr>
      <w:spacing w:before="100" w:beforeAutospacing="1" w:after="100" w:afterAutospacing="1" w:line="240" w:lineRule="auto"/>
    </w:pPr>
    <w:rPr>
      <w:rFonts w:ascii="宋体" w:hAnsi="宋体" w:cs="宋体"/>
      <w:kern w:val="0"/>
      <w:szCs w:val="24"/>
    </w:rPr>
  </w:style>
  <w:style w:type="paragraph" w:customStyle="1" w:styleId="455">
    <w:name w:val="首行缩进正文"/>
    <w:basedOn w:val="1"/>
    <w:qFormat/>
    <w:uiPriority w:val="0"/>
    <w:pPr>
      <w:adjustRightInd w:val="0"/>
      <w:snapToGrid w:val="0"/>
      <w:spacing w:line="300" w:lineRule="auto"/>
      <w:ind w:firstLine="480"/>
    </w:pPr>
    <w:rPr>
      <w:szCs w:val="24"/>
    </w:rPr>
  </w:style>
  <w:style w:type="paragraph" w:customStyle="1" w:styleId="456">
    <w:name w:val="样式 首行缩进:  2 字符"/>
    <w:basedOn w:val="1"/>
    <w:qFormat/>
    <w:uiPriority w:val="0"/>
    <w:pPr>
      <w:spacing w:line="420" w:lineRule="auto"/>
      <w:ind w:firstLine="480"/>
    </w:pPr>
    <w:rPr>
      <w:rFonts w:cs="宋体"/>
    </w:rPr>
  </w:style>
  <w:style w:type="paragraph" w:customStyle="1" w:styleId="457">
    <w:name w:val="Char Char Char Char Char Char Char Char Char Char1"/>
    <w:basedOn w:val="1"/>
    <w:qFormat/>
    <w:uiPriority w:val="0"/>
    <w:pPr>
      <w:spacing w:line="240" w:lineRule="auto"/>
    </w:pPr>
    <w:rPr>
      <w:sz w:val="21"/>
      <w:szCs w:val="24"/>
    </w:rPr>
  </w:style>
  <w:style w:type="character" w:customStyle="1" w:styleId="458">
    <w:name w:val="font21"/>
    <w:basedOn w:val="51"/>
    <w:qFormat/>
    <w:uiPriority w:val="0"/>
    <w:rPr>
      <w:rFonts w:hint="eastAsia" w:ascii="宋体" w:hAnsi="宋体" w:eastAsia="宋体"/>
      <w:color w:val="000000"/>
      <w:sz w:val="21"/>
      <w:szCs w:val="21"/>
      <w:u w:val="none"/>
    </w:rPr>
  </w:style>
  <w:style w:type="character" w:customStyle="1" w:styleId="459">
    <w:name w:val="16"/>
    <w:basedOn w:val="51"/>
    <w:qFormat/>
    <w:uiPriority w:val="0"/>
    <w:rPr>
      <w:rFonts w:hint="eastAsia" w:ascii="宋体" w:hAnsi="宋体" w:eastAsia="宋体"/>
      <w:spacing w:val="10"/>
      <w:sz w:val="26"/>
      <w:szCs w:val="26"/>
    </w:rPr>
  </w:style>
  <w:style w:type="character" w:customStyle="1" w:styleId="460">
    <w:name w:val="15"/>
    <w:basedOn w:val="51"/>
    <w:qFormat/>
    <w:uiPriority w:val="0"/>
    <w:rPr>
      <w:rFonts w:hint="eastAsia" w:ascii="宋体" w:hAnsi="宋体" w:eastAsia="宋体"/>
      <w:spacing w:val="10"/>
      <w:sz w:val="26"/>
      <w:szCs w:val="26"/>
    </w:rPr>
  </w:style>
  <w:style w:type="paragraph" w:customStyle="1" w:styleId="461">
    <w:name w:val="自动编号"/>
    <w:basedOn w:val="1"/>
    <w:qFormat/>
    <w:uiPriority w:val="0"/>
    <w:pPr>
      <w:spacing w:before="100" w:beforeAutospacing="1" w:after="100" w:afterAutospacing="1"/>
    </w:pPr>
    <w:rPr>
      <w:szCs w:val="24"/>
    </w:rPr>
  </w:style>
  <w:style w:type="paragraph" w:customStyle="1" w:styleId="462">
    <w:name w:val="正文3"/>
    <w:qFormat/>
    <w:uiPriority w:val="0"/>
    <w:pPr>
      <w:spacing w:before="50" w:beforeLines="50" w:after="50" w:afterLines="50" w:line="360" w:lineRule="auto"/>
      <w:jc w:val="both"/>
    </w:pPr>
    <w:rPr>
      <w:rFonts w:ascii="Calibri" w:hAnsi="Calibri" w:eastAsia="宋体" w:cs="Calibri"/>
      <w:kern w:val="2"/>
      <w:sz w:val="21"/>
      <w:szCs w:val="21"/>
      <w:lang w:val="en-US" w:eastAsia="zh-CN" w:bidi="ar-SA"/>
    </w:rPr>
  </w:style>
  <w:style w:type="paragraph" w:customStyle="1" w:styleId="463">
    <w:name w:val="TOC 标题2"/>
    <w:basedOn w:val="5"/>
    <w:next w:val="1"/>
    <w:unhideWhenUsed/>
    <w:qFormat/>
    <w:uiPriority w:val="39"/>
    <w:pPr>
      <w:keepNext/>
      <w:keepLines/>
      <w:spacing w:before="24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464">
    <w:name w:val="图名 字符"/>
    <w:link w:val="465"/>
    <w:qFormat/>
    <w:uiPriority w:val="0"/>
    <w:rPr>
      <w:rFonts w:ascii="Times New Roman" w:hAnsi="Times New Roman" w:cs="宋体"/>
      <w:b/>
      <w:color w:val="000000"/>
      <w:sz w:val="24"/>
      <w:szCs w:val="24"/>
    </w:rPr>
  </w:style>
  <w:style w:type="paragraph" w:customStyle="1" w:styleId="465">
    <w:name w:val="图名"/>
    <w:basedOn w:val="1"/>
    <w:link w:val="464"/>
    <w:qFormat/>
    <w:uiPriority w:val="0"/>
    <w:pPr>
      <w:spacing w:line="240" w:lineRule="auto"/>
      <w:jc w:val="center"/>
    </w:pPr>
    <w:rPr>
      <w:rFonts w:cs="宋体" w:eastAsiaTheme="minorEastAsia"/>
      <w:b/>
      <w:color w:val="000000"/>
      <w:szCs w:val="24"/>
    </w:rPr>
  </w:style>
  <w:style w:type="character" w:customStyle="1" w:styleId="466">
    <w:name w:val="标题 2 Char1"/>
    <w:qFormat/>
    <w:uiPriority w:val="0"/>
    <w:rPr>
      <w:bCs/>
      <w:kern w:val="0"/>
      <w:sz w:val="30"/>
      <w:szCs w:val="32"/>
    </w:rPr>
  </w:style>
  <w:style w:type="paragraph" w:customStyle="1" w:styleId="467">
    <w:name w:val="表格内容"/>
    <w:basedOn w:val="1"/>
    <w:next w:val="1"/>
    <w:link w:val="556"/>
    <w:qFormat/>
    <w:uiPriority w:val="0"/>
    <w:pPr>
      <w:spacing w:line="240" w:lineRule="auto"/>
      <w:jc w:val="center"/>
    </w:pPr>
    <w:rPr>
      <w:rFonts w:ascii="Calibri" w:hAnsi="Calibri" w:cs="宋体"/>
      <w:kern w:val="0"/>
      <w:szCs w:val="24"/>
    </w:rPr>
  </w:style>
  <w:style w:type="character" w:customStyle="1" w:styleId="468">
    <w:name w:val="font51"/>
    <w:basedOn w:val="51"/>
    <w:qFormat/>
    <w:uiPriority w:val="0"/>
    <w:rPr>
      <w:rFonts w:hint="default" w:ascii="Times New Roman" w:hAnsi="Times New Roman" w:cs="Times New Roman"/>
      <w:color w:val="000000"/>
      <w:sz w:val="21"/>
      <w:szCs w:val="21"/>
      <w:u w:val="none"/>
    </w:rPr>
  </w:style>
  <w:style w:type="paragraph" w:customStyle="1" w:styleId="469">
    <w:name w:val="ZZX-标题4"/>
    <w:basedOn w:val="8"/>
    <w:qFormat/>
    <w:uiPriority w:val="0"/>
    <w:pPr>
      <w:keepNext/>
      <w:keepLines/>
      <w:tabs>
        <w:tab w:val="clear" w:pos="5400"/>
      </w:tabs>
      <w:adjustRightInd w:val="0"/>
      <w:snapToGrid w:val="0"/>
    </w:pPr>
    <w:rPr>
      <w:kern w:val="1"/>
      <w:szCs w:val="24"/>
    </w:rPr>
  </w:style>
  <w:style w:type="paragraph" w:customStyle="1" w:styleId="470">
    <w:name w:val="样式 表格内文字 + 段前: 6 磅1"/>
    <w:basedOn w:val="164"/>
    <w:qFormat/>
    <w:uiPriority w:val="0"/>
    <w:rPr>
      <w:rFonts w:cs="宋体"/>
      <w:szCs w:val="20"/>
    </w:rPr>
  </w:style>
  <w:style w:type="paragraph" w:customStyle="1" w:styleId="471">
    <w:name w:val="4.图片格式CM"/>
    <w:qFormat/>
    <w:uiPriority w:val="0"/>
    <w:pPr>
      <w:spacing w:before="20" w:beforeLines="20" w:after="30" w:afterLines="30" w:line="360" w:lineRule="auto"/>
      <w:jc w:val="center"/>
    </w:pPr>
    <w:rPr>
      <w:rFonts w:ascii="Times New Roman" w:hAnsi="Times New Roman" w:eastAsia="宋体" w:cs="Times New Roman"/>
      <w:kern w:val="2"/>
      <w:sz w:val="24"/>
      <w:szCs w:val="21"/>
      <w:lang w:val="en-US" w:eastAsia="zh-CN" w:bidi="ar-SA"/>
    </w:rPr>
  </w:style>
  <w:style w:type="paragraph" w:customStyle="1" w:styleId="472">
    <w:name w:val="5.正文内容"/>
    <w:basedOn w:val="1"/>
    <w:link w:val="473"/>
    <w:qFormat/>
    <w:uiPriority w:val="0"/>
    <w:pPr>
      <w:adjustRightInd w:val="0"/>
      <w:snapToGrid w:val="0"/>
      <w:ind w:firstLine="480"/>
    </w:pPr>
  </w:style>
  <w:style w:type="character" w:customStyle="1" w:styleId="473">
    <w:name w:val="5.正文内容 字符"/>
    <w:link w:val="472"/>
    <w:qFormat/>
    <w:uiPriority w:val="0"/>
    <w:rPr>
      <w:rFonts w:ascii="Times New Roman" w:hAnsi="Times New Roman" w:eastAsia="宋体" w:cs="Times New Roman"/>
      <w:sz w:val="24"/>
      <w:szCs w:val="20"/>
    </w:rPr>
  </w:style>
  <w:style w:type="paragraph" w:customStyle="1" w:styleId="474">
    <w:name w:val="1.表格标题CM"/>
    <w:basedOn w:val="1"/>
    <w:link w:val="475"/>
    <w:qFormat/>
    <w:uiPriority w:val="0"/>
    <w:pPr>
      <w:adjustRightInd w:val="0"/>
      <w:snapToGrid w:val="0"/>
      <w:spacing w:before="25" w:beforeLines="25"/>
      <w:jc w:val="center"/>
      <w:outlineLvl w:val="6"/>
    </w:pPr>
    <w:rPr>
      <w:rFonts w:eastAsia="黑体"/>
      <w:b/>
      <w:szCs w:val="24"/>
    </w:rPr>
  </w:style>
  <w:style w:type="character" w:customStyle="1" w:styleId="475">
    <w:name w:val="1.表格标题CM 字符"/>
    <w:link w:val="474"/>
    <w:qFormat/>
    <w:uiPriority w:val="0"/>
    <w:rPr>
      <w:rFonts w:ascii="Times New Roman" w:hAnsi="Times New Roman" w:eastAsia="黑体" w:cs="Times New Roman"/>
      <w:b/>
      <w:sz w:val="24"/>
      <w:szCs w:val="24"/>
    </w:rPr>
  </w:style>
  <w:style w:type="paragraph" w:customStyle="1" w:styleId="476">
    <w:name w:val="0.正文内容"/>
    <w:basedOn w:val="1"/>
    <w:link w:val="477"/>
    <w:qFormat/>
    <w:uiPriority w:val="0"/>
    <w:pPr>
      <w:adjustRightInd w:val="0"/>
      <w:snapToGrid w:val="0"/>
    </w:pPr>
    <w:rPr>
      <w:rFonts w:cs="宋体"/>
      <w:kern w:val="0"/>
      <w:szCs w:val="24"/>
    </w:rPr>
  </w:style>
  <w:style w:type="character" w:customStyle="1" w:styleId="477">
    <w:name w:val="0.正文内容 字符"/>
    <w:link w:val="476"/>
    <w:qFormat/>
    <w:uiPriority w:val="0"/>
    <w:rPr>
      <w:rFonts w:ascii="Times New Roman" w:hAnsi="Times New Roman" w:eastAsia="宋体" w:cs="宋体"/>
      <w:kern w:val="0"/>
      <w:sz w:val="24"/>
      <w:szCs w:val="24"/>
    </w:rPr>
  </w:style>
  <w:style w:type="paragraph" w:customStyle="1" w:styleId="478">
    <w:name w:val="6.图片格式CM"/>
    <w:basedOn w:val="1"/>
    <w:qFormat/>
    <w:uiPriority w:val="0"/>
    <w:pPr>
      <w:spacing w:beforeLines="30" w:afterLines="30"/>
      <w:jc w:val="center"/>
    </w:pPr>
    <w:rPr>
      <w:szCs w:val="24"/>
    </w:rPr>
  </w:style>
  <w:style w:type="paragraph" w:customStyle="1" w:styleId="479">
    <w:name w:val="附件"/>
    <w:basedOn w:val="451"/>
    <w:link w:val="480"/>
    <w:qFormat/>
    <w:uiPriority w:val="0"/>
    <w:rPr>
      <w:rFonts w:eastAsia="宋体"/>
      <w:sz w:val="24"/>
    </w:rPr>
  </w:style>
  <w:style w:type="character" w:customStyle="1" w:styleId="480">
    <w:name w:val="附件 字符"/>
    <w:basedOn w:val="256"/>
    <w:link w:val="479"/>
    <w:qFormat/>
    <w:uiPriority w:val="0"/>
    <w:rPr>
      <w:rFonts w:ascii="Times New Roman" w:hAnsi="Times New Roman" w:eastAsia="宋体" w:cs="Times New Roman"/>
      <w:b w:val="0"/>
      <w:bCs w:val="0"/>
      <w:snapToGrid w:val="0"/>
      <w:kern w:val="0"/>
      <w:sz w:val="24"/>
      <w:szCs w:val="20"/>
    </w:rPr>
  </w:style>
  <w:style w:type="paragraph" w:customStyle="1" w:styleId="481">
    <w:name w:val="正文4"/>
    <w:qFormat/>
    <w:uiPriority w:val="0"/>
    <w:pPr>
      <w:spacing w:before="50" w:beforeLines="50" w:after="50" w:afterLines="50" w:line="360" w:lineRule="auto"/>
      <w:jc w:val="both"/>
    </w:pPr>
    <w:rPr>
      <w:rFonts w:ascii="Times New Roman" w:hAnsi="Times New Roman" w:eastAsia="宋体" w:cs="Times New Roman"/>
      <w:kern w:val="2"/>
      <w:sz w:val="21"/>
      <w:szCs w:val="21"/>
      <w:lang w:val="en-US" w:eastAsia="zh-CN" w:bidi="ar-SA"/>
    </w:rPr>
  </w:style>
  <w:style w:type="character" w:customStyle="1" w:styleId="482">
    <w:name w:val="MY表内正文 Char"/>
    <w:link w:val="483"/>
    <w:qFormat/>
    <w:uiPriority w:val="0"/>
    <w:rPr>
      <w:rFonts w:cs="宋体"/>
      <w:sz w:val="18"/>
      <w:szCs w:val="24"/>
    </w:rPr>
  </w:style>
  <w:style w:type="paragraph" w:customStyle="1" w:styleId="483">
    <w:name w:val="MY表内正文"/>
    <w:basedOn w:val="1"/>
    <w:next w:val="1"/>
    <w:link w:val="482"/>
    <w:qFormat/>
    <w:uiPriority w:val="0"/>
    <w:pPr>
      <w:spacing w:line="240" w:lineRule="auto"/>
      <w:jc w:val="center"/>
    </w:pPr>
    <w:rPr>
      <w:rFonts w:cs="宋体" w:asciiTheme="minorHAnsi" w:hAnsiTheme="minorHAnsi" w:eastAsiaTheme="minorEastAsia"/>
      <w:sz w:val="18"/>
      <w:szCs w:val="24"/>
    </w:rPr>
  </w:style>
  <w:style w:type="character" w:customStyle="1" w:styleId="484">
    <w:name w:val="MY表标 Char"/>
    <w:link w:val="485"/>
    <w:qFormat/>
    <w:uiPriority w:val="0"/>
    <w:rPr>
      <w:rFonts w:cs="宋体"/>
      <w:b/>
      <w:sz w:val="24"/>
      <w:szCs w:val="24"/>
    </w:rPr>
  </w:style>
  <w:style w:type="paragraph" w:customStyle="1" w:styleId="485">
    <w:name w:val="MY表标"/>
    <w:basedOn w:val="1"/>
    <w:link w:val="484"/>
    <w:qFormat/>
    <w:uiPriority w:val="0"/>
    <w:pPr>
      <w:spacing w:line="240" w:lineRule="auto"/>
      <w:jc w:val="center"/>
      <w:outlineLvl w:val="4"/>
    </w:pPr>
    <w:rPr>
      <w:rFonts w:cs="宋体" w:asciiTheme="minorHAnsi" w:hAnsiTheme="minorHAnsi" w:eastAsiaTheme="minorEastAsia"/>
      <w:b/>
      <w:szCs w:val="24"/>
    </w:rPr>
  </w:style>
  <w:style w:type="character" w:customStyle="1" w:styleId="486">
    <w:name w:val="3.表格备注CM 字符"/>
    <w:link w:val="487"/>
    <w:qFormat/>
    <w:uiPriority w:val="0"/>
    <w:rPr>
      <w:b/>
    </w:rPr>
  </w:style>
  <w:style w:type="paragraph" w:customStyle="1" w:styleId="487">
    <w:name w:val="3.表格备注CM"/>
    <w:basedOn w:val="1"/>
    <w:link w:val="486"/>
    <w:qFormat/>
    <w:uiPriority w:val="0"/>
    <w:pPr>
      <w:tabs>
        <w:tab w:val="left" w:pos="1980"/>
        <w:tab w:val="left" w:pos="3825"/>
        <w:tab w:val="left" w:pos="4680"/>
      </w:tabs>
      <w:adjustRightInd w:val="0"/>
      <w:snapToGrid w:val="0"/>
      <w:spacing w:after="30" w:afterLines="30" w:line="240" w:lineRule="auto"/>
    </w:pPr>
    <w:rPr>
      <w:rFonts w:asciiTheme="minorHAnsi" w:hAnsiTheme="minorHAnsi" w:eastAsiaTheme="minorEastAsia" w:cstheme="minorBidi"/>
      <w:b/>
      <w:sz w:val="21"/>
      <w:szCs w:val="22"/>
    </w:rPr>
  </w:style>
  <w:style w:type="character" w:styleId="488">
    <w:name w:val="Placeholder Text"/>
    <w:basedOn w:val="51"/>
    <w:semiHidden/>
    <w:qFormat/>
    <w:uiPriority w:val="99"/>
    <w:rPr>
      <w:color w:val="808080"/>
    </w:rPr>
  </w:style>
  <w:style w:type="table" w:customStyle="1" w:styleId="489">
    <w:name w:val="1"/>
    <w:basedOn w:val="48"/>
    <w:qFormat/>
    <w:uiPriority w:val="99"/>
    <w:tblPr>
      <w:tblCellMar>
        <w:top w:w="0" w:type="dxa"/>
        <w:left w:w="108" w:type="dxa"/>
        <w:bottom w:w="0" w:type="dxa"/>
        <w:right w:w="108" w:type="dxa"/>
      </w:tblCellMar>
    </w:tblPr>
  </w:style>
  <w:style w:type="paragraph" w:customStyle="1" w:styleId="490">
    <w:name w:val="修订1"/>
    <w:hidden/>
    <w:semiHidden/>
    <w:qFormat/>
    <w:uiPriority w:val="99"/>
    <w:pPr>
      <w:spacing w:before="50" w:beforeLines="50" w:after="50" w:afterLines="50" w:line="360" w:lineRule="auto"/>
    </w:pPr>
    <w:rPr>
      <w:rFonts w:ascii="Times New Roman" w:hAnsi="Times New Roman" w:eastAsia="宋体" w:cs="Times New Roman"/>
      <w:kern w:val="2"/>
      <w:sz w:val="24"/>
      <w:szCs w:val="24"/>
      <w:lang w:val="en-US" w:eastAsia="zh-CN" w:bidi="ar-SA"/>
    </w:rPr>
  </w:style>
  <w:style w:type="table" w:customStyle="1" w:styleId="491">
    <w:name w:val="表格样式"/>
    <w:basedOn w:val="48"/>
    <w:qFormat/>
    <w:uiPriority w:val="0"/>
    <w:pPr>
      <w:jc w:val="center"/>
    </w:pPr>
    <w:tblPr>
      <w:jc w:val="center"/>
      <w:tblBorders>
        <w:top w:val="single" w:color="auto" w:sz="18" w:space="0"/>
        <w:bottom w:val="single" w:color="auto" w:sz="18"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table" w:customStyle="1" w:styleId="492">
    <w:name w:val="表格样式1"/>
    <w:basedOn w:val="48"/>
    <w:qFormat/>
    <w:uiPriority w:val="0"/>
    <w:pPr>
      <w:jc w:val="center"/>
    </w:pPr>
    <w:rPr>
      <w:rFonts w:cs="Calibri"/>
    </w:rPr>
    <w:tblPr>
      <w:jc w:val="center"/>
      <w:tblBorders>
        <w:top w:val="single" w:color="auto" w:sz="18" w:space="0"/>
        <w:bottom w:val="single" w:color="auto" w:sz="18"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table" w:customStyle="1" w:styleId="493">
    <w:name w:val="Table Normal"/>
    <w:semiHidden/>
    <w:unhideWhenUsed/>
    <w:qFormat/>
    <w:uiPriority w:val="2"/>
    <w:pPr>
      <w:widowControl w:val="0"/>
    </w:pPr>
    <w:rPr>
      <w:sz w:val="22"/>
      <w:lang w:eastAsia="en-US"/>
    </w:rPr>
    <w:tblPr>
      <w:tblCellMar>
        <w:top w:w="0" w:type="dxa"/>
        <w:left w:w="0" w:type="dxa"/>
        <w:bottom w:w="0" w:type="dxa"/>
        <w:right w:w="0" w:type="dxa"/>
      </w:tblCellMar>
    </w:tblPr>
  </w:style>
  <w:style w:type="table" w:customStyle="1" w:styleId="494">
    <w:name w:val="Table Normal1"/>
    <w:semiHidden/>
    <w:unhideWhenUsed/>
    <w:qFormat/>
    <w:uiPriority w:val="2"/>
    <w:pPr>
      <w:widowControl w:val="0"/>
    </w:pPr>
    <w:rPr>
      <w:sz w:val="22"/>
      <w:lang w:eastAsia="en-US"/>
    </w:rPr>
    <w:tblPr>
      <w:tblCellMar>
        <w:top w:w="0" w:type="dxa"/>
        <w:left w:w="0" w:type="dxa"/>
        <w:bottom w:w="0" w:type="dxa"/>
        <w:right w:w="0" w:type="dxa"/>
      </w:tblCellMar>
    </w:tblPr>
  </w:style>
  <w:style w:type="character" w:customStyle="1" w:styleId="495">
    <w:name w:val="正文文本 2 Char1"/>
    <w:semiHidden/>
    <w:qFormat/>
    <w:uiPriority w:val="99"/>
    <w:rPr>
      <w:kern w:val="2"/>
      <w:sz w:val="24"/>
      <w:szCs w:val="24"/>
    </w:rPr>
  </w:style>
  <w:style w:type="character" w:customStyle="1" w:styleId="496">
    <w:name w:val="页脚 Char2"/>
    <w:semiHidden/>
    <w:qFormat/>
    <w:uiPriority w:val="99"/>
    <w:rPr>
      <w:kern w:val="2"/>
      <w:sz w:val="18"/>
      <w:szCs w:val="18"/>
    </w:rPr>
  </w:style>
  <w:style w:type="character" w:customStyle="1" w:styleId="497">
    <w:name w:val="批注框文本 Char1"/>
    <w:semiHidden/>
    <w:qFormat/>
    <w:uiPriority w:val="99"/>
    <w:rPr>
      <w:kern w:val="2"/>
      <w:sz w:val="18"/>
      <w:szCs w:val="18"/>
    </w:rPr>
  </w:style>
  <w:style w:type="character" w:customStyle="1" w:styleId="498">
    <w:name w:val="HTML 预设格式 Char1"/>
    <w:semiHidden/>
    <w:qFormat/>
    <w:uiPriority w:val="99"/>
    <w:rPr>
      <w:rFonts w:ascii="Courier New" w:hAnsi="Courier New" w:cs="Courier New"/>
      <w:kern w:val="2"/>
    </w:rPr>
  </w:style>
  <w:style w:type="character" w:customStyle="1" w:styleId="499">
    <w:name w:val="批注文字 Char1"/>
    <w:semiHidden/>
    <w:qFormat/>
    <w:uiPriority w:val="99"/>
    <w:rPr>
      <w:kern w:val="2"/>
      <w:sz w:val="24"/>
      <w:szCs w:val="24"/>
    </w:rPr>
  </w:style>
  <w:style w:type="character" w:customStyle="1" w:styleId="500">
    <w:name w:val="纯文本 Char2"/>
    <w:semiHidden/>
    <w:qFormat/>
    <w:uiPriority w:val="99"/>
    <w:rPr>
      <w:rFonts w:ascii="宋体" w:hAnsi="Courier New" w:cs="Courier New"/>
      <w:kern w:val="2"/>
      <w:sz w:val="21"/>
      <w:szCs w:val="21"/>
    </w:rPr>
  </w:style>
  <w:style w:type="character" w:customStyle="1" w:styleId="501">
    <w:name w:val="信息标题 Char2"/>
    <w:semiHidden/>
    <w:qFormat/>
    <w:uiPriority w:val="99"/>
    <w:rPr>
      <w:rFonts w:ascii="Cambria" w:hAnsi="Cambria" w:eastAsia="宋体" w:cs="Times New Roman"/>
      <w:kern w:val="2"/>
      <w:sz w:val="24"/>
      <w:szCs w:val="24"/>
      <w:shd w:val="pct20" w:color="auto" w:fill="auto"/>
    </w:rPr>
  </w:style>
  <w:style w:type="character" w:customStyle="1" w:styleId="502">
    <w:name w:val="正文文本缩进 3 Char1"/>
    <w:semiHidden/>
    <w:qFormat/>
    <w:uiPriority w:val="99"/>
    <w:rPr>
      <w:kern w:val="2"/>
      <w:sz w:val="16"/>
      <w:szCs w:val="16"/>
    </w:rPr>
  </w:style>
  <w:style w:type="character" w:customStyle="1" w:styleId="503">
    <w:name w:val="批注主题 Char1"/>
    <w:semiHidden/>
    <w:qFormat/>
    <w:uiPriority w:val="99"/>
    <w:rPr>
      <w:b/>
      <w:bCs/>
      <w:kern w:val="2"/>
      <w:sz w:val="24"/>
      <w:szCs w:val="24"/>
    </w:rPr>
  </w:style>
  <w:style w:type="character" w:customStyle="1" w:styleId="504">
    <w:name w:val="信息标题 Char"/>
    <w:semiHidden/>
    <w:qFormat/>
    <w:uiPriority w:val="99"/>
    <w:rPr>
      <w:rFonts w:ascii="Cambria" w:hAnsi="Cambria" w:eastAsia="宋体" w:cs="Times New Roman"/>
      <w:kern w:val="2"/>
      <w:sz w:val="24"/>
      <w:szCs w:val="24"/>
      <w:shd w:val="pct20" w:color="auto" w:fill="auto"/>
    </w:rPr>
  </w:style>
  <w:style w:type="character" w:customStyle="1" w:styleId="505">
    <w:name w:val="正文文本缩进 2 Char1"/>
    <w:semiHidden/>
    <w:qFormat/>
    <w:uiPriority w:val="99"/>
    <w:rPr>
      <w:kern w:val="2"/>
      <w:sz w:val="24"/>
      <w:szCs w:val="24"/>
    </w:rPr>
  </w:style>
  <w:style w:type="character" w:customStyle="1" w:styleId="506">
    <w:name w:val="签名 Char"/>
    <w:semiHidden/>
    <w:qFormat/>
    <w:uiPriority w:val="99"/>
    <w:rPr>
      <w:kern w:val="2"/>
      <w:sz w:val="24"/>
      <w:szCs w:val="24"/>
    </w:rPr>
  </w:style>
  <w:style w:type="character" w:customStyle="1" w:styleId="507">
    <w:name w:val="页眉 Char1"/>
    <w:semiHidden/>
    <w:qFormat/>
    <w:uiPriority w:val="99"/>
    <w:rPr>
      <w:kern w:val="2"/>
      <w:sz w:val="18"/>
      <w:szCs w:val="18"/>
    </w:rPr>
  </w:style>
  <w:style w:type="character" w:customStyle="1" w:styleId="508">
    <w:name w:val="正文首行缩进 Char1"/>
    <w:semiHidden/>
    <w:qFormat/>
    <w:uiPriority w:val="99"/>
  </w:style>
  <w:style w:type="character" w:customStyle="1" w:styleId="509">
    <w:name w:val="正文文本缩进 Char1"/>
    <w:semiHidden/>
    <w:qFormat/>
    <w:uiPriority w:val="99"/>
    <w:rPr>
      <w:kern w:val="2"/>
      <w:sz w:val="24"/>
      <w:szCs w:val="24"/>
    </w:rPr>
  </w:style>
  <w:style w:type="character" w:customStyle="1" w:styleId="510">
    <w:name w:val="正文首行缩进 2 Char1"/>
    <w:semiHidden/>
    <w:qFormat/>
    <w:uiPriority w:val="99"/>
  </w:style>
  <w:style w:type="character" w:customStyle="1" w:styleId="511">
    <w:name w:val="签名 Char2"/>
    <w:semiHidden/>
    <w:qFormat/>
    <w:uiPriority w:val="99"/>
    <w:rPr>
      <w:kern w:val="2"/>
      <w:sz w:val="24"/>
      <w:szCs w:val="24"/>
    </w:rPr>
  </w:style>
  <w:style w:type="character" w:customStyle="1" w:styleId="512">
    <w:name w:val="日期 Char2"/>
    <w:semiHidden/>
    <w:qFormat/>
    <w:uiPriority w:val="99"/>
    <w:rPr>
      <w:kern w:val="2"/>
      <w:sz w:val="24"/>
      <w:szCs w:val="24"/>
    </w:rPr>
  </w:style>
  <w:style w:type="character" w:customStyle="1" w:styleId="513">
    <w:name w:val="文档结构图 Char1"/>
    <w:semiHidden/>
    <w:qFormat/>
    <w:uiPriority w:val="99"/>
    <w:rPr>
      <w:rFonts w:ascii="宋体"/>
      <w:kern w:val="2"/>
      <w:sz w:val="18"/>
      <w:szCs w:val="18"/>
    </w:rPr>
  </w:style>
  <w:style w:type="character" w:customStyle="1" w:styleId="514">
    <w:name w:val="正文文本 Char1"/>
    <w:semiHidden/>
    <w:qFormat/>
    <w:uiPriority w:val="99"/>
    <w:rPr>
      <w:kern w:val="2"/>
      <w:sz w:val="24"/>
      <w:szCs w:val="24"/>
    </w:rPr>
  </w:style>
  <w:style w:type="character" w:customStyle="1" w:styleId="515">
    <w:name w:val="正文文本缩进 3 字符1"/>
    <w:basedOn w:val="51"/>
    <w:semiHidden/>
    <w:qFormat/>
    <w:uiPriority w:val="99"/>
    <w:rPr>
      <w:kern w:val="2"/>
      <w:sz w:val="16"/>
      <w:szCs w:val="16"/>
    </w:rPr>
  </w:style>
  <w:style w:type="character" w:customStyle="1" w:styleId="516">
    <w:name w:val="正文首行缩进 2 字符1"/>
    <w:basedOn w:val="134"/>
    <w:semiHidden/>
    <w:qFormat/>
    <w:uiPriority w:val="99"/>
    <w:rPr>
      <w:rFonts w:ascii="Times New Roman" w:hAnsi="Times New Roman" w:eastAsia="宋体" w:cs="Times New Roman"/>
      <w:kern w:val="2"/>
      <w:sz w:val="24"/>
      <w:szCs w:val="24"/>
    </w:rPr>
  </w:style>
  <w:style w:type="character" w:customStyle="1" w:styleId="517">
    <w:name w:val="正文文本缩进 2 字符1"/>
    <w:basedOn w:val="51"/>
    <w:semiHidden/>
    <w:qFormat/>
    <w:uiPriority w:val="99"/>
    <w:rPr>
      <w:kern w:val="2"/>
      <w:sz w:val="24"/>
      <w:szCs w:val="24"/>
    </w:rPr>
  </w:style>
  <w:style w:type="character" w:customStyle="1" w:styleId="518">
    <w:name w:val="正文首行缩进 字符1"/>
    <w:basedOn w:val="89"/>
    <w:semiHidden/>
    <w:qFormat/>
    <w:uiPriority w:val="99"/>
    <w:rPr>
      <w:rFonts w:ascii="宋体" w:hAnsi="宋体" w:eastAsia="宋体" w:cs="宋体"/>
      <w:kern w:val="2"/>
      <w:sz w:val="24"/>
      <w:szCs w:val="24"/>
      <w:lang w:eastAsia="en-US" w:bidi="en-US"/>
    </w:rPr>
  </w:style>
  <w:style w:type="character" w:customStyle="1" w:styleId="519">
    <w:name w:val="签名 字符1"/>
    <w:basedOn w:val="51"/>
    <w:semiHidden/>
    <w:qFormat/>
    <w:uiPriority w:val="99"/>
    <w:rPr>
      <w:kern w:val="2"/>
      <w:sz w:val="24"/>
      <w:szCs w:val="24"/>
    </w:rPr>
  </w:style>
  <w:style w:type="character" w:customStyle="1" w:styleId="520">
    <w:name w:val="信息标题 字符1"/>
    <w:basedOn w:val="51"/>
    <w:semiHidden/>
    <w:qFormat/>
    <w:uiPriority w:val="99"/>
    <w:rPr>
      <w:rFonts w:asciiTheme="majorHAnsi" w:hAnsiTheme="majorHAnsi" w:eastAsiaTheme="majorEastAsia" w:cstheme="majorBidi"/>
      <w:kern w:val="2"/>
      <w:sz w:val="24"/>
      <w:szCs w:val="24"/>
      <w:shd w:val="pct20" w:color="auto" w:fill="auto"/>
    </w:rPr>
  </w:style>
  <w:style w:type="character" w:customStyle="1" w:styleId="521">
    <w:name w:val="正文文本 2 字符1"/>
    <w:basedOn w:val="51"/>
    <w:semiHidden/>
    <w:qFormat/>
    <w:uiPriority w:val="99"/>
    <w:rPr>
      <w:kern w:val="2"/>
      <w:sz w:val="24"/>
      <w:szCs w:val="24"/>
    </w:rPr>
  </w:style>
  <w:style w:type="character" w:customStyle="1" w:styleId="522">
    <w:name w:val="Heading 3 Char"/>
    <w:semiHidden/>
    <w:qFormat/>
    <w:uiPriority w:val="0"/>
    <w:rPr>
      <w:rFonts w:ascii="仿宋_GB2312" w:hAnsi="Times New Roman" w:eastAsia="仿宋_GB2312" w:cs="Times New Roman"/>
      <w:b/>
      <w:bCs/>
      <w:sz w:val="20"/>
      <w:szCs w:val="20"/>
    </w:rPr>
  </w:style>
  <w:style w:type="paragraph" w:customStyle="1" w:styleId="523">
    <w:name w:val="修订2"/>
    <w:hidden/>
    <w:semiHidden/>
    <w:qFormat/>
    <w:uiPriority w:val="99"/>
    <w:pPr>
      <w:spacing w:before="50" w:beforeLines="50" w:after="50" w:afterLines="50" w:line="360" w:lineRule="auto"/>
    </w:pPr>
    <w:rPr>
      <w:rFonts w:ascii="Times New Roman" w:hAnsi="Times New Roman" w:eastAsia="宋体" w:cs="Times New Roman"/>
      <w:kern w:val="2"/>
      <w:sz w:val="24"/>
      <w:szCs w:val="24"/>
      <w:lang w:val="en-US" w:eastAsia="zh-CN" w:bidi="ar-SA"/>
    </w:rPr>
  </w:style>
  <w:style w:type="paragraph" w:customStyle="1" w:styleId="524">
    <w:name w:val="修订3"/>
    <w:hidden/>
    <w:semiHidden/>
    <w:qFormat/>
    <w:uiPriority w:val="99"/>
    <w:pPr>
      <w:spacing w:before="50" w:beforeLines="50" w:after="50" w:afterLines="50" w:line="360" w:lineRule="auto"/>
    </w:pPr>
    <w:rPr>
      <w:rFonts w:ascii="Times New Roman" w:hAnsi="Times New Roman" w:eastAsia="宋体" w:cs="Times New Roman"/>
      <w:kern w:val="2"/>
      <w:sz w:val="24"/>
      <w:szCs w:val="24"/>
      <w:lang w:val="en-US" w:eastAsia="zh-CN" w:bidi="ar-SA"/>
    </w:rPr>
  </w:style>
  <w:style w:type="paragraph" w:customStyle="1" w:styleId="525">
    <w:name w:val="修订4"/>
    <w:hidden/>
    <w:semiHidden/>
    <w:qFormat/>
    <w:uiPriority w:val="99"/>
    <w:pPr>
      <w:spacing w:before="50" w:beforeLines="50" w:after="50" w:afterLines="50" w:line="360" w:lineRule="auto"/>
    </w:pPr>
    <w:rPr>
      <w:rFonts w:ascii="Times New Roman" w:hAnsi="Times New Roman" w:eastAsia="宋体" w:cs="Times New Roman"/>
      <w:kern w:val="2"/>
      <w:sz w:val="24"/>
      <w:szCs w:val="24"/>
      <w:lang w:val="en-US" w:eastAsia="zh-CN" w:bidi="ar-SA"/>
    </w:rPr>
  </w:style>
  <w:style w:type="paragraph" w:customStyle="1" w:styleId="526">
    <w:name w:val="万澈 表头"/>
    <w:basedOn w:val="1"/>
    <w:qFormat/>
    <w:uiPriority w:val="0"/>
    <w:pPr>
      <w:adjustRightInd w:val="0"/>
      <w:jc w:val="center"/>
    </w:pPr>
    <w:rPr>
      <w:rFonts w:eastAsia="黑体"/>
      <w:kern w:val="18"/>
      <w:szCs w:val="24"/>
    </w:rPr>
  </w:style>
  <w:style w:type="paragraph" w:customStyle="1" w:styleId="527">
    <w:name w:val="万澈表格内容"/>
    <w:basedOn w:val="1"/>
    <w:qFormat/>
    <w:uiPriority w:val="0"/>
    <w:pPr>
      <w:adjustRightInd w:val="0"/>
      <w:spacing w:line="240" w:lineRule="auto"/>
      <w:jc w:val="center"/>
    </w:pPr>
    <w:rPr>
      <w:kern w:val="0"/>
      <w:sz w:val="21"/>
      <w:szCs w:val="21"/>
    </w:rPr>
  </w:style>
  <w:style w:type="paragraph" w:customStyle="1" w:styleId="528">
    <w:name w:val="万澈 表格内容"/>
    <w:basedOn w:val="1"/>
    <w:qFormat/>
    <w:uiPriority w:val="0"/>
    <w:pPr>
      <w:adjustRightInd w:val="0"/>
      <w:spacing w:line="240" w:lineRule="auto"/>
      <w:jc w:val="center"/>
    </w:pPr>
    <w:rPr>
      <w:kern w:val="0"/>
      <w:sz w:val="21"/>
      <w:szCs w:val="21"/>
    </w:rPr>
  </w:style>
  <w:style w:type="paragraph" w:customStyle="1" w:styleId="529">
    <w:name w:val="正文6"/>
    <w:qFormat/>
    <w:uiPriority w:val="0"/>
    <w:pPr>
      <w:spacing w:before="50" w:beforeLines="50" w:after="50" w:afterLines="50" w:line="360" w:lineRule="auto"/>
      <w:jc w:val="both"/>
    </w:pPr>
    <w:rPr>
      <w:rFonts w:ascii="Times New Roman" w:hAnsi="Times New Roman" w:eastAsia="宋体" w:cs="Times New Roman"/>
      <w:kern w:val="2"/>
      <w:sz w:val="21"/>
      <w:szCs w:val="21"/>
      <w:lang w:val="en-US" w:eastAsia="zh-CN" w:bidi="ar-SA"/>
    </w:rPr>
  </w:style>
  <w:style w:type="paragraph" w:customStyle="1" w:styleId="530">
    <w:name w:val="正文7"/>
    <w:qFormat/>
    <w:uiPriority w:val="0"/>
    <w:pPr>
      <w:jc w:val="both"/>
    </w:pPr>
    <w:rPr>
      <w:rFonts w:ascii="等线" w:hAnsi="等线" w:eastAsia="宋体" w:cs="宋体"/>
      <w:kern w:val="2"/>
      <w:sz w:val="21"/>
      <w:szCs w:val="21"/>
      <w:lang w:val="en-US" w:eastAsia="zh-CN" w:bidi="ar-SA"/>
    </w:rPr>
  </w:style>
  <w:style w:type="paragraph" w:customStyle="1" w:styleId="531">
    <w:name w:val="金皇-表格内文字"/>
    <w:basedOn w:val="1"/>
    <w:qFormat/>
    <w:uiPriority w:val="0"/>
    <w:pPr>
      <w:adjustRightInd w:val="0"/>
      <w:snapToGrid w:val="0"/>
      <w:spacing w:line="240" w:lineRule="auto"/>
      <w:ind w:firstLine="0" w:firstLineChars="0"/>
      <w:jc w:val="center"/>
    </w:pPr>
    <w:rPr>
      <w:sz w:val="21"/>
      <w:szCs w:val="21"/>
    </w:rPr>
  </w:style>
  <w:style w:type="paragraph" w:customStyle="1" w:styleId="532">
    <w:name w:val="金皇-表（图）头"/>
    <w:basedOn w:val="1"/>
    <w:qFormat/>
    <w:uiPriority w:val="0"/>
    <w:pPr>
      <w:adjustRightInd w:val="0"/>
      <w:spacing w:line="240" w:lineRule="auto"/>
      <w:ind w:firstLine="0" w:firstLineChars="0"/>
      <w:jc w:val="center"/>
      <w:outlineLvl w:val="4"/>
    </w:pPr>
    <w:rPr>
      <w:rFonts w:eastAsia="黑体"/>
      <w:b/>
      <w:bCs/>
      <w:szCs w:val="24"/>
    </w:rPr>
  </w:style>
  <w:style w:type="paragraph" w:customStyle="1" w:styleId="533">
    <w:name w:val="修订5"/>
    <w:hidden/>
    <w:semiHidden/>
    <w:qFormat/>
    <w:uiPriority w:val="99"/>
    <w:rPr>
      <w:rFonts w:ascii="Times New Roman" w:hAnsi="Times New Roman" w:eastAsia="宋体" w:cs="Times New Roman"/>
      <w:kern w:val="2"/>
      <w:sz w:val="24"/>
      <w:lang w:val="en-US" w:eastAsia="zh-CN" w:bidi="ar-SA"/>
    </w:rPr>
  </w:style>
  <w:style w:type="paragraph" w:customStyle="1" w:styleId="534">
    <w:name w:val="正文8"/>
    <w:qFormat/>
    <w:uiPriority w:val="0"/>
    <w:pPr>
      <w:jc w:val="both"/>
    </w:pPr>
    <w:rPr>
      <w:rFonts w:ascii="Times New Roman" w:hAnsi="Times New Roman" w:eastAsia="宋体" w:cs="Times New Roman"/>
      <w:kern w:val="2"/>
      <w:sz w:val="21"/>
      <w:szCs w:val="21"/>
      <w:lang w:val="en-US" w:eastAsia="zh-CN" w:bidi="ar-SA"/>
    </w:rPr>
  </w:style>
  <w:style w:type="character" w:customStyle="1" w:styleId="535">
    <w:name w:val="普通(网站) Char"/>
    <w:link w:val="44"/>
    <w:qFormat/>
    <w:uiPriority w:val="0"/>
    <w:rPr>
      <w:rFonts w:ascii="宋体" w:hAnsi="宋体" w:cs="宋体"/>
      <w:sz w:val="24"/>
      <w:szCs w:val="24"/>
    </w:rPr>
  </w:style>
  <w:style w:type="paragraph" w:customStyle="1" w:styleId="536">
    <w:name w:val="正文9"/>
    <w:qFormat/>
    <w:uiPriority w:val="0"/>
    <w:pPr>
      <w:jc w:val="both"/>
    </w:pPr>
    <w:rPr>
      <w:rFonts w:ascii="等线" w:hAnsi="等线" w:eastAsia="宋体" w:cs="宋体"/>
      <w:kern w:val="2"/>
      <w:sz w:val="21"/>
      <w:szCs w:val="21"/>
      <w:lang w:val="en-US" w:eastAsia="zh-CN" w:bidi="ar-SA"/>
    </w:rPr>
  </w:style>
  <w:style w:type="paragraph" w:customStyle="1" w:styleId="537">
    <w:name w:val="修订6"/>
    <w:hidden/>
    <w:semiHidden/>
    <w:qFormat/>
    <w:uiPriority w:val="99"/>
    <w:rPr>
      <w:rFonts w:ascii="Times New Roman" w:hAnsi="Times New Roman" w:eastAsia="宋体" w:cs="Times New Roman"/>
      <w:kern w:val="2"/>
      <w:sz w:val="24"/>
      <w:lang w:val="en-US" w:eastAsia="zh-CN" w:bidi="ar-SA"/>
    </w:rPr>
  </w:style>
  <w:style w:type="paragraph" w:customStyle="1" w:styleId="538">
    <w:name w:val="修订7"/>
    <w:hidden/>
    <w:semiHidden/>
    <w:qFormat/>
    <w:uiPriority w:val="99"/>
    <w:rPr>
      <w:rFonts w:ascii="Times New Roman" w:hAnsi="Times New Roman" w:eastAsia="宋体" w:cs="Times New Roman"/>
      <w:kern w:val="2"/>
      <w:sz w:val="24"/>
      <w:lang w:val="en-US" w:eastAsia="zh-CN" w:bidi="ar-SA"/>
    </w:rPr>
  </w:style>
  <w:style w:type="paragraph" w:customStyle="1" w:styleId="539">
    <w:name w:val="三级标题（）"/>
    <w:basedOn w:val="1"/>
    <w:link w:val="540"/>
    <w:qFormat/>
    <w:uiPriority w:val="0"/>
    <w:pPr>
      <w:tabs>
        <w:tab w:val="left" w:pos="3840"/>
      </w:tabs>
      <w:adjustRightInd w:val="0"/>
      <w:snapToGrid w:val="0"/>
      <w:ind w:firstLine="0" w:firstLineChars="0"/>
      <w:outlineLvl w:val="2"/>
    </w:pPr>
    <w:rPr>
      <w:rFonts w:eastAsia="黑体"/>
      <w:color w:val="5B9BD5"/>
      <w:sz w:val="28"/>
      <w:szCs w:val="30"/>
      <w:lang w:val="zh-CN"/>
    </w:rPr>
  </w:style>
  <w:style w:type="character" w:customStyle="1" w:styleId="540">
    <w:name w:val="三级标题（） Char"/>
    <w:link w:val="539"/>
    <w:qFormat/>
    <w:uiPriority w:val="0"/>
    <w:rPr>
      <w:rFonts w:ascii="Times New Roman" w:hAnsi="Times New Roman" w:eastAsia="黑体"/>
      <w:color w:val="5B9BD5"/>
      <w:kern w:val="2"/>
      <w:sz w:val="28"/>
      <w:szCs w:val="30"/>
      <w:lang w:val="zh-CN" w:eastAsia="zh-CN"/>
    </w:rPr>
  </w:style>
  <w:style w:type="paragraph" w:customStyle="1" w:styleId="541">
    <w:name w:val="四级标题（）"/>
    <w:basedOn w:val="1"/>
    <w:link w:val="542"/>
    <w:qFormat/>
    <w:uiPriority w:val="0"/>
    <w:pPr>
      <w:keepNext/>
      <w:suppressAutoHyphens/>
      <w:adjustRightInd w:val="0"/>
      <w:snapToGrid w:val="0"/>
      <w:ind w:firstLine="0" w:firstLineChars="0"/>
      <w:textAlignment w:val="baseline"/>
      <w:outlineLvl w:val="3"/>
    </w:pPr>
    <w:rPr>
      <w:rFonts w:ascii="Calibri" w:hAnsi="Calibri" w:eastAsia="黑体"/>
      <w:bCs/>
      <w:color w:val="5B9BD5"/>
      <w:kern w:val="28"/>
      <w:szCs w:val="24"/>
      <w:lang w:val="zh-CN" w:bidi="he-IL"/>
    </w:rPr>
  </w:style>
  <w:style w:type="character" w:customStyle="1" w:styleId="542">
    <w:name w:val="四级标题（） Char"/>
    <w:link w:val="541"/>
    <w:qFormat/>
    <w:uiPriority w:val="0"/>
    <w:rPr>
      <w:rFonts w:eastAsia="黑体"/>
      <w:bCs/>
      <w:color w:val="5B9BD5"/>
      <w:kern w:val="28"/>
      <w:sz w:val="24"/>
      <w:szCs w:val="24"/>
      <w:lang w:val="zh-CN" w:eastAsia="zh-CN" w:bidi="he-IL"/>
    </w:rPr>
  </w:style>
  <w:style w:type="paragraph" w:customStyle="1" w:styleId="543">
    <w:name w:val="正文（）"/>
    <w:basedOn w:val="1"/>
    <w:link w:val="544"/>
    <w:qFormat/>
    <w:uiPriority w:val="0"/>
    <w:pPr>
      <w:widowControl/>
      <w:adjustRightInd w:val="0"/>
      <w:snapToGrid w:val="0"/>
    </w:pPr>
    <w:rPr>
      <w:rFonts w:ascii="宋体" w:hAnsi="宋体"/>
      <w:color w:val="4BACC6"/>
      <w:kern w:val="0"/>
      <w:szCs w:val="24"/>
      <w:lang w:val="zh-CN"/>
    </w:rPr>
  </w:style>
  <w:style w:type="character" w:customStyle="1" w:styleId="544">
    <w:name w:val="正文（） Char"/>
    <w:link w:val="543"/>
    <w:qFormat/>
    <w:uiPriority w:val="0"/>
    <w:rPr>
      <w:rFonts w:ascii="宋体" w:hAnsi="宋体" w:eastAsia="宋体"/>
      <w:color w:val="4BACC6"/>
      <w:sz w:val="24"/>
      <w:szCs w:val="24"/>
      <w:lang w:val="zh-CN" w:eastAsia="zh-CN"/>
    </w:rPr>
  </w:style>
  <w:style w:type="paragraph" w:customStyle="1" w:styleId="545">
    <w:name w:val="表格内容（）"/>
    <w:basedOn w:val="1"/>
    <w:link w:val="546"/>
    <w:qFormat/>
    <w:uiPriority w:val="0"/>
    <w:pPr>
      <w:adjustRightInd w:val="0"/>
      <w:snapToGrid w:val="0"/>
      <w:spacing w:line="240" w:lineRule="auto"/>
      <w:ind w:firstLine="0" w:firstLineChars="0"/>
      <w:jc w:val="center"/>
    </w:pPr>
    <w:rPr>
      <w:color w:val="00B0F0"/>
      <w:sz w:val="21"/>
      <w:szCs w:val="21"/>
      <w:lang w:val="zh-CN"/>
    </w:rPr>
  </w:style>
  <w:style w:type="character" w:customStyle="1" w:styleId="546">
    <w:name w:val="表格内容（） Char"/>
    <w:link w:val="545"/>
    <w:qFormat/>
    <w:uiPriority w:val="0"/>
    <w:rPr>
      <w:rFonts w:ascii="Times New Roman" w:hAnsi="Times New Roman" w:eastAsia="宋体"/>
      <w:color w:val="00B0F0"/>
      <w:kern w:val="2"/>
      <w:sz w:val="21"/>
      <w:szCs w:val="21"/>
      <w:lang w:val="zh-CN" w:eastAsia="zh-CN"/>
    </w:rPr>
  </w:style>
  <w:style w:type="paragraph" w:customStyle="1" w:styleId="547">
    <w:name w:val="表格标题（）"/>
    <w:basedOn w:val="1"/>
    <w:link w:val="548"/>
    <w:qFormat/>
    <w:uiPriority w:val="0"/>
    <w:pPr>
      <w:spacing w:line="240" w:lineRule="auto"/>
      <w:ind w:firstLine="0" w:firstLineChars="0"/>
      <w:jc w:val="center"/>
    </w:pPr>
    <w:rPr>
      <w:rFonts w:eastAsia="黑体"/>
      <w:color w:val="000000"/>
      <w:szCs w:val="24"/>
      <w:lang w:val="zh-CN" w:bidi="he-IL"/>
    </w:rPr>
  </w:style>
  <w:style w:type="character" w:customStyle="1" w:styleId="548">
    <w:name w:val="表格标题（） Char"/>
    <w:link w:val="547"/>
    <w:qFormat/>
    <w:uiPriority w:val="0"/>
    <w:rPr>
      <w:rFonts w:ascii="Times New Roman" w:hAnsi="Times New Roman" w:eastAsia="黑体"/>
      <w:color w:val="000000"/>
      <w:kern w:val="2"/>
      <w:sz w:val="24"/>
      <w:szCs w:val="24"/>
      <w:lang w:val="zh-CN" w:eastAsia="zh-CN" w:bidi="he-IL"/>
    </w:rPr>
  </w:style>
  <w:style w:type="paragraph" w:customStyle="1" w:styleId="549">
    <w:name w:val="二级标题（）"/>
    <w:basedOn w:val="1"/>
    <w:link w:val="550"/>
    <w:qFormat/>
    <w:uiPriority w:val="0"/>
    <w:pPr>
      <w:adjustRightInd w:val="0"/>
      <w:snapToGrid w:val="0"/>
      <w:ind w:firstLine="0" w:firstLineChars="0"/>
      <w:outlineLvl w:val="1"/>
    </w:pPr>
    <w:rPr>
      <w:rFonts w:eastAsia="黑体"/>
      <w:color w:val="5B9BD5"/>
      <w:sz w:val="30"/>
      <w:szCs w:val="30"/>
      <w:lang w:val="zh-CN"/>
    </w:rPr>
  </w:style>
  <w:style w:type="character" w:customStyle="1" w:styleId="550">
    <w:name w:val="二级标题（） Char"/>
    <w:link w:val="549"/>
    <w:qFormat/>
    <w:uiPriority w:val="0"/>
    <w:rPr>
      <w:rFonts w:ascii="Times New Roman" w:hAnsi="Times New Roman" w:eastAsia="黑体"/>
      <w:color w:val="5B9BD5"/>
      <w:kern w:val="2"/>
      <w:sz w:val="30"/>
      <w:szCs w:val="30"/>
      <w:lang w:val="zh-CN" w:eastAsia="zh-CN"/>
    </w:rPr>
  </w:style>
  <w:style w:type="paragraph" w:customStyle="1" w:styleId="551">
    <w:name w:val="一级标题（）"/>
    <w:basedOn w:val="1"/>
    <w:link w:val="552"/>
    <w:qFormat/>
    <w:uiPriority w:val="0"/>
    <w:pPr>
      <w:adjustRightInd w:val="0"/>
      <w:snapToGrid w:val="0"/>
      <w:ind w:firstLine="0" w:firstLineChars="0"/>
      <w:jc w:val="center"/>
      <w:outlineLvl w:val="0"/>
    </w:pPr>
    <w:rPr>
      <w:rFonts w:eastAsia="黑体"/>
      <w:bCs/>
      <w:color w:val="5B9BD5"/>
      <w:sz w:val="32"/>
      <w:szCs w:val="28"/>
      <w:lang w:val="zh-CN"/>
    </w:rPr>
  </w:style>
  <w:style w:type="character" w:customStyle="1" w:styleId="552">
    <w:name w:val="一级标题（） Char"/>
    <w:link w:val="551"/>
    <w:qFormat/>
    <w:uiPriority w:val="0"/>
    <w:rPr>
      <w:rFonts w:ascii="Times New Roman" w:hAnsi="Times New Roman" w:eastAsia="黑体"/>
      <w:bCs/>
      <w:color w:val="5B9BD5"/>
      <w:kern w:val="2"/>
      <w:sz w:val="32"/>
      <w:szCs w:val="28"/>
      <w:lang w:val="zh-CN" w:eastAsia="zh-CN"/>
    </w:rPr>
  </w:style>
  <w:style w:type="paragraph" w:customStyle="1" w:styleId="553">
    <w:name w:val="1表格头"/>
    <w:basedOn w:val="1"/>
    <w:qFormat/>
    <w:uiPriority w:val="0"/>
    <w:pPr>
      <w:widowControl/>
      <w:adjustRightInd w:val="0"/>
      <w:snapToGrid w:val="0"/>
      <w:spacing w:line="240" w:lineRule="auto"/>
      <w:ind w:firstLine="0" w:firstLineChars="0"/>
      <w:jc w:val="center"/>
    </w:pPr>
    <w:rPr>
      <w:rFonts w:ascii="宋体" w:hAnsi="宋体" w:eastAsia="黑体"/>
      <w:kern w:val="0"/>
      <w:szCs w:val="24"/>
      <w:lang w:val="zh-CN"/>
    </w:rPr>
  </w:style>
  <w:style w:type="paragraph" w:customStyle="1" w:styleId="554">
    <w:name w:val="111正文的格式"/>
    <w:basedOn w:val="1"/>
    <w:qFormat/>
    <w:uiPriority w:val="0"/>
    <w:pPr>
      <w:widowControl/>
      <w:adjustRightInd w:val="0"/>
      <w:snapToGrid w:val="0"/>
      <w:spacing w:line="240" w:lineRule="auto"/>
      <w:jc w:val="left"/>
    </w:pPr>
    <w:rPr>
      <w:rFonts w:ascii="宋体" w:hAnsi="宋体" w:cs="宋体"/>
      <w:bCs/>
      <w:kern w:val="0"/>
      <w:szCs w:val="24"/>
    </w:rPr>
  </w:style>
  <w:style w:type="paragraph" w:customStyle="1" w:styleId="555">
    <w:name w:val="表正文"/>
    <w:basedOn w:val="1"/>
    <w:qFormat/>
    <w:uiPriority w:val="0"/>
    <w:rPr>
      <w:szCs w:val="24"/>
    </w:rPr>
  </w:style>
  <w:style w:type="character" w:customStyle="1" w:styleId="556">
    <w:name w:val="表格内容 Char"/>
    <w:link w:val="467"/>
    <w:qFormat/>
    <w:uiPriority w:val="0"/>
    <w:rPr>
      <w:rFonts w:cs="宋体"/>
      <w:sz w:val="24"/>
      <w:szCs w:val="24"/>
    </w:rPr>
  </w:style>
  <w:style w:type="paragraph" w:customStyle="1" w:styleId="557">
    <w:name w:val="颜表格文字"/>
    <w:basedOn w:val="1"/>
    <w:qFormat/>
    <w:uiPriority w:val="0"/>
    <w:pPr>
      <w:adjustRightInd w:val="0"/>
      <w:snapToGrid w:val="0"/>
      <w:spacing w:line="240" w:lineRule="auto"/>
      <w:ind w:firstLine="0" w:firstLineChars="0"/>
      <w:jc w:val="center"/>
    </w:pPr>
    <w:rPr>
      <w:sz w:val="21"/>
      <w:szCs w:val="24"/>
    </w:rPr>
  </w:style>
  <w:style w:type="paragraph" w:customStyle="1" w:styleId="558">
    <w:name w:val="0正文"/>
    <w:basedOn w:val="4"/>
    <w:unhideWhenUsed/>
    <w:qFormat/>
    <w:uiPriority w:val="0"/>
    <w:pPr>
      <w:widowControl w:val="0"/>
      <w:spacing w:line="360" w:lineRule="auto"/>
      <w:ind w:firstLine="720" w:firstLineChars="200"/>
    </w:pPr>
    <w:rPr>
      <w:sz w:val="24"/>
      <w:szCs w:val="22"/>
      <w:lang w:val="en-US" w:eastAsia="zh-CN" w:bidi="ar-SA"/>
    </w:rPr>
  </w:style>
  <w:style w:type="paragraph" w:customStyle="1" w:styleId="559">
    <w:name w:val="UserStyle_7"/>
    <w:qFormat/>
    <w:uiPriority w:val="0"/>
    <w:pPr>
      <w:widowControl/>
      <w:jc w:val="center"/>
      <w:textAlignment w:val="baseline"/>
    </w:pPr>
    <w:rPr>
      <w:rFonts w:ascii="Times New Roman" w:hAnsi="Times New Roman" w:eastAsia="宋体" w:cstheme="minorBidi"/>
      <w:kern w:val="2"/>
      <w:sz w:val="21"/>
      <w:szCs w:val="21"/>
      <w:lang w:val="en-US" w:eastAsia="zh-CN" w:bidi="ar-SA"/>
    </w:rPr>
  </w:style>
  <w:style w:type="character" w:customStyle="1" w:styleId="560">
    <w:name w:val="NormalCharacter"/>
    <w:link w:val="1"/>
    <w:semiHidden/>
    <w:qFormat/>
    <w:uiPriority w:val="0"/>
    <w:rPr>
      <w:rFonts w:ascii="Times New Roman" w:hAnsi="Times New Roman" w:eastAsia="宋体" w:cs="Times New Roman"/>
      <w:kern w:val="2"/>
      <w:sz w:val="24"/>
      <w:lang w:val="en-US" w:eastAsia="zh-CN" w:bidi="ar-SA"/>
    </w:rPr>
  </w:style>
  <w:style w:type="character" w:customStyle="1" w:styleId="561">
    <w:name w:val="font31"/>
    <w:basedOn w:val="51"/>
    <w:qFormat/>
    <w:uiPriority w:val="0"/>
    <w:rPr>
      <w:rFonts w:hint="default" w:ascii="Times New Roman" w:hAnsi="Times New Roman" w:cs="Times New Roman"/>
      <w:color w:val="000000"/>
      <w:sz w:val="21"/>
      <w:szCs w:val="21"/>
      <w:u w:val="none"/>
      <w:vertAlign w:val="subscript"/>
    </w:rPr>
  </w:style>
  <w:style w:type="character" w:customStyle="1" w:styleId="562">
    <w:name w:val="5文章(治) Char1"/>
    <w:qFormat/>
    <w:uiPriority w:val="0"/>
    <w:rPr>
      <w:rFonts w:ascii="Arial" w:hAnsi="Arial" w:eastAsia="宋体" w:cs="Tahoma"/>
      <w:snapToGrid w:val="0"/>
      <w:sz w:val="24"/>
      <w:szCs w:val="21"/>
      <w:lang w:val="en-US" w:eastAsia="zh-CN" w:bidi="ar-SA"/>
    </w:rPr>
  </w:style>
  <w:style w:type="paragraph" w:customStyle="1" w:styleId="563">
    <w:name w:val=" Char Char Char Char Char Char Char Char Char1 Char"/>
    <w:basedOn w:val="1"/>
    <w:semiHidden/>
    <w:qFormat/>
    <w:uiPriority w:val="0"/>
    <w:pPr>
      <w:ind w:firstLine="0"/>
    </w:pPr>
    <w:rPr>
      <w:rFonts w:ascii="宋体" w:hAnsi="宋体" w:eastAsia="宋体" w:cs="Courier New"/>
      <w:sz w:val="32"/>
      <w:szCs w:val="32"/>
    </w:rPr>
  </w:style>
  <w:style w:type="paragraph" w:customStyle="1" w:styleId="564">
    <w:name w:val="H图表内容"/>
    <w:basedOn w:val="1"/>
    <w:qFormat/>
    <w:uiPriority w:val="0"/>
    <w:rPr>
      <w:szCs w:val="20"/>
    </w:rPr>
  </w:style>
  <w:style w:type="paragraph" w:customStyle="1" w:styleId="565">
    <w:name w:val="XPLJTMC"/>
    <w:qFormat/>
    <w:uiPriority w:val="0"/>
    <w:pPr>
      <w:widowControl w:val="0"/>
      <w:topLinePunct/>
      <w:spacing w:line="360" w:lineRule="auto"/>
      <w:ind w:firstLine="480" w:firstLineChars="200"/>
      <w:jc w:val="both"/>
      <w:textAlignment w:val="center"/>
    </w:pPr>
    <w:rPr>
      <w:rFonts w:ascii="Times New Roman" w:hAnsi="Times New Roman" w:eastAsia="宋体" w:cs="Times New Roman"/>
      <w:iCs/>
      <w:sz w:val="24"/>
      <w:szCs w:val="24"/>
      <w:lang w:val="en-US" w:eastAsia="zh-CN" w:bidi="ar-SA"/>
    </w:rPr>
  </w:style>
  <w:style w:type="paragraph" w:customStyle="1" w:styleId="566">
    <w:name w:val="金皇表（图）头"/>
    <w:basedOn w:val="1"/>
    <w:qFormat/>
    <w:uiPriority w:val="0"/>
    <w:pPr>
      <w:adjustRightInd w:val="0"/>
      <w:jc w:val="center"/>
      <w:outlineLvl w:val="4"/>
    </w:pPr>
    <w:rPr>
      <w:rFonts w:eastAsia="黑体"/>
      <w:b/>
      <w:sz w:val="24"/>
      <w:szCs w:val="22"/>
    </w:rPr>
  </w:style>
  <w:style w:type="paragraph" w:customStyle="1" w:styleId="567">
    <w:name w:val="无间距"/>
    <w:qFormat/>
    <w:uiPriority w:val="1"/>
    <w:pPr>
      <w:widowControl w:val="0"/>
      <w:spacing w:beforeLines="50"/>
      <w:jc w:val="center"/>
    </w:pPr>
    <w:rPr>
      <w:rFonts w:ascii="Times New Roman" w:hAnsi="Times New Roman" w:eastAsia="宋体" w:cs="Times New Roman"/>
      <w:b/>
      <w:kern w:val="2"/>
      <w:sz w:val="24"/>
      <w:szCs w:val="21"/>
      <w:lang w:val="en-US" w:eastAsia="zh-CN" w:bidi="ar-SA"/>
    </w:rPr>
  </w:style>
  <w:style w:type="paragraph" w:customStyle="1" w:styleId="568">
    <w:name w:val="金皇备注"/>
    <w:basedOn w:val="1"/>
    <w:next w:val="1"/>
    <w:qFormat/>
    <w:uiPriority w:val="0"/>
    <w:pPr>
      <w:widowControl/>
      <w:jc w:val="left"/>
    </w:pPr>
    <w:rPr>
      <w:i/>
      <w:lang w:eastAsia="en-US" w:bidi="en-US"/>
    </w:rPr>
  </w:style>
  <w:style w:type="paragraph" w:customStyle="1" w:styleId="569">
    <w:name w:val="金皇-标题4"/>
    <w:basedOn w:val="8"/>
    <w:qFormat/>
    <w:uiPriority w:val="0"/>
    <w:pPr>
      <w:tabs>
        <w:tab w:val="left" w:pos="0"/>
        <w:tab w:val="left" w:pos="420"/>
        <w:tab w:val="clear" w:pos="5400"/>
      </w:tabs>
      <w:spacing w:beforeLines="0"/>
      <w:ind w:right="-105"/>
      <w:jc w:val="left"/>
    </w:pPr>
    <w:rPr>
      <w:rFonts w:cs="Times New Roman"/>
      <w:szCs w:val="28"/>
    </w:rPr>
  </w:style>
  <w:style w:type="paragraph" w:customStyle="1" w:styleId="570">
    <w:name w:val="表头111"/>
    <w:basedOn w:val="421"/>
    <w:qFormat/>
    <w:uiPriority w:val="0"/>
    <w:pPr>
      <w:autoSpaceDE w:val="0"/>
      <w:autoSpaceDN w:val="0"/>
      <w:adjustRightInd w:val="0"/>
      <w:ind w:firstLine="0" w:firstLineChars="0"/>
      <w:jc w:val="center"/>
      <w:textAlignment w:val="baseline"/>
    </w:pPr>
    <w:rPr>
      <w:rFonts w:eastAsia="黑体"/>
      <w:szCs w:val="20"/>
    </w:rPr>
  </w:style>
  <w:style w:type="paragraph" w:customStyle="1" w:styleId="571">
    <w:name w:val="环评 表格"/>
    <w:basedOn w:val="226"/>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572">
    <w:name w:val="金皇-正文"/>
    <w:basedOn w:val="1"/>
    <w:link w:val="580"/>
    <w:qFormat/>
    <w:uiPriority w:val="0"/>
  </w:style>
  <w:style w:type="paragraph" w:customStyle="1" w:styleId="573">
    <w:name w:val="金皇-备注"/>
    <w:basedOn w:val="1"/>
    <w:next w:val="1"/>
    <w:qFormat/>
    <w:uiPriority w:val="0"/>
    <w:pPr>
      <w:widowControl/>
      <w:spacing w:line="240" w:lineRule="auto"/>
      <w:ind w:firstLine="0" w:firstLineChars="0"/>
      <w:jc w:val="left"/>
    </w:pPr>
    <w:rPr>
      <w:i/>
      <w:sz w:val="21"/>
      <w:lang w:eastAsia="en-US" w:bidi="en-US"/>
    </w:rPr>
  </w:style>
  <w:style w:type="paragraph" w:customStyle="1" w:styleId="574">
    <w:name w:val="【表格文字】"/>
    <w:basedOn w:val="1"/>
    <w:next w:val="1"/>
    <w:qFormat/>
    <w:uiPriority w:val="0"/>
    <w:pPr>
      <w:spacing w:line="240" w:lineRule="exact"/>
      <w:ind w:firstLine="0" w:firstLineChars="0"/>
      <w:jc w:val="center"/>
    </w:pPr>
    <w:rPr>
      <w:kern w:val="0"/>
      <w:sz w:val="20"/>
    </w:rPr>
  </w:style>
  <w:style w:type="paragraph" w:customStyle="1" w:styleId="575">
    <w:name w:val="北京正文"/>
    <w:qFormat/>
    <w:uiPriority w:val="0"/>
    <w:pPr>
      <w:adjustRightInd w:val="0"/>
      <w:snapToGrid w:val="0"/>
      <w:spacing w:line="360" w:lineRule="auto"/>
      <w:ind w:firstLine="200" w:firstLineChars="200"/>
    </w:pPr>
    <w:rPr>
      <w:rFonts w:ascii="Times New Roman" w:hAnsi="Times New Roman" w:eastAsia="宋体" w:cs="Times New Roman"/>
      <w:bCs/>
      <w:color w:val="000000"/>
      <w:kern w:val="2"/>
      <w:sz w:val="24"/>
      <w:szCs w:val="24"/>
      <w:lang w:val="en-US" w:eastAsia="zh-CN" w:bidi="ar-SA"/>
    </w:rPr>
  </w:style>
  <w:style w:type="paragraph" w:customStyle="1" w:styleId="576">
    <w:name w:val="环评文本"/>
    <w:basedOn w:val="1"/>
    <w:qFormat/>
    <w:uiPriority w:val="0"/>
    <w:pPr>
      <w:tabs>
        <w:tab w:val="left" w:pos="4320"/>
        <w:tab w:val="left" w:pos="4500"/>
        <w:tab w:val="left" w:pos="7380"/>
      </w:tabs>
      <w:ind w:firstLine="480"/>
    </w:pPr>
    <w:rPr>
      <w:sz w:val="21"/>
    </w:rPr>
  </w:style>
  <w:style w:type="paragraph" w:customStyle="1" w:styleId="577">
    <w:name w:val="正文（小四）"/>
    <w:qFormat/>
    <w:uiPriority w:val="0"/>
    <w:pPr>
      <w:spacing w:line="360" w:lineRule="auto"/>
      <w:ind w:firstLine="200" w:firstLineChars="200"/>
      <w:jc w:val="both"/>
    </w:pPr>
    <w:rPr>
      <w:rFonts w:ascii="Times New Roman" w:hAnsi="Times New Roman" w:eastAsia="宋体" w:cs="Times New Roman"/>
      <w:bCs/>
      <w:kern w:val="2"/>
      <w:sz w:val="24"/>
      <w:szCs w:val="32"/>
      <w:lang w:val="en-US" w:eastAsia="zh-CN" w:bidi="ar-SA"/>
    </w:rPr>
  </w:style>
  <w:style w:type="paragraph" w:customStyle="1" w:styleId="578">
    <w:name w:val="报告宋体小四"/>
    <w:next w:val="1"/>
    <w:qFormat/>
    <w:uiPriority w:val="0"/>
    <w:pPr>
      <w:widowControl w:val="0"/>
      <w:spacing w:line="360" w:lineRule="auto"/>
      <w:ind w:firstLine="560" w:firstLineChars="200"/>
      <w:jc w:val="both"/>
    </w:pPr>
    <w:rPr>
      <w:rFonts w:ascii="Times New Roman" w:hAnsi="Times New Roman" w:eastAsia="宋体" w:cs="Times New Roman"/>
      <w:sz w:val="28"/>
      <w:szCs w:val="28"/>
      <w:lang w:val="en-US" w:eastAsia="zh-CN" w:bidi="ar-SA"/>
    </w:rPr>
  </w:style>
  <w:style w:type="paragraph" w:customStyle="1" w:styleId="579">
    <w:name w:val="正文(首行缩进)"/>
    <w:basedOn w:val="1"/>
    <w:qFormat/>
    <w:uiPriority w:val="0"/>
    <w:pPr>
      <w:adjustRightInd w:val="0"/>
      <w:snapToGrid w:val="0"/>
    </w:pPr>
    <w:rPr>
      <w:snapToGrid w:val="0"/>
      <w:szCs w:val="25"/>
    </w:rPr>
  </w:style>
  <w:style w:type="character" w:customStyle="1" w:styleId="580">
    <w:name w:val="金皇-正文 Char"/>
    <w:link w:val="572"/>
    <w:qFormat/>
    <w:uiPriority w:val="0"/>
  </w:style>
  <w:style w:type="paragraph" w:customStyle="1" w:styleId="581">
    <w:name w:val="金皇-标题3"/>
    <w:basedOn w:val="7"/>
    <w:qFormat/>
    <w:uiPriority w:val="0"/>
    <w:pPr>
      <w:keepNext w:val="0"/>
      <w:keepLines w:val="0"/>
      <w:tabs>
        <w:tab w:val="left" w:pos="644"/>
      </w:tabs>
      <w:spacing w:beforeLines="0"/>
      <w:ind w:left="284"/>
      <w:jc w:val="left"/>
    </w:pPr>
    <w:rPr>
      <w:rFonts w:eastAsia="黑体" w:cs="Times New Roman"/>
      <w:kern w:val="2"/>
      <w:szCs w:val="30"/>
      <w:lang w:val="en-US" w:eastAsia="zh-CN"/>
    </w:rPr>
  </w:style>
  <w:style w:type="paragraph" w:customStyle="1" w:styleId="582">
    <w:name w:val="1表格"/>
    <w:basedOn w:val="1"/>
    <w:qFormat/>
    <w:uiPriority w:val="0"/>
    <w:pPr>
      <w:snapToGrid w:val="0"/>
      <w:spacing w:line="240" w:lineRule="auto"/>
      <w:ind w:firstLine="0" w:firstLineChars="0"/>
      <w:jc w:val="center"/>
      <w:outlineLvl w:val="4"/>
    </w:pPr>
    <w:rPr>
      <w:kern w:val="0"/>
      <w:szCs w:val="20"/>
    </w:rPr>
  </w:style>
  <w:style w:type="paragraph" w:customStyle="1" w:styleId="583">
    <w:name w:val="样式 首行缩进:  2 字符1"/>
    <w:basedOn w:val="1"/>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Pr>
      <w:rFonts w:hint="eastAsia" w:ascii="宋体" w:hAnsi="宋体" w:eastAsia="宋体" w:cs="Times New Roman"/>
      <w:kern w:val="2"/>
      <w:sz w:val="24"/>
      <w:szCs w:val="20"/>
      <w:lang w:val="en-US" w:eastAsia="zh-CN" w:bidi="ar-SA"/>
    </w:rPr>
  </w:style>
  <w:style w:type="character" w:customStyle="1" w:styleId="584">
    <w:name w:val="5文章正文 字符"/>
    <w:link w:val="82"/>
    <w:qFormat/>
    <w:uiPriority w:val="0"/>
    <w:rPr>
      <w:sz w:val="24"/>
    </w:rPr>
  </w:style>
  <w:style w:type="paragraph" w:customStyle="1" w:styleId="585">
    <w:name w:val="zhang正文"/>
    <w:basedOn w:val="4"/>
    <w:qFormat/>
    <w:uiPriority w:val="0"/>
    <w:pPr>
      <w:autoSpaceDE w:val="0"/>
      <w:autoSpaceDN w:val="0"/>
      <w:adjustRightInd w:val="0"/>
      <w:snapToGrid w:val="0"/>
      <w:spacing w:line="500" w:lineRule="exact"/>
      <w:ind w:firstLine="539"/>
      <w:textAlignment w:val="baseline"/>
    </w:pPr>
    <w:rPr>
      <w:rFonts w:eastAsia="楷体_GB2312"/>
      <w:kern w:val="0"/>
    </w:rPr>
  </w:style>
  <w:style w:type="paragraph" w:customStyle="1" w:styleId="586">
    <w:name w:val="盈众正文"/>
    <w:basedOn w:val="1"/>
    <w:qFormat/>
    <w:uiPriority w:val="0"/>
    <w:pPr>
      <w:spacing w:line="360" w:lineRule="auto"/>
      <w:ind w:firstLine="720" w:firstLineChars="200"/>
    </w:pPr>
    <w:rPr>
      <w:rFonts w:ascii="Times New Roman" w:hAnsi="Times New Roman" w:eastAsia="宋体"/>
    </w:rPr>
  </w:style>
  <w:style w:type="paragraph" w:customStyle="1" w:styleId="587">
    <w:name w:val="屠彪标题"/>
    <w:basedOn w:val="1"/>
    <w:qFormat/>
    <w:uiPriority w:val="0"/>
    <w:pPr>
      <w:adjustRightInd w:val="0"/>
      <w:snapToGrid w:val="0"/>
      <w:spacing w:before="10" w:beforeLines="10" w:after="10" w:afterLines="10"/>
      <w:jc w:val="center"/>
    </w:pPr>
    <w:rPr>
      <w:rFonts w:ascii="Times New Roman" w:hAnsi="Times New Roman" w:eastAsia="宋体"/>
      <w:b/>
      <w:kern w:val="0"/>
      <w:sz w:val="24"/>
      <w:szCs w:val="20"/>
    </w:rPr>
  </w:style>
  <w:style w:type="paragraph" w:customStyle="1" w:styleId="588">
    <w:name w:val="彪哥文本"/>
    <w:basedOn w:val="1"/>
    <w:next w:val="1"/>
    <w:qFormat/>
    <w:uiPriority w:val="0"/>
    <w:pPr>
      <w:adjustRightInd w:val="0"/>
      <w:snapToGrid w:val="0"/>
      <w:spacing w:before="10" w:beforeLines="10" w:after="10" w:afterLines="10" w:line="240" w:lineRule="auto"/>
      <w:jc w:val="center"/>
    </w:pPr>
    <w:rPr>
      <w:rFonts w:ascii="Times New Roman" w:hAnsi="Times New Roman" w:eastAsia="宋体"/>
      <w:kern w:val="0"/>
      <w:szCs w:val="20"/>
    </w:rPr>
  </w:style>
  <w:style w:type="paragraph" w:customStyle="1" w:styleId="589">
    <w:name w:val="表格内容 ylp"/>
    <w:qFormat/>
    <w:uiPriority w:val="0"/>
    <w:pPr>
      <w:widowControl w:val="0"/>
      <w:tabs>
        <w:tab w:val="center" w:pos="4153"/>
        <w:tab w:val="right" w:pos="8306"/>
      </w:tabs>
      <w:jc w:val="center"/>
    </w:pPr>
    <w:rPr>
      <w:rFonts w:ascii="Times New Roman" w:hAnsi="Times New Roman" w:eastAsia="宋体" w:cs="Times New Roman"/>
      <w:color w:val="000000"/>
      <w:kern w:val="2"/>
      <w:sz w:val="21"/>
      <w:szCs w:val="21"/>
      <w:lang w:val="en-US" w:eastAsia="zh-CN" w:bidi="ar-SA"/>
    </w:rPr>
  </w:style>
  <w:style w:type="paragraph" w:customStyle="1" w:styleId="590">
    <w:name w:val="图件标题"/>
    <w:basedOn w:val="1"/>
    <w:qFormat/>
    <w:uiPriority w:val="0"/>
    <w:pPr>
      <w:numPr>
        <w:ilvl w:val="5"/>
        <w:numId w:val="8"/>
      </w:numPr>
      <w:jc w:val="center"/>
    </w:pPr>
    <w:rPr>
      <w:b/>
    </w:rPr>
  </w:style>
  <w:style w:type="paragraph" w:customStyle="1" w:styleId="591">
    <w:name w:val="正文-规范文本"/>
    <w:basedOn w:val="1"/>
    <w:qFormat/>
    <w:uiPriority w:val="0"/>
    <w:pPr>
      <w:wordWrap w:val="0"/>
      <w:autoSpaceDE w:val="0"/>
      <w:autoSpaceDN w:val="0"/>
      <w:adjustRightInd w:val="0"/>
      <w:snapToGrid w:val="0"/>
      <w:spacing w:line="360" w:lineRule="auto"/>
      <w:ind w:firstLine="720" w:firstLineChars="200"/>
      <w:jc w:val="left"/>
    </w:pPr>
    <w:rPr>
      <w:rFonts w:hint="eastAsia" w:ascii="Times New Roman" w:hAnsi="Times New Roman" w:eastAsia="宋体" w:cs="宋体"/>
      <w:kern w:val="0"/>
      <w:szCs w:val="21"/>
    </w:rPr>
  </w:style>
  <w:style w:type="character" w:customStyle="1" w:styleId="592">
    <w:name w:val="正文的格式52 Char"/>
    <w:link w:val="593"/>
    <w:qFormat/>
    <w:uiPriority w:val="0"/>
    <w:rPr>
      <w:rFonts w:ascii="Times New Roman" w:hAnsi="Times New Roman" w:eastAsia="宋体" w:cs="Times New Roman"/>
      <w:kern w:val="0"/>
      <w:sz w:val="24"/>
      <w:szCs w:val="20"/>
    </w:rPr>
  </w:style>
  <w:style w:type="paragraph" w:customStyle="1" w:styleId="593">
    <w:name w:val="正文的格式52"/>
    <w:basedOn w:val="1"/>
    <w:link w:val="592"/>
    <w:qFormat/>
    <w:uiPriority w:val="0"/>
    <w:pPr>
      <w:spacing w:line="360" w:lineRule="auto"/>
      <w:ind w:firstLine="200" w:firstLineChars="200"/>
    </w:pPr>
    <w:rPr>
      <w:rFonts w:ascii="Times New Roman" w:hAnsi="Times New Roman" w:eastAsia="宋体" w:cs="Times New Roman"/>
      <w:kern w:val="0"/>
      <w:sz w:val="24"/>
      <w:szCs w:val="20"/>
    </w:rPr>
  </w:style>
  <w:style w:type="paragraph" w:customStyle="1" w:styleId="594">
    <w:name w:val="安设表格文字"/>
    <w:basedOn w:val="1"/>
    <w:qFormat/>
    <w:uiPriority w:val="0"/>
    <w:pPr>
      <w:widowControl/>
      <w:jc w:val="center"/>
      <w:textAlignment w:val="center"/>
    </w:pPr>
    <w:rPr>
      <w:rFonts w:ascii="宋体" w:hAnsi="宋体" w:cs="宋体"/>
      <w:bCs/>
      <w:kern w:val="0"/>
      <w:sz w:val="21"/>
    </w:rPr>
  </w:style>
  <w:style w:type="paragraph" w:customStyle="1" w:styleId="595">
    <w:name w:val="表格内字体"/>
    <w:qFormat/>
    <w:uiPriority w:val="0"/>
    <w:pPr>
      <w:adjustRightInd w:val="0"/>
      <w:snapToGrid w:val="0"/>
      <w:jc w:val="center"/>
    </w:pPr>
    <w:rPr>
      <w:rFonts w:ascii="Times New Roman" w:hAnsi="Times New Roman" w:eastAsia="仿宋_GB2312" w:cs="Times New Roman"/>
      <w:snapToGrid w:val="0"/>
      <w:kern w:val="21"/>
      <w:sz w:val="21"/>
      <w:szCs w:val="21"/>
      <w:lang w:val="en-US" w:eastAsia="zh-CN" w:bidi="ar-SA"/>
    </w:rPr>
  </w:style>
  <w:style w:type="paragraph" w:customStyle="1" w:styleId="596">
    <w:name w:val="Normal"/>
    <w:qFormat/>
    <w:uiPriority w:val="0"/>
    <w:pPr>
      <w:jc w:val="both"/>
    </w:pPr>
    <w:rPr>
      <w:rFonts w:ascii="Calibri" w:hAnsi="Calibri" w:eastAsia="宋体" w:cs="Calibri"/>
      <w:kern w:val="2"/>
      <w:sz w:val="28"/>
      <w:szCs w:val="21"/>
      <w:lang w:val="en-US" w:eastAsia="zh-CN" w:bidi="ar-SA"/>
    </w:rPr>
  </w:style>
  <w:style w:type="paragraph" w:customStyle="1" w:styleId="597">
    <w:name w:val="常用"/>
    <w:basedOn w:val="1"/>
    <w:qFormat/>
    <w:uiPriority w:val="0"/>
    <w:pPr>
      <w:widowControl/>
      <w:jc w:val="left"/>
    </w:pPr>
    <w:rPr>
      <w:rFonts w:ascii="宋体" w:hAnsi="宋体"/>
      <w:kern w:val="0"/>
      <w:sz w:val="21"/>
      <w:szCs w:val="28"/>
    </w:rPr>
  </w:style>
  <w:style w:type="paragraph" w:customStyle="1" w:styleId="598">
    <w:name w:val="0表格"/>
    <w:qFormat/>
    <w:uiPriority w:val="0"/>
    <w:pPr>
      <w:adjustRightInd w:val="0"/>
      <w:snapToGrid w:val="0"/>
      <w:jc w:val="center"/>
    </w:pPr>
    <w:rPr>
      <w:rFonts w:ascii="Calibri" w:hAnsi="Calibri" w:eastAsia="宋体" w:cs="Times New Roman"/>
      <w:bCs/>
      <w:kern w:val="2"/>
      <w:sz w:val="21"/>
      <w:szCs w:val="24"/>
      <w:lang w:val="en-US" w:eastAsia="zh-CN" w:bidi="ar-SA"/>
    </w:rPr>
  </w:style>
  <w:style w:type="character" w:customStyle="1" w:styleId="599">
    <w:name w:val="font151"/>
    <w:basedOn w:val="51"/>
    <w:qFormat/>
    <w:uiPriority w:val="0"/>
    <w:rPr>
      <w:rFonts w:hint="default" w:ascii="Calibri" w:hAnsi="Calibri" w:cs="Calibri"/>
      <w:color w:val="000000"/>
      <w:sz w:val="18"/>
      <w:szCs w:val="18"/>
      <w:u w:val="none"/>
    </w:rPr>
  </w:style>
  <w:style w:type="character" w:customStyle="1" w:styleId="600">
    <w:name w:val="font161"/>
    <w:basedOn w:val="51"/>
    <w:qFormat/>
    <w:uiPriority w:val="0"/>
    <w:rPr>
      <w:rFonts w:hint="default" w:ascii="Calibri" w:hAnsi="Calibri" w:cs="Calibri"/>
      <w:color w:val="000000"/>
      <w:sz w:val="21"/>
      <w:szCs w:val="21"/>
      <w:u w:val="none"/>
    </w:rPr>
  </w:style>
  <w:style w:type="character" w:customStyle="1" w:styleId="601">
    <w:name w:val="font171"/>
    <w:basedOn w:val="51"/>
    <w:qFormat/>
    <w:uiPriority w:val="0"/>
    <w:rPr>
      <w:rFonts w:hint="default" w:ascii="Times New Roman" w:hAnsi="Times New Roman" w:cs="Times New Roman"/>
      <w:b/>
      <w:bCs/>
      <w:color w:val="000000"/>
      <w:sz w:val="24"/>
      <w:szCs w:val="24"/>
      <w:u w:val="none"/>
    </w:rPr>
  </w:style>
  <w:style w:type="character" w:customStyle="1" w:styleId="602">
    <w:name w:val="font181"/>
    <w:basedOn w:val="51"/>
    <w:qFormat/>
    <w:uiPriority w:val="0"/>
    <w:rPr>
      <w:rFonts w:hint="default" w:ascii="Times New Roman" w:hAnsi="Times New Roman" w:cs="Times New Roman"/>
      <w:color w:val="000000"/>
      <w:sz w:val="21"/>
      <w:szCs w:val="21"/>
      <w:u w:val="none"/>
    </w:rPr>
  </w:style>
  <w:style w:type="character" w:customStyle="1" w:styleId="603">
    <w:name w:val="font131"/>
    <w:basedOn w:val="51"/>
    <w:qFormat/>
    <w:uiPriority w:val="0"/>
    <w:rPr>
      <w:rFonts w:hint="eastAsia" w:ascii="宋体" w:hAnsi="宋体" w:eastAsia="宋体" w:cs="宋体"/>
      <w:color w:val="000000"/>
      <w:sz w:val="18"/>
      <w:szCs w:val="18"/>
      <w:u w:val="none"/>
    </w:rPr>
  </w:style>
  <w:style w:type="character" w:customStyle="1" w:styleId="604">
    <w:name w:val="font191"/>
    <w:basedOn w:val="51"/>
    <w:qFormat/>
    <w:uiPriority w:val="0"/>
    <w:rPr>
      <w:rFonts w:hint="default" w:ascii="Times New Roman" w:hAnsi="Times New Roman" w:cs="Times New Roman"/>
      <w:color w:val="000000"/>
      <w:sz w:val="18"/>
      <w:szCs w:val="18"/>
      <w:u w:val="none"/>
    </w:rPr>
  </w:style>
  <w:style w:type="character" w:customStyle="1" w:styleId="605">
    <w:name w:val="text_bjt2n"/>
    <w:qFormat/>
    <w:uiPriority w:val="0"/>
  </w:style>
  <w:style w:type="character" w:customStyle="1" w:styleId="606">
    <w:name w:val="font101"/>
    <w:basedOn w:val="51"/>
    <w:qFormat/>
    <w:uiPriority w:val="0"/>
    <w:rPr>
      <w:rFonts w:hint="default" w:ascii="Calibri" w:hAnsi="Calibri" w:cs="Calibri"/>
      <w:color w:val="000000"/>
      <w:sz w:val="18"/>
      <w:szCs w:val="18"/>
      <w:u w:val="none"/>
    </w:rPr>
  </w:style>
  <w:style w:type="character" w:customStyle="1" w:styleId="607">
    <w:name w:val="font121"/>
    <w:basedOn w:val="51"/>
    <w:qFormat/>
    <w:uiPriority w:val="0"/>
    <w:rPr>
      <w:rFonts w:hint="default" w:ascii="Times New Roman" w:hAnsi="Times New Roman" w:cs="Times New Roman"/>
      <w:color w:val="000000"/>
      <w:sz w:val="21"/>
      <w:szCs w:val="21"/>
      <w:u w:val="none"/>
    </w:rPr>
  </w:style>
  <w:style w:type="character" w:customStyle="1" w:styleId="608">
    <w:name w:val="font141"/>
    <w:basedOn w:val="51"/>
    <w:qFormat/>
    <w:uiPriority w:val="0"/>
    <w:rPr>
      <w:rFonts w:hint="default" w:ascii="Times New Roman" w:hAnsi="Times New Roman" w:cs="Times New Roman"/>
      <w:b/>
      <w:bCs/>
      <w:color w:val="000000"/>
      <w:sz w:val="24"/>
      <w:szCs w:val="24"/>
      <w:u w:val="none"/>
    </w:rPr>
  </w:style>
  <w:style w:type="character" w:customStyle="1" w:styleId="609">
    <w:name w:val="font71"/>
    <w:basedOn w:val="51"/>
    <w:qFormat/>
    <w:uiPriority w:val="0"/>
    <w:rPr>
      <w:rFonts w:hint="default" w:ascii="Times New Roman" w:hAnsi="Times New Roman" w:cs="Times New Roman"/>
      <w:color w:val="000000"/>
      <w:sz w:val="21"/>
      <w:szCs w:val="21"/>
      <w:u w:val="none"/>
    </w:rPr>
  </w:style>
  <w:style w:type="character" w:customStyle="1" w:styleId="610">
    <w:name w:val="font112"/>
    <w:basedOn w:val="51"/>
    <w:qFormat/>
    <w:uiPriority w:val="0"/>
    <w:rPr>
      <w:rFonts w:hint="eastAsia" w:ascii="宋体" w:hAnsi="宋体" w:eastAsia="宋体" w:cs="宋体"/>
      <w:color w:val="000000"/>
      <w:sz w:val="18"/>
      <w:szCs w:val="18"/>
      <w:u w:val="none"/>
    </w:rPr>
  </w:style>
  <w:style w:type="paragraph" w:customStyle="1" w:styleId="611">
    <w:name w:val="CM11"/>
    <w:basedOn w:val="1"/>
    <w:next w:val="1"/>
    <w:qFormat/>
    <w:uiPriority w:val="0"/>
    <w:pPr>
      <w:autoSpaceDE w:val="0"/>
      <w:autoSpaceDN w:val="0"/>
      <w:adjustRightInd w:val="0"/>
      <w:spacing w:line="520" w:lineRule="atLeast"/>
      <w:ind w:firstLine="0"/>
      <w:jc w:val="left"/>
    </w:pPr>
    <w:rPr>
      <w:rFonts w:ascii="宋体" w:eastAsia="宋体"/>
      <w:kern w:val="0"/>
      <w:sz w:val="24"/>
    </w:rPr>
  </w:style>
  <w:style w:type="paragraph" w:customStyle="1" w:styleId="612">
    <w:name w:val="样式 5文章(治) +"/>
    <w:basedOn w:val="81"/>
    <w:qFormat/>
    <w:uiPriority w:val="0"/>
    <w:pPr>
      <w:snapToGrid/>
    </w:pPr>
    <w:rPr>
      <w:rFonts w:ascii="等线" w:hAnsi="等线" w:eastAsia="等线"/>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29.png"/><Relationship Id="rId65" Type="http://schemas.openxmlformats.org/officeDocument/2006/relationships/image" Target="media/image28.png"/><Relationship Id="rId64" Type="http://schemas.openxmlformats.org/officeDocument/2006/relationships/image" Target="media/image27.png"/><Relationship Id="rId63" Type="http://schemas.openxmlformats.org/officeDocument/2006/relationships/image" Target="media/image26.png"/><Relationship Id="rId62" Type="http://schemas.openxmlformats.org/officeDocument/2006/relationships/image" Target="media/image25.wmf"/><Relationship Id="rId61" Type="http://schemas.openxmlformats.org/officeDocument/2006/relationships/oleObject" Target="embeddings/oleObject14.bin"/><Relationship Id="rId60" Type="http://schemas.openxmlformats.org/officeDocument/2006/relationships/image" Target="media/image24.wmf"/><Relationship Id="rId6" Type="http://schemas.openxmlformats.org/officeDocument/2006/relationships/header" Target="header2.xml"/><Relationship Id="rId59" Type="http://schemas.openxmlformats.org/officeDocument/2006/relationships/oleObject" Target="embeddings/oleObject13.bin"/><Relationship Id="rId58" Type="http://schemas.openxmlformats.org/officeDocument/2006/relationships/image" Target="media/image23.wmf"/><Relationship Id="rId57" Type="http://schemas.openxmlformats.org/officeDocument/2006/relationships/oleObject" Target="embeddings/oleObject12.bin"/><Relationship Id="rId56" Type="http://schemas.openxmlformats.org/officeDocument/2006/relationships/image" Target="media/image22.wmf"/><Relationship Id="rId55" Type="http://schemas.openxmlformats.org/officeDocument/2006/relationships/oleObject" Target="embeddings/oleObject11.bin"/><Relationship Id="rId54" Type="http://schemas.openxmlformats.org/officeDocument/2006/relationships/image" Target="media/image21.wmf"/><Relationship Id="rId53" Type="http://schemas.openxmlformats.org/officeDocument/2006/relationships/oleObject" Target="embeddings/oleObject10.bin"/><Relationship Id="rId52" Type="http://schemas.openxmlformats.org/officeDocument/2006/relationships/image" Target="media/image20.wmf"/><Relationship Id="rId51" Type="http://schemas.openxmlformats.org/officeDocument/2006/relationships/oleObject" Target="embeddings/oleObject9.bin"/><Relationship Id="rId50" Type="http://schemas.openxmlformats.org/officeDocument/2006/relationships/image" Target="media/image19.jpeg"/><Relationship Id="rId5" Type="http://schemas.openxmlformats.org/officeDocument/2006/relationships/header" Target="header1.xml"/><Relationship Id="rId49" Type="http://schemas.openxmlformats.org/officeDocument/2006/relationships/image" Target="media/image18.wmf"/><Relationship Id="rId48" Type="http://schemas.openxmlformats.org/officeDocument/2006/relationships/oleObject" Target="embeddings/oleObject8.bin"/><Relationship Id="rId47" Type="http://schemas.openxmlformats.org/officeDocument/2006/relationships/image" Target="media/image17.wmf"/><Relationship Id="rId46" Type="http://schemas.openxmlformats.org/officeDocument/2006/relationships/oleObject" Target="embeddings/oleObject7.bin"/><Relationship Id="rId45" Type="http://schemas.openxmlformats.org/officeDocument/2006/relationships/image" Target="media/image16.wmf"/><Relationship Id="rId44" Type="http://schemas.openxmlformats.org/officeDocument/2006/relationships/image" Target="media/image15.wmf"/><Relationship Id="rId43" Type="http://schemas.openxmlformats.org/officeDocument/2006/relationships/oleObject" Target="embeddings/oleObject6.bin"/><Relationship Id="rId42" Type="http://schemas.openxmlformats.org/officeDocument/2006/relationships/image" Target="media/image14.wmf"/><Relationship Id="rId41" Type="http://schemas.openxmlformats.org/officeDocument/2006/relationships/oleObject" Target="embeddings/oleObject5.bin"/><Relationship Id="rId40" Type="http://schemas.openxmlformats.org/officeDocument/2006/relationships/image" Target="media/image13.wmf"/><Relationship Id="rId4" Type="http://schemas.openxmlformats.org/officeDocument/2006/relationships/endnotes" Target="endnotes.xml"/><Relationship Id="rId39" Type="http://schemas.openxmlformats.org/officeDocument/2006/relationships/oleObject" Target="embeddings/oleObject4.bin"/><Relationship Id="rId38" Type="http://schemas.openxmlformats.org/officeDocument/2006/relationships/image" Target="media/image12.wmf"/><Relationship Id="rId37" Type="http://schemas.openxmlformats.org/officeDocument/2006/relationships/oleObject" Target="embeddings/oleObject3.bin"/><Relationship Id="rId36" Type="http://schemas.openxmlformats.org/officeDocument/2006/relationships/image" Target="media/image11.wmf"/><Relationship Id="rId35" Type="http://schemas.openxmlformats.org/officeDocument/2006/relationships/oleObject" Target="embeddings/oleObject2.bin"/><Relationship Id="rId34" Type="http://schemas.openxmlformats.org/officeDocument/2006/relationships/image" Target="media/image10.wmf"/><Relationship Id="rId33" Type="http://schemas.openxmlformats.org/officeDocument/2006/relationships/oleObject" Target="embeddings/oleObject1.bin"/><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4.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8"/>
    <customShpInfo spid="_x0000_s2059"/>
    <customShpInfo spid="_x0000_s2060"/>
    <customShpInfo spid="_x0000_s2061"/>
    <customShpInfo spid="_x0000_s2062"/>
    <customShpInfo spid="_x0000_s2063"/>
    <customShpInfo spid="_x0000_s2064"/>
    <customShpInfo spid="_x0000_s206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72</Pages>
  <Words>53126</Words>
  <Characters>65336</Characters>
  <Lines>307</Lines>
  <Paragraphs>86</Paragraphs>
  <TotalTime>3</TotalTime>
  <ScaleCrop>false</ScaleCrop>
  <LinksUpToDate>false</LinksUpToDate>
  <CharactersWithSpaces>65959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2021-05-19T08:21:00Z</dcterms:created>
  <dc:creator>DADA L</dc:creator>
  <cp:lastModifiedBy>addmiss</cp:lastModifiedBy>
  <cp:lastPrinted>2024-12-16T01:03:00Z</cp:lastPrinted>
  <dcterms:modified xsi:type="dcterms:W3CDTF">2024-12-16T02:41:45Z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C4323D51C15D4BBAB8A712756F863A41</vt:lpwstr>
  </property>
</Properties>
</file>