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2DB1F">
      <w:pPr>
        <w:jc w:val="center"/>
        <w:rPr>
          <w:rFonts w:ascii="Microsoft Sans Serif" w:hAnsi="Microsoft Sans Serif" w:eastAsia="仿宋" w:cs="Microsoft Sans Serif"/>
          <w:b/>
          <w:bCs/>
          <w:sz w:val="40"/>
          <w:szCs w:val="32"/>
        </w:rPr>
      </w:pPr>
      <w:bookmarkStart w:id="1" w:name="_GoBack"/>
      <w:r>
        <w:rPr>
          <w:rFonts w:hint="eastAsia" w:ascii="Microsoft Sans Serif" w:hAnsi="Microsoft Sans Serif" w:eastAsia="仿宋" w:cs="Microsoft Sans Serif"/>
          <w:b/>
          <w:bCs/>
          <w:sz w:val="40"/>
          <w:szCs w:val="32"/>
        </w:rPr>
        <w:t>附件：《福清市龙田镇43-G-13、17、22、23及周边地块控规调整》简介</w:t>
      </w:r>
    </w:p>
    <w:bookmarkEnd w:id="1"/>
    <w:p w14:paraId="06BA00D4">
      <w:pPr>
        <w:spacing w:line="360" w:lineRule="auto"/>
        <w:jc w:val="center"/>
        <w:rPr>
          <w:b/>
          <w:bCs/>
          <w:sz w:val="28"/>
          <w:szCs w:val="32"/>
        </w:rPr>
      </w:pPr>
    </w:p>
    <w:p w14:paraId="654E6DB5">
      <w:pPr>
        <w:ind w:firstLine="562" w:firstLineChars="200"/>
        <w:rPr>
          <w:rFonts w:hint="eastAsia" w:ascii="仿宋" w:hAnsi="仿宋" w:eastAsia="仿宋"/>
          <w:b/>
          <w:bCs/>
          <w:sz w:val="28"/>
          <w:szCs w:val="28"/>
        </w:rPr>
      </w:pPr>
      <w:r>
        <w:rPr>
          <w:rFonts w:hint="eastAsia" w:ascii="仿宋" w:hAnsi="仿宋" w:eastAsia="仿宋"/>
          <w:b/>
          <w:bCs/>
          <w:sz w:val="28"/>
          <w:szCs w:val="28"/>
        </w:rPr>
        <w:t>一、主要内容</w:t>
      </w:r>
    </w:p>
    <w:p w14:paraId="0CD394D8">
      <w:pPr>
        <w:ind w:firstLine="562" w:firstLineChars="200"/>
        <w:rPr>
          <w:rFonts w:hint="eastAsia" w:ascii="仿宋" w:hAnsi="仿宋" w:eastAsia="仿宋"/>
          <w:b/>
          <w:bCs/>
          <w:sz w:val="28"/>
          <w:szCs w:val="28"/>
        </w:rPr>
      </w:pPr>
      <w:r>
        <w:rPr>
          <w:rFonts w:hint="eastAsia" w:ascii="仿宋" w:hAnsi="仿宋" w:eastAsia="仿宋"/>
          <w:b/>
          <w:bCs/>
          <w:sz w:val="28"/>
          <w:szCs w:val="28"/>
        </w:rPr>
        <w:t>1、规划范围</w:t>
      </w:r>
    </w:p>
    <w:p w14:paraId="0228F426">
      <w:pPr>
        <w:ind w:firstLine="560" w:firstLineChars="200"/>
        <w:rPr>
          <w:rFonts w:hint="eastAsia" w:ascii="仿宋" w:hAnsi="仿宋" w:eastAsia="仿宋"/>
          <w:sz w:val="28"/>
          <w:szCs w:val="28"/>
        </w:rPr>
      </w:pPr>
      <w:r>
        <w:rPr>
          <w:rFonts w:hint="eastAsia" w:ascii="仿宋" w:hAnsi="仿宋" w:eastAsia="仿宋"/>
          <w:sz w:val="28"/>
          <w:szCs w:val="28"/>
        </w:rPr>
        <w:t>拟调整范围位于福清市龙田镇镇区，龙腾路以北、龙锦路以东、龙前街以西、规划支一路以南地块，总面积约9.7公顷，涉及《福清市龙田镇镇区控制性详细规划》43分区单元G基本单元。</w:t>
      </w:r>
    </w:p>
    <w:p w14:paraId="5ED546F0">
      <w:pPr>
        <w:ind w:firstLine="562" w:firstLineChars="200"/>
        <w:rPr>
          <w:rFonts w:hint="eastAsia" w:ascii="仿宋" w:hAnsi="仿宋" w:eastAsia="仿宋"/>
          <w:b/>
          <w:bCs/>
          <w:sz w:val="28"/>
          <w:szCs w:val="28"/>
        </w:rPr>
      </w:pPr>
      <w:r>
        <w:rPr>
          <w:rFonts w:hint="eastAsia" w:ascii="仿宋" w:hAnsi="仿宋" w:eastAsia="仿宋"/>
          <w:b/>
          <w:bCs/>
          <w:sz w:val="28"/>
          <w:szCs w:val="28"/>
        </w:rPr>
        <w:t>2、规划调整情况</w:t>
      </w:r>
    </w:p>
    <w:p w14:paraId="0D5ECA1F">
      <w:pPr>
        <w:ind w:firstLine="560" w:firstLineChars="200"/>
        <w:rPr>
          <w:rFonts w:ascii="仿宋" w:hAnsi="仿宋" w:eastAsia="仿宋"/>
          <w:sz w:val="28"/>
          <w:szCs w:val="28"/>
        </w:rPr>
      </w:pPr>
      <w:r>
        <w:rPr>
          <w:rFonts w:hint="eastAsia" w:ascii="仿宋" w:hAnsi="仿宋" w:eastAsia="仿宋"/>
          <w:sz w:val="28"/>
          <w:szCs w:val="28"/>
        </w:rPr>
        <w:t>结合现状土地权属，对</w:t>
      </w:r>
      <w:bookmarkStart w:id="0" w:name="OLE_LINK5"/>
      <w:r>
        <w:rPr>
          <w:rFonts w:hint="eastAsia" w:ascii="仿宋" w:hAnsi="仿宋" w:eastAsia="仿宋"/>
          <w:sz w:val="28"/>
          <w:szCs w:val="28"/>
        </w:rPr>
        <w:t>企业办公室旧址</w:t>
      </w:r>
      <w:bookmarkEnd w:id="0"/>
      <w:r>
        <w:rPr>
          <w:rFonts w:hint="eastAsia" w:ascii="仿宋" w:hAnsi="仿宋" w:eastAsia="仿宋"/>
          <w:sz w:val="28"/>
          <w:szCs w:val="28"/>
        </w:rPr>
        <w:t>地块及邻近用地、道路进行梳理：取消原控规规划支三路，将43-G-22二类城镇住宅拆分为3个地块，其中企业办旧址地块（43-G-22_1地块）用地性质调整为商务金融用地，用地边界及主要经济技术指标按产权证及相关纪要落实；剩余支三路用地并入邻近地块，用地性质与邻近地块一致；根据企业办旧址地块边界，修正邻近的43-G-14等用地边界；复核支三路取消后的交通可行性。</w:t>
      </w:r>
    </w:p>
    <w:p w14:paraId="565A775E">
      <w:pPr>
        <w:ind w:firstLine="560" w:firstLineChars="200"/>
        <w:rPr>
          <w:rFonts w:hint="eastAsia" w:ascii="仿宋" w:hAnsi="仿宋" w:eastAsia="仿宋"/>
          <w:sz w:val="28"/>
          <w:szCs w:val="28"/>
        </w:rPr>
      </w:pPr>
      <w:r>
        <w:rPr>
          <w:rFonts w:hint="eastAsia" w:ascii="仿宋" w:hAnsi="仿宋" w:eastAsia="仿宋"/>
          <w:sz w:val="28"/>
          <w:szCs w:val="28"/>
        </w:rPr>
        <w:t>调整方案符合各类限制要素管控要求，调整后交通服务水平可承载出行需求；调整后用地性质、容积率、建筑密度及建筑高度等主要经济指标满足省技术管理规定的容量控制要求。本次调整对公服、市政配套设施影响较小，公服配套可延续原控规，市政管线随路调整，调整后市政工程可满足需求。</w:t>
      </w:r>
    </w:p>
    <w:p w14:paraId="06249D4A">
      <w:pPr>
        <w:ind w:firstLine="562" w:firstLineChars="200"/>
        <w:rPr>
          <w:rFonts w:hint="eastAsia" w:ascii="仿宋" w:hAnsi="仿宋" w:eastAsia="仿宋"/>
          <w:b/>
          <w:bCs/>
          <w:sz w:val="28"/>
          <w:szCs w:val="28"/>
        </w:rPr>
      </w:pPr>
      <w:r>
        <w:rPr>
          <w:b/>
          <w:bCs/>
          <w:sz w:val="28"/>
          <w:szCs w:val="32"/>
        </w:rPr>
        <mc:AlternateContent>
          <mc:Choice Requires="wps">
            <w:drawing>
              <wp:anchor distT="45720" distB="45720" distL="114300" distR="114300" simplePos="0" relativeHeight="251659264" behindDoc="0" locked="0" layoutInCell="1" allowOverlap="1">
                <wp:simplePos x="0" y="0"/>
                <wp:positionH relativeFrom="column">
                  <wp:posOffset>3810</wp:posOffset>
                </wp:positionH>
                <wp:positionV relativeFrom="paragraph">
                  <wp:posOffset>448310</wp:posOffset>
                </wp:positionV>
                <wp:extent cx="5572125" cy="2466975"/>
                <wp:effectExtent l="0" t="0" r="28575" b="2857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72125" cy="2466975"/>
                        </a:xfrm>
                        <a:prstGeom prst="rect">
                          <a:avLst/>
                        </a:prstGeom>
                        <a:solidFill>
                          <a:srgbClr val="FFFFFF"/>
                        </a:solidFill>
                        <a:ln w="9525">
                          <a:solidFill>
                            <a:srgbClr val="000000"/>
                          </a:solidFill>
                          <a:miter lim="800000"/>
                        </a:ln>
                      </wps:spPr>
                      <wps:txbx>
                        <w:txbxContent>
                          <w:p w14:paraId="7068D781">
                            <w:pPr>
                              <w:jc w:val="center"/>
                              <w:rPr>
                                <w:rFonts w:ascii="仿宋_GB2312" w:eastAsia="仿宋_GB2312"/>
                                <w:b/>
                                <w:bCs/>
                              </w:rPr>
                            </w:pPr>
                            <w:r>
                              <w:rPr>
                                <w:rFonts w:hint="eastAsia" w:ascii="仿宋_GB2312" w:eastAsia="仿宋_GB2312"/>
                                <w:b/>
                                <w:bCs/>
                              </w:rPr>
                              <w:t xml:space="preserve">原控规用地情况                  </w:t>
                            </w:r>
                            <w:r>
                              <w:rPr>
                                <w:rFonts w:ascii="仿宋_GB2312" w:eastAsia="仿宋_GB2312"/>
                                <w:b/>
                                <w:bCs/>
                              </w:rPr>
                              <w:t xml:space="preserve">         </w:t>
                            </w:r>
                            <w:r>
                              <w:rPr>
                                <w:rFonts w:hint="eastAsia" w:ascii="仿宋_GB2312" w:eastAsia="仿宋_GB2312"/>
                                <w:b/>
                                <w:bCs/>
                              </w:rPr>
                              <w:t>调整后规划用地情况</w:t>
                            </w:r>
                          </w:p>
                          <w:p w14:paraId="012065CE">
                            <w:pPr>
                              <w:jc w:val="center"/>
                              <w:rPr>
                                <w:b/>
                                <w:bCs/>
                              </w:rPr>
                            </w:pPr>
                            <w:r>
                              <w:drawing>
                                <wp:inline distT="0" distB="0" distL="0" distR="0">
                                  <wp:extent cx="5603875" cy="1923415"/>
                                  <wp:effectExtent l="0" t="0" r="0" b="635"/>
                                  <wp:docPr id="1085709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09846" name="图片 1"/>
                                          <pic:cNvPicPr>
                                            <a:picLocks noChangeAspect="1"/>
                                          </pic:cNvPicPr>
                                        </pic:nvPicPr>
                                        <pic:blipFill>
                                          <a:blip r:embed="rId4"/>
                                          <a:stretch>
                                            <a:fillRect/>
                                          </a:stretch>
                                        </pic:blipFill>
                                        <pic:spPr>
                                          <a:xfrm>
                                            <a:off x="0" y="0"/>
                                            <a:ext cx="5610689" cy="1925942"/>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0.3pt;margin-top:35.3pt;height:194.25pt;width:438.75pt;mso-wrap-distance-bottom:3.6pt;mso-wrap-distance-left:9pt;mso-wrap-distance-right:9pt;mso-wrap-distance-top:3.6pt;z-index:251659264;mso-width-relative:page;mso-height-relative:page;" fillcolor="#FFFFFF" filled="t" stroked="t" coordsize="21600,21600" o:gfxdata="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QEfx1gAAAAcBAAAPAAAAAAAAAAEAIAAAACIAAABkcnMvZG93&#10;bnJldi54bWxQSwECFAAUAAAACACHTuJABzUvfzsCAAB+BAAADgAAAAAAAAABACAAAAAlAQAAZHJz&#10;L2Uyb0RvYy54bWxQSwUGAAAAAAYABgBZAQAA0gUAAAAA&#10;">
                <v:fill on="t" focussize="0,0"/>
                <v:stroke color="#000000" miterlimit="8" joinstyle="miter"/>
                <v:imagedata o:title=""/>
                <o:lock v:ext="edit" aspectratio="f"/>
                <v:textbox>
                  <w:txbxContent>
                    <w:p w14:paraId="7068D781">
                      <w:pPr>
                        <w:jc w:val="center"/>
                        <w:rPr>
                          <w:rFonts w:ascii="仿宋_GB2312" w:eastAsia="仿宋_GB2312"/>
                          <w:b/>
                          <w:bCs/>
                        </w:rPr>
                      </w:pPr>
                      <w:r>
                        <w:rPr>
                          <w:rFonts w:hint="eastAsia" w:ascii="仿宋_GB2312" w:eastAsia="仿宋_GB2312"/>
                          <w:b/>
                          <w:bCs/>
                        </w:rPr>
                        <w:t xml:space="preserve">原控规用地情况                  </w:t>
                      </w:r>
                      <w:r>
                        <w:rPr>
                          <w:rFonts w:ascii="仿宋_GB2312" w:eastAsia="仿宋_GB2312"/>
                          <w:b/>
                          <w:bCs/>
                        </w:rPr>
                        <w:t xml:space="preserve">         </w:t>
                      </w:r>
                      <w:r>
                        <w:rPr>
                          <w:rFonts w:hint="eastAsia" w:ascii="仿宋_GB2312" w:eastAsia="仿宋_GB2312"/>
                          <w:b/>
                          <w:bCs/>
                        </w:rPr>
                        <w:t>调整后规划用地情况</w:t>
                      </w:r>
                    </w:p>
                    <w:p w14:paraId="012065CE">
                      <w:pPr>
                        <w:jc w:val="center"/>
                        <w:rPr>
                          <w:b/>
                          <w:bCs/>
                        </w:rPr>
                      </w:pPr>
                      <w:r>
                        <w:drawing>
                          <wp:inline distT="0" distB="0" distL="0" distR="0">
                            <wp:extent cx="5603875" cy="1923415"/>
                            <wp:effectExtent l="0" t="0" r="0" b="635"/>
                            <wp:docPr id="1085709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09846" name="图片 1"/>
                                    <pic:cNvPicPr>
                                      <a:picLocks noChangeAspect="1"/>
                                    </pic:cNvPicPr>
                                  </pic:nvPicPr>
                                  <pic:blipFill>
                                    <a:blip r:embed="rId4"/>
                                    <a:stretch>
                                      <a:fillRect/>
                                    </a:stretch>
                                  </pic:blipFill>
                                  <pic:spPr>
                                    <a:xfrm>
                                      <a:off x="0" y="0"/>
                                      <a:ext cx="5610689" cy="1925942"/>
                                    </a:xfrm>
                                    <a:prstGeom prst="rect">
                                      <a:avLst/>
                                    </a:prstGeom>
                                  </pic:spPr>
                                </pic:pic>
                              </a:graphicData>
                            </a:graphic>
                          </wp:inline>
                        </w:drawing>
                      </w:r>
                    </w:p>
                  </w:txbxContent>
                </v:textbox>
                <w10:wrap type="square"/>
              </v:shape>
            </w:pict>
          </mc:Fallback>
        </mc:AlternateContent>
      </w:r>
      <w:r>
        <w:rPr>
          <w:rFonts w:hint="eastAsia" w:ascii="仿宋" w:hAnsi="仿宋" w:eastAsia="仿宋"/>
          <w:b/>
          <w:bCs/>
          <w:sz w:val="28"/>
          <w:szCs w:val="28"/>
        </w:rPr>
        <w:t>二、规划图纸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Sans Serif">
    <w:panose1 w:val="020B0604020202020204"/>
    <w:charset w:val="00"/>
    <w:family w:val="swiss"/>
    <w:pitch w:val="default"/>
    <w:sig w:usb0="E1002AFF" w:usb1="C0000002" w:usb2="00000008"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F0"/>
    <w:rsid w:val="000073C3"/>
    <w:rsid w:val="00056006"/>
    <w:rsid w:val="00065EFE"/>
    <w:rsid w:val="00182ECF"/>
    <w:rsid w:val="00187865"/>
    <w:rsid w:val="001D22A4"/>
    <w:rsid w:val="00207376"/>
    <w:rsid w:val="00256986"/>
    <w:rsid w:val="002B20B2"/>
    <w:rsid w:val="003A13ED"/>
    <w:rsid w:val="003B105C"/>
    <w:rsid w:val="004878E0"/>
    <w:rsid w:val="00571C98"/>
    <w:rsid w:val="005851DC"/>
    <w:rsid w:val="00616945"/>
    <w:rsid w:val="006407B2"/>
    <w:rsid w:val="006809E7"/>
    <w:rsid w:val="006F760E"/>
    <w:rsid w:val="00752AD8"/>
    <w:rsid w:val="007B5F00"/>
    <w:rsid w:val="00881C21"/>
    <w:rsid w:val="008D1AAD"/>
    <w:rsid w:val="0096036D"/>
    <w:rsid w:val="009701AE"/>
    <w:rsid w:val="009C3A85"/>
    <w:rsid w:val="009E0755"/>
    <w:rsid w:val="00AA4567"/>
    <w:rsid w:val="00B04D2F"/>
    <w:rsid w:val="00B344C8"/>
    <w:rsid w:val="00BC08D2"/>
    <w:rsid w:val="00C41E04"/>
    <w:rsid w:val="00C716F0"/>
    <w:rsid w:val="00C90C52"/>
    <w:rsid w:val="00CD1C40"/>
    <w:rsid w:val="00D00958"/>
    <w:rsid w:val="00D32857"/>
    <w:rsid w:val="00D45968"/>
    <w:rsid w:val="00D77D75"/>
    <w:rsid w:val="00D95013"/>
    <w:rsid w:val="00DD07BC"/>
    <w:rsid w:val="00EE1A73"/>
    <w:rsid w:val="00EF5813"/>
    <w:rsid w:val="00F43ED7"/>
    <w:rsid w:val="00F74581"/>
    <w:rsid w:val="478E0AA7"/>
    <w:rsid w:val="52E13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830</Words>
  <Characters>953</Characters>
  <Lines>6</Lines>
  <Paragraphs>1</Paragraphs>
  <TotalTime>1036</TotalTime>
  <ScaleCrop>false</ScaleCrop>
  <LinksUpToDate>false</LinksUpToDate>
  <CharactersWithSpaces>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2025-01-07T09:18:00Z</dcterms:created>
  <dc:creator>hong yingcan</dc:creator>
  <cp:lastModifiedBy>瑞比的耳朵</cp:lastModifiedBy>
  <cp:lastPrinted>2024-02-01T12:29:00Z</cp:lastPrinted>
  <dcterms:modified xsi:type="dcterms:W3CDTF">2025-01-13T07:17:01Z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eyJoZGlkIjoiNGFlNjE5ODgyODc2MjMxNTNjOTg4YWI4NTU5OTA0ZDYiLCJ1c2VySWQiOiIzMzA4NTU1MjIifQ==</vt:lpwstr>
  </property>
  <property fmtid="{D5CDD505-2E9C-101B-9397-08002B2CF9AE}" pid="3" name="KSOProductBuildVer">
    <vt:lpwstr>2052-12.1.0.19302</vt:lpwstr>
  </property>
  <property fmtid="{D5CDD505-2E9C-101B-9397-08002B2CF9AE}" pid="4" name="ICV">
    <vt:lpwstr>3774C620C0054C3285901563B1C90F55_13</vt:lpwstr>
  </property>
</Properties>
</file>