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DB1F">
      <w:pPr>
        <w:jc w:val="center"/>
        <w:rPr>
          <w:rFonts w:ascii="Microsoft Sans Serif" w:hAnsi="Microsoft Sans Serif" w:eastAsia="仿宋" w:cs="Microsoft Sans Serif"/>
          <w:b/>
          <w:bCs/>
          <w:sz w:val="40"/>
          <w:szCs w:val="32"/>
        </w:rPr>
      </w:pPr>
      <w:bookmarkStart w:id="0" w:name="_GoBack"/>
      <w:r>
        <w:rPr>
          <w:rFonts w:hint="eastAsia" w:ascii="Microsoft Sans Serif" w:hAnsi="Microsoft Sans Serif" w:eastAsia="仿宋" w:cs="Microsoft Sans Serif"/>
          <w:b/>
          <w:bCs/>
          <w:sz w:val="40"/>
          <w:szCs w:val="32"/>
        </w:rPr>
        <w:t>附件：《福清市龙田镇44-B-19及周边地块控规调整》简介</w:t>
      </w:r>
    </w:p>
    <w:bookmarkEnd w:id="0"/>
    <w:p w14:paraId="06BA00D4">
      <w:pPr>
        <w:spacing w:line="360" w:lineRule="auto"/>
        <w:jc w:val="center"/>
        <w:rPr>
          <w:b/>
          <w:bCs/>
          <w:sz w:val="28"/>
          <w:szCs w:val="32"/>
        </w:rPr>
      </w:pPr>
    </w:p>
    <w:p w14:paraId="654E6DB5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一、主要内容</w:t>
      </w:r>
    </w:p>
    <w:p w14:paraId="0CD394D8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1、规划范围</w:t>
      </w:r>
    </w:p>
    <w:p w14:paraId="0228F4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拟调整范围位于福清市龙田镇镇区东侧，规划次二路以东、规划支十四路以北，总面积约5.29公顷，涉及《福清市龙田镇环城东片区控制性详细规划》44分区单元B基本单元。</w:t>
      </w:r>
    </w:p>
    <w:p w14:paraId="5ED546F0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2、规划调整情况</w:t>
      </w:r>
    </w:p>
    <w:p w14:paraId="13DD6C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本次调整地块位于龙田镇镇区最东侧，原规划主导功能为商住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sz w:val="28"/>
          <w:szCs w:val="28"/>
        </w:rPr>
        <w:t>用地，衔接城镇开发边界及永久基本农田划定成果，环城东片区建设用地受到较大制约。综合考虑龙田镇现状住宅库存压力及商贸发展需求，拟将原控规的44-B-19、44-B-22地块用地性质由商住综合用地调整为邮政用地，用于建设“平急两用”邮政设施，调整后用地指标按省、市相关文件要求设置；同时，44-B-23地块用地性质由防护绿地调整为公园绿地，绿地总量不变。</w:t>
      </w:r>
    </w:p>
    <w:p w14:paraId="565A775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调整方案符合各类限制要素管控要求，指标满足省、市技术管理规定的容量控制要求，调整前后绿地总量不改变。本次控规调整，可为龙田镇完善“平急两用”邮政设施建设提供用地支撑。</w:t>
      </w:r>
    </w:p>
    <w:p w14:paraId="06249D4A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445135</wp:posOffset>
                </wp:positionV>
                <wp:extent cx="5286375" cy="2325370"/>
                <wp:effectExtent l="0" t="0" r="28575" b="177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32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68D781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 xml:space="preserve">原控规用地情况       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调整后规划用地情况</w:t>
                            </w:r>
                          </w:p>
                          <w:p w14:paraId="012065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5093335" cy="1994535"/>
                                  <wp:effectExtent l="0" t="0" r="12065" b="571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3335" cy="199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15pt;margin-top:35.05pt;height:183.1pt;width:416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3Tu1gAAAAcBAAAPAAAAAAAAAAEAIAAAACIAAABkcnMv&#10;ZG93bnJldi54bWxQSwECFAAUAAAACACHTuJAqJFo/T4CAAB+BAAADgAAAAAAAAABACAAAAAl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068D781"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 xml:space="preserve">原控规用地情况                  </w:t>
                      </w:r>
                      <w:r>
                        <w:rPr>
                          <w:rFonts w:ascii="仿宋_GB2312" w:eastAsia="仿宋_GB2312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调整后规划用地情况</w:t>
                      </w:r>
                    </w:p>
                    <w:p w14:paraId="012065C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drawing>
                          <wp:inline distT="0" distB="0" distL="114300" distR="114300">
                            <wp:extent cx="5093335" cy="1994535"/>
                            <wp:effectExtent l="0" t="0" r="12065" b="571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3335" cy="199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28"/>
          <w:szCs w:val="28"/>
        </w:rPr>
        <w:t>二、规划图纸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0"/>
    <w:rsid w:val="000073C3"/>
    <w:rsid w:val="000278EB"/>
    <w:rsid w:val="00032187"/>
    <w:rsid w:val="0005456E"/>
    <w:rsid w:val="00056006"/>
    <w:rsid w:val="00065EFE"/>
    <w:rsid w:val="00182ECF"/>
    <w:rsid w:val="00187865"/>
    <w:rsid w:val="001D22A4"/>
    <w:rsid w:val="001E4CB3"/>
    <w:rsid w:val="003A13ED"/>
    <w:rsid w:val="003B105C"/>
    <w:rsid w:val="004878E0"/>
    <w:rsid w:val="00571C98"/>
    <w:rsid w:val="005851DC"/>
    <w:rsid w:val="0061660E"/>
    <w:rsid w:val="00616945"/>
    <w:rsid w:val="006407B2"/>
    <w:rsid w:val="006809E7"/>
    <w:rsid w:val="006F760E"/>
    <w:rsid w:val="00752AD8"/>
    <w:rsid w:val="007B5F00"/>
    <w:rsid w:val="00866152"/>
    <w:rsid w:val="008C3E7B"/>
    <w:rsid w:val="008D1AAD"/>
    <w:rsid w:val="009701AE"/>
    <w:rsid w:val="009E0755"/>
    <w:rsid w:val="00AA4567"/>
    <w:rsid w:val="00B04D2F"/>
    <w:rsid w:val="00B344C8"/>
    <w:rsid w:val="00BA490E"/>
    <w:rsid w:val="00BC08D2"/>
    <w:rsid w:val="00C41E04"/>
    <w:rsid w:val="00C50966"/>
    <w:rsid w:val="00C716F0"/>
    <w:rsid w:val="00C90C52"/>
    <w:rsid w:val="00D00958"/>
    <w:rsid w:val="00D32857"/>
    <w:rsid w:val="00D45968"/>
    <w:rsid w:val="00D77D75"/>
    <w:rsid w:val="00D95013"/>
    <w:rsid w:val="00DD0337"/>
    <w:rsid w:val="00EF5813"/>
    <w:rsid w:val="00F43ED7"/>
    <w:rsid w:val="00F74581"/>
    <w:rsid w:val="00FC598D"/>
    <w:rsid w:val="05222FED"/>
    <w:rsid w:val="242941BB"/>
    <w:rsid w:val="363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862</Characters>
  <Lines>6</Lines>
  <Paragraphs>1</Paragraphs>
  <TotalTime>415</TotalTime>
  <ScaleCrop>false</ScaleCrop>
  <LinksUpToDate>false</LinksUpToDate>
  <CharactersWithSpaces>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2025-01-07T02:40:00Z</dcterms:created>
  <dc:creator>hong yingcan</dc:creator>
  <cp:lastModifiedBy>瑞比的耳朵</cp:lastModifiedBy>
  <cp:lastPrinted>2024-02-01T12:29:00Z</cp:lastPrinted>
  <dcterms:modified xsi:type="dcterms:W3CDTF">2025-01-13T07:21:33Z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eyJoZGlkIjoiNGFlNjE5ODgyODc2MjMxNTNjOTg4YWI4NTU5OTA0ZDYiLCJ1c2VySWQiOiIzMzA4NTU1MjIifQ==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76865E3913B141A58E180D23D671E56A_13</vt:lpwstr>
  </property>
</Properties>
</file>