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16" w:rsidRDefault="00AD1EB4" w:rsidP="00F7456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1:</w:t>
      </w:r>
      <w:r>
        <w:rPr>
          <w:rFonts w:ascii="黑体" w:eastAsia="黑体" w:hAnsi="黑体" w:cs="黑体" w:hint="eastAsia"/>
          <w:sz w:val="32"/>
          <w:szCs w:val="32"/>
        </w:rPr>
        <w:t>设备参数</w:t>
      </w:r>
    </w:p>
    <w:p w:rsidR="00EF2916" w:rsidRDefault="00AD1EB4">
      <w:pPr>
        <w:numPr>
          <w:ilvl w:val="0"/>
          <w:numId w:val="3"/>
        </w:numPr>
        <w:spacing w:line="240" w:lineRule="atLeas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网络版执法记录仪</w:t>
      </w:r>
    </w:p>
    <w:tbl>
      <w:tblPr>
        <w:tblW w:w="101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7770"/>
      </w:tblGrid>
      <w:tr w:rsidR="00EF2916">
        <w:trPr>
          <w:tblCellSpacing w:w="15" w:type="dxa"/>
          <w:jc w:val="center"/>
        </w:trPr>
        <w:tc>
          <w:tcPr>
            <w:tcW w:w="23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EF2916" w:rsidRDefault="00AD1EB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7725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EF2916" w:rsidRDefault="00AD1EB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设备品名</w:t>
            </w:r>
          </w:p>
        </w:tc>
      </w:tr>
      <w:tr w:rsidR="00EF2916">
        <w:trPr>
          <w:tblCellSpacing w:w="15" w:type="dxa"/>
          <w:jc w:val="center"/>
        </w:trPr>
        <w:tc>
          <w:tcPr>
            <w:tcW w:w="237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EF2916" w:rsidRDefault="00AD1EB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EF2916" w:rsidRDefault="00AD1EB4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网络版执法记录仪</w:t>
            </w:r>
          </w:p>
        </w:tc>
      </w:tr>
      <w:tr w:rsidR="00EF2916">
        <w:trPr>
          <w:tblCellSpacing w:w="15" w:type="dxa"/>
          <w:jc w:val="center"/>
        </w:trPr>
        <w:tc>
          <w:tcPr>
            <w:tcW w:w="10125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F2916" w:rsidRDefault="00AD1EB4"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技术指标及相关要求：</w:t>
            </w:r>
          </w:p>
        </w:tc>
      </w:tr>
      <w:tr w:rsidR="00EF2916">
        <w:trPr>
          <w:tblCellSpacing w:w="15" w:type="dxa"/>
          <w:jc w:val="center"/>
        </w:trPr>
        <w:tc>
          <w:tcPr>
            <w:tcW w:w="1012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总体要求：内置摄像机、麦克风、全彩显示屏（含电容触摸屏）、处理器、存储单元、移动通信网络模块、可拆卸锂电池、</w:t>
            </w:r>
            <w:r>
              <w:rPr>
                <w:rFonts w:ascii="宋体" w:hAnsi="宋体" w:cs="宋体" w:hint="eastAsia"/>
                <w:kern w:val="0"/>
                <w:sz w:val="24"/>
              </w:rPr>
              <w:t>USB Type-C</w:t>
            </w:r>
            <w:r>
              <w:rPr>
                <w:rFonts w:ascii="宋体" w:hAnsi="宋体" w:cs="宋体" w:hint="eastAsia"/>
                <w:kern w:val="0"/>
                <w:sz w:val="24"/>
              </w:rPr>
              <w:t>充电接口等，整机尺寸≤</w:t>
            </w:r>
            <w:r>
              <w:rPr>
                <w:rFonts w:ascii="宋体" w:hAnsi="宋体" w:cs="宋体" w:hint="eastAsia"/>
                <w:kern w:val="0"/>
                <w:sz w:val="24"/>
              </w:rPr>
              <w:t>100mm</w:t>
            </w:r>
            <w:r>
              <w:rPr>
                <w:rFonts w:ascii="宋体" w:hAnsi="宋体" w:cs="宋体" w:hint="eastAsia"/>
                <w:kern w:val="0"/>
                <w:sz w:val="24"/>
              </w:rPr>
              <w:t>（高）</w:t>
            </w:r>
            <w:r>
              <w:rPr>
                <w:rFonts w:ascii="宋体" w:hAnsi="宋体" w:cs="宋体" w:hint="eastAsia"/>
                <w:kern w:val="0"/>
                <w:sz w:val="24"/>
              </w:rPr>
              <w:t>*60mm</w:t>
            </w:r>
            <w:r>
              <w:rPr>
                <w:rFonts w:ascii="宋体" w:hAnsi="宋体" w:cs="宋体" w:hint="eastAsia"/>
                <w:kern w:val="0"/>
                <w:sz w:val="24"/>
              </w:rPr>
              <w:t>（宽）</w:t>
            </w:r>
            <w:r>
              <w:rPr>
                <w:rFonts w:ascii="宋体" w:hAnsi="宋体" w:cs="宋体" w:hint="eastAsia"/>
                <w:kern w:val="0"/>
                <w:sz w:val="24"/>
              </w:rPr>
              <w:t>*40mm</w:t>
            </w:r>
            <w:r>
              <w:rPr>
                <w:rFonts w:ascii="宋体" w:hAnsi="宋体" w:cs="宋体" w:hint="eastAsia"/>
                <w:kern w:val="0"/>
                <w:sz w:val="24"/>
              </w:rPr>
              <w:t>（厚），整机重量≤</w:t>
            </w:r>
            <w:r>
              <w:rPr>
                <w:rFonts w:ascii="宋体" w:hAnsi="宋体" w:cs="宋体" w:hint="eastAsia"/>
                <w:kern w:val="0"/>
                <w:sz w:val="24"/>
              </w:rPr>
              <w:t>220g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摄像机搭载机械防抖云台，云台防抖性能（范围）不低于前后俯仰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°、左右倾斜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>
              <w:rPr>
                <w:rFonts w:ascii="宋体" w:hAnsi="宋体" w:cs="宋体" w:hint="eastAsia"/>
                <w:kern w:val="0"/>
                <w:sz w:val="24"/>
              </w:rPr>
              <w:t>°（以执法记录仪机身在水平方向为基准，在防抖范围内所拍摄的画面与未倾斜时无明显差别）；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摄像机可录制视频最大分辨率≥</w:t>
            </w:r>
            <w:r>
              <w:rPr>
                <w:rFonts w:ascii="宋体" w:hAnsi="宋体" w:cs="宋体" w:hint="eastAsia"/>
                <w:kern w:val="0"/>
                <w:sz w:val="24"/>
              </w:rPr>
              <w:t>1920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1080</w:t>
            </w:r>
            <w:r>
              <w:rPr>
                <w:rFonts w:ascii="宋体" w:hAnsi="宋体" w:cs="宋体" w:hint="eastAsia"/>
                <w:kern w:val="0"/>
                <w:sz w:val="24"/>
              </w:rPr>
              <w:t>（帧率为</w:t>
            </w: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kern w:val="0"/>
                <w:sz w:val="24"/>
              </w:rPr>
              <w:t>帧</w:t>
            </w:r>
            <w:r>
              <w:rPr>
                <w:rFonts w:ascii="宋体" w:hAnsi="宋体" w:cs="宋体" w:hint="eastAsia"/>
                <w:kern w:val="0"/>
                <w:sz w:val="24"/>
              </w:rPr>
              <w:t>/s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视频编码格式可选</w:t>
            </w:r>
            <w:r>
              <w:rPr>
                <w:rFonts w:ascii="宋体" w:hAnsi="宋体" w:cs="宋体" w:hint="eastAsia"/>
                <w:kern w:val="0"/>
                <w:sz w:val="24"/>
              </w:rPr>
              <w:t>H.264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</w:rPr>
              <w:t>H.265</w:t>
            </w:r>
            <w:r>
              <w:rPr>
                <w:rFonts w:ascii="宋体" w:hAnsi="宋体" w:cs="宋体" w:hint="eastAsia"/>
                <w:kern w:val="0"/>
                <w:sz w:val="24"/>
              </w:rPr>
              <w:t>，夜视功能下的有效拍摄距离≥</w:t>
            </w:r>
            <w:r>
              <w:rPr>
                <w:rFonts w:ascii="宋体" w:hAnsi="宋体" w:cs="宋体" w:hint="eastAsia"/>
                <w:kern w:val="0"/>
                <w:sz w:val="24"/>
              </w:rPr>
              <w:t>3m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麦克风具备环境降噪功能，有效拾音距离≥</w:t>
            </w:r>
            <w:r>
              <w:rPr>
                <w:rFonts w:ascii="宋体" w:hAnsi="宋体" w:cs="宋体" w:hint="eastAsia"/>
                <w:kern w:val="0"/>
                <w:sz w:val="24"/>
              </w:rPr>
              <w:t>3m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显示屏尺寸≥</w:t>
            </w:r>
            <w:r>
              <w:rPr>
                <w:rFonts w:ascii="宋体" w:hAnsi="宋体" w:cs="宋体" w:hint="eastAsia"/>
                <w:kern w:val="0"/>
                <w:sz w:val="24"/>
              </w:rPr>
              <w:t>2.0</w:t>
            </w:r>
            <w:r>
              <w:rPr>
                <w:rFonts w:ascii="宋体" w:hAnsi="宋体" w:cs="宋体" w:hint="eastAsia"/>
                <w:kern w:val="0"/>
                <w:sz w:val="24"/>
              </w:rPr>
              <w:t>英寸、显示分辨率≥</w:t>
            </w:r>
            <w:r>
              <w:rPr>
                <w:rFonts w:ascii="宋体" w:hAnsi="宋体" w:cs="宋体" w:hint="eastAsia"/>
                <w:kern w:val="0"/>
                <w:sz w:val="24"/>
              </w:rPr>
              <w:t>240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320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嵌入式</w:t>
            </w:r>
            <w:r>
              <w:rPr>
                <w:rFonts w:ascii="宋体" w:hAnsi="宋体" w:cs="宋体" w:hint="eastAsia"/>
                <w:kern w:val="0"/>
                <w:sz w:val="24"/>
              </w:rPr>
              <w:t>ARM</w:t>
            </w:r>
            <w:r>
              <w:rPr>
                <w:rFonts w:ascii="宋体" w:hAnsi="宋体" w:cs="宋体" w:hint="eastAsia"/>
                <w:kern w:val="0"/>
                <w:sz w:val="24"/>
              </w:rPr>
              <w:t>架构处理器，主频≥</w:t>
            </w:r>
            <w:r>
              <w:rPr>
                <w:rFonts w:ascii="宋体" w:hAnsi="宋体" w:cs="宋体" w:hint="eastAsia"/>
                <w:kern w:val="0"/>
                <w:sz w:val="24"/>
              </w:rPr>
              <w:t>2.0GHz</w:t>
            </w:r>
            <w:r>
              <w:rPr>
                <w:rFonts w:ascii="宋体" w:hAnsi="宋体" w:cs="宋体" w:hint="eastAsia"/>
                <w:kern w:val="0"/>
                <w:sz w:val="24"/>
              </w:rPr>
              <w:t>、核心数≥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存储单元容量≥</w:t>
            </w:r>
            <w:r>
              <w:rPr>
                <w:rFonts w:ascii="宋体" w:hAnsi="宋体" w:cs="宋体" w:hint="eastAsia"/>
                <w:kern w:val="0"/>
                <w:sz w:val="24"/>
              </w:rPr>
              <w:t>32GB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内置</w:t>
            </w:r>
            <w:r>
              <w:rPr>
                <w:rFonts w:ascii="宋体" w:hAnsi="宋体" w:cs="宋体" w:hint="eastAsia"/>
                <w:kern w:val="0"/>
                <w:sz w:val="24"/>
              </w:rPr>
              <w:t>NFC</w:t>
            </w:r>
            <w:r>
              <w:rPr>
                <w:rFonts w:ascii="宋体" w:hAnsi="宋体" w:cs="宋体" w:hint="eastAsia"/>
                <w:kern w:val="0"/>
                <w:sz w:val="24"/>
              </w:rPr>
              <w:t>感应芯片</w:t>
            </w:r>
            <w:r>
              <w:rPr>
                <w:rFonts w:ascii="宋体" w:hAnsi="宋体" w:cs="宋体" w:hint="eastAsia"/>
                <w:kern w:val="0"/>
                <w:sz w:val="24"/>
              </w:rPr>
              <w:t>，可使用移动警务终端指定</w:t>
            </w:r>
            <w:r>
              <w:rPr>
                <w:rFonts w:ascii="宋体" w:hAnsi="宋体" w:cs="宋体" w:hint="eastAsia"/>
                <w:kern w:val="0"/>
                <w:sz w:val="24"/>
              </w:rPr>
              <w:t>APP</w:t>
            </w:r>
            <w:r>
              <w:rPr>
                <w:rFonts w:ascii="宋体" w:hAnsi="宋体" w:cs="宋体" w:hint="eastAsia"/>
                <w:kern w:val="0"/>
                <w:sz w:val="24"/>
              </w:rPr>
              <w:t>通过</w:t>
            </w:r>
            <w:r>
              <w:rPr>
                <w:rFonts w:ascii="宋体" w:hAnsi="宋体" w:cs="宋体" w:hint="eastAsia"/>
                <w:kern w:val="0"/>
                <w:sz w:val="24"/>
              </w:rPr>
              <w:t>NFC</w:t>
            </w:r>
            <w:r>
              <w:rPr>
                <w:rFonts w:ascii="宋体" w:hAnsi="宋体" w:cs="宋体" w:hint="eastAsia"/>
                <w:kern w:val="0"/>
                <w:sz w:val="24"/>
              </w:rPr>
              <w:t>触发设备开启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结束录像；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网络传输模块可</w:t>
            </w:r>
            <w:r>
              <w:rPr>
                <w:rFonts w:ascii="宋体" w:hAnsi="宋体" w:cs="宋体" w:hint="eastAsia"/>
                <w:kern w:val="0"/>
                <w:sz w:val="24"/>
              </w:rPr>
              <w:t>兼容</w:t>
            </w:r>
            <w:r>
              <w:rPr>
                <w:rFonts w:ascii="宋体" w:hAnsi="宋体" w:cs="宋体" w:hint="eastAsia"/>
                <w:kern w:val="0"/>
                <w:sz w:val="24"/>
              </w:rPr>
              <w:t>国内所有运营商</w:t>
            </w:r>
            <w:r>
              <w:rPr>
                <w:rFonts w:ascii="宋体" w:hAnsi="宋体" w:cs="宋体" w:hint="eastAsia"/>
                <w:kern w:val="0"/>
                <w:sz w:val="24"/>
              </w:rPr>
              <w:t>4G/5</w:t>
            </w:r>
            <w:r>
              <w:rPr>
                <w:rFonts w:ascii="宋体" w:hAnsi="宋体" w:cs="宋体" w:hint="eastAsia"/>
                <w:kern w:val="0"/>
                <w:sz w:val="24"/>
              </w:rPr>
              <w:t>G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SIM</w:t>
            </w:r>
            <w:r>
              <w:rPr>
                <w:rFonts w:ascii="宋体" w:hAnsi="宋体" w:cs="宋体" w:hint="eastAsia"/>
                <w:kern w:val="0"/>
                <w:sz w:val="24"/>
              </w:rPr>
              <w:t>卡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含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720GB</w:t>
            </w:r>
            <w:r>
              <w:rPr>
                <w:rFonts w:ascii="宋体" w:hAnsi="宋体" w:cs="宋体" w:hint="eastAsia"/>
                <w:kern w:val="0"/>
                <w:sz w:val="24"/>
              </w:rPr>
              <w:t>行业专用网络</w:t>
            </w:r>
            <w:r>
              <w:rPr>
                <w:rFonts w:ascii="宋体" w:hAnsi="宋体" w:cs="宋体" w:hint="eastAsia"/>
                <w:kern w:val="0"/>
                <w:sz w:val="24"/>
              </w:rPr>
              <w:t>数据流量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可通过</w:t>
            </w:r>
            <w:r>
              <w:rPr>
                <w:rFonts w:ascii="宋体" w:hAnsi="宋体" w:cs="宋体" w:hint="eastAsia"/>
                <w:kern w:val="0"/>
                <w:sz w:val="24"/>
              </w:rPr>
              <w:t>移动通信网络</w:t>
            </w:r>
            <w:r>
              <w:rPr>
                <w:rFonts w:ascii="宋体" w:hAnsi="宋体" w:cs="宋体" w:hint="eastAsia"/>
                <w:kern w:val="0"/>
                <w:sz w:val="24"/>
              </w:rPr>
              <w:t>传输视频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图片数据至采购人指定的数据资源池；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可拆卸锂电池容量≥</w:t>
            </w:r>
            <w:r>
              <w:rPr>
                <w:rFonts w:ascii="宋体" w:hAnsi="宋体" w:cs="宋体" w:hint="eastAsia"/>
                <w:kern w:val="0"/>
                <w:sz w:val="24"/>
              </w:rPr>
              <w:t>3200mAh</w:t>
            </w:r>
            <w:r>
              <w:rPr>
                <w:rFonts w:ascii="宋体" w:hAnsi="宋体" w:cs="宋体" w:hint="eastAsia"/>
                <w:kern w:val="0"/>
                <w:sz w:val="24"/>
              </w:rPr>
              <w:t>，可支撑设备连续录像时长≥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小时；拆卸电池时，设备可持续录像时间≥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分钟；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支持获取设备定位信息（仅可使用</w:t>
            </w:r>
            <w:r>
              <w:rPr>
                <w:rFonts w:ascii="宋体" w:hAnsi="宋体" w:cs="宋体" w:hint="eastAsia"/>
                <w:kern w:val="0"/>
                <w:sz w:val="24"/>
              </w:rPr>
              <w:t>国产定位</w:t>
            </w:r>
            <w:r>
              <w:rPr>
                <w:rFonts w:ascii="宋体" w:hAnsi="宋体" w:cs="宋体" w:hint="eastAsia"/>
                <w:kern w:val="0"/>
                <w:sz w:val="24"/>
              </w:rPr>
              <w:t>系统），水平定位误差≤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米；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防尘防水等级≥</w:t>
            </w:r>
            <w:r>
              <w:rPr>
                <w:rFonts w:ascii="宋体" w:hAnsi="宋体" w:cs="宋体" w:hint="eastAsia"/>
                <w:kern w:val="0"/>
                <w:sz w:val="24"/>
              </w:rPr>
              <w:t>IP6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供应商拟投入的设备须能兼容采购人现有的执法记录仪采集站，可实现将设备内的录像文件导入</w:t>
            </w:r>
            <w:r>
              <w:rPr>
                <w:rFonts w:ascii="宋体" w:hAnsi="宋体" w:cs="宋体" w:hint="eastAsia"/>
                <w:sz w:val="24"/>
              </w:rPr>
              <w:t>至采集站中并上传至福建省公安机关现场执法视音频管理系统；</w:t>
            </w:r>
          </w:p>
          <w:p w:rsidR="00EF2916" w:rsidRDefault="00AD1EB4"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供应商</w:t>
            </w:r>
            <w:r>
              <w:rPr>
                <w:rFonts w:ascii="宋体" w:hAnsi="宋体" w:cs="宋体" w:hint="eastAsia"/>
                <w:sz w:val="24"/>
              </w:rPr>
              <w:t>拟投入的设备须</w:t>
            </w:r>
            <w:r>
              <w:rPr>
                <w:rFonts w:ascii="宋体" w:hAnsi="宋体" w:cs="宋体"/>
                <w:sz w:val="24"/>
              </w:rPr>
              <w:t>能接入</w:t>
            </w:r>
            <w:r>
              <w:rPr>
                <w:rFonts w:ascii="宋体" w:hAnsi="宋体" w:cs="宋体" w:hint="eastAsia"/>
                <w:sz w:val="24"/>
              </w:rPr>
              <w:t>采购人现有的</w:t>
            </w:r>
            <w:r>
              <w:rPr>
                <w:rFonts w:ascii="宋体" w:hAnsi="宋体" w:cs="宋体" w:hint="eastAsia"/>
                <w:sz w:val="24"/>
              </w:rPr>
              <w:t>视频图像信息应用平台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可实现在上述平台中收听查看设备的实时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历史音视频（历史音视频须存储在采购人指定的存储资源池）</w:t>
            </w:r>
            <w:r>
              <w:rPr>
                <w:rFonts w:ascii="宋体" w:hAnsi="宋体" w:cs="宋体"/>
                <w:sz w:val="24"/>
              </w:rPr>
              <w:t>。</w:t>
            </w:r>
          </w:p>
        </w:tc>
      </w:tr>
    </w:tbl>
    <w:p w:rsidR="00EF2916" w:rsidRDefault="00AD1EB4">
      <w:pPr>
        <w:numPr>
          <w:ilvl w:val="0"/>
          <w:numId w:val="3"/>
        </w:numPr>
        <w:spacing w:line="240" w:lineRule="atLeast"/>
        <w:rPr>
          <w:rFonts w:ascii="宋体" w:hAnsi="宋体" w:cs="宋体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企业级机械硬盘</w:t>
      </w:r>
    </w:p>
    <w:tbl>
      <w:tblPr>
        <w:tblW w:w="101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695"/>
      </w:tblGrid>
      <w:tr w:rsidR="00EF2916">
        <w:trPr>
          <w:tblCellSpacing w:w="15" w:type="dxa"/>
          <w:jc w:val="center"/>
        </w:trPr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EF2916" w:rsidRDefault="00AD1EB4"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7650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EF2916" w:rsidRDefault="00AD1EB4"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设备品名</w:t>
            </w:r>
          </w:p>
        </w:tc>
      </w:tr>
      <w:tr w:rsidR="00EF2916">
        <w:trPr>
          <w:tblCellSpacing w:w="15" w:type="dxa"/>
          <w:jc w:val="center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EF2916" w:rsidRDefault="00AD1EB4"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EF2916" w:rsidRDefault="00AD1EB4"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企业级机械硬盘</w:t>
            </w:r>
          </w:p>
        </w:tc>
      </w:tr>
      <w:tr w:rsidR="00EF2916">
        <w:trPr>
          <w:tblCellSpacing w:w="15" w:type="dxa"/>
          <w:jc w:val="center"/>
        </w:trPr>
        <w:tc>
          <w:tcPr>
            <w:tcW w:w="1011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F2916" w:rsidRDefault="00AD1E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技术指标及相关要求：</w:t>
            </w:r>
          </w:p>
        </w:tc>
      </w:tr>
      <w:tr w:rsidR="00EF2916">
        <w:trPr>
          <w:trHeight w:val="637"/>
          <w:tblCellSpacing w:w="15" w:type="dxa"/>
          <w:jc w:val="center"/>
        </w:trPr>
        <w:tc>
          <w:tcPr>
            <w:tcW w:w="101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F2916" w:rsidRDefault="00AD1EB4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尺寸：</w:t>
            </w:r>
            <w:r>
              <w:rPr>
                <w:rFonts w:ascii="宋体" w:hAnsi="宋体" w:cs="宋体" w:hint="eastAsia"/>
                <w:kern w:val="0"/>
                <w:sz w:val="24"/>
              </w:rPr>
              <w:t>3.5</w:t>
            </w:r>
            <w:r>
              <w:rPr>
                <w:rFonts w:ascii="宋体" w:hAnsi="宋体" w:cs="宋体" w:hint="eastAsia"/>
                <w:kern w:val="0"/>
                <w:sz w:val="24"/>
              </w:rPr>
              <w:t>英寸；</w:t>
            </w:r>
          </w:p>
          <w:p w:rsidR="00EF2916" w:rsidRDefault="00AD1EB4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转速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</w:rPr>
              <w:t>7200rpm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容量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TB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缓存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</w:rPr>
              <w:t>256MB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F2916" w:rsidRDefault="00AD1EB4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平均无故障时间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</w:rPr>
              <w:t>万小时；</w:t>
            </w:r>
          </w:p>
          <w:p w:rsidR="00EF2916" w:rsidRDefault="00AD1EB4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接口速率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</w:rPr>
              <w:t>SATA 6Gbps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EF2916" w:rsidRDefault="00EF2916" w:rsidP="00F74561">
      <w:pPr>
        <w:spacing w:line="560" w:lineRule="exact"/>
        <w:jc w:val="left"/>
      </w:pPr>
    </w:p>
    <w:sectPr w:rsidR="00EF2916" w:rsidSect="00EF291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B4" w:rsidRDefault="00AD1EB4" w:rsidP="00F74561">
      <w:r>
        <w:separator/>
      </w:r>
    </w:p>
  </w:endnote>
  <w:endnote w:type="continuationSeparator" w:id="0">
    <w:p w:rsidR="00AD1EB4" w:rsidRDefault="00AD1EB4" w:rsidP="00F7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B4" w:rsidRDefault="00AD1EB4" w:rsidP="00F74561">
      <w:r>
        <w:separator/>
      </w:r>
    </w:p>
  </w:footnote>
  <w:footnote w:type="continuationSeparator" w:id="0">
    <w:p w:rsidR="00AD1EB4" w:rsidRDefault="00AD1EB4" w:rsidP="00F74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6E7DEB"/>
    <w:multiLevelType w:val="singleLevel"/>
    <w:tmpl w:val="DE6E7DEB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EFB8563A"/>
    <w:multiLevelType w:val="singleLevel"/>
    <w:tmpl w:val="EFB856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E6A87A"/>
    <w:multiLevelType w:val="singleLevel"/>
    <w:tmpl w:val="FDE6A87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>
      <w:start w:val="1"/>
      <w:numFmt w:val="decimal"/>
      <w:pStyle w:val="1"/>
      <w:lvlText w:val="第%1章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sz w:val="4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abstractNum w:abstractNumId="4">
    <w:nsid w:val="62EA7E9D"/>
    <w:multiLevelType w:val="singleLevel"/>
    <w:tmpl w:val="62EA7E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溔ު卆䵇㞜߹㓍%鹦4蹦ꐀ'蹦ꐀ'漤ު卆䵇㎸߹㓍%鹦4蹦ꐀ'蹦ꐀ'澴ު卆䵇㈜ฌ퀀ት&#10;䠀䰀ት&#10;䠀䰀ት&#10;灄ު卆䵇㤜ฌ琀칵䠀칵䠀칵烔ު卆䵇㺜ฌ퀀칵䠀䰀칵䠀䰀칵卆䵇䕔ࠆ栀詵䠀詵䠀詵"/>
  </w:docVars>
  <w:rsids>
    <w:rsidRoot w:val="158C2480"/>
    <w:rsid w:val="00AD1EB4"/>
    <w:rsid w:val="00EF2916"/>
    <w:rsid w:val="00F74561"/>
    <w:rsid w:val="03706E55"/>
    <w:rsid w:val="050474AE"/>
    <w:rsid w:val="0E4F33F2"/>
    <w:rsid w:val="10745F1B"/>
    <w:rsid w:val="11932103"/>
    <w:rsid w:val="12B32DD6"/>
    <w:rsid w:val="136613E2"/>
    <w:rsid w:val="158C2480"/>
    <w:rsid w:val="162C5DAD"/>
    <w:rsid w:val="18156132"/>
    <w:rsid w:val="19B20513"/>
    <w:rsid w:val="1CDB002F"/>
    <w:rsid w:val="1ECE6F0D"/>
    <w:rsid w:val="219D6BCD"/>
    <w:rsid w:val="220D161D"/>
    <w:rsid w:val="225E75CB"/>
    <w:rsid w:val="29564FD7"/>
    <w:rsid w:val="2A4A0FA3"/>
    <w:rsid w:val="2C542217"/>
    <w:rsid w:val="2D725CFB"/>
    <w:rsid w:val="2DB51495"/>
    <w:rsid w:val="2EF019B0"/>
    <w:rsid w:val="2F6232F0"/>
    <w:rsid w:val="31C97911"/>
    <w:rsid w:val="35877273"/>
    <w:rsid w:val="37DF7DBA"/>
    <w:rsid w:val="3B6F1D49"/>
    <w:rsid w:val="3C75192F"/>
    <w:rsid w:val="3E0563B0"/>
    <w:rsid w:val="3E791566"/>
    <w:rsid w:val="3EDE4E26"/>
    <w:rsid w:val="41570042"/>
    <w:rsid w:val="42F72ABC"/>
    <w:rsid w:val="48CC202B"/>
    <w:rsid w:val="4E993F25"/>
    <w:rsid w:val="50292FA5"/>
    <w:rsid w:val="50AD2786"/>
    <w:rsid w:val="52224EEA"/>
    <w:rsid w:val="54A075DB"/>
    <w:rsid w:val="57B226F0"/>
    <w:rsid w:val="58313652"/>
    <w:rsid w:val="592C0529"/>
    <w:rsid w:val="5BC94D5D"/>
    <w:rsid w:val="5CDC0F56"/>
    <w:rsid w:val="5E0A08E9"/>
    <w:rsid w:val="626E317C"/>
    <w:rsid w:val="64011719"/>
    <w:rsid w:val="6404216F"/>
    <w:rsid w:val="651E38FF"/>
    <w:rsid w:val="65EE79D4"/>
    <w:rsid w:val="685B4C5C"/>
    <w:rsid w:val="6A407C5F"/>
    <w:rsid w:val="6A6E5787"/>
    <w:rsid w:val="6EB60BB9"/>
    <w:rsid w:val="6F0D58EC"/>
    <w:rsid w:val="6FA571C8"/>
    <w:rsid w:val="708031E8"/>
    <w:rsid w:val="74A0474F"/>
    <w:rsid w:val="760771E5"/>
    <w:rsid w:val="78AA1038"/>
    <w:rsid w:val="7A595DF6"/>
    <w:rsid w:val="7D27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2916"/>
    <w:pPr>
      <w:keepNext/>
      <w:keepLines/>
      <w:pageBreakBefore/>
      <w:numPr>
        <w:numId w:val="1"/>
      </w:numPr>
      <w:tabs>
        <w:tab w:val="clear" w:pos="425"/>
        <w:tab w:val="left" w:pos="560"/>
      </w:tabs>
      <w:spacing w:before="480" w:after="360"/>
      <w:jc w:val="center"/>
      <w:outlineLvl w:val="0"/>
    </w:pPr>
    <w:rPr>
      <w:rFonts w:eastAsia="黑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F2916"/>
  </w:style>
  <w:style w:type="paragraph" w:styleId="a4">
    <w:name w:val="Normal (Web)"/>
    <w:basedOn w:val="a"/>
    <w:qFormat/>
    <w:rsid w:val="00EF2916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EF2916"/>
    <w:rPr>
      <w:b/>
    </w:rPr>
  </w:style>
  <w:style w:type="paragraph" w:customStyle="1" w:styleId="null3">
    <w:name w:val="null3"/>
    <w:hidden/>
    <w:qFormat/>
    <w:rsid w:val="00EF2916"/>
    <w:rPr>
      <w:rFonts w:asciiTheme="minorHAnsi" w:eastAsiaTheme="minorEastAsia" w:hAnsiTheme="minorHAnsi" w:cstheme="minorBidi" w:hint="eastAsia"/>
      <w:lang/>
    </w:rPr>
  </w:style>
  <w:style w:type="paragraph" w:styleId="a6">
    <w:name w:val="header"/>
    <w:basedOn w:val="a"/>
    <w:link w:val="Char"/>
    <w:rsid w:val="00F7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74561"/>
    <w:rPr>
      <w:kern w:val="2"/>
      <w:sz w:val="18"/>
      <w:szCs w:val="18"/>
    </w:rPr>
  </w:style>
  <w:style w:type="paragraph" w:styleId="a7">
    <w:name w:val="footer"/>
    <w:basedOn w:val="a"/>
    <w:link w:val="Char0"/>
    <w:rsid w:val="00F7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745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大蓬菜(炽)</dc:creator>
  <cp:lastModifiedBy>User</cp:lastModifiedBy>
  <cp:revision>2</cp:revision>
  <cp:lastPrinted>2025-03-31T01:50:00Z</cp:lastPrinted>
  <dcterms:created xsi:type="dcterms:W3CDTF">2023-06-29T06:25:00Z</dcterms:created>
  <dcterms:modified xsi:type="dcterms:W3CDTF">2025-03-31T08:10:00Z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D6F93FE29A66492393DE55D3D5C35D70_13</vt:lpwstr>
  </property>
</Properties>
</file>