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707D8">
      <w:bookmarkStart w:id="0" w:name="_GoBack"/>
      <w:bookmarkEnd w:id="0"/>
    </w:p>
    <w:tbl>
      <w:tblPr>
        <w:tblStyle w:val="18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665"/>
        <w:gridCol w:w="975"/>
        <w:gridCol w:w="979"/>
        <w:gridCol w:w="1074"/>
        <w:gridCol w:w="1089"/>
      </w:tblGrid>
      <w:tr w14:paraId="27DA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8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ECE1B76"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40"/>
                <w:szCs w:val="40"/>
                <w:highlight w:val="none"/>
              </w:rPr>
              <w:t>福清市</w:t>
            </w:r>
            <w:r>
              <w:rPr>
                <w:rFonts w:ascii="方正小标宋简体" w:hAnsi="宋体" w:eastAsia="方正小标宋简体"/>
                <w:color w:val="auto"/>
                <w:sz w:val="40"/>
                <w:szCs w:val="40"/>
                <w:highlight w:val="none"/>
              </w:rPr>
              <w:t>2023</w:t>
            </w:r>
            <w:r>
              <w:rPr>
                <w:rFonts w:hint="eastAsia" w:ascii="方正小标宋简体" w:hAnsi="宋体" w:eastAsia="方正小标宋简体"/>
                <w:color w:val="auto"/>
                <w:sz w:val="40"/>
                <w:szCs w:val="40"/>
                <w:highlight w:val="none"/>
              </w:rPr>
              <w:t>年国民经济和社会发展</w:t>
            </w:r>
          </w:p>
          <w:p w14:paraId="4D73882D">
            <w:pPr>
              <w:widowControl/>
              <w:spacing w:line="600" w:lineRule="exact"/>
              <w:jc w:val="center"/>
              <w:rPr>
                <w:rFonts w:ascii="方正小标宋简体" w:hAnsi="Calibri" w:eastAsia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40"/>
                <w:szCs w:val="40"/>
                <w:highlight w:val="none"/>
              </w:rPr>
              <w:t>计划执行情况表</w:t>
            </w:r>
          </w:p>
        </w:tc>
      </w:tr>
      <w:tr w14:paraId="1283A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69AD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主要经济指标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4C41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3EA596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2023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年计划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6E8268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2023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年预计完成</w:t>
            </w:r>
          </w:p>
        </w:tc>
      </w:tr>
      <w:tr w14:paraId="195D2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F37B5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13BB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9840F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总量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6D48B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比增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561DE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总量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CE69B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比增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</w:tr>
      <w:tr w14:paraId="2385B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9E830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一、地区生产总值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5D71F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6A5ED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1665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BAEEF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8.0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579D">
            <w:pPr>
              <w:jc w:val="center"/>
              <w:rPr>
                <w:rFonts w:hint="default" w:ascii="Calibri" w:hAnsi="Calibri"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1690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7BB14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6.5</w:t>
            </w:r>
          </w:p>
        </w:tc>
      </w:tr>
      <w:tr w14:paraId="4EB5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50F0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（一）第一产业增加值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11FEAD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702AA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132.29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66AB5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  <w:t>4.5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860B4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138.8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37F1C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4.6</w:t>
            </w:r>
          </w:p>
        </w:tc>
      </w:tr>
      <w:tr w14:paraId="0E0D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6C41E">
            <w:pPr>
              <w:widowControl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（二）规模以上工业增加值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8DCED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7BFE5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379F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10.0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7C17F">
            <w:pPr>
              <w:jc w:val="center"/>
              <w:rPr>
                <w:rFonts w:hint="eastAsia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B4B26E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5.0</w:t>
            </w:r>
          </w:p>
        </w:tc>
      </w:tr>
      <w:tr w14:paraId="7D7D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F917">
            <w:pPr>
              <w:widowControl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（三）建筑业增加值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07734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D0740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187.1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B2247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6.0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01F4B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208.6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3C15F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14.0</w:t>
            </w:r>
          </w:p>
        </w:tc>
      </w:tr>
      <w:tr w14:paraId="2B134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6D3D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（四）第三产业增加值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20580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BFBFF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710.7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C6B20">
            <w:pPr>
              <w:widowControl w:val="0"/>
              <w:jc w:val="center"/>
              <w:rPr>
                <w:rFonts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9.0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8D11C">
            <w:pPr>
              <w:jc w:val="center"/>
              <w:rPr>
                <w:rFonts w:hint="default" w:ascii="仿宋_GB2312" w:hAnsi="Calibri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739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B7B0E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5.7</w:t>
            </w:r>
          </w:p>
        </w:tc>
      </w:tr>
      <w:tr w14:paraId="60FEC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242C2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（五）三次产业结构比重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F5E93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C8624">
            <w:pPr>
              <w:jc w:val="center"/>
              <w:rPr>
                <w:rFonts w:ascii="Calibri" w:hAnsi="Calibri"/>
                <w:color w:val="auto"/>
                <w:sz w:val="32"/>
                <w:szCs w:val="22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7.9</w:t>
            </w:r>
            <w:r>
              <w:rPr>
                <w:rFonts w:hint="eastAsia" w:ascii="仿宋_GB2312" w:hAnsi="仿宋_GB2312" w:cs="仿宋_GB2312"/>
                <w:color w:val="auto"/>
                <w:sz w:val="20"/>
                <w:szCs w:val="20"/>
                <w:highlight w:val="none"/>
              </w:rPr>
              <w:t>：</w:t>
            </w: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49.5</w:t>
            </w:r>
            <w:r>
              <w:rPr>
                <w:rFonts w:hint="eastAsia" w:ascii="仿宋_GB2312" w:hAnsi="仿宋_GB2312" w:cs="仿宋_GB2312"/>
                <w:color w:val="auto"/>
                <w:sz w:val="20"/>
                <w:szCs w:val="20"/>
                <w:highlight w:val="none"/>
              </w:rPr>
              <w:t>：</w:t>
            </w: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42.6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EBA80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8.2:48.1:43.7</w:t>
            </w:r>
          </w:p>
        </w:tc>
      </w:tr>
      <w:tr w14:paraId="70E36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B2D0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二、节能减排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4B3EB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42953">
            <w:pPr>
              <w:widowControl/>
              <w:jc w:val="center"/>
              <w:rPr>
                <w:rFonts w:ascii="Calibri" w:hAnsi="Calibri"/>
                <w:color w:val="auto"/>
                <w:sz w:val="32"/>
                <w:szCs w:val="22"/>
                <w:highlight w:val="none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A81083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28E83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7041E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（一）二氧化硫排放量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E60595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5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AA42013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完成福州市</w:t>
            </w:r>
          </w:p>
          <w:p w14:paraId="2F487D15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下达任务</w:t>
            </w:r>
          </w:p>
        </w:tc>
        <w:tc>
          <w:tcPr>
            <w:tcW w:w="21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46BE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完成福州市</w:t>
            </w:r>
          </w:p>
          <w:p w14:paraId="4A759372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下达任务</w:t>
            </w:r>
          </w:p>
        </w:tc>
      </w:tr>
      <w:tr w14:paraId="1F06E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80C3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（二）化学需氧量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A0FDE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5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3025A02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17E8A">
            <w:pPr>
              <w:widowControl/>
              <w:jc w:val="left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485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98F2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（三）氨氮排放量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04967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54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A4606FF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64E87">
            <w:pPr>
              <w:widowControl/>
              <w:jc w:val="left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11C4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A4E27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（二）氮氧化物排放量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38AA9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5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1516D">
            <w:pPr>
              <w:widowControl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CCE43">
            <w:pPr>
              <w:widowControl/>
              <w:jc w:val="left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337F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65F5">
            <w:pPr>
              <w:widowControl/>
              <w:ind w:left="400" w:hanging="400" w:hangingChars="200"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三、单位地区生产总值二氧化碳排放降低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7ED2A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3F7C3">
            <w:pPr>
              <w:widowControl/>
              <w:ind w:left="400" w:hanging="400" w:hangingChars="200"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控制在福州市</w:t>
            </w:r>
          </w:p>
          <w:p w14:paraId="796E54E9">
            <w:pPr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下达指标内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78024">
            <w:pPr>
              <w:widowControl/>
              <w:ind w:left="400" w:hanging="400" w:hangingChars="200"/>
              <w:jc w:val="center"/>
              <w:rPr>
                <w:rFonts w:ascii="仿宋_GB2312" w:hAnsi="Calibri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控制在福州市</w:t>
            </w:r>
          </w:p>
          <w:p w14:paraId="4133D8A3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下达指标内</w:t>
            </w:r>
          </w:p>
        </w:tc>
      </w:tr>
      <w:tr w14:paraId="3621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07CE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四、农业总产值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BA7C1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86635">
            <w:pPr>
              <w:jc w:val="center"/>
              <w:rPr>
                <w:rFonts w:hint="eastAsia" w:ascii="仿宋_GB2312" w:hAnsi="Calibri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245.</w:t>
            </w:r>
            <w:r>
              <w:rPr>
                <w:rFonts w:hint="eastAsia" w:ascii="仿宋_GB2312" w:hAns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A30BB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4.5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7B595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249.5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D42DC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4.6</w:t>
            </w:r>
          </w:p>
        </w:tc>
      </w:tr>
      <w:tr w14:paraId="2178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91C7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五、规模以上工业总产值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78AEC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27C25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  <w:t>3200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255A0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20.6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670CD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2335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E98DD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4.8</w:t>
            </w:r>
          </w:p>
        </w:tc>
      </w:tr>
      <w:tr w14:paraId="3F058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1B000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六、固定资产投资完成额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14984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10B4B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A119A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7.5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2971">
            <w:pPr>
              <w:jc w:val="center"/>
              <w:rPr>
                <w:rFonts w:hint="eastAsia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51AD4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5.0</w:t>
            </w:r>
          </w:p>
        </w:tc>
      </w:tr>
      <w:tr w14:paraId="4C37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7C451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七、一般公共预算总收入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FD4CC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878B5">
            <w:pPr>
              <w:jc w:val="center"/>
              <w:rPr>
                <w:rFonts w:hint="eastAsia" w:ascii="仿宋_GB2312" w:hAnsi="Calibri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178.</w:t>
            </w:r>
            <w:r>
              <w:rPr>
                <w:rFonts w:hint="eastAsia" w:ascii="仿宋_GB2312" w:hAns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6B442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6.0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97B3E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202.7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5D50B8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19.9</w:t>
            </w:r>
          </w:p>
        </w:tc>
      </w:tr>
      <w:tr w14:paraId="712B4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AF5B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地方一般公共预算收入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58283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0A156">
            <w:pPr>
              <w:jc w:val="center"/>
              <w:rPr>
                <w:rFonts w:hint="eastAsia" w:ascii="仿宋_GB2312" w:hAnsi="Calibri" w:eastAsia="仿宋_GB2312" w:cs="仿宋_GB2312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123.</w:t>
            </w:r>
            <w:r>
              <w:rPr>
                <w:rFonts w:hint="eastAsia" w:ascii="仿宋_GB2312" w:hAns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C7445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6.0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666A9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2A5A3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10.9</w:t>
            </w:r>
          </w:p>
        </w:tc>
      </w:tr>
      <w:tr w14:paraId="36117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F92A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八、出口总值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海关口径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6FE07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F44F2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646.6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53F37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3.0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E5A46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550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69C97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-16.8</w:t>
            </w:r>
          </w:p>
        </w:tc>
      </w:tr>
      <w:tr w14:paraId="2A65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37F4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九、实际利用外资额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13D56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万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美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B4BC4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15787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D75FD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3.0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C0B13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16724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A33CF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9.1</w:t>
            </w:r>
          </w:p>
        </w:tc>
      </w:tr>
      <w:tr w14:paraId="0A0F3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EE1C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十、社会消费品零售总额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29B27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5CB9A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429.4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53010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6.0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28B8D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C9EC8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7.7</w:t>
            </w:r>
          </w:p>
        </w:tc>
      </w:tr>
      <w:tr w14:paraId="7C7BE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AA3C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十一、全体居民人均可支配收入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49A48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7AD9E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46178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55160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8.0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18353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45451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E0E2F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6.3</w:t>
            </w:r>
          </w:p>
        </w:tc>
      </w:tr>
      <w:tr w14:paraId="552D4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AC05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（一）农村居民人均可支配收入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3FE7D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B074D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34970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45E31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8.5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A1C45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34432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52F9A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7.6</w:t>
            </w:r>
          </w:p>
        </w:tc>
      </w:tr>
      <w:tr w14:paraId="3E163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DE43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（二）城镇居民人均可支配收入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75E11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0E0E0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60037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2CB6B">
            <w:pPr>
              <w:jc w:val="center"/>
              <w:rPr>
                <w:rFonts w:ascii="仿宋_GB2312" w:hAnsi="Calibri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仿宋_GB2312" w:cs="仿宋_GB2312"/>
                <w:color w:val="auto"/>
                <w:sz w:val="20"/>
                <w:szCs w:val="20"/>
                <w:highlight w:val="none"/>
              </w:rPr>
              <w:t>7.5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77803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58641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958CD">
            <w:pPr>
              <w:jc w:val="center"/>
              <w:rPr>
                <w:rFonts w:hint="default" w:ascii="仿宋_GB2312" w:hAnsi="Calibri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Calibri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5.0</w:t>
            </w:r>
          </w:p>
        </w:tc>
      </w:tr>
    </w:tbl>
    <w:p w14:paraId="79D1DB1E">
      <w:pPr>
        <w:pStyle w:val="2"/>
      </w:pPr>
    </w:p>
    <w:tbl>
      <w:tblPr>
        <w:tblStyle w:val="18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1693"/>
        <w:gridCol w:w="993"/>
        <w:gridCol w:w="994"/>
        <w:gridCol w:w="1093"/>
        <w:gridCol w:w="1100"/>
      </w:tblGrid>
      <w:tr w14:paraId="11EBC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96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7E1FF40">
            <w:pPr>
              <w:widowControl/>
              <w:spacing w:line="600" w:lineRule="exact"/>
              <w:jc w:val="center"/>
              <w:rPr>
                <w:rFonts w:ascii="方正小标宋简体" w:hAnsi="宋体" w:eastAsia="方正小标宋简体"/>
                <w:color w:val="auto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宋体" w:eastAsia="方正小标宋简体"/>
                <w:color w:val="auto"/>
                <w:sz w:val="40"/>
                <w:szCs w:val="40"/>
                <w:highlight w:val="none"/>
              </w:rPr>
              <w:t>福清市国民经济和社会发展主要预期目标</w:t>
            </w:r>
          </w:p>
          <w:p w14:paraId="61DD7ECA">
            <w:pPr>
              <w:widowControl/>
              <w:spacing w:line="600" w:lineRule="exact"/>
              <w:jc w:val="center"/>
              <w:rPr>
                <w:rFonts w:ascii="方正小标宋简体" w:eastAsia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ascii="方正小标宋简体" w:hAnsi="宋体" w:eastAsia="方正小标宋简体"/>
                <w:color w:val="auto"/>
                <w:sz w:val="40"/>
                <w:szCs w:val="40"/>
                <w:highlight w:val="none"/>
              </w:rPr>
              <w:t>2024</w:t>
            </w:r>
            <w:r>
              <w:rPr>
                <w:rFonts w:hint="eastAsia" w:ascii="方正小标宋简体" w:hAnsi="宋体" w:eastAsia="方正小标宋简体"/>
                <w:color w:val="auto"/>
                <w:sz w:val="40"/>
                <w:szCs w:val="40"/>
                <w:highlight w:val="none"/>
              </w:rPr>
              <w:t>年计划安排（草案）</w:t>
            </w:r>
          </w:p>
        </w:tc>
      </w:tr>
      <w:tr w14:paraId="58076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FEA1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主要经济指标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EA165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F7F586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2023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年预计完成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CC14D7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2024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年计划安排</w:t>
            </w:r>
          </w:p>
        </w:tc>
      </w:tr>
      <w:tr w14:paraId="46DC3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D9D1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5920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682350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总量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42B3E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比增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A41E0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总量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B79C9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比增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</w:tr>
      <w:tr w14:paraId="14427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F4664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一、地区生产总值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862A8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F9FBD">
            <w:pPr>
              <w:jc w:val="center"/>
              <w:rPr>
                <w:rFonts w:hint="default" w:ascii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1690.0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B7508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0870D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1800.0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9CD1C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7.5</w:t>
            </w:r>
          </w:p>
        </w:tc>
      </w:tr>
      <w:tr w14:paraId="169F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B1434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（一）第一产业增加值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545DE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E2DFE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138.8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1BF49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15286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145.0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0FDA6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4.5</w:t>
            </w:r>
          </w:p>
        </w:tc>
      </w:tr>
      <w:tr w14:paraId="5094E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B39E">
            <w:pPr>
              <w:widowControl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（二）规模以上工业增加值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2F188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AB455">
            <w:pPr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A8DAE5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A826F">
            <w:pPr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1F8280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9.0</w:t>
            </w:r>
          </w:p>
        </w:tc>
      </w:tr>
      <w:tr w14:paraId="2293C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0393">
            <w:pPr>
              <w:widowControl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（三）建筑业增加值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1AEAC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566C30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208.6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BF0F6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14.0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1D6A4">
            <w:pPr>
              <w:jc w:val="center"/>
              <w:rPr>
                <w:rFonts w:hint="default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221.1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2EA58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6.0</w:t>
            </w:r>
          </w:p>
        </w:tc>
      </w:tr>
      <w:tr w14:paraId="3230C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E1DA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（四）第三产业增加值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C4747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6A85E">
            <w:pPr>
              <w:jc w:val="center"/>
              <w:rPr>
                <w:rFonts w:hint="default" w:ascii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739.0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1513C">
            <w:pPr>
              <w:pStyle w:val="9"/>
              <w:jc w:val="center"/>
              <w:rPr>
                <w:rFonts w:hint="default" w:ascii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A2F44">
            <w:pPr>
              <w:jc w:val="center"/>
              <w:rPr>
                <w:rFonts w:hint="default" w:ascii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795.2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03092">
            <w:pPr>
              <w:pStyle w:val="9"/>
              <w:jc w:val="center"/>
              <w:rPr>
                <w:rFonts w:ascii="仿宋_GB2312" w:hAnsi="仿宋_GB2312" w:eastAsia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7.6</w:t>
            </w:r>
          </w:p>
        </w:tc>
      </w:tr>
      <w:tr w14:paraId="377ED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E8D7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（五）三次产业结构比重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2532C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079EC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8.2:48.1:43.7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09FF3">
            <w:pPr>
              <w:jc w:val="center"/>
              <w:rPr>
                <w:rFonts w:hint="default" w:asci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8.0:47.8:44.2</w:t>
            </w:r>
          </w:p>
        </w:tc>
      </w:tr>
      <w:tr w14:paraId="0EF15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01429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二、节能减排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70FD9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3DECB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06630F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1FA1F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7C832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（一）二氧化硫排放量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E8A05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8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DA52328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完成福州市</w:t>
            </w:r>
          </w:p>
          <w:p w14:paraId="2065EACE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下达任务</w:t>
            </w:r>
          </w:p>
        </w:tc>
        <w:tc>
          <w:tcPr>
            <w:tcW w:w="2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9C3D3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完成福州市</w:t>
            </w:r>
          </w:p>
          <w:p w14:paraId="5E148658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下达任务</w:t>
            </w:r>
          </w:p>
        </w:tc>
      </w:tr>
      <w:tr w14:paraId="0D060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17BA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（二）化学需氧量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01A8C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8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A2CBD05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02D28">
            <w:pPr>
              <w:widowControl/>
              <w:jc w:val="left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0FA4B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6082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（三）氨氮排放量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26F53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8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80E877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35427">
            <w:pPr>
              <w:widowControl/>
              <w:jc w:val="left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4DF5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E044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（二）氮氧化物排放量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42BF29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吨</w:t>
            </w:r>
          </w:p>
        </w:tc>
        <w:tc>
          <w:tcPr>
            <w:tcW w:w="198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AC082">
            <w:pPr>
              <w:widowControl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4F107">
            <w:pPr>
              <w:widowControl/>
              <w:jc w:val="left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7755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35E17">
            <w:pPr>
              <w:widowControl/>
              <w:ind w:left="400" w:hanging="400" w:hangingChars="200"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三、单位地区生产总值二氧化碳排放降低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DFA91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0B926">
            <w:pPr>
              <w:widowControl/>
              <w:ind w:left="400" w:hanging="400" w:hangingChars="200"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控制在福州市</w:t>
            </w:r>
          </w:p>
          <w:p w14:paraId="2FA3E915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下达指标内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6231C">
            <w:pPr>
              <w:widowControl/>
              <w:ind w:left="400" w:hanging="400" w:hangingChars="200"/>
              <w:jc w:val="center"/>
              <w:rPr>
                <w:rFonts w:ascii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控制在福州市</w:t>
            </w:r>
          </w:p>
          <w:p w14:paraId="1801FF9B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0"/>
                <w:szCs w:val="20"/>
                <w:highlight w:val="none"/>
              </w:rPr>
              <w:t>下达指标内</w:t>
            </w:r>
          </w:p>
        </w:tc>
      </w:tr>
      <w:tr w14:paraId="3D160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36B2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四、农业总产值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83A8C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7E78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249.5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800FE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C365E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260.7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B43F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4.5</w:t>
            </w:r>
          </w:p>
        </w:tc>
      </w:tr>
      <w:tr w14:paraId="20B93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A861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五、规模以上工业总产值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363F0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87E04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2335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66D40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4.8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4495E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2550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EF060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9.2</w:t>
            </w:r>
          </w:p>
        </w:tc>
      </w:tr>
      <w:tr w14:paraId="2122A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C54B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六、固定资产投资完成额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2F36E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82071">
            <w:pPr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311A91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0AC9C">
            <w:pPr>
              <w:jc w:val="center"/>
              <w:rPr>
                <w:rFonts w:hint="eastAsia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5179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6.0</w:t>
            </w:r>
          </w:p>
        </w:tc>
      </w:tr>
      <w:tr w14:paraId="29C1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AB97B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七、一般公共预算总收入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FE967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97419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202.7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2F2B1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19.9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14BC5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214.9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2D5B6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6.0</w:t>
            </w:r>
          </w:p>
        </w:tc>
      </w:tr>
      <w:tr w14:paraId="25C65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A97B5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地方一般公共预算收入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2AD7A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0E3C0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7AD2E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10.9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53221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137.9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ED6FE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6.0</w:t>
            </w:r>
          </w:p>
        </w:tc>
      </w:tr>
      <w:tr w14:paraId="2E354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09EE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八、出口总值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海关口径</w:t>
            </w:r>
            <w:r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5B01B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134B9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550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6D994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-16.8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B17E7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566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025A6">
            <w:pPr>
              <w:jc w:val="center"/>
              <w:rPr>
                <w:rFonts w:hint="default" w:ascii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3.0</w:t>
            </w:r>
          </w:p>
        </w:tc>
      </w:tr>
      <w:tr w14:paraId="53133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7AFA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九、实际利用外资额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48AEE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万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美</w:t>
            </w: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19BEB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16724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99065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9.1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AB661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17225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708D5">
            <w:pPr>
              <w:jc w:val="center"/>
              <w:rPr>
                <w:rFonts w:hint="default" w:ascii="仿宋_GB2312" w:cs="仿宋_GB2312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3.0</w:t>
            </w:r>
          </w:p>
        </w:tc>
      </w:tr>
      <w:tr w14:paraId="696B9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6B30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十、社会消费品零售总额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2D7C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亿元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ADF35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432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1C26B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7.7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475BD8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464.5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B4F5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7.5</w:t>
            </w:r>
          </w:p>
        </w:tc>
      </w:tr>
      <w:tr w14:paraId="29C5A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16D6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十一、全体居民人均可支配收入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393D6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9262C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45451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653D4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6.3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E836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48860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ABF72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7.5</w:t>
            </w:r>
          </w:p>
        </w:tc>
      </w:tr>
      <w:tr w14:paraId="3378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5DCA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（一）农村居民人均可支配收入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3DDD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CF769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34432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3E1AD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722A9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37186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B23CC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8.0</w:t>
            </w:r>
          </w:p>
        </w:tc>
      </w:tr>
      <w:tr w14:paraId="6EE1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7C4A">
            <w:pPr>
              <w:widowControl/>
              <w:jc w:val="left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（二）城镇居民人均可支配收入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C90A3">
            <w:pPr>
              <w:widowControl/>
              <w:jc w:val="center"/>
              <w:rPr>
                <w:rFonts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szCs w:val="20"/>
                <w:highlight w:val="none"/>
              </w:rPr>
              <w:t>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30618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58641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3BBF7">
            <w:pPr>
              <w:jc w:val="center"/>
              <w:rPr>
                <w:rFonts w:ascii="仿宋_GB2312" w:cs="仿宋_GB2312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5.0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4D0DE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62746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996D0">
            <w:pPr>
              <w:jc w:val="center"/>
              <w:rPr>
                <w:rFonts w:hint="default" w:ascii="仿宋_GB2312" w:eastAsia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0"/>
                <w:szCs w:val="20"/>
                <w:highlight w:val="none"/>
                <w:lang w:val="en-US" w:eastAsia="zh-CN"/>
              </w:rPr>
              <w:t>7.0</w:t>
            </w:r>
          </w:p>
        </w:tc>
      </w:tr>
    </w:tbl>
    <w:p w14:paraId="4FA765D4">
      <w:pPr>
        <w:pStyle w:val="20"/>
        <w:ind w:left="0" w:leftChars="0" w:firstLine="0" w:firstLineChars="0"/>
        <w:rPr>
          <w:rFonts w:hint="default" w:eastAsia="宋体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注：</w:t>
      </w:r>
      <w:r>
        <w:rPr>
          <w:rFonts w:hint="eastAsia" w:asciiTheme="majorEastAsia" w:hAnsiTheme="majorEastAsia" w:eastAsiaTheme="majorEastAsia" w:cstheme="majorEastAsia"/>
          <w:szCs w:val="32"/>
          <w:lang w:val="en-US" w:eastAsia="zh-CN"/>
        </w:rPr>
        <w:t>2024</w:t>
      </w:r>
      <w:r>
        <w:rPr>
          <w:rFonts w:hint="eastAsia"/>
          <w:szCs w:val="32"/>
          <w:lang w:val="en-US" w:eastAsia="zh-CN"/>
        </w:rPr>
        <w:t>年计划数以增幅为准。</w:t>
      </w:r>
    </w:p>
    <w:p w14:paraId="459154E5">
      <w:pPr>
        <w:pStyle w:val="3"/>
      </w:pPr>
    </w:p>
    <w:sectPr>
      <w:headerReference r:id="rId3" w:type="default"/>
      <w:footerReference r:id="rId4" w:type="default"/>
      <w:pgSz w:w="11906" w:h="16838"/>
      <w:pgMar w:top="1417" w:right="1531" w:bottom="1417" w:left="1531" w:header="851" w:footer="1077" w:gutter="0"/>
      <w:pgNumType w:fmt="decimal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D87DA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-118110</wp:posOffset>
              </wp:positionV>
              <wp:extent cx="717550" cy="2946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6EF66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3pt;height:23.2pt;width:56.5pt;mso-position-horizontal:outside;mso-position-horizontal-relative:margin;z-index:251660288;mso-width-relative:page;mso-height-relative:page;" filled="f" stroked="f" coordsize="21600,21600" o:gfxdata="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ARgLtYAAAAHAQAADwAAAAAAAAABACAAAAAiAAAAZHJzL2Rvd25yZXYu&#10;eG1sUEsBAhQAFAAAAAgAh07iQBH+D+Q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3E6EF66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12533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12533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A415C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dit="readOnly" w:formatting="1" w:enforcement="0"/>
  <w:defaultTabStop w:val="420"/>
  <w:drawingGridVerticalSpacing w:val="208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U3NzVhNmE3Yjg1NGU1NzY1M2VmYzY4YmU1N2YifQ=="/>
    <w:docVar w:name="KSO_WPS_MARK_KEY" w:val="5f4bd81a-6d59-4e96-a98c-29f34419a6b6"/>
  </w:docVars>
  <w:rsids>
    <w:rsidRoot w:val="56376188"/>
    <w:rsid w:val="000C7562"/>
    <w:rsid w:val="0014191E"/>
    <w:rsid w:val="006007B3"/>
    <w:rsid w:val="009C6A18"/>
    <w:rsid w:val="0115415E"/>
    <w:rsid w:val="01A81C6B"/>
    <w:rsid w:val="02D24BED"/>
    <w:rsid w:val="0383679A"/>
    <w:rsid w:val="04072983"/>
    <w:rsid w:val="05833266"/>
    <w:rsid w:val="05DE1119"/>
    <w:rsid w:val="06744D9D"/>
    <w:rsid w:val="0C10431B"/>
    <w:rsid w:val="0E7940E9"/>
    <w:rsid w:val="0ED364D1"/>
    <w:rsid w:val="10FE0688"/>
    <w:rsid w:val="150E2F09"/>
    <w:rsid w:val="1A8556A7"/>
    <w:rsid w:val="1B686241"/>
    <w:rsid w:val="1CA76B78"/>
    <w:rsid w:val="1F015B3A"/>
    <w:rsid w:val="21894E00"/>
    <w:rsid w:val="21E131B1"/>
    <w:rsid w:val="25CC5D86"/>
    <w:rsid w:val="26E276BF"/>
    <w:rsid w:val="2C815FB1"/>
    <w:rsid w:val="2DA76181"/>
    <w:rsid w:val="2FBD07AE"/>
    <w:rsid w:val="317E5ED0"/>
    <w:rsid w:val="3364635D"/>
    <w:rsid w:val="363C054C"/>
    <w:rsid w:val="373F45E7"/>
    <w:rsid w:val="37663636"/>
    <w:rsid w:val="376A4313"/>
    <w:rsid w:val="3A923733"/>
    <w:rsid w:val="3CD820C9"/>
    <w:rsid w:val="3CE505D0"/>
    <w:rsid w:val="43326C4D"/>
    <w:rsid w:val="43E14BA1"/>
    <w:rsid w:val="451264C3"/>
    <w:rsid w:val="453C768A"/>
    <w:rsid w:val="455478EA"/>
    <w:rsid w:val="4646111B"/>
    <w:rsid w:val="479C2241"/>
    <w:rsid w:val="47EF160B"/>
    <w:rsid w:val="48D10DF2"/>
    <w:rsid w:val="4A1969DF"/>
    <w:rsid w:val="4C47396B"/>
    <w:rsid w:val="4CFA1020"/>
    <w:rsid w:val="4DF041E3"/>
    <w:rsid w:val="4E9A7925"/>
    <w:rsid w:val="53D4118B"/>
    <w:rsid w:val="54283329"/>
    <w:rsid w:val="55AB33E4"/>
    <w:rsid w:val="55DF6F34"/>
    <w:rsid w:val="55F1505E"/>
    <w:rsid w:val="56376188"/>
    <w:rsid w:val="56EE1A24"/>
    <w:rsid w:val="575071A0"/>
    <w:rsid w:val="57834FD0"/>
    <w:rsid w:val="57E9601D"/>
    <w:rsid w:val="58FA6BFD"/>
    <w:rsid w:val="59577EF5"/>
    <w:rsid w:val="5AAF4A08"/>
    <w:rsid w:val="5F6B18E6"/>
    <w:rsid w:val="62777AB9"/>
    <w:rsid w:val="63222804"/>
    <w:rsid w:val="66882B3E"/>
    <w:rsid w:val="676F6B21"/>
    <w:rsid w:val="6CBA497D"/>
    <w:rsid w:val="6D032F0F"/>
    <w:rsid w:val="6DAA3E25"/>
    <w:rsid w:val="6E38228D"/>
    <w:rsid w:val="6F9E54E7"/>
    <w:rsid w:val="70166CA5"/>
    <w:rsid w:val="70A56F4A"/>
    <w:rsid w:val="71AD1CB8"/>
    <w:rsid w:val="74E7276C"/>
    <w:rsid w:val="76126BF9"/>
    <w:rsid w:val="766B75E8"/>
    <w:rsid w:val="785208EA"/>
    <w:rsid w:val="7BE24F2A"/>
    <w:rsid w:val="7F7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next w:val="3"/>
    <w:semiHidden/>
    <w:qFormat/>
    <w:uiPriority w:val="0"/>
    <w:rPr>
      <w:sz w:val="18"/>
      <w:szCs w:val="18"/>
    </w:rPr>
  </w:style>
  <w:style w:type="paragraph" w:customStyle="1" w:styleId="3">
    <w:name w:val="HtmlPre"/>
    <w:basedOn w:val="1"/>
    <w:qFormat/>
    <w:uiPriority w:val="0"/>
    <w:rPr>
      <w:rFonts w:ascii="Courier New" w:hAnsi="Courier New"/>
      <w:sz w:val="20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index 7"/>
    <w:basedOn w:val="1"/>
    <w:next w:val="1"/>
    <w:qFormat/>
    <w:uiPriority w:val="99"/>
    <w:pPr>
      <w:ind w:left="2520"/>
    </w:pPr>
    <w:rPr>
      <w:rFonts w:ascii="Times New Roman" w:hAnsi="Times New Roman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paragraph" w:styleId="8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9">
    <w:name w:val="Balloon Text"/>
    <w:basedOn w:val="1"/>
    <w:next w:val="1"/>
    <w:qFormat/>
    <w:uiPriority w:val="0"/>
    <w:rPr>
      <w:rFonts w:ascii="Calibri" w:hAnsi="Calibri" w:eastAsia="宋体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unhideWhenUsed/>
    <w:qFormat/>
    <w:uiPriority w:val="99"/>
    <w:rPr>
      <w:rFonts w:ascii="Courier New" w:hAnsi="Courier New" w:cs="Courier New"/>
      <w:sz w:val="20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6"/>
    <w:next w:val="15"/>
    <w:qFormat/>
    <w:uiPriority w:val="0"/>
    <w:pPr>
      <w:ind w:firstLine="420" w:firstLineChars="200"/>
    </w:pPr>
    <w:rPr>
      <w:rFonts w:ascii="仿宋_GB2312" w:hAnsi="Times New Roman"/>
    </w:rPr>
  </w:style>
  <w:style w:type="paragraph" w:customStyle="1" w:styleId="15">
    <w:name w:val="*正文"/>
    <w:basedOn w:val="16"/>
    <w:qFormat/>
    <w:uiPriority w:val="0"/>
    <w:pPr>
      <w:spacing w:line="360" w:lineRule="auto"/>
      <w:ind w:firstLine="480"/>
    </w:pPr>
    <w:rPr>
      <w:sz w:val="24"/>
    </w:rPr>
  </w:style>
  <w:style w:type="paragraph" w:customStyle="1" w:styleId="16">
    <w:name w:val="正文 New"/>
    <w:next w:val="17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customStyle="1" w:styleId="17">
    <w:name w:val="Body Text First Indent 2"/>
    <w:basedOn w:val="16"/>
    <w:next w:val="15"/>
    <w:qFormat/>
    <w:uiPriority w:val="0"/>
    <w:pPr>
      <w:ind w:firstLine="420" w:firstLineChars="200"/>
    </w:pPr>
    <w:rPr>
      <w:rFonts w:ascii="Calibri" w:hAnsi="Calibri"/>
      <w:szCs w:val="24"/>
    </w:rPr>
  </w:style>
  <w:style w:type="paragraph" w:customStyle="1" w:styleId="20">
    <w:name w:val="BodyText1I2"/>
    <w:qFormat/>
    <w:uiPriority w:val="99"/>
    <w:pPr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NormalCharacter"/>
    <w:link w:val="22"/>
    <w:qFormat/>
    <w:uiPriority w:val="0"/>
  </w:style>
  <w:style w:type="paragraph" w:customStyle="1" w:styleId="22">
    <w:name w:val="UserStyle_5"/>
    <w:basedOn w:val="1"/>
    <w:link w:val="21"/>
    <w:qFormat/>
    <w:uiPriority w:val="99"/>
    <w:pPr>
      <w:textAlignment w:val="baseline"/>
    </w:p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10605</Words>
  <Characters>11450</Characters>
  <Lines>96</Lines>
  <Paragraphs>27</Paragraphs>
  <TotalTime>5</TotalTime>
  <ScaleCrop>false</ScaleCrop>
  <LinksUpToDate>false</LinksUpToDate>
  <CharactersWithSpaces>11459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2021-12-01T00:41:00Z</dcterms:created>
  <dc:creator>ct</dc:creator>
  <cp:lastModifiedBy>白先生</cp:lastModifiedBy>
  <cp:lastPrinted>2023-12-22T02:00:00Z</cp:lastPrinted>
  <dcterms:modified xsi:type="dcterms:W3CDTF">2024-09-25T08:27:48Z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6C5BACBF48CA4BE6B0966C817FE935F7_13</vt:lpwstr>
  </property>
</Properties>
</file>