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auto"/>
        <w:rPr>
          <w:rFonts w:ascii="仿宋_GB2312" w:eastAsia="仿宋_GB2312"/>
          <w:sz w:val="32"/>
          <w:szCs w:val="32"/>
        </w:rPr>
      </w:pPr>
      <w:r>
        <w:rPr>
          <w:rFonts w:hint="eastAsia" w:ascii="仿宋_GB2312" w:eastAsia="仿宋_GB2312"/>
          <w:sz w:val="32"/>
          <w:szCs w:val="32"/>
        </w:rPr>
        <w:t>附件</w:t>
      </w:r>
    </w:p>
    <w:p>
      <w:pPr>
        <w:spacing w:line="540" w:lineRule="auto"/>
        <w:jc w:val="center"/>
        <w:rPr>
          <w:rFonts w:ascii="仿宋_GB2312" w:eastAsia="仿宋_GB2312"/>
          <w:b/>
          <w:bCs/>
          <w:sz w:val="36"/>
          <w:szCs w:val="32"/>
        </w:rPr>
      </w:pPr>
      <w:bookmarkStart w:id="0" w:name="_GoBack"/>
      <w:r>
        <w:rPr>
          <w:rFonts w:hint="eastAsia" w:ascii="仿宋_GB2312" w:eastAsia="仿宋_GB2312"/>
          <w:b/>
          <w:bCs/>
          <w:sz w:val="36"/>
          <w:szCs w:val="32"/>
        </w:rPr>
        <w:t>福清市东张镇镇区控制性详细规划</w:t>
      </w:r>
    </w:p>
    <w:p>
      <w:pPr>
        <w:spacing w:line="540" w:lineRule="auto"/>
        <w:jc w:val="center"/>
        <w:rPr>
          <w:rFonts w:ascii="仿宋_GB2312" w:eastAsia="仿宋_GB2312"/>
          <w:b/>
          <w:bCs/>
          <w:sz w:val="36"/>
          <w:szCs w:val="32"/>
        </w:rPr>
      </w:pPr>
      <w:r>
        <w:rPr>
          <w:rFonts w:hint="eastAsia" w:ascii="仿宋_GB2312" w:eastAsia="仿宋_GB2312"/>
          <w:b/>
          <w:bCs/>
          <w:sz w:val="36"/>
          <w:szCs w:val="32"/>
        </w:rPr>
        <w:t>主要内容及规划图纸</w:t>
      </w:r>
    </w:p>
    <w:bookmarkEnd w:id="0"/>
    <w:p>
      <w:pPr>
        <w:ind w:firstLine="643" w:firstLineChars="200"/>
        <w:rPr>
          <w:rFonts w:ascii="仿宋_GB2312" w:eastAsia="仿宋_GB2312"/>
          <w:b/>
          <w:sz w:val="32"/>
          <w:szCs w:val="32"/>
        </w:rPr>
      </w:pPr>
      <w:r>
        <w:rPr>
          <w:rFonts w:hint="eastAsia" w:ascii="仿宋_GB2312" w:eastAsia="仿宋_GB2312"/>
          <w:b/>
          <w:sz w:val="32"/>
          <w:szCs w:val="32"/>
        </w:rPr>
        <w:t>一、主要内容</w:t>
      </w:r>
    </w:p>
    <w:p>
      <w:pPr>
        <w:ind w:firstLine="643" w:firstLineChars="200"/>
        <w:rPr>
          <w:rFonts w:ascii="仿宋_GB2312" w:eastAsia="仿宋_GB2312"/>
          <w:b/>
          <w:sz w:val="32"/>
          <w:szCs w:val="32"/>
        </w:rPr>
      </w:pPr>
      <w:r>
        <w:rPr>
          <w:rFonts w:hint="eastAsia" w:ascii="仿宋_GB2312" w:eastAsia="仿宋_GB2312"/>
          <w:b/>
          <w:sz w:val="32"/>
          <w:szCs w:val="32"/>
        </w:rPr>
        <w:t>1、区位及规划范围</w:t>
      </w:r>
    </w:p>
    <w:p>
      <w:pPr>
        <w:ind w:firstLine="640" w:firstLineChars="200"/>
        <w:rPr>
          <w:rFonts w:ascii="仿宋_GB2312" w:eastAsia="仿宋_GB2312"/>
          <w:sz w:val="32"/>
          <w:szCs w:val="32"/>
        </w:rPr>
      </w:pPr>
      <w:r>
        <w:rPr>
          <w:rFonts w:hint="eastAsia" w:ascii="仿宋_GB2312" w:eastAsia="仿宋_GB2312"/>
          <w:sz w:val="32"/>
          <w:szCs w:val="32"/>
        </w:rPr>
        <w:t>东张镇地处福清市西部山区，东连福清主城区，西临莆田市，北接一都镇、镜洋镇，南连渔溪镇、新厝镇，与东张水库毗邻。距福清市区21公里、长乐机场66公里，距宏路高速口、镜洋高速口分别是14公里、13公里，镇区距省会福州53公里。</w:t>
      </w:r>
    </w:p>
    <w:p>
      <w:pPr>
        <w:ind w:firstLine="640" w:firstLineChars="200"/>
        <w:rPr>
          <w:rFonts w:ascii="仿宋_GB2312" w:eastAsia="仿宋_GB2312"/>
          <w:sz w:val="32"/>
          <w:szCs w:val="32"/>
        </w:rPr>
      </w:pPr>
      <w:r>
        <w:rPr>
          <w:rFonts w:hint="eastAsia" w:ascii="仿宋_GB2312" w:eastAsia="仿宋_GB2312"/>
          <w:sz w:val="32"/>
          <w:szCs w:val="32"/>
        </w:rPr>
        <w:t>规划范围为：本次规划地块位于东张水库北侧的东张镇镇区，涉及先锋村、先进村、半岭村、香山村等4个村庄。地块北至先锋村，西至半岭村，南至东张水库，东至先进村，规划总用地面积118.25公顷。</w:t>
      </w:r>
    </w:p>
    <w:p>
      <w:pPr>
        <w:ind w:firstLine="643" w:firstLineChars="20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、功能定位</w:t>
      </w:r>
    </w:p>
    <w:p>
      <w:pPr>
        <w:ind w:firstLine="640" w:firstLineChars="200"/>
        <w:rPr>
          <w:rFonts w:ascii="仿宋_GB2312" w:eastAsia="仿宋_GB2312"/>
          <w:sz w:val="32"/>
          <w:szCs w:val="32"/>
        </w:rPr>
      </w:pPr>
      <w:r>
        <w:rPr>
          <w:rFonts w:hint="eastAsia" w:ascii="仿宋_GB2312" w:eastAsia="仿宋_GB2312"/>
          <w:sz w:val="32"/>
          <w:szCs w:val="32"/>
        </w:rPr>
        <w:t>积极承接福清市中心城区的辐射，充分发挥地理区位优势和土地资源优势，提升交通组织体系，合理调整用地布局，完善市政基础设施与公共服务设施等配套设施，服务周边乡镇和园区，打造为兴农业，抓文旅，打造产业融合、生态优美、文旅繁荣、休闲宜居的清新东张。</w:t>
      </w:r>
    </w:p>
    <w:p>
      <w:pPr>
        <w:ind w:firstLine="643" w:firstLineChars="200"/>
        <w:rPr>
          <w:rFonts w:ascii="仿宋_GB2312" w:eastAsia="仿宋_GB2312"/>
          <w:b/>
          <w:sz w:val="32"/>
          <w:szCs w:val="32"/>
        </w:rPr>
      </w:pPr>
      <w:r>
        <w:rPr>
          <w:rFonts w:ascii="仿宋_GB2312" w:eastAsia="仿宋_GB2312"/>
          <w:b/>
          <w:sz w:val="32"/>
          <w:szCs w:val="32"/>
        </w:rPr>
        <w:t>3</w:t>
      </w:r>
      <w:r>
        <w:rPr>
          <w:rFonts w:hint="eastAsia" w:ascii="仿宋_GB2312" w:eastAsia="仿宋_GB2312"/>
          <w:b/>
          <w:sz w:val="32"/>
          <w:szCs w:val="32"/>
        </w:rPr>
        <w:t>、发展规模</w:t>
      </w:r>
    </w:p>
    <w:p>
      <w:pPr>
        <w:ind w:firstLine="640" w:firstLineChars="200"/>
        <w:rPr>
          <w:rFonts w:ascii="仿宋_GB2312" w:eastAsia="仿宋_GB2312"/>
          <w:sz w:val="32"/>
          <w:szCs w:val="32"/>
        </w:rPr>
      </w:pPr>
      <w:r>
        <w:rPr>
          <w:rFonts w:hint="eastAsia" w:ascii="仿宋_GB2312" w:eastAsia="仿宋_GB2312"/>
          <w:sz w:val="32"/>
          <w:szCs w:val="32"/>
        </w:rPr>
        <w:t>规划人口规模为</w:t>
      </w:r>
      <w:r>
        <w:rPr>
          <w:rFonts w:ascii="仿宋_GB2312" w:eastAsia="仿宋_GB2312"/>
          <w:sz w:val="32"/>
          <w:szCs w:val="32"/>
        </w:rPr>
        <w:t>1.</w:t>
      </w:r>
      <w:r>
        <w:rPr>
          <w:rFonts w:hint="eastAsia" w:ascii="仿宋_GB2312" w:eastAsia="仿宋_GB2312"/>
          <w:sz w:val="32"/>
          <w:szCs w:val="32"/>
        </w:rPr>
        <w:t>5万人，规划总建设用地面积为117.70公顷。</w:t>
      </w:r>
    </w:p>
    <w:p>
      <w:pPr>
        <w:ind w:firstLine="643" w:firstLineChars="200"/>
        <w:rPr>
          <w:rFonts w:ascii="仿宋_GB2312" w:eastAsia="仿宋_GB2312"/>
          <w:b/>
          <w:sz w:val="32"/>
          <w:szCs w:val="32"/>
        </w:rPr>
      </w:pPr>
      <w:r>
        <w:rPr>
          <w:rFonts w:ascii="仿宋_GB2312" w:eastAsia="仿宋_GB2312"/>
          <w:b/>
          <w:sz w:val="32"/>
          <w:szCs w:val="32"/>
        </w:rPr>
        <w:t>4</w:t>
      </w:r>
      <w:r>
        <w:rPr>
          <w:rFonts w:hint="eastAsia" w:ascii="仿宋_GB2312" w:eastAsia="仿宋_GB2312"/>
          <w:b/>
          <w:sz w:val="32"/>
          <w:szCs w:val="32"/>
        </w:rPr>
        <w:t>、结构与布局</w:t>
      </w:r>
    </w:p>
    <w:p>
      <w:pPr>
        <w:ind w:firstLine="640" w:firstLineChars="200"/>
        <w:rPr>
          <w:rFonts w:ascii="仿宋_GB2312" w:eastAsia="仿宋_GB2312"/>
          <w:sz w:val="32"/>
          <w:szCs w:val="32"/>
        </w:rPr>
      </w:pPr>
      <w:r>
        <w:rPr>
          <w:rFonts w:hint="eastAsia" w:ascii="仿宋_GB2312" w:eastAsia="仿宋_GB2312"/>
          <w:sz w:val="32"/>
          <w:szCs w:val="32"/>
        </w:rPr>
        <w:t>依据本区的发展目标及实际情况，综合山体水系和干道布局等因素，总体形成</w:t>
      </w:r>
    </w:p>
    <w:p>
      <w:pPr>
        <w:ind w:firstLine="640" w:firstLineChars="200"/>
        <w:rPr>
          <w:rFonts w:ascii="仿宋_GB2312" w:eastAsia="仿宋_GB2312"/>
          <w:sz w:val="32"/>
          <w:szCs w:val="32"/>
        </w:rPr>
      </w:pPr>
      <w:r>
        <w:rPr>
          <w:rFonts w:hint="eastAsia" w:ascii="仿宋_GB2312" w:eastAsia="仿宋_GB2312"/>
          <w:sz w:val="32"/>
          <w:szCs w:val="32"/>
        </w:rPr>
        <w:t>“一屏两心三轴多组团”的空间结构。</w:t>
      </w:r>
    </w:p>
    <w:p>
      <w:pPr>
        <w:ind w:firstLine="640" w:firstLineChars="200"/>
        <w:rPr>
          <w:rFonts w:ascii="仿宋_GB2312" w:eastAsia="仿宋_GB2312"/>
          <w:sz w:val="32"/>
          <w:szCs w:val="32"/>
        </w:rPr>
      </w:pPr>
      <w:r>
        <w:rPr>
          <w:rFonts w:hint="eastAsia" w:ascii="仿宋_GB2312" w:eastAsia="仿宋_GB2312"/>
          <w:sz w:val="32"/>
          <w:szCs w:val="32"/>
        </w:rPr>
        <w:t>“一屏”:指北部山体生态屏障。</w:t>
      </w:r>
    </w:p>
    <w:p>
      <w:pPr>
        <w:ind w:firstLine="640" w:firstLineChars="200"/>
        <w:rPr>
          <w:rFonts w:ascii="仿宋_GB2312" w:eastAsia="仿宋_GB2312"/>
          <w:sz w:val="32"/>
          <w:szCs w:val="32"/>
        </w:rPr>
      </w:pPr>
      <w:r>
        <w:rPr>
          <w:rFonts w:hint="eastAsia" w:ascii="仿宋_GB2312" w:eastAsia="仿宋_GB2312"/>
          <w:sz w:val="32"/>
          <w:szCs w:val="32"/>
        </w:rPr>
        <w:t>“两心”:指以东张镇镇政府等行政机关为主的南侧综合服务中心和以医院等公共设施为主的北侧文体服务中心。</w:t>
      </w:r>
    </w:p>
    <w:p>
      <w:pPr>
        <w:ind w:firstLine="640" w:firstLineChars="200"/>
        <w:rPr>
          <w:rFonts w:ascii="仿宋_GB2312" w:eastAsia="仿宋_GB2312"/>
          <w:sz w:val="32"/>
          <w:szCs w:val="32"/>
        </w:rPr>
      </w:pPr>
      <w:r>
        <w:rPr>
          <w:rFonts w:hint="eastAsia" w:ascii="仿宋_GB2312" w:eastAsia="仿宋_GB2312"/>
          <w:sz w:val="32"/>
          <w:szCs w:val="32"/>
        </w:rPr>
        <w:t>“三轴”:指以G534国道发展轴、玉兰街发展轴和清荣路发展轴。</w:t>
      </w:r>
    </w:p>
    <w:p>
      <w:pPr>
        <w:ind w:firstLine="640" w:firstLineChars="200"/>
        <w:rPr>
          <w:rFonts w:ascii="仿宋_GB2312" w:eastAsia="仿宋_GB2312"/>
          <w:sz w:val="32"/>
          <w:szCs w:val="32"/>
        </w:rPr>
      </w:pPr>
      <w:r>
        <w:rPr>
          <w:rFonts w:hint="eastAsia" w:ascii="仿宋_GB2312" w:eastAsia="仿宋_GB2312"/>
          <w:sz w:val="32"/>
          <w:szCs w:val="32"/>
        </w:rPr>
        <w:t>“多组团”:指北部镇村生活组团、中部居住组团、中部商住组团和南部环水库生活组团。</w:t>
      </w:r>
    </w:p>
    <w:p>
      <w:pPr>
        <w:ind w:firstLine="643" w:firstLineChars="200"/>
        <w:rPr>
          <w:rFonts w:ascii="仿宋_GB2312" w:eastAsia="仿宋_GB2312"/>
          <w:b/>
          <w:sz w:val="32"/>
          <w:szCs w:val="32"/>
        </w:rPr>
      </w:pPr>
      <w:r>
        <w:rPr>
          <w:rFonts w:ascii="仿宋_GB2312" w:eastAsia="仿宋_GB2312"/>
          <w:b/>
          <w:sz w:val="32"/>
          <w:szCs w:val="32"/>
        </w:rPr>
        <w:t>5</w:t>
      </w:r>
      <w:r>
        <w:rPr>
          <w:rFonts w:hint="eastAsia" w:ascii="仿宋_GB2312" w:eastAsia="仿宋_GB2312"/>
          <w:b/>
          <w:sz w:val="32"/>
          <w:szCs w:val="32"/>
        </w:rPr>
        <w:t>、道路交通规划</w:t>
      </w:r>
    </w:p>
    <w:p>
      <w:pPr>
        <w:ind w:firstLine="640" w:firstLineChars="200"/>
        <w:rPr>
          <w:rFonts w:ascii="仿宋_GB2312" w:eastAsia="仿宋_GB2312"/>
          <w:sz w:val="32"/>
          <w:szCs w:val="32"/>
        </w:rPr>
      </w:pPr>
      <w:r>
        <w:rPr>
          <w:rFonts w:hint="eastAsia" w:ascii="仿宋_GB2312" w:eastAsia="仿宋_GB2312"/>
          <w:sz w:val="32"/>
          <w:szCs w:val="32"/>
        </w:rPr>
        <w:t>规划区内形成“三横三纵多支路”的骨架路网格局。其中，三横:规划外环路、G534 国道、玉兰街-东张路-胜美路三纵: 清华南路-清华北路、清源北路-刘兴路、先进次一路支路:清源路、清河路、清安路、王景来街等。</w:t>
      </w:r>
    </w:p>
    <w:p>
      <w:pPr>
        <w:ind w:firstLine="643" w:firstLineChars="200"/>
        <w:rPr>
          <w:rFonts w:ascii="仿宋_GB2312" w:eastAsia="仿宋_GB2312"/>
          <w:b/>
          <w:sz w:val="32"/>
          <w:szCs w:val="32"/>
        </w:rPr>
      </w:pPr>
    </w:p>
    <w:p>
      <w:pPr>
        <w:ind w:firstLine="643" w:firstLineChars="200"/>
        <w:rPr>
          <w:rFonts w:ascii="仿宋_GB2312" w:eastAsia="仿宋_GB2312"/>
          <w:b/>
          <w:sz w:val="32"/>
          <w:szCs w:val="32"/>
        </w:rPr>
      </w:pPr>
    </w:p>
    <w:p>
      <w:pPr>
        <w:ind w:firstLine="643" w:firstLineChars="200"/>
        <w:rPr>
          <w:rFonts w:ascii="仿宋_GB2312" w:eastAsia="仿宋_GB2312"/>
          <w:b/>
          <w:sz w:val="32"/>
          <w:szCs w:val="32"/>
        </w:rPr>
      </w:pPr>
    </w:p>
    <w:p>
      <w:pPr>
        <w:ind w:firstLine="643" w:firstLineChars="200"/>
        <w:rPr>
          <w:rFonts w:ascii="仿宋_GB2312" w:eastAsia="仿宋_GB2312"/>
          <w:b/>
          <w:sz w:val="32"/>
          <w:szCs w:val="32"/>
        </w:rPr>
      </w:pPr>
    </w:p>
    <w:p>
      <w:pPr>
        <w:ind w:firstLine="643" w:firstLineChars="200"/>
        <w:rPr>
          <w:rFonts w:hint="eastAsia" w:ascii="仿宋_GB2312" w:eastAsia="仿宋_GB2312"/>
          <w:b/>
          <w:sz w:val="32"/>
          <w:szCs w:val="32"/>
        </w:rPr>
      </w:pPr>
    </w:p>
    <w:p>
      <w:pPr>
        <w:ind w:firstLine="643" w:firstLineChars="200"/>
        <w:rPr>
          <w:rFonts w:ascii="仿宋_GB2312" w:eastAsia="仿宋_GB2312"/>
          <w:b/>
          <w:sz w:val="32"/>
          <w:szCs w:val="32"/>
        </w:rPr>
      </w:pPr>
      <w:r>
        <w:rPr>
          <w:rFonts w:hint="eastAsia" w:ascii="仿宋_GB2312" w:eastAsia="仿宋_GB2312"/>
          <w:b/>
          <w:sz w:val="32"/>
          <w:szCs w:val="32"/>
        </w:rPr>
        <w:t>二、主要规划图纸</w:t>
      </w:r>
    </w:p>
    <w:p>
      <w:pPr>
        <w:spacing w:line="540" w:lineRule="auto"/>
        <w:rPr>
          <w:rFonts w:ascii="仿宋_GB2312" w:eastAsia="仿宋_GB2312"/>
          <w:sz w:val="36"/>
          <w:szCs w:val="32"/>
        </w:rPr>
      </w:pPr>
      <w:r>
        <w:rPr>
          <w:rFonts w:hint="eastAsia" w:ascii="仿宋_GB2312" w:eastAsia="仿宋_GB2312"/>
          <w:sz w:val="36"/>
          <w:szCs w:val="32"/>
        </w:rPr>
        <w:t>1、现状影像图</w:t>
      </w:r>
    </w:p>
    <w:p>
      <w:pPr>
        <w:spacing w:line="540" w:lineRule="auto"/>
        <w:jc w:val="center"/>
      </w:pPr>
      <w:r>
        <w:rPr>
          <w:rFonts w:hint="eastAsia" w:ascii="仿宋_GB2312" w:eastAsia="仿宋_GB2312"/>
          <w:sz w:val="36"/>
          <w:szCs w:val="32"/>
        </w:rPr>
        <w:drawing>
          <wp:inline distT="0" distB="0" distL="114300" distR="114300">
            <wp:extent cx="5055235" cy="3610610"/>
            <wp:effectExtent l="0" t="0" r="0" b="8890"/>
            <wp:docPr id="2" name="图片 2" descr="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0"/>
                    <pic:cNvPicPr>
                      <a:picLocks noChangeAspect="1"/>
                    </pic:cNvPicPr>
                  </pic:nvPicPr>
                  <pic:blipFill>
                    <a:blip r:embed="rId6"/>
                    <a:stretch>
                      <a:fillRect/>
                    </a:stretch>
                  </pic:blipFill>
                  <pic:spPr>
                    <a:xfrm>
                      <a:off x="0" y="0"/>
                      <a:ext cx="5061473" cy="3614989"/>
                    </a:xfrm>
                    <a:prstGeom prst="rect">
                      <a:avLst/>
                    </a:prstGeom>
                  </pic:spPr>
                </pic:pic>
              </a:graphicData>
            </a:graphic>
          </wp:inline>
        </w:drawing>
      </w:r>
      <w:r>
        <w:t xml:space="preserve"> </w:t>
      </w:r>
    </w:p>
    <w:p>
      <w:pPr>
        <w:spacing w:line="540" w:lineRule="auto"/>
        <w:rPr>
          <w:rFonts w:ascii="仿宋_GB2312" w:eastAsia="仿宋_GB2312"/>
          <w:sz w:val="36"/>
          <w:szCs w:val="32"/>
        </w:rPr>
      </w:pPr>
      <w:r>
        <w:rPr>
          <w:rFonts w:ascii="仿宋_GB2312" w:eastAsia="仿宋_GB2312"/>
          <w:sz w:val="36"/>
          <w:szCs w:val="32"/>
        </w:rPr>
        <w:t>2</w:t>
      </w:r>
      <w:r>
        <w:rPr>
          <w:rFonts w:hint="eastAsia" w:ascii="仿宋_GB2312" w:eastAsia="仿宋_GB2312"/>
          <w:sz w:val="36"/>
          <w:szCs w:val="32"/>
        </w:rPr>
        <w:t>、规划结构图</w:t>
      </w:r>
    </w:p>
    <w:p>
      <w:pPr>
        <w:spacing w:line="540" w:lineRule="auto"/>
        <w:jc w:val="center"/>
        <w:rPr>
          <w:rFonts w:ascii="仿宋_GB2312" w:eastAsia="仿宋_GB2312"/>
          <w:sz w:val="36"/>
          <w:szCs w:val="32"/>
        </w:rPr>
      </w:pPr>
      <w:r>
        <w:drawing>
          <wp:inline distT="0" distB="0" distL="0" distR="0">
            <wp:extent cx="5039995" cy="3599815"/>
            <wp:effectExtent l="0" t="0" r="8255" b="63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5040121" cy="3600000"/>
                    </a:xfrm>
                    <a:prstGeom prst="rect">
                      <a:avLst/>
                    </a:prstGeom>
                    <a:noFill/>
                    <a:ln>
                      <a:noFill/>
                    </a:ln>
                  </pic:spPr>
                </pic:pic>
              </a:graphicData>
            </a:graphic>
          </wp:inline>
        </w:drawing>
      </w:r>
    </w:p>
    <w:p>
      <w:pPr>
        <w:spacing w:line="540" w:lineRule="auto"/>
        <w:rPr>
          <w:rFonts w:ascii="仿宋_GB2312" w:eastAsia="仿宋_GB2312"/>
          <w:sz w:val="36"/>
          <w:szCs w:val="32"/>
        </w:rPr>
      </w:pPr>
      <w:r>
        <w:rPr>
          <w:rFonts w:hint="eastAsia" w:ascii="仿宋_GB2312" w:eastAsia="仿宋_GB2312"/>
          <w:sz w:val="36"/>
          <w:szCs w:val="32"/>
        </w:rPr>
        <w:t>3、规划用地图</w:t>
      </w:r>
    </w:p>
    <w:p>
      <w:pPr>
        <w:spacing w:line="540" w:lineRule="auto"/>
        <w:jc w:val="center"/>
        <w:rPr>
          <w:rFonts w:ascii="仿宋_GB2312" w:eastAsia="仿宋_GB2312"/>
          <w:sz w:val="36"/>
          <w:szCs w:val="32"/>
        </w:rPr>
      </w:pPr>
      <w:r>
        <w:rPr>
          <w:rFonts w:hint="eastAsia" w:ascii="仿宋_GB2312" w:eastAsia="仿宋_GB2312"/>
          <w:sz w:val="36"/>
          <w:szCs w:val="32"/>
        </w:rPr>
        <w:drawing>
          <wp:inline distT="0" distB="0" distL="114300" distR="114300">
            <wp:extent cx="5039995" cy="3599815"/>
            <wp:effectExtent l="0" t="0" r="8255" b="635"/>
            <wp:docPr id="3" name="图片 3"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
                    <pic:cNvPicPr>
                      <a:picLocks noChangeAspect="1"/>
                    </pic:cNvPicPr>
                  </pic:nvPicPr>
                  <pic:blipFill>
                    <a:blip r:embed="rId8"/>
                    <a:stretch>
                      <a:fillRect/>
                    </a:stretch>
                  </pic:blipFill>
                  <pic:spPr>
                    <a:xfrm>
                      <a:off x="0" y="0"/>
                      <a:ext cx="5040487" cy="3600000"/>
                    </a:xfrm>
                    <a:prstGeom prst="rect">
                      <a:avLst/>
                    </a:prstGeom>
                  </pic:spPr>
                </pic:pic>
              </a:graphicData>
            </a:graphic>
          </wp:inline>
        </w:drawing>
      </w:r>
    </w:p>
    <w:p>
      <w:pPr>
        <w:spacing w:line="540" w:lineRule="auto"/>
        <w:rPr>
          <w:rFonts w:ascii="仿宋_GB2312" w:eastAsia="仿宋_GB2312"/>
          <w:sz w:val="36"/>
          <w:szCs w:val="32"/>
        </w:rPr>
      </w:pPr>
      <w:r>
        <w:rPr>
          <w:rFonts w:hint="eastAsia" w:ascii="仿宋_GB2312" w:eastAsia="仿宋_GB2312"/>
          <w:sz w:val="36"/>
          <w:szCs w:val="32"/>
        </w:rPr>
        <w:t>4、道路交通规划图</w:t>
      </w:r>
    </w:p>
    <w:p>
      <w:pPr>
        <w:rPr>
          <w:rFonts w:ascii="仿宋_GB2312" w:eastAsia="仿宋_GB2312"/>
          <w:sz w:val="32"/>
          <w:szCs w:val="32"/>
        </w:rPr>
      </w:pPr>
      <w:r>
        <w:rPr>
          <w:rFonts w:hint="eastAsia" w:ascii="仿宋_GB2312" w:eastAsia="仿宋_GB2312"/>
          <w:sz w:val="32"/>
          <w:szCs w:val="32"/>
        </w:rPr>
        <w:drawing>
          <wp:inline distT="0" distB="0" distL="114300" distR="114300">
            <wp:extent cx="5039995" cy="3599815"/>
            <wp:effectExtent l="0" t="0" r="8255" b="635"/>
            <wp:docPr id="4" name="图片 4"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3"/>
                    <pic:cNvPicPr>
                      <a:picLocks noChangeAspect="1"/>
                    </pic:cNvPicPr>
                  </pic:nvPicPr>
                  <pic:blipFill>
                    <a:blip r:embed="rId9"/>
                    <a:stretch>
                      <a:fillRect/>
                    </a:stretch>
                  </pic:blipFill>
                  <pic:spPr>
                    <a:xfrm>
                      <a:off x="0" y="0"/>
                      <a:ext cx="5040487" cy="3600000"/>
                    </a:xfrm>
                    <a:prstGeom prst="rect">
                      <a:avLst/>
                    </a:prstGeom>
                  </pic:spPr>
                </pic:pic>
              </a:graphicData>
            </a:graphic>
          </wp:inline>
        </w:drawing>
      </w:r>
    </w:p>
    <w:p>
      <w:pPr>
        <w:rPr>
          <w:rFonts w:hint="eastAsia" w:ascii="仿宋_GB2312" w:eastAsia="仿宋_GB2312"/>
          <w:sz w:val="32"/>
          <w:szCs w:val="32"/>
        </w:rPr>
      </w:pPr>
    </w:p>
    <w:p>
      <w:pPr>
        <w:spacing w:line="540" w:lineRule="auto"/>
        <w:rPr>
          <w:rFonts w:ascii="仿宋_GB2312" w:eastAsia="仿宋_GB2312"/>
          <w:sz w:val="36"/>
          <w:szCs w:val="32"/>
        </w:rPr>
      </w:pPr>
      <w:r>
        <w:rPr>
          <w:rFonts w:hint="eastAsia" w:ascii="仿宋_GB2312" w:eastAsia="仿宋_GB2312"/>
          <w:sz w:val="36"/>
          <w:szCs w:val="32"/>
        </w:rPr>
        <w:t>5、绿地系统规划图</w:t>
      </w:r>
    </w:p>
    <w:p>
      <w:pPr>
        <w:rPr>
          <w:rFonts w:ascii="仿宋_GB2312" w:eastAsia="仿宋_GB2312"/>
          <w:sz w:val="32"/>
          <w:szCs w:val="32"/>
          <w:highlight w:val="yellow"/>
        </w:rPr>
      </w:pPr>
      <w:r>
        <w:rPr>
          <w:rFonts w:hint="eastAsia" w:ascii="仿宋_GB2312" w:eastAsia="仿宋_GB2312"/>
          <w:sz w:val="32"/>
          <w:szCs w:val="32"/>
        </w:rPr>
        <w:drawing>
          <wp:inline distT="0" distB="0" distL="114300" distR="114300">
            <wp:extent cx="5039995" cy="3599815"/>
            <wp:effectExtent l="0" t="0" r="8255" b="635"/>
            <wp:docPr id="5" name="图片 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
                    <pic:cNvPicPr>
                      <a:picLocks noChangeAspect="1"/>
                    </pic:cNvPicPr>
                  </pic:nvPicPr>
                  <pic:blipFill>
                    <a:blip r:embed="rId10"/>
                    <a:stretch>
                      <a:fillRect/>
                    </a:stretch>
                  </pic:blipFill>
                  <pic:spPr>
                    <a:xfrm>
                      <a:off x="0" y="0"/>
                      <a:ext cx="5040487" cy="3600000"/>
                    </a:xfrm>
                    <a:prstGeom prst="rect">
                      <a:avLst/>
                    </a:prstGeom>
                  </pic:spPr>
                </pic:pic>
              </a:graphicData>
            </a:graphic>
          </wp:inline>
        </w:drawing>
      </w:r>
    </w:p>
    <w:sectPr>
      <w:footerReference r:id="rId3" w:type="default"/>
      <w:footerReference r:id="rId4" w:type="even"/>
      <w:pgSz w:w="11906" w:h="16838"/>
      <w:pgMar w:top="1440" w:right="1797" w:bottom="1440" w:left="179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1099" w:wrap="around" w:vAnchor="text" w:hAnchor="page" w:x="8998" w:y="-2"/>
      <w:jc w:val="both"/>
      <w:rPr>
        <w:rStyle w:val="9"/>
        <w:rFonts w:ascii="宋体" w:hAnsi="宋体"/>
        <w:sz w:val="28"/>
        <w:szCs w:val="28"/>
      </w:rPr>
    </w:pPr>
    <w:r>
      <w:rPr>
        <w:rStyle w:val="9"/>
        <w:rFonts w:hint="eastAsia" w:ascii="宋体" w:hAnsi="宋体"/>
        <w:sz w:val="28"/>
        <w:szCs w:val="28"/>
      </w:rPr>
      <w:fldChar w:fldCharType="begin"/>
    </w:r>
    <w:r>
      <w:rPr>
        <w:rStyle w:val="9"/>
        <w:rFonts w:hint="eastAsia" w:ascii="宋体" w:hAnsi="宋体"/>
        <w:sz w:val="28"/>
        <w:szCs w:val="28"/>
      </w:rPr>
      <w:instrText xml:space="preserve">PAGE  </w:instrText>
    </w:r>
    <w:r>
      <w:rPr>
        <w:rStyle w:val="9"/>
        <w:rFonts w:hint="eastAsia" w:ascii="宋体" w:hAnsi="宋体"/>
        <w:sz w:val="28"/>
        <w:szCs w:val="28"/>
      </w:rPr>
      <w:fldChar w:fldCharType="separate"/>
    </w:r>
    <w:r>
      <w:rPr>
        <w:rStyle w:val="9"/>
        <w:rFonts w:ascii="宋体" w:hAnsi="宋体"/>
        <w:sz w:val="28"/>
        <w:szCs w:val="28"/>
      </w:rPr>
      <w:t>- 1 -</w:t>
    </w:r>
    <w:r>
      <w:rPr>
        <w:rStyle w:val="9"/>
        <w:rFonts w:hint="eastAsia" w:ascii="宋体" w:hAnsi="宋体"/>
        <w:sz w:val="28"/>
        <w:szCs w:val="28"/>
      </w:rPr>
      <w:fldChar w:fldCharType="end"/>
    </w:r>
    <w:r>
      <w:rPr>
        <w:rStyle w:val="9"/>
        <w:rFonts w:hint="eastAsia" w:ascii="宋体" w:hAnsi="宋体"/>
        <w:sz w:val="28"/>
        <w:szCs w:val="28"/>
      </w:rPr>
      <w:t xml:space="preserve">       </w:t>
    </w:r>
  </w:p>
  <w:p>
    <w:pPr>
      <w:pStyle w:val="4"/>
      <w:ind w:right="360" w:firstLine="360"/>
      <w:rPr>
        <w:rFonts w:ascii="仿宋_GB2312" w:eastAsia="仿宋_GB2312"/>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ind w:firstLine="280"/>
      <w:rPr>
        <w:rStyle w:val="9"/>
        <w:rFonts w:ascii="宋体" w:hAnsi="宋体"/>
        <w:sz w:val="28"/>
        <w:szCs w:val="28"/>
      </w:rPr>
    </w:pPr>
    <w:r>
      <w:rPr>
        <w:rStyle w:val="9"/>
        <w:rFonts w:ascii="宋体" w:hAnsi="宋体"/>
        <w:sz w:val="28"/>
        <w:szCs w:val="28"/>
      </w:rPr>
      <w:fldChar w:fldCharType="begin"/>
    </w:r>
    <w:r>
      <w:rPr>
        <w:rStyle w:val="9"/>
        <w:rFonts w:ascii="宋体" w:hAnsi="宋体"/>
        <w:sz w:val="28"/>
        <w:szCs w:val="28"/>
      </w:rPr>
      <w:instrText xml:space="preserve">PAGE  </w:instrText>
    </w:r>
    <w:r>
      <w:rPr>
        <w:rStyle w:val="9"/>
        <w:rFonts w:ascii="宋体" w:hAnsi="宋体"/>
        <w:sz w:val="28"/>
        <w:szCs w:val="28"/>
      </w:rPr>
      <w:fldChar w:fldCharType="separate"/>
    </w:r>
    <w:r>
      <w:rPr>
        <w:rStyle w:val="9"/>
        <w:rFonts w:ascii="宋体" w:hAnsi="宋体"/>
        <w:sz w:val="28"/>
        <w:szCs w:val="28"/>
      </w:rPr>
      <w:t>- 2 -</w:t>
    </w:r>
    <w:r>
      <w:rPr>
        <w:rStyle w:val="9"/>
        <w:rFonts w:ascii="宋体" w:hAnsi="宋体"/>
        <w:sz w:val="28"/>
        <w:szCs w:val="28"/>
      </w:rP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U4MjIxNjVkZWE1MzBhMzE0ODUyMWZkZjYwZGRlY2UifQ=="/>
  </w:docVars>
  <w:rsids>
    <w:rsidRoot w:val="00CD7E3F"/>
    <w:rsid w:val="00073B6C"/>
    <w:rsid w:val="00163D92"/>
    <w:rsid w:val="001808C0"/>
    <w:rsid w:val="00272520"/>
    <w:rsid w:val="00291B2B"/>
    <w:rsid w:val="002A4290"/>
    <w:rsid w:val="002F24E1"/>
    <w:rsid w:val="003706BC"/>
    <w:rsid w:val="003C6DF5"/>
    <w:rsid w:val="003D32E4"/>
    <w:rsid w:val="00426DBE"/>
    <w:rsid w:val="00573FE7"/>
    <w:rsid w:val="00583C5D"/>
    <w:rsid w:val="00617E6B"/>
    <w:rsid w:val="00626E3B"/>
    <w:rsid w:val="006B42E0"/>
    <w:rsid w:val="00744C2C"/>
    <w:rsid w:val="0076512C"/>
    <w:rsid w:val="0077505C"/>
    <w:rsid w:val="008E5AC5"/>
    <w:rsid w:val="00902E05"/>
    <w:rsid w:val="009131FC"/>
    <w:rsid w:val="00A03046"/>
    <w:rsid w:val="00A701AE"/>
    <w:rsid w:val="00AB3857"/>
    <w:rsid w:val="00BC7E9D"/>
    <w:rsid w:val="00C4015A"/>
    <w:rsid w:val="00CD7E3F"/>
    <w:rsid w:val="00F73E05"/>
    <w:rsid w:val="01BA47CA"/>
    <w:rsid w:val="08E37AE8"/>
    <w:rsid w:val="093D137F"/>
    <w:rsid w:val="09FF2439"/>
    <w:rsid w:val="0DB456B8"/>
    <w:rsid w:val="0F5B65CF"/>
    <w:rsid w:val="189C7F66"/>
    <w:rsid w:val="1C8E0153"/>
    <w:rsid w:val="1E14059F"/>
    <w:rsid w:val="219559D7"/>
    <w:rsid w:val="24995094"/>
    <w:rsid w:val="26FD03DC"/>
    <w:rsid w:val="2B0C6A2A"/>
    <w:rsid w:val="2CC61010"/>
    <w:rsid w:val="3CDE6FFD"/>
    <w:rsid w:val="3EAA6689"/>
    <w:rsid w:val="461313D5"/>
    <w:rsid w:val="46930C2F"/>
    <w:rsid w:val="47473012"/>
    <w:rsid w:val="4F5D5052"/>
    <w:rsid w:val="5D2B49E2"/>
    <w:rsid w:val="5EE67582"/>
    <w:rsid w:val="61131A15"/>
    <w:rsid w:val="628249B5"/>
    <w:rsid w:val="632329D3"/>
    <w:rsid w:val="68D96285"/>
    <w:rsid w:val="6E971ED7"/>
    <w:rsid w:val="76FB6D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Date"/>
    <w:basedOn w:val="1"/>
    <w:next w:val="1"/>
    <w:uiPriority w:val="0"/>
    <w:pPr>
      <w:ind w:left="100"/>
    </w:pPr>
  </w:style>
  <w:style w:type="paragraph" w:styleId="3">
    <w:name w:val="Balloon Text"/>
    <w:basedOn w:val="1"/>
    <w:link w:val="11"/>
    <w:uiPriority w:val="0"/>
    <w:rPr>
      <w:sz w:val="18"/>
      <w:szCs w:val="18"/>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link w:val="10"/>
    <w:uiPriority w:val="0"/>
    <w:pPr>
      <w:widowControl/>
      <w:spacing w:before="100" w:beforeAutospacing="1" w:after="100" w:afterAutospacing="1"/>
      <w:jc w:val="left"/>
    </w:pPr>
    <w:rPr>
      <w:rFonts w:ascii="宋体" w:hAnsi="宋体" w:cs="宋体"/>
      <w:kern w:val="0"/>
      <w:sz w:val="24"/>
    </w:rPr>
  </w:style>
  <w:style w:type="character" w:styleId="9">
    <w:name w:val="page number"/>
    <w:basedOn w:val="8"/>
    <w:uiPriority w:val="0"/>
  </w:style>
  <w:style w:type="character" w:customStyle="1" w:styleId="10">
    <w:name w:val="普通(网站) 字符"/>
    <w:link w:val="6"/>
    <w:uiPriority w:val="0"/>
    <w:rPr>
      <w:rFonts w:ascii="宋体" w:hAnsi="宋体" w:eastAsia="宋体" w:cs="宋体"/>
      <w:sz w:val="24"/>
      <w:szCs w:val="24"/>
      <w:lang w:val="en-US" w:eastAsia="zh-CN" w:bidi="ar-SA"/>
    </w:rPr>
  </w:style>
  <w:style w:type="character" w:customStyle="1" w:styleId="11">
    <w:name w:val="批注框文本 字符"/>
    <w:basedOn w:val="8"/>
    <w:link w:val="3"/>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7</Pages>
  <Words>1132</Words>
  <Characters>1213</Characters>
  <Lines>9</Lines>
  <Paragraphs>2</Paragraphs>
  <TotalTime>34</TotalTime>
  <ScaleCrop>false</ScaleCrop>
  <LinksUpToDate>false</LinksUpToDate>
  <CharactersWithSpaces>1217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2022-06-02T02:35:00Z</dcterms:created>
  <dc:creator>User</dc:creator>
  <cp:lastModifiedBy>Administrator</cp:lastModifiedBy>
  <cp:lastPrinted>2018-11-14T01:23:00Z</cp:lastPrinted>
  <dcterms:modified xsi:type="dcterms:W3CDTF">2022-12-26T03:11:36Z</dcterms:modified>
  <dc:title>融规 [2012] 253号                  签发人：郑卫东</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4AB496395EA94D18A2E0F9D26F0546BB</vt:lpwstr>
  </property>
</Properties>
</file>