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</w:p>
    <w:p>
      <w:pPr>
        <w:spacing w:line="54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福清市江镜镇350181-50-A基本单元控制性详细规划修编动态维护主要内容及规划图纸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一、主要内容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1、项目概况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地块位于福清市江镜镇镇区北侧，350181-50-A基本单元内。距离江镜镇政府3km，北至规划次一路、南至规划江镜镇第二中心小学、西至规划次二路、东至规划支二路，周边生态景观环境优越，交通便利，是江镜镇新城拓展片区的重要组成部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拟调整地块面积</w:t>
      </w:r>
      <w:r>
        <w:rPr>
          <w:rFonts w:ascii="仿宋_GB2312" w:eastAsia="仿宋_GB2312"/>
          <w:sz w:val="32"/>
          <w:szCs w:val="32"/>
        </w:rPr>
        <w:t>0.79</w:t>
      </w:r>
      <w:r>
        <w:rPr>
          <w:rFonts w:hint="eastAsia" w:ascii="仿宋_GB2312" w:eastAsia="仿宋_GB2312"/>
          <w:sz w:val="32"/>
          <w:szCs w:val="32"/>
        </w:rPr>
        <w:t>公顷，涉及原地块编号350181-50-A-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、调整必要性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调整地块位于江镜镇新城拓展区，周边多为商住用地。伴随着城镇化进程的加快，基层群众对影视、展览、阅读及公共开敞空间等需求呈现多层次、多元化的特点。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级文化设施体量小，难以满足广大人民群众的实际需求。加强文化设施的建设，是完善公共文化服务体系，提高公共文化服务效能的重要举措。构建“平急两用”文化服务设施，有助于提升城镇品质和功能，同时又能增强城镇应对重大公共突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事件</w:t>
      </w:r>
      <w:r>
        <w:rPr>
          <w:rFonts w:hint="eastAsia" w:ascii="仿宋_GB2312" w:eastAsia="仿宋_GB2312"/>
          <w:sz w:val="32"/>
          <w:szCs w:val="32"/>
        </w:rPr>
        <w:t>的能力和水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平。绿地开敞空间缺失，周边居民缺乏活动空间。增设公园绿地，拓展城镇绿色空间，提升市民的幸福感和获得感；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、规划调整方案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（1）调整后用地性质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350181-50-A-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A35</w:t>
      </w:r>
      <w:r>
        <w:rPr>
          <w:rFonts w:hint="eastAsia" w:ascii="仿宋_GB2312" w:eastAsia="仿宋_GB2312"/>
          <w:sz w:val="32"/>
          <w:szCs w:val="32"/>
        </w:rPr>
        <w:t>）调整为文化设施用地（</w:t>
      </w:r>
      <w:r>
        <w:rPr>
          <w:rFonts w:ascii="仿宋_GB2312" w:eastAsia="仿宋_GB2312"/>
          <w:sz w:val="32"/>
          <w:szCs w:val="32"/>
        </w:rPr>
        <w:t>A2</w:t>
      </w:r>
      <w:r>
        <w:rPr>
          <w:rFonts w:hint="eastAsia" w:ascii="仿宋_GB2312" w:eastAsia="仿宋_GB2312"/>
          <w:sz w:val="32"/>
          <w:szCs w:val="32"/>
        </w:rPr>
        <w:t>）与公园绿地（</w:t>
      </w:r>
      <w:r>
        <w:rPr>
          <w:rFonts w:ascii="仿宋_GB2312" w:eastAsia="仿宋_GB2312"/>
          <w:sz w:val="32"/>
          <w:szCs w:val="32"/>
        </w:rPr>
        <w:t>G1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（2）调整后开发强度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350181-50-A-10（文化设施用地）用地面积0</w:t>
      </w:r>
      <w:r>
        <w:rPr>
          <w:rFonts w:ascii="仿宋_GB2312" w:eastAsia="仿宋_GB2312"/>
          <w:sz w:val="32"/>
          <w:szCs w:val="32"/>
        </w:rPr>
        <w:t>.58</w:t>
      </w:r>
      <w:r>
        <w:rPr>
          <w:rFonts w:hint="eastAsia" w:ascii="仿宋_GB2312" w:eastAsia="仿宋_GB2312"/>
          <w:sz w:val="32"/>
          <w:szCs w:val="32"/>
        </w:rPr>
        <w:t>公顷，用地指标：容积率0.8-1.5，建筑密度≤30%，绿地率≥30%，建筑高度≤36米。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350181-50-A-43（公园绿地）用地面积0</w:t>
      </w:r>
      <w:r>
        <w:rPr>
          <w:rFonts w:ascii="仿宋_GB2312" w:eastAsia="仿宋_GB2312"/>
          <w:sz w:val="32"/>
          <w:szCs w:val="32"/>
        </w:rPr>
        <w:t>.21</w:t>
      </w:r>
      <w:r>
        <w:rPr>
          <w:rFonts w:hint="eastAsia" w:ascii="仿宋_GB2312" w:eastAsia="仿宋_GB2312"/>
          <w:sz w:val="32"/>
          <w:szCs w:val="32"/>
        </w:rPr>
        <w:t>公顷，用地指标：容积率≤0.1，建筑密度≤5%，绿地率≥80%，建筑高度≤12米。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、调整可行性分析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（1）功能调整合理性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1）符合“以人为核心的新型城镇化”建设要求；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2）符合“公共文化服务保障”等有关要求。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（2）开发强度指标合理性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调整后指标符合《福建省城市规划管理技术规定》《福建省城市控制性详细规划编制导则》等相关政策文件要求。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（3）开发容量合理性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调整后开发总量下降</w:t>
      </w:r>
      <w:r>
        <w:rPr>
          <w:rFonts w:ascii="仿宋_GB2312" w:eastAsia="仿宋_GB2312"/>
          <w:sz w:val="32"/>
          <w:szCs w:val="32"/>
        </w:rPr>
        <w:t>0.057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（4）配套设施合理性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）市政公用设施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给水工程。地块调整后，用水量减少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m</w:t>
      </w:r>
      <w:r>
        <w:rPr>
          <w:rFonts w:ascii="仿宋_GB2312" w:eastAsia="仿宋_GB2312"/>
          <w:sz w:val="32"/>
          <w:szCs w:val="32"/>
        </w:rPr>
        <w:t>³</w:t>
      </w:r>
      <w:r>
        <w:rPr>
          <w:rFonts w:hint="eastAsia" w:ascii="仿宋_GB2312" w:eastAsia="仿宋_GB2312"/>
          <w:sz w:val="32"/>
          <w:szCs w:val="32"/>
        </w:rPr>
        <w:t>/d ，不影响龙田水厂对控规的用水总量供给，对供水设施无影响。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污水工程。地块调整后，平均日旱流污水量减少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m</w:t>
      </w:r>
      <w:r>
        <w:rPr>
          <w:rFonts w:ascii="仿宋_GB2312" w:eastAsia="仿宋_GB2312"/>
          <w:sz w:val="32"/>
          <w:szCs w:val="32"/>
        </w:rPr>
        <w:t>³</w:t>
      </w:r>
      <w:r>
        <w:rPr>
          <w:rFonts w:hint="eastAsia" w:ascii="仿宋_GB2312" w:eastAsia="仿宋_GB2312"/>
          <w:sz w:val="32"/>
          <w:szCs w:val="32"/>
        </w:rPr>
        <w:t>/d，不影响蓝色经济产业园污水处理厂污水处理能力。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电力工程。地块调整后，用电量减少</w:t>
      </w:r>
      <w:r>
        <w:rPr>
          <w:rFonts w:ascii="仿宋_GB2312" w:eastAsia="仿宋_GB2312"/>
          <w:sz w:val="32"/>
          <w:szCs w:val="32"/>
        </w:rPr>
        <w:t>74</w:t>
      </w:r>
      <w:r>
        <w:rPr>
          <w:rFonts w:hint="eastAsia" w:ascii="仿宋_GB2312" w:eastAsia="仿宋_GB2312"/>
          <w:sz w:val="32"/>
          <w:szCs w:val="32"/>
        </w:rPr>
        <w:t>kW ，</w:t>
      </w:r>
      <w:r>
        <w:rPr>
          <w:rFonts w:hint="eastAsia" w:ascii="仿宋_GB2312" w:eastAsia="仿宋_GB2312"/>
          <w:sz w:val="32"/>
          <w:szCs w:val="32"/>
          <w:lang w:eastAsia="zh-CN"/>
        </w:rPr>
        <w:t>用电负荷</w:t>
      </w:r>
      <w:r>
        <w:rPr>
          <w:rFonts w:hint="eastAsia" w:ascii="仿宋_GB2312" w:eastAsia="仿宋_GB2312"/>
          <w:sz w:val="32"/>
          <w:szCs w:val="32"/>
        </w:rPr>
        <w:t>降低，不影响110kV前张变和110kV苍底变供电能力。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通信工程。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地块调整后，</w:t>
      </w:r>
      <w:r>
        <w:rPr>
          <w:rFonts w:hint="eastAsia" w:ascii="仿宋_GB2312" w:eastAsia="仿宋_GB2312"/>
          <w:sz w:val="32"/>
          <w:szCs w:val="32"/>
        </w:rPr>
        <w:t>固话、宽带用户数减少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个。移动通信用户减少</w:t>
      </w:r>
      <w:r>
        <w:rPr>
          <w:rFonts w:ascii="仿宋_GB2312" w:eastAsia="仿宋_GB2312"/>
          <w:sz w:val="32"/>
          <w:szCs w:val="32"/>
        </w:rPr>
        <w:t>92</w:t>
      </w:r>
      <w:r>
        <w:rPr>
          <w:rFonts w:hint="eastAsia" w:ascii="仿宋_GB2312" w:eastAsia="仿宋_GB2312"/>
          <w:sz w:val="32"/>
          <w:szCs w:val="32"/>
        </w:rPr>
        <w:t>个卡号。不影响通信设施能力。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二、规划图纸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470535</wp:posOffset>
            </wp:positionV>
            <wp:extent cx="6802755" cy="4808220"/>
            <wp:effectExtent l="0" t="0" r="0" b="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755" cy="480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32"/>
          <w:szCs w:val="32"/>
        </w:rPr>
        <w:t>1、地块图则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99" w:wrap="around" w:vAnchor="text" w:hAnchor="page" w:x="8998" w:y="-2"/>
      <w:jc w:val="both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Style w:val="9"/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Style w:val="9"/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      </w:t>
    </w:r>
  </w:p>
  <w:p>
    <w:pPr>
      <w:pStyle w:val="4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- 4 -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wOTZiYWM4YjlkNWIyNTdhOTE4ZjAwYzA1NGNhMTYifQ=="/>
  </w:docVars>
  <w:rsids>
    <w:rsidRoot w:val="00CD7E3F"/>
    <w:rsid w:val="0003075A"/>
    <w:rsid w:val="00073B6C"/>
    <w:rsid w:val="00082265"/>
    <w:rsid w:val="000C0C8A"/>
    <w:rsid w:val="00136BA3"/>
    <w:rsid w:val="00145290"/>
    <w:rsid w:val="00166C6E"/>
    <w:rsid w:val="00177DC8"/>
    <w:rsid w:val="00197E90"/>
    <w:rsid w:val="002329EF"/>
    <w:rsid w:val="0029627B"/>
    <w:rsid w:val="002A721D"/>
    <w:rsid w:val="002A7811"/>
    <w:rsid w:val="002B2474"/>
    <w:rsid w:val="003264DF"/>
    <w:rsid w:val="003266A9"/>
    <w:rsid w:val="00377466"/>
    <w:rsid w:val="003D32E4"/>
    <w:rsid w:val="003F4764"/>
    <w:rsid w:val="0044715A"/>
    <w:rsid w:val="004862EA"/>
    <w:rsid w:val="0049353C"/>
    <w:rsid w:val="004E79B3"/>
    <w:rsid w:val="00583C5D"/>
    <w:rsid w:val="005D470B"/>
    <w:rsid w:val="00605426"/>
    <w:rsid w:val="00626E3B"/>
    <w:rsid w:val="006404DB"/>
    <w:rsid w:val="0064537D"/>
    <w:rsid w:val="00662CE2"/>
    <w:rsid w:val="00667483"/>
    <w:rsid w:val="006B1EFC"/>
    <w:rsid w:val="006B2B89"/>
    <w:rsid w:val="006E5DCD"/>
    <w:rsid w:val="00752DD6"/>
    <w:rsid w:val="00771A40"/>
    <w:rsid w:val="00773384"/>
    <w:rsid w:val="0078012D"/>
    <w:rsid w:val="00787316"/>
    <w:rsid w:val="007D3B58"/>
    <w:rsid w:val="007E2650"/>
    <w:rsid w:val="007E7805"/>
    <w:rsid w:val="0080357E"/>
    <w:rsid w:val="00821368"/>
    <w:rsid w:val="008551EC"/>
    <w:rsid w:val="00884FF3"/>
    <w:rsid w:val="00952DE1"/>
    <w:rsid w:val="00964AD6"/>
    <w:rsid w:val="00973A2E"/>
    <w:rsid w:val="009F3FB4"/>
    <w:rsid w:val="00AC561B"/>
    <w:rsid w:val="00AF7912"/>
    <w:rsid w:val="00B30B6E"/>
    <w:rsid w:val="00B927E5"/>
    <w:rsid w:val="00B97B6C"/>
    <w:rsid w:val="00BA5242"/>
    <w:rsid w:val="00BB6FF7"/>
    <w:rsid w:val="00BF7A60"/>
    <w:rsid w:val="00C23C1C"/>
    <w:rsid w:val="00C85F98"/>
    <w:rsid w:val="00C928AE"/>
    <w:rsid w:val="00CB0717"/>
    <w:rsid w:val="00CD7E3F"/>
    <w:rsid w:val="00D5283A"/>
    <w:rsid w:val="00D57799"/>
    <w:rsid w:val="00D86481"/>
    <w:rsid w:val="00DB77B1"/>
    <w:rsid w:val="00DC176A"/>
    <w:rsid w:val="00E13ECA"/>
    <w:rsid w:val="00E314CD"/>
    <w:rsid w:val="00E429E2"/>
    <w:rsid w:val="00E84063"/>
    <w:rsid w:val="00E85898"/>
    <w:rsid w:val="00EE6185"/>
    <w:rsid w:val="00F1355A"/>
    <w:rsid w:val="00F263B4"/>
    <w:rsid w:val="00F31168"/>
    <w:rsid w:val="00F76260"/>
    <w:rsid w:val="00F76B17"/>
    <w:rsid w:val="00F8012B"/>
    <w:rsid w:val="00FD5961"/>
    <w:rsid w:val="200F1D0F"/>
    <w:rsid w:val="41FA31EA"/>
    <w:rsid w:val="4613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普通(网站) 字符"/>
    <w:link w:val="6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6E3E-AB47-4330-AF49-ED072206A6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164</Words>
  <Characters>939</Characters>
  <Lines>7</Lines>
  <Paragraphs>2</Paragraphs>
  <TotalTime>91</TotalTime>
  <ScaleCrop>false</ScaleCrop>
  <LinksUpToDate>false</LinksUpToDate>
  <CharactersWithSpaces>1101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2022-09-13T13:08:00Z</dcterms:created>
  <dc:creator>User</dc:creator>
  <cp:lastModifiedBy>ㅤㅤㅤ</cp:lastModifiedBy>
  <cp:lastPrinted>2018-11-14T01:23:00Z</cp:lastPrinted>
  <dcterms:modified xsi:type="dcterms:W3CDTF">2023-12-04T03:59:38Z</dcterms:modified>
  <dc:title>融规 [2012] 253号                  签发人：郑卫东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B8A3F9D96CCE46E5A7D03070D436B3A7_12</vt:lpwstr>
  </property>
</Properties>
</file>