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附件</w:t>
      </w:r>
    </w:p>
    <w:p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>
        <w:rPr>
          <w:rFonts w:hint="eastAsia" w:ascii="仿宋_GB2312" w:eastAsia="仿宋_GB2312"/>
          <w:b/>
          <w:sz w:val="36"/>
          <w:szCs w:val="32"/>
        </w:rPr>
        <w:t>福清市三山镇镇区控制性详细规划</w:t>
      </w:r>
    </w:p>
    <w:p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>
        <w:rPr>
          <w:rFonts w:hint="eastAsia" w:ascii="仿宋_GB2312" w:eastAsia="仿宋_GB2312"/>
          <w:b/>
          <w:sz w:val="36"/>
          <w:szCs w:val="32"/>
        </w:rPr>
        <w:t>主要内容及规划图纸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1、区位及规划范围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三山坐落于龙高半岛的东海之滨，北临海坛海峡，南临江阴湾，与平潭隔海相望。与福清市区直线距离27公里，与平潭综合</w:t>
      </w:r>
      <w:r>
        <w:rPr>
          <w:rFonts w:hint="eastAsia" w:ascii="仿宋_GB2312" w:eastAsia="仿宋_GB2312"/>
          <w:sz w:val="32"/>
          <w:szCs w:val="32"/>
          <w:lang w:eastAsia="zh-CN"/>
        </w:rPr>
        <w:t>实验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区直线距离23公里，与福州长乐机场直线距离48公里，距江阴港区直线距离25公里，且境内高速公路、省道均有贯通，区位优势明显。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规划区位于三山镇镇域中部，北至东埔村村委会，南至北坪埔工业区，西至华塘变电站，东至横坑村，规划总面积204.18公顷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、功能定位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承接《福清市国土空间总体规划（2021-2035年）》（在编），结合《福清市国民经济和社会发展第十四个五年规划和二</w:t>
      </w:r>
      <w:r>
        <w:rPr>
          <w:rFonts w:hint="eastAsia" w:ascii="微软雅黑" w:hAnsi="微软雅黑" w:eastAsia="微软雅黑" w:cs="微软雅黑"/>
          <w:sz w:val="32"/>
          <w:szCs w:val="32"/>
        </w:rPr>
        <w:t>〇</w:t>
      </w:r>
      <w:r>
        <w:rPr>
          <w:rFonts w:hint="eastAsia" w:ascii="仿宋_GB2312" w:hAnsi="仿宋_GB2312" w:eastAsia="仿宋_GB2312" w:cs="仿宋_GB2312"/>
          <w:sz w:val="32"/>
          <w:szCs w:val="32"/>
        </w:rPr>
        <w:t>三五年远景目标的建议》，全面落实高质量发展</w:t>
      </w:r>
      <w:r>
        <w:rPr>
          <w:rFonts w:hint="eastAsia" w:ascii="仿宋_GB2312" w:eastAsia="仿宋_GB2312"/>
          <w:sz w:val="32"/>
          <w:szCs w:val="32"/>
        </w:rPr>
        <w:t>超越，将规划区打造为</w:t>
      </w:r>
      <w:r>
        <w:rPr>
          <w:rFonts w:hint="eastAsia" w:ascii="仿宋_GB2312" w:eastAsia="仿宋_GB2312"/>
          <w:b/>
          <w:sz w:val="32"/>
          <w:szCs w:val="32"/>
        </w:rPr>
        <w:t>集公共服务、商贸商业、居住休闲的活力新镇区</w:t>
      </w:r>
      <w:r>
        <w:rPr>
          <w:rFonts w:ascii="仿宋_GB2312" w:eastAsia="仿宋_GB2312"/>
          <w:b/>
          <w:sz w:val="32"/>
          <w:szCs w:val="32"/>
        </w:rPr>
        <w:t>。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、发展规模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规划人口规模3.4万人，规划总建设用地面积为204.16公顷。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>
        <w:rPr>
          <w:rFonts w:hint="eastAsia" w:ascii="仿宋_GB2312" w:eastAsia="仿宋_GB2312"/>
          <w:b/>
          <w:sz w:val="32"/>
          <w:szCs w:val="32"/>
        </w:rPr>
        <w:t>、规划结构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规划形成</w:t>
      </w:r>
      <w:r>
        <w:rPr>
          <w:rFonts w:hint="eastAsia" w:ascii="仿宋_GB2312" w:eastAsia="仿宋_GB2312"/>
          <w:b/>
          <w:sz w:val="32"/>
          <w:szCs w:val="32"/>
        </w:rPr>
        <w:t>“一带一轴两心三片”</w:t>
      </w:r>
      <w:r>
        <w:rPr>
          <w:rFonts w:ascii="仿宋_GB2312" w:eastAsia="仿宋_GB2312"/>
          <w:sz w:val="32"/>
          <w:szCs w:val="32"/>
        </w:rPr>
        <w:t>的空间结构。</w:t>
      </w:r>
      <w:r>
        <w:rPr>
          <w:rFonts w:hint="eastAsia" w:ascii="仿宋_GB2312" w:eastAsia="仿宋_GB2312"/>
          <w:sz w:val="32"/>
          <w:szCs w:val="32"/>
        </w:rPr>
        <w:t>其中，</w:t>
      </w:r>
      <w:r>
        <w:rPr>
          <w:rFonts w:ascii="仿宋_GB2312" w:eastAsia="仿宋_GB2312"/>
          <w:sz w:val="32"/>
          <w:szCs w:val="32"/>
        </w:rPr>
        <w:t>“一</w:t>
      </w:r>
      <w:r>
        <w:rPr>
          <w:rFonts w:hint="eastAsia" w:ascii="仿宋_GB2312" w:eastAsia="仿宋_GB2312"/>
          <w:sz w:val="32"/>
          <w:szCs w:val="32"/>
        </w:rPr>
        <w:t>带</w:t>
      </w:r>
      <w:r>
        <w:rPr>
          <w:rFonts w:ascii="仿宋_GB2312" w:eastAsia="仿宋_GB2312"/>
          <w:sz w:val="32"/>
          <w:szCs w:val="32"/>
        </w:rPr>
        <w:t>”指</w:t>
      </w:r>
      <w:r>
        <w:rPr>
          <w:rFonts w:hint="eastAsia" w:ascii="仿宋_GB2312" w:eastAsia="仿宋_GB2312"/>
          <w:sz w:val="32"/>
          <w:szCs w:val="32"/>
        </w:rPr>
        <w:t>农田生态带</w:t>
      </w:r>
      <w:r>
        <w:rPr>
          <w:rFonts w:ascii="仿宋_GB2312" w:eastAsia="仿宋_GB2312"/>
          <w:sz w:val="32"/>
          <w:szCs w:val="32"/>
        </w:rPr>
        <w:t>；“</w:t>
      </w:r>
      <w:r>
        <w:rPr>
          <w:rFonts w:hint="eastAsia" w:ascii="仿宋_GB2312" w:eastAsia="仿宋_GB2312"/>
          <w:sz w:val="32"/>
          <w:szCs w:val="32"/>
        </w:rPr>
        <w:t>一</w:t>
      </w:r>
      <w:r>
        <w:rPr>
          <w:rFonts w:ascii="仿宋_GB2312" w:eastAsia="仿宋_GB2312"/>
          <w:sz w:val="32"/>
          <w:szCs w:val="32"/>
        </w:rPr>
        <w:t>轴”指</w:t>
      </w:r>
      <w:r>
        <w:rPr>
          <w:rFonts w:hint="eastAsia" w:ascii="仿宋_GB2312" w:eastAsia="仿宋_GB2312"/>
          <w:sz w:val="32"/>
          <w:szCs w:val="32"/>
        </w:rPr>
        <w:t>中心街发展轴</w:t>
      </w:r>
      <w:r>
        <w:rPr>
          <w:rFonts w:ascii="仿宋_GB2312" w:eastAsia="仿宋_GB2312"/>
          <w:sz w:val="32"/>
          <w:szCs w:val="32"/>
        </w:rPr>
        <w:t>；“</w:t>
      </w:r>
      <w:r>
        <w:rPr>
          <w:rFonts w:hint="eastAsia" w:ascii="仿宋_GB2312" w:eastAsia="仿宋_GB2312"/>
          <w:sz w:val="32"/>
          <w:szCs w:val="32"/>
        </w:rPr>
        <w:t>两</w:t>
      </w:r>
      <w:r>
        <w:rPr>
          <w:rFonts w:ascii="仿宋_GB2312" w:eastAsia="仿宋_GB2312"/>
          <w:sz w:val="32"/>
          <w:szCs w:val="32"/>
        </w:rPr>
        <w:t>心”指</w:t>
      </w:r>
      <w:r>
        <w:rPr>
          <w:rFonts w:hint="eastAsia" w:ascii="仿宋_GB2312" w:eastAsia="仿宋_GB2312"/>
          <w:sz w:val="32"/>
          <w:szCs w:val="32"/>
        </w:rPr>
        <w:t>公共服务中心及社区生活中心</w:t>
      </w:r>
      <w:r>
        <w:rPr>
          <w:rFonts w:ascii="仿宋_GB2312" w:eastAsia="仿宋_GB2312"/>
          <w:sz w:val="32"/>
          <w:szCs w:val="32"/>
        </w:rPr>
        <w:t>；“</w:t>
      </w:r>
      <w:r>
        <w:rPr>
          <w:rFonts w:hint="eastAsia" w:ascii="仿宋_GB2312" w:eastAsia="仿宋_GB2312"/>
          <w:sz w:val="32"/>
          <w:szCs w:val="32"/>
        </w:rPr>
        <w:t>三片</w:t>
      </w:r>
      <w:r>
        <w:rPr>
          <w:rFonts w:ascii="仿宋_GB2312" w:eastAsia="仿宋_GB2312"/>
          <w:sz w:val="32"/>
          <w:szCs w:val="32"/>
        </w:rPr>
        <w:t>”指</w:t>
      </w:r>
      <w:r>
        <w:rPr>
          <w:rFonts w:hint="eastAsia" w:ascii="仿宋_GB2312" w:eastAsia="仿宋_GB2312"/>
          <w:sz w:val="32"/>
          <w:szCs w:val="32"/>
        </w:rPr>
        <w:t>旧镇生活片区、综合服务片区及产城融合片区。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5</w:t>
      </w:r>
      <w:r>
        <w:rPr>
          <w:rFonts w:hint="eastAsia" w:ascii="仿宋_GB2312" w:eastAsia="仿宋_GB2312"/>
          <w:b/>
          <w:sz w:val="32"/>
          <w:szCs w:val="32"/>
        </w:rPr>
        <w:t>、用地布局规划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（1）旧镇生活片区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通过梳理完善旧镇区路网系统、整治城镇面貌、结合社区生活圈建设推进民生设施补短提质，改善人居生态环境，提升旧镇生活品质。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（2）综合服务片区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镇区中部为三山镇发展建设的主要拓展方向，通过城镇综合服务联动新老镇区，未来将该片区打造为功能完善、配套齐全、环境优美、品味高尚的城镇新区。在规划定位上突出公共服务、居住休闲等功能。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（3）产城融合片区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利用现有镇区产业空间，适当预留部分产业发展用地，引进对居住和公共环境无干扰、无污染的工业、物流企业。为乡村振兴提供镇区产业空间载体，从加工、物流等方面加强与福州新区福清功能区、东阁农场之间的联系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6</w:t>
      </w:r>
      <w:r>
        <w:rPr>
          <w:rFonts w:hint="eastAsia" w:ascii="仿宋_GB2312" w:eastAsia="仿宋_GB2312"/>
          <w:b/>
          <w:sz w:val="32"/>
          <w:szCs w:val="32"/>
        </w:rPr>
        <w:t>、道路交通规划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对外交通方面。衔接《福清市国土空间总体规划（</w:t>
      </w:r>
      <w:r>
        <w:rPr>
          <w:rFonts w:ascii="仿宋_GB2312" w:eastAsia="仿宋_GB2312"/>
          <w:sz w:val="32"/>
          <w:szCs w:val="32"/>
        </w:rPr>
        <w:t>2021-2035</w:t>
      </w:r>
      <w:r>
        <w:rPr>
          <w:rFonts w:hint="eastAsia" w:ascii="仿宋_GB2312" w:eastAsia="仿宋_GB2312"/>
          <w:sz w:val="32"/>
          <w:szCs w:val="32"/>
        </w:rPr>
        <w:t>年）》（在编），落实并预留</w:t>
      </w:r>
      <w:r>
        <w:rPr>
          <w:rFonts w:ascii="仿宋_GB2312" w:eastAsia="仿宋_GB2312"/>
          <w:sz w:val="32"/>
          <w:szCs w:val="32"/>
        </w:rPr>
        <w:t>S6</w:t>
      </w:r>
      <w:r>
        <w:rPr>
          <w:rFonts w:hint="eastAsia" w:ascii="仿宋_GB2312" w:eastAsia="仿宋_GB2312"/>
          <w:sz w:val="32"/>
          <w:szCs w:val="32"/>
        </w:rPr>
        <w:t>线（福清站</w:t>
      </w:r>
      <w:r>
        <w:rPr>
          <w:rFonts w:ascii="仿宋_GB2312" w:eastAsia="仿宋_GB2312"/>
          <w:sz w:val="32"/>
          <w:szCs w:val="32"/>
        </w:rPr>
        <w:t>-</w:t>
      </w:r>
      <w:r>
        <w:rPr>
          <w:rFonts w:hint="eastAsia" w:ascii="仿宋_GB2312" w:eastAsia="仿宋_GB2312"/>
          <w:sz w:val="32"/>
          <w:szCs w:val="32"/>
        </w:rPr>
        <w:t>龙高半岛）通道建设条件。保留现状国道G</w:t>
      </w:r>
      <w:r>
        <w:rPr>
          <w:rFonts w:ascii="仿宋_GB2312" w:eastAsia="仿宋_GB2312"/>
          <w:sz w:val="32"/>
          <w:szCs w:val="32"/>
        </w:rPr>
        <w:t>104</w:t>
      </w:r>
      <w:r>
        <w:rPr>
          <w:rFonts w:hint="eastAsia" w:ascii="仿宋_GB2312" w:eastAsia="仿宋_GB2312"/>
          <w:sz w:val="32"/>
          <w:szCs w:val="32"/>
        </w:rPr>
        <w:t>（原省道S</w:t>
      </w:r>
      <w:r>
        <w:rPr>
          <w:rFonts w:ascii="仿宋_GB2312" w:eastAsia="仿宋_GB2312"/>
          <w:sz w:val="32"/>
          <w:szCs w:val="32"/>
        </w:rPr>
        <w:t>305</w:t>
      </w:r>
      <w:r>
        <w:rPr>
          <w:rFonts w:hint="eastAsia" w:ascii="仿宋_GB2312" w:eastAsia="仿宋_GB2312"/>
          <w:sz w:val="32"/>
          <w:szCs w:val="32"/>
        </w:rPr>
        <w:t>）。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城市道路方面。规划形成以主干路为骨架，次干路、支路为补充，功能明晰、等级合理的道路系统。其中，主干路6条；次干路7条；支路11条。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7、绿地系统规划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规划形成以乾山公园、金厝头公园、三山公园、规划公园为主体的绿地系统。</w:t>
      </w:r>
      <w:r>
        <w:rPr>
          <w:rFonts w:ascii="仿宋_GB2312" w:eastAsia="仿宋_GB2312"/>
          <w:sz w:val="32"/>
          <w:szCs w:val="32"/>
        </w:rPr>
        <w:br w:type="textWrapping"/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二、主要规划图纸</w:t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1、区位分析图</w:t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70500" cy="746252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52" cy="7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2、</w:t>
      </w:r>
      <w:r>
        <w:rPr>
          <w:rFonts w:hint="eastAsia" w:ascii="仿宋_GB2312" w:eastAsia="仿宋_GB2312"/>
          <w:b/>
          <w:sz w:val="32"/>
          <w:szCs w:val="32"/>
        </w:rPr>
        <w:t>空间结构规划图</w:t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/>
          <w:sz w:val="36"/>
          <w:szCs w:val="32"/>
        </w:rPr>
        <w:drawing>
          <wp:inline distT="0" distB="0" distL="0" distR="0">
            <wp:extent cx="5272405" cy="746569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777" cy="74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3、</w:t>
      </w:r>
      <w:r>
        <w:rPr>
          <w:rFonts w:hint="eastAsia" w:ascii="仿宋_GB2312" w:eastAsia="仿宋_GB2312"/>
          <w:b/>
          <w:sz w:val="32"/>
          <w:szCs w:val="32"/>
        </w:rPr>
        <w:t>土地利用规划图</w:t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/>
          <w:sz w:val="36"/>
          <w:szCs w:val="32"/>
        </w:rPr>
        <w:drawing>
          <wp:inline distT="0" distB="0" distL="0" distR="0">
            <wp:extent cx="5271135" cy="746379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43" cy="74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4、</w:t>
      </w:r>
      <w:r>
        <w:rPr>
          <w:rFonts w:hint="eastAsia" w:ascii="仿宋_GB2312" w:eastAsia="仿宋_GB2312"/>
          <w:b/>
          <w:sz w:val="32"/>
          <w:szCs w:val="32"/>
        </w:rPr>
        <w:t>绿地系统规划图</w:t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/>
          <w:sz w:val="36"/>
          <w:szCs w:val="32"/>
        </w:rPr>
        <w:drawing>
          <wp:inline distT="0" distB="0" distL="0" distR="0">
            <wp:extent cx="5271135" cy="7463790"/>
            <wp:effectExtent l="0" t="0" r="571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43" cy="74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5、</w:t>
      </w:r>
      <w:r>
        <w:rPr>
          <w:rFonts w:hint="eastAsia" w:ascii="仿宋_GB2312" w:eastAsia="仿宋_GB2312"/>
          <w:b/>
          <w:sz w:val="32"/>
          <w:szCs w:val="32"/>
        </w:rPr>
        <w:t>道路交通规划图</w:t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/>
          <w:sz w:val="36"/>
          <w:szCs w:val="32"/>
        </w:rPr>
        <w:drawing>
          <wp:inline distT="0" distB="0" distL="0" distR="0">
            <wp:extent cx="5271135" cy="7463790"/>
            <wp:effectExtent l="0" t="0" r="571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43" cy="74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="1099" w:wrap="around" w:vAnchor="text" w:hAnchor="page" w:x="8998" w:y="-2"/>
      <w:jc w:val="both"/>
      <w:rPr>
        <w:rStyle w:val="9"/>
        <w:rFonts w:ascii="宋体" w:hAnsi="宋体"/>
        <w:sz w:val="28"/>
        <w:szCs w:val="28"/>
      </w:rPr>
    </w:pPr>
    <w:r>
      <w:rPr>
        <w:rStyle w:val="9"/>
        <w:rFonts w:hint="eastAsia" w:ascii="宋体" w:hAnsi="宋体"/>
        <w:sz w:val="28"/>
        <w:szCs w:val="28"/>
      </w:rPr>
      <w:fldChar w:fldCharType="begin"/>
    </w:r>
    <w:r>
      <w:rPr>
        <w:rStyle w:val="9"/>
        <w:rFonts w:hint="eastAsia" w:ascii="宋体" w:hAnsi="宋体"/>
        <w:sz w:val="28"/>
        <w:szCs w:val="28"/>
      </w:rPr>
      <w:instrText xml:space="preserve">PAGE  </w:instrText>
    </w:r>
    <w:r>
      <w:rPr>
        <w:rStyle w:val="9"/>
        <w:rFonts w:hint="eastAsia"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- 7 -</w:t>
    </w:r>
    <w:r>
      <w:rPr>
        <w:rStyle w:val="9"/>
        <w:rFonts w:hint="eastAsia"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      </w:t>
    </w:r>
  </w:p>
  <w:p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ind w:firstLine="280"/>
      <w:rPr>
        <w:rStyle w:val="9"/>
        <w:rFonts w:ascii="宋体" w:hAnsi="宋体"/>
        <w:sz w:val="28"/>
        <w:szCs w:val="28"/>
      </w:rPr>
    </w:pP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- 8 -</w:t>
    </w:r>
    <w:r>
      <w:rPr>
        <w:rStyle w:val="9"/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0YWRlMmRmMDJhMWRkYTU3ZjEyOWYyZjhiYTcyMzAifQ=="/>
  </w:docVars>
  <w:rsids>
    <w:rsidRoot w:val="00CD7E3F"/>
    <w:rsid w:val="0003349E"/>
    <w:rsid w:val="00073B6C"/>
    <w:rsid w:val="000C0C8A"/>
    <w:rsid w:val="00136BA3"/>
    <w:rsid w:val="00145290"/>
    <w:rsid w:val="00166C6E"/>
    <w:rsid w:val="00197E90"/>
    <w:rsid w:val="002329EF"/>
    <w:rsid w:val="00284909"/>
    <w:rsid w:val="00290C6E"/>
    <w:rsid w:val="0029627B"/>
    <w:rsid w:val="002A7811"/>
    <w:rsid w:val="00315CEB"/>
    <w:rsid w:val="003266A9"/>
    <w:rsid w:val="00377466"/>
    <w:rsid w:val="003D32E4"/>
    <w:rsid w:val="0044715A"/>
    <w:rsid w:val="004862EA"/>
    <w:rsid w:val="0049353C"/>
    <w:rsid w:val="004E79B3"/>
    <w:rsid w:val="00583C5D"/>
    <w:rsid w:val="005D470B"/>
    <w:rsid w:val="00605426"/>
    <w:rsid w:val="00626E3B"/>
    <w:rsid w:val="006404DB"/>
    <w:rsid w:val="0064537D"/>
    <w:rsid w:val="006511EF"/>
    <w:rsid w:val="00662CE2"/>
    <w:rsid w:val="00667483"/>
    <w:rsid w:val="006B1EFC"/>
    <w:rsid w:val="006B2B89"/>
    <w:rsid w:val="006E5DCD"/>
    <w:rsid w:val="00752DD6"/>
    <w:rsid w:val="00771A40"/>
    <w:rsid w:val="00773384"/>
    <w:rsid w:val="0078012D"/>
    <w:rsid w:val="00787316"/>
    <w:rsid w:val="007D3B58"/>
    <w:rsid w:val="007E7805"/>
    <w:rsid w:val="00821368"/>
    <w:rsid w:val="008551EC"/>
    <w:rsid w:val="00884FF3"/>
    <w:rsid w:val="008E4B66"/>
    <w:rsid w:val="00952DE1"/>
    <w:rsid w:val="00964AD6"/>
    <w:rsid w:val="009F3FB4"/>
    <w:rsid w:val="00A833C7"/>
    <w:rsid w:val="00AC561B"/>
    <w:rsid w:val="00B927E5"/>
    <w:rsid w:val="00BA5242"/>
    <w:rsid w:val="00BF7A60"/>
    <w:rsid w:val="00C23C1C"/>
    <w:rsid w:val="00CB0717"/>
    <w:rsid w:val="00CC1443"/>
    <w:rsid w:val="00CD7E3F"/>
    <w:rsid w:val="00D444EE"/>
    <w:rsid w:val="00D5283A"/>
    <w:rsid w:val="00D57799"/>
    <w:rsid w:val="00D86481"/>
    <w:rsid w:val="00DB77B1"/>
    <w:rsid w:val="00E13ECA"/>
    <w:rsid w:val="00E314CD"/>
    <w:rsid w:val="00E429E2"/>
    <w:rsid w:val="00E84063"/>
    <w:rsid w:val="00E85898"/>
    <w:rsid w:val="00EB4D1B"/>
    <w:rsid w:val="00EE6185"/>
    <w:rsid w:val="00F76260"/>
    <w:rsid w:val="00F76B17"/>
    <w:rsid w:val="00FD5961"/>
    <w:rsid w:val="1CBE43E3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pPr>
      <w:ind w:left="100"/>
    </w:p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0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uiPriority w:val="0"/>
  </w:style>
  <w:style w:type="character" w:customStyle="1" w:styleId="10">
    <w:name w:val="普通(网站) 字符"/>
    <w:link w:val="6"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1">
    <w:name w:val="批注框文本 字符"/>
    <w:basedOn w:val="8"/>
    <w:link w:val="3"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234E4-2683-4C2A-AF6E-6F1D2B2154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157</Words>
  <Characters>897</Characters>
  <Lines>7</Lines>
  <Paragraphs>2</Paragraphs>
  <TotalTime>40</TotalTime>
  <ScaleCrop>false</ScaleCrop>
  <LinksUpToDate>false</LinksUpToDate>
  <CharactersWithSpaces>1052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2024-01-19T01:16:00Z</dcterms:created>
  <dc:creator>User</dc:creator>
  <cp:lastModifiedBy>凌儿</cp:lastModifiedBy>
  <cp:lastPrinted>2018-11-14T01:23:00Z</cp:lastPrinted>
  <dcterms:modified xsi:type="dcterms:W3CDTF">2024-01-24T08:54:58Z</dcterms:modified>
  <dc:title>融规 [2012] 253号                  签发人：郑卫东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0E1DC29F1C494A808DB01B441DD07603_12</vt:lpwstr>
  </property>
</Properties>
</file>