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auto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附件</w:t>
      </w:r>
    </w:p>
    <w:p>
      <w:pPr>
        <w:spacing w:line="540" w:lineRule="auto"/>
        <w:jc w:val="center"/>
        <w:rPr>
          <w:rFonts w:ascii="仿宋_GB2312" w:eastAsia="仿宋_GB2312"/>
          <w:b/>
          <w:sz w:val="36"/>
          <w:szCs w:val="32"/>
        </w:rPr>
      </w:pPr>
      <w:bookmarkStart w:id="0" w:name="_GoBack"/>
      <w:bookmarkEnd w:id="0"/>
      <w:r>
        <w:rPr>
          <w:rFonts w:hint="eastAsia" w:ascii="仿宋_GB2312" w:eastAsia="仿宋_GB2312"/>
          <w:b/>
          <w:sz w:val="36"/>
          <w:szCs w:val="32"/>
        </w:rPr>
        <w:t>《福清市三山核电东侧地块控制性详细规划》的主要内容及规划图纸</w:t>
      </w:r>
    </w:p>
    <w:p>
      <w:pPr>
        <w:spacing w:line="600" w:lineRule="exact"/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一、区位及规划范围</w:t>
      </w:r>
    </w:p>
    <w:p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本次规划区位于福清市三山镇区西南侧、前薛村东侧，距三山</w:t>
      </w:r>
      <w:r>
        <w:rPr>
          <w:rFonts w:ascii="仿宋_GB2312" w:eastAsia="仿宋_GB2312"/>
          <w:sz w:val="32"/>
          <w:szCs w:val="32"/>
        </w:rPr>
        <w:t>镇区10</w:t>
      </w:r>
      <w:r>
        <w:rPr>
          <w:rFonts w:hint="eastAsia" w:ascii="仿宋_GB2312" w:eastAsia="仿宋_GB2312"/>
          <w:sz w:val="32"/>
          <w:szCs w:val="32"/>
        </w:rPr>
        <w:t>公里</w:t>
      </w:r>
      <w:r>
        <w:rPr>
          <w:rFonts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</w:rPr>
        <w:t>距福清</w:t>
      </w:r>
      <w:r>
        <w:rPr>
          <w:rFonts w:ascii="仿宋_GB2312" w:eastAsia="仿宋_GB2312"/>
          <w:sz w:val="32"/>
          <w:szCs w:val="32"/>
        </w:rPr>
        <w:t>市区</w:t>
      </w:r>
      <w:r>
        <w:rPr>
          <w:rFonts w:hint="eastAsia" w:ascii="仿宋_GB2312" w:eastAsia="仿宋_GB2312"/>
          <w:sz w:val="32"/>
          <w:szCs w:val="32"/>
        </w:rPr>
        <w:t>35公里</w:t>
      </w:r>
      <w:r>
        <w:rPr>
          <w:rFonts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</w:rPr>
        <w:t>交通便捷。规划范围西至县道X</w:t>
      </w:r>
      <w:r>
        <w:rPr>
          <w:rFonts w:ascii="仿宋_GB2312" w:eastAsia="仿宋_GB2312"/>
          <w:sz w:val="32"/>
          <w:szCs w:val="32"/>
        </w:rPr>
        <w:t>175</w:t>
      </w:r>
      <w:r>
        <w:rPr>
          <w:rFonts w:hint="eastAsia" w:ascii="仿宋_GB2312" w:eastAsia="仿宋_GB2312"/>
          <w:sz w:val="32"/>
          <w:szCs w:val="32"/>
        </w:rPr>
        <w:t>，东至国有滩涂，南至福清核电，北临核电公交站，规划用地总面积</w:t>
      </w:r>
      <w:r>
        <w:rPr>
          <w:rFonts w:ascii="仿宋_GB2312" w:eastAsia="仿宋_GB2312"/>
          <w:sz w:val="32"/>
          <w:szCs w:val="32"/>
        </w:rPr>
        <w:t>6.67</w:t>
      </w:r>
      <w:r>
        <w:rPr>
          <w:rFonts w:hint="eastAsia" w:ascii="仿宋_GB2312" w:eastAsia="仿宋_GB2312"/>
          <w:sz w:val="32"/>
          <w:szCs w:val="32"/>
        </w:rPr>
        <w:t>公顷。</w:t>
      </w:r>
    </w:p>
    <w:p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二</w:t>
      </w:r>
      <w:r>
        <w:rPr>
          <w:rFonts w:ascii="仿宋_GB2312" w:eastAsia="仿宋_GB2312"/>
          <w:b/>
          <w:sz w:val="32"/>
          <w:szCs w:val="32"/>
        </w:rPr>
        <w:t>、用地布局</w:t>
      </w:r>
    </w:p>
    <w:p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地块用地性质分类和代码均采用《国土空间调查、规划、用途管制用地用海分类指南》。地块350181-61-A-11用地性质为1401（公园绿地），规划面积494.29</w:t>
      </w:r>
      <w:r>
        <w:rPr>
          <w:rFonts w:hint="eastAsia" w:ascii="Segoe UI Symbol" w:hAnsi="Segoe UI Symbol" w:eastAsia="Segoe UI Symbol" w:cs="Segoe UI Symbol"/>
          <w:sz w:val="32"/>
          <w:szCs w:val="32"/>
        </w:rPr>
        <w:t>㎡</w:t>
      </w:r>
      <w:r>
        <w:rPr>
          <w:rFonts w:hint="eastAsia" w:ascii="仿宋_GB2312" w:hAnsi="仿宋_GB2312" w:eastAsia="仿宋_GB2312" w:cs="仿宋_GB2312"/>
          <w:sz w:val="32"/>
          <w:szCs w:val="32"/>
        </w:rPr>
        <w:t>；地块</w:t>
      </w:r>
      <w:r>
        <w:rPr>
          <w:rFonts w:hint="eastAsia" w:ascii="仿宋_GB2312" w:eastAsia="仿宋_GB2312"/>
          <w:sz w:val="32"/>
          <w:szCs w:val="32"/>
        </w:rPr>
        <w:t>350181-61-A-12用地性质为1303（供电用地），规划面积29644.55</w:t>
      </w:r>
      <w:r>
        <w:rPr>
          <w:rFonts w:hint="eastAsia" w:ascii="Segoe UI Symbol" w:hAnsi="Segoe UI Symbol" w:eastAsia="Segoe UI Symbol" w:cs="Segoe UI Symbol"/>
          <w:sz w:val="32"/>
          <w:szCs w:val="32"/>
        </w:rPr>
        <w:t>㎡</w:t>
      </w:r>
      <w:r>
        <w:rPr>
          <w:rFonts w:hint="eastAsia" w:ascii="仿宋_GB2312" w:hAnsi="仿宋_GB2312" w:eastAsia="仿宋_GB2312" w:cs="仿宋_GB2312"/>
          <w:sz w:val="32"/>
          <w:szCs w:val="32"/>
        </w:rPr>
        <w:t>；地块</w:t>
      </w:r>
      <w:r>
        <w:rPr>
          <w:rFonts w:hint="eastAsia" w:ascii="仿宋_GB2312" w:eastAsia="仿宋_GB2312"/>
          <w:sz w:val="32"/>
          <w:szCs w:val="32"/>
        </w:rPr>
        <w:t>350181-61-A-13用地性质为100103（三类工业用地），规划面积2510.75</w:t>
      </w:r>
      <w:r>
        <w:rPr>
          <w:rFonts w:hint="eastAsia" w:ascii="Segoe UI Symbol" w:hAnsi="Segoe UI Symbol" w:eastAsia="Segoe UI Symbol" w:cs="Segoe UI Symbol"/>
          <w:sz w:val="32"/>
          <w:szCs w:val="32"/>
        </w:rPr>
        <w:t>㎡</w:t>
      </w:r>
      <w:r>
        <w:rPr>
          <w:rFonts w:hint="eastAsia" w:ascii="仿宋_GB2312" w:hAnsi="仿宋_GB2312" w:eastAsia="仿宋_GB2312" w:cs="仿宋_GB2312"/>
          <w:sz w:val="32"/>
          <w:szCs w:val="32"/>
        </w:rPr>
        <w:t>；地块</w:t>
      </w:r>
      <w:r>
        <w:rPr>
          <w:rFonts w:hint="eastAsia" w:ascii="仿宋_GB2312" w:eastAsia="仿宋_GB2312"/>
          <w:sz w:val="32"/>
          <w:szCs w:val="32"/>
        </w:rPr>
        <w:t>350181-61-A-14用地性质为1401（公园绿地），规划面积34090.82</w:t>
      </w:r>
      <w:r>
        <w:rPr>
          <w:rFonts w:hint="eastAsia" w:ascii="Segoe UI Symbol" w:hAnsi="Segoe UI Symbol" w:eastAsia="Segoe UI Symbol" w:cs="Segoe UI Symbol"/>
          <w:sz w:val="32"/>
          <w:szCs w:val="32"/>
        </w:rPr>
        <w:t>㎡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三</w:t>
      </w:r>
      <w:r>
        <w:rPr>
          <w:rFonts w:ascii="仿宋_GB2312" w:eastAsia="仿宋_GB2312"/>
          <w:b/>
          <w:sz w:val="32"/>
          <w:szCs w:val="32"/>
        </w:rPr>
        <w:t>、</w:t>
      </w:r>
      <w:r>
        <w:rPr>
          <w:rFonts w:hint="eastAsia" w:ascii="仿宋_GB2312" w:eastAsia="仿宋_GB2312"/>
          <w:b/>
          <w:sz w:val="32"/>
          <w:szCs w:val="32"/>
        </w:rPr>
        <w:t>地块</w:t>
      </w:r>
      <w:r>
        <w:rPr>
          <w:rFonts w:ascii="仿宋_GB2312" w:eastAsia="仿宋_GB2312"/>
          <w:b/>
          <w:sz w:val="32"/>
          <w:szCs w:val="32"/>
        </w:rPr>
        <w:t>指标</w:t>
      </w:r>
    </w:p>
    <w:p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350181-61-A-11地块容积率≤</w:t>
      </w:r>
      <w:r>
        <w:rPr>
          <w:rFonts w:ascii="仿宋_GB2312" w:eastAsia="仿宋_GB2312"/>
          <w:sz w:val="32"/>
          <w:szCs w:val="32"/>
        </w:rPr>
        <w:t>0.1</w:t>
      </w:r>
      <w:r>
        <w:rPr>
          <w:rFonts w:hint="eastAsia" w:ascii="仿宋_GB2312" w:eastAsia="仿宋_GB2312"/>
          <w:sz w:val="32"/>
          <w:szCs w:val="32"/>
        </w:rPr>
        <w:t>，建筑密度≤</w:t>
      </w:r>
      <w:r>
        <w:rPr>
          <w:rFonts w:ascii="仿宋_GB2312" w:eastAsia="仿宋_GB2312"/>
          <w:sz w:val="32"/>
          <w:szCs w:val="32"/>
        </w:rPr>
        <w:t>10</w:t>
      </w:r>
      <w:r>
        <w:rPr>
          <w:rFonts w:hint="eastAsia" w:ascii="仿宋_GB2312" w:eastAsia="仿宋_GB2312"/>
          <w:sz w:val="32"/>
          <w:szCs w:val="32"/>
        </w:rPr>
        <w:t>%，绿地率≥</w:t>
      </w:r>
      <w:r>
        <w:rPr>
          <w:rFonts w:ascii="仿宋_GB2312" w:eastAsia="仿宋_GB2312"/>
          <w:sz w:val="32"/>
          <w:szCs w:val="32"/>
        </w:rPr>
        <w:t>80</w:t>
      </w:r>
      <w:r>
        <w:rPr>
          <w:rFonts w:hint="eastAsia" w:ascii="仿宋_GB2312" w:eastAsia="仿宋_GB2312"/>
          <w:sz w:val="32"/>
          <w:szCs w:val="32"/>
        </w:rPr>
        <w:t>%，建筑高度按</w:t>
      </w:r>
      <w:r>
        <w:rPr>
          <w:rFonts w:ascii="仿宋_GB2312" w:eastAsia="仿宋_GB2312"/>
          <w:sz w:val="32"/>
          <w:szCs w:val="32"/>
        </w:rPr>
        <w:t>12</w:t>
      </w:r>
      <w:r>
        <w:rPr>
          <w:rFonts w:hint="eastAsia" w:ascii="仿宋_GB2312" w:eastAsia="仿宋_GB2312"/>
          <w:sz w:val="32"/>
          <w:szCs w:val="32"/>
        </w:rPr>
        <w:t>米控制；</w:t>
      </w:r>
      <w:r>
        <w:rPr>
          <w:rFonts w:ascii="仿宋_GB2312" w:eastAsia="仿宋_GB2312"/>
          <w:sz w:val="32"/>
          <w:szCs w:val="32"/>
        </w:rPr>
        <w:t>350181-61-A-12</w:t>
      </w:r>
      <w:r>
        <w:rPr>
          <w:rFonts w:hint="eastAsia" w:ascii="仿宋_GB2312" w:eastAsia="仿宋_GB2312"/>
          <w:sz w:val="32"/>
          <w:szCs w:val="32"/>
        </w:rPr>
        <w:t>地块容积率0</w:t>
      </w:r>
      <w:r>
        <w:rPr>
          <w:rFonts w:ascii="仿宋_GB2312" w:eastAsia="仿宋_GB2312"/>
          <w:sz w:val="32"/>
          <w:szCs w:val="32"/>
        </w:rPr>
        <w:t>.1-0.5</w:t>
      </w:r>
      <w:r>
        <w:rPr>
          <w:rFonts w:hint="eastAsia" w:ascii="仿宋_GB2312" w:eastAsia="仿宋_GB2312"/>
          <w:sz w:val="32"/>
          <w:szCs w:val="32"/>
        </w:rPr>
        <w:t>，建筑密度≤</w:t>
      </w:r>
      <w:r>
        <w:rPr>
          <w:rFonts w:ascii="仿宋_GB2312" w:eastAsia="仿宋_GB2312"/>
          <w:sz w:val="32"/>
          <w:szCs w:val="32"/>
        </w:rPr>
        <w:t>30</w:t>
      </w:r>
      <w:r>
        <w:rPr>
          <w:rFonts w:hint="eastAsia" w:ascii="仿宋_GB2312" w:eastAsia="仿宋_GB2312"/>
          <w:sz w:val="32"/>
          <w:szCs w:val="32"/>
        </w:rPr>
        <w:t>%，绿地率≥2</w:t>
      </w:r>
      <w:r>
        <w:rPr>
          <w:rFonts w:ascii="仿宋_GB2312" w:eastAsia="仿宋_GB2312"/>
          <w:sz w:val="32"/>
          <w:szCs w:val="32"/>
        </w:rPr>
        <w:t>0</w:t>
      </w:r>
      <w:r>
        <w:rPr>
          <w:rFonts w:hint="eastAsia" w:ascii="仿宋_GB2312" w:eastAsia="仿宋_GB2312"/>
          <w:sz w:val="32"/>
          <w:szCs w:val="32"/>
        </w:rPr>
        <w:t>%，建筑高度按</w:t>
      </w:r>
      <w:r>
        <w:rPr>
          <w:rFonts w:ascii="仿宋_GB2312" w:eastAsia="仿宋_GB2312"/>
          <w:sz w:val="32"/>
          <w:szCs w:val="32"/>
        </w:rPr>
        <w:t>24</w:t>
      </w:r>
      <w:r>
        <w:rPr>
          <w:rFonts w:hint="eastAsia" w:ascii="仿宋_GB2312" w:eastAsia="仿宋_GB2312"/>
          <w:sz w:val="32"/>
          <w:szCs w:val="32"/>
        </w:rPr>
        <w:t>米控制；</w:t>
      </w:r>
      <w:r>
        <w:rPr>
          <w:rFonts w:ascii="仿宋_GB2312" w:eastAsia="仿宋_GB2312"/>
          <w:sz w:val="32"/>
          <w:szCs w:val="32"/>
        </w:rPr>
        <w:t>350181-61-A-13</w:t>
      </w:r>
      <w:r>
        <w:rPr>
          <w:rFonts w:hint="eastAsia" w:ascii="仿宋_GB2312" w:eastAsia="仿宋_GB2312"/>
          <w:sz w:val="32"/>
          <w:szCs w:val="32"/>
        </w:rPr>
        <w:t>地块容积率1</w:t>
      </w:r>
      <w:r>
        <w:rPr>
          <w:rFonts w:ascii="仿宋_GB2312" w:eastAsia="仿宋_GB2312"/>
          <w:sz w:val="32"/>
          <w:szCs w:val="32"/>
        </w:rPr>
        <w:t>.0-3.0</w:t>
      </w:r>
      <w:r>
        <w:rPr>
          <w:rFonts w:hint="eastAsia" w:ascii="仿宋_GB2312" w:eastAsia="仿宋_GB2312"/>
          <w:sz w:val="32"/>
          <w:szCs w:val="32"/>
        </w:rPr>
        <w:t>，建筑密度≥</w:t>
      </w:r>
      <w:r>
        <w:rPr>
          <w:rFonts w:ascii="仿宋_GB2312" w:eastAsia="仿宋_GB2312"/>
          <w:sz w:val="32"/>
          <w:szCs w:val="32"/>
        </w:rPr>
        <w:t>3</w:t>
      </w:r>
      <w:r>
        <w:rPr>
          <w:rFonts w:hint="eastAsia" w:ascii="仿宋_GB2312" w:eastAsia="仿宋_GB2312"/>
          <w:sz w:val="32"/>
          <w:szCs w:val="32"/>
        </w:rPr>
        <w:t>0%，建筑系数≥4</w:t>
      </w:r>
      <w:r>
        <w:rPr>
          <w:rFonts w:ascii="仿宋_GB2312" w:eastAsia="仿宋_GB2312"/>
          <w:sz w:val="32"/>
          <w:szCs w:val="32"/>
        </w:rPr>
        <w:t>0</w:t>
      </w:r>
      <w:r>
        <w:rPr>
          <w:rFonts w:hint="eastAsia" w:ascii="仿宋_GB2312" w:eastAsia="仿宋_GB2312"/>
          <w:sz w:val="32"/>
          <w:szCs w:val="32"/>
        </w:rPr>
        <w:t>%，绿地率1</w:t>
      </w:r>
      <w:r>
        <w:rPr>
          <w:rFonts w:ascii="仿宋_GB2312" w:eastAsia="仿宋_GB2312"/>
          <w:sz w:val="32"/>
          <w:szCs w:val="32"/>
        </w:rPr>
        <w:t>0</w:t>
      </w:r>
      <w:r>
        <w:rPr>
          <w:rFonts w:hint="eastAsia" w:ascii="仿宋_GB2312" w:eastAsia="仿宋_GB2312"/>
          <w:sz w:val="32"/>
          <w:szCs w:val="32"/>
        </w:rPr>
        <w:t>%</w:t>
      </w:r>
      <w:r>
        <w:rPr>
          <w:rFonts w:ascii="仿宋_GB2312" w:eastAsia="仿宋_GB2312"/>
          <w:sz w:val="32"/>
          <w:szCs w:val="32"/>
        </w:rPr>
        <w:t>-20</w:t>
      </w:r>
      <w:r>
        <w:rPr>
          <w:rFonts w:hint="eastAsia" w:ascii="仿宋_GB2312" w:eastAsia="仿宋_GB2312"/>
          <w:sz w:val="32"/>
          <w:szCs w:val="32"/>
        </w:rPr>
        <w:t>%，建筑高度按</w:t>
      </w:r>
      <w:r>
        <w:rPr>
          <w:rFonts w:ascii="仿宋_GB2312" w:eastAsia="仿宋_GB2312"/>
          <w:sz w:val="32"/>
          <w:szCs w:val="32"/>
        </w:rPr>
        <w:t>36</w:t>
      </w:r>
      <w:r>
        <w:rPr>
          <w:rFonts w:hint="eastAsia" w:ascii="仿宋_GB2312" w:eastAsia="仿宋_GB2312"/>
          <w:sz w:val="32"/>
          <w:szCs w:val="32"/>
        </w:rPr>
        <w:t>米控制；</w:t>
      </w:r>
      <w:r>
        <w:rPr>
          <w:rFonts w:ascii="仿宋_GB2312" w:eastAsia="仿宋_GB2312"/>
          <w:sz w:val="32"/>
          <w:szCs w:val="32"/>
        </w:rPr>
        <w:t>350181-61-A-14</w:t>
      </w:r>
      <w:r>
        <w:rPr>
          <w:rFonts w:hint="eastAsia" w:ascii="仿宋_GB2312" w:eastAsia="仿宋_GB2312"/>
          <w:sz w:val="32"/>
          <w:szCs w:val="32"/>
        </w:rPr>
        <w:t>地块容积率≤</w:t>
      </w:r>
      <w:r>
        <w:rPr>
          <w:rFonts w:ascii="仿宋_GB2312" w:eastAsia="仿宋_GB2312"/>
          <w:sz w:val="32"/>
          <w:szCs w:val="32"/>
        </w:rPr>
        <w:t>0.1</w:t>
      </w:r>
      <w:r>
        <w:rPr>
          <w:rFonts w:hint="eastAsia" w:ascii="仿宋_GB2312" w:eastAsia="仿宋_GB2312"/>
          <w:sz w:val="32"/>
          <w:szCs w:val="32"/>
        </w:rPr>
        <w:t>，建筑密度≤</w:t>
      </w:r>
      <w:r>
        <w:rPr>
          <w:rFonts w:ascii="仿宋_GB2312" w:eastAsia="仿宋_GB2312"/>
          <w:sz w:val="32"/>
          <w:szCs w:val="32"/>
        </w:rPr>
        <w:t>10</w:t>
      </w:r>
      <w:r>
        <w:rPr>
          <w:rFonts w:hint="eastAsia" w:ascii="仿宋_GB2312" w:eastAsia="仿宋_GB2312"/>
          <w:sz w:val="32"/>
          <w:szCs w:val="32"/>
        </w:rPr>
        <w:t>%，绿地率≥</w:t>
      </w:r>
      <w:r>
        <w:rPr>
          <w:rFonts w:ascii="仿宋_GB2312" w:eastAsia="仿宋_GB2312"/>
          <w:sz w:val="32"/>
          <w:szCs w:val="32"/>
        </w:rPr>
        <w:t>80</w:t>
      </w:r>
      <w:r>
        <w:rPr>
          <w:rFonts w:hint="eastAsia" w:ascii="仿宋_GB2312" w:eastAsia="仿宋_GB2312"/>
          <w:sz w:val="32"/>
          <w:szCs w:val="32"/>
        </w:rPr>
        <w:t>%，建筑高度按</w:t>
      </w:r>
      <w:r>
        <w:rPr>
          <w:rFonts w:ascii="仿宋_GB2312" w:eastAsia="仿宋_GB2312"/>
          <w:sz w:val="32"/>
          <w:szCs w:val="32"/>
        </w:rPr>
        <w:t>12</w:t>
      </w:r>
      <w:r>
        <w:rPr>
          <w:rFonts w:hint="eastAsia" w:ascii="仿宋_GB2312" w:eastAsia="仿宋_GB2312"/>
          <w:sz w:val="32"/>
          <w:szCs w:val="32"/>
        </w:rPr>
        <w:t>米控制。</w:t>
      </w:r>
    </w:p>
    <w:p>
      <w:pPr>
        <w:spacing w:line="560" w:lineRule="exact"/>
        <w:ind w:firstLine="643" w:firstLineChars="200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四、“三大设施”和“五线”管控</w:t>
      </w:r>
    </w:p>
    <w:p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（1）三大设施</w:t>
      </w:r>
    </w:p>
    <w:p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本地块控规</w:t>
      </w:r>
      <w:r>
        <w:rPr>
          <w:rFonts w:hint="eastAsia" w:ascii="仿宋_GB2312" w:eastAsia="仿宋_GB2312"/>
          <w:sz w:val="32"/>
          <w:szCs w:val="32"/>
        </w:rPr>
        <w:t>不涉及三大设施。</w:t>
      </w:r>
    </w:p>
    <w:p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（2）五线</w:t>
      </w:r>
    </w:p>
    <w:p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本地块控规涉及</w:t>
      </w:r>
      <w:r>
        <w:rPr>
          <w:rFonts w:hint="eastAsia" w:ascii="仿宋_GB2312" w:eastAsia="仿宋_GB2312"/>
          <w:sz w:val="32"/>
          <w:szCs w:val="32"/>
        </w:rPr>
        <w:t>城市绿线和城市黄线，不涉及道路红线、城市蓝线及</w:t>
      </w:r>
      <w:r>
        <w:rPr>
          <w:rFonts w:ascii="仿宋_GB2312" w:eastAsia="仿宋_GB2312"/>
          <w:sz w:val="32"/>
          <w:szCs w:val="32"/>
        </w:rPr>
        <w:t>城市紫线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城市绿线</w:t>
      </w:r>
      <w:r>
        <w:rPr>
          <w:rFonts w:ascii="仿宋_GB2312" w:eastAsia="仿宋_GB2312"/>
          <w:sz w:val="32"/>
          <w:szCs w:val="32"/>
        </w:rPr>
        <w:t>为</w:t>
      </w:r>
      <w:r>
        <w:rPr>
          <w:rFonts w:hint="eastAsia" w:ascii="仿宋_GB2312" w:eastAsia="仿宋_GB2312"/>
          <w:sz w:val="32"/>
          <w:szCs w:val="32"/>
        </w:rPr>
        <w:t>范围内的公园绿地</w:t>
      </w:r>
      <w:r>
        <w:rPr>
          <w:rFonts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</w:rPr>
        <w:t>绿</w:t>
      </w:r>
      <w:r>
        <w:rPr>
          <w:rFonts w:ascii="仿宋_GB2312" w:eastAsia="仿宋_GB2312"/>
          <w:sz w:val="32"/>
          <w:szCs w:val="32"/>
        </w:rPr>
        <w:t>线控制面积为3.46</w:t>
      </w:r>
      <w:r>
        <w:rPr>
          <w:rFonts w:hint="eastAsia" w:ascii="仿宋_GB2312" w:eastAsia="仿宋_GB2312"/>
          <w:sz w:val="32"/>
          <w:szCs w:val="32"/>
        </w:rPr>
        <w:t>公顷；城市</w:t>
      </w:r>
      <w:r>
        <w:rPr>
          <w:rFonts w:ascii="仿宋_GB2312" w:eastAsia="仿宋_GB2312"/>
          <w:sz w:val="32"/>
          <w:szCs w:val="32"/>
        </w:rPr>
        <w:t>黄线</w:t>
      </w:r>
      <w:r>
        <w:rPr>
          <w:rFonts w:hint="eastAsia" w:ascii="仿宋_GB2312" w:eastAsia="仿宋_GB2312"/>
          <w:sz w:val="32"/>
          <w:szCs w:val="32"/>
        </w:rPr>
        <w:t>为供电用地</w:t>
      </w:r>
      <w:r>
        <w:rPr>
          <w:rFonts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</w:rPr>
        <w:t>黄</w:t>
      </w:r>
      <w:r>
        <w:rPr>
          <w:rFonts w:ascii="仿宋_GB2312" w:eastAsia="仿宋_GB2312"/>
          <w:sz w:val="32"/>
          <w:szCs w:val="32"/>
        </w:rPr>
        <w:t>线控制面积为2.96</w:t>
      </w:r>
      <w:r>
        <w:rPr>
          <w:rFonts w:hint="eastAsia" w:ascii="仿宋_GB2312" w:eastAsia="仿宋_GB2312"/>
          <w:sz w:val="32"/>
          <w:szCs w:val="32"/>
        </w:rPr>
        <w:t>公顷</w:t>
      </w:r>
      <w:r>
        <w:rPr>
          <w:rFonts w:ascii="仿宋_GB2312" w:eastAsia="仿宋_GB2312"/>
          <w:sz w:val="32"/>
          <w:szCs w:val="32"/>
        </w:rPr>
        <w:t>。</w:t>
      </w:r>
    </w:p>
    <w:p>
      <w:pPr>
        <w:widowControl/>
        <w:jc w:val="left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br w:type="page"/>
      </w:r>
    </w:p>
    <w:p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五、主要规划图纸</w:t>
      </w:r>
    </w:p>
    <w:p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1</w:t>
      </w: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>.</w:t>
      </w:r>
      <w:r>
        <w:rPr>
          <w:rFonts w:hint="eastAsia" w:ascii="仿宋_GB2312" w:eastAsia="仿宋_GB2312"/>
          <w:b/>
          <w:sz w:val="32"/>
          <w:szCs w:val="32"/>
        </w:rPr>
        <w:t>区位图</w:t>
      </w:r>
    </w:p>
    <w:p>
      <w:pPr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drawing>
          <wp:inline distT="0" distB="0" distL="0" distR="0">
            <wp:extent cx="5932805" cy="41929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089" cy="419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sz w:val="32"/>
          <w:szCs w:val="32"/>
        </w:rPr>
      </w:pPr>
    </w:p>
    <w:p>
      <w:pPr>
        <w:ind w:firstLine="643" w:firstLineChars="200"/>
        <w:rPr>
          <w:rFonts w:ascii="仿宋_GB2312" w:eastAsia="仿宋_GB2312"/>
          <w:b/>
          <w:sz w:val="32"/>
          <w:szCs w:val="32"/>
        </w:rPr>
      </w:pPr>
    </w:p>
    <w:p>
      <w:pPr>
        <w:widowControl/>
        <w:jc w:val="left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br w:type="page"/>
      </w:r>
    </w:p>
    <w:p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2</w:t>
      </w: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>.</w:t>
      </w:r>
      <w:r>
        <w:rPr>
          <w:rFonts w:hint="eastAsia" w:ascii="仿宋_GB2312" w:eastAsia="仿宋_GB2312"/>
          <w:b/>
          <w:sz w:val="32"/>
          <w:szCs w:val="32"/>
        </w:rPr>
        <w:t>土地利用</w:t>
      </w:r>
      <w:r>
        <w:rPr>
          <w:rFonts w:ascii="仿宋_GB2312" w:eastAsia="仿宋_GB2312"/>
          <w:b/>
          <w:sz w:val="32"/>
          <w:szCs w:val="32"/>
        </w:rPr>
        <w:t>规划</w:t>
      </w:r>
      <w:r>
        <w:rPr>
          <w:rFonts w:hint="eastAsia" w:ascii="仿宋_GB2312" w:eastAsia="仿宋_GB2312"/>
          <w:b/>
          <w:sz w:val="32"/>
          <w:szCs w:val="32"/>
        </w:rPr>
        <w:t>图</w:t>
      </w:r>
    </w:p>
    <w:p>
      <w:pPr>
        <w:spacing w:line="540" w:lineRule="auto"/>
        <w:rPr>
          <w:rFonts w:ascii="仿宋_GB2312" w:eastAsia="仿宋_GB2312"/>
          <w:sz w:val="36"/>
          <w:szCs w:val="32"/>
        </w:rPr>
      </w:pPr>
      <w:r>
        <w:rPr>
          <w:rFonts w:ascii="仿宋_GB2312" w:eastAsia="仿宋_GB2312"/>
          <w:sz w:val="36"/>
          <w:szCs w:val="32"/>
        </w:rPr>
        <w:drawing>
          <wp:inline distT="0" distB="0" distL="0" distR="0">
            <wp:extent cx="5908040" cy="41751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085" cy="41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_GB2312" w:eastAsia="仿宋_GB2312"/>
          <w:b/>
          <w:sz w:val="32"/>
          <w:szCs w:val="32"/>
        </w:rPr>
      </w:pPr>
    </w:p>
    <w:p>
      <w:pPr>
        <w:ind w:firstLine="643" w:firstLineChars="200"/>
        <w:rPr>
          <w:rFonts w:ascii="仿宋_GB2312" w:eastAsia="仿宋_GB2312"/>
          <w:b/>
          <w:sz w:val="32"/>
          <w:szCs w:val="32"/>
        </w:rPr>
      </w:pPr>
    </w:p>
    <w:p>
      <w:pPr>
        <w:widowControl/>
        <w:jc w:val="left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br w:type="page"/>
      </w:r>
    </w:p>
    <w:p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3</w:t>
      </w: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>.</w:t>
      </w:r>
      <w:r>
        <w:rPr>
          <w:rFonts w:hint="eastAsia" w:ascii="仿宋_GB2312" w:eastAsia="仿宋_GB2312"/>
          <w:b/>
          <w:sz w:val="32"/>
          <w:szCs w:val="32"/>
        </w:rPr>
        <w:t>地块图则</w:t>
      </w:r>
    </w:p>
    <w:p>
      <w:pPr>
        <w:spacing w:line="540" w:lineRule="auto"/>
        <w:rPr>
          <w:rFonts w:ascii="仿宋_GB2312" w:eastAsia="仿宋_GB2312"/>
          <w:sz w:val="36"/>
          <w:szCs w:val="32"/>
        </w:rPr>
      </w:pPr>
      <w:r>
        <w:rPr>
          <w:rFonts w:ascii="仿宋_GB2312" w:eastAsia="仿宋_GB2312"/>
          <w:sz w:val="36"/>
          <w:szCs w:val="32"/>
        </w:rPr>
        <w:drawing>
          <wp:inline distT="0" distB="0" distL="0" distR="0">
            <wp:extent cx="5972810" cy="4220845"/>
            <wp:effectExtent l="0" t="0" r="889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913" cy="422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_GB2312" w:eastAsia="仿宋_GB2312"/>
          <w:b/>
          <w:sz w:val="32"/>
          <w:szCs w:val="32"/>
        </w:rPr>
      </w:pPr>
    </w:p>
    <w:p>
      <w:pPr>
        <w:ind w:firstLine="643" w:firstLineChars="200"/>
        <w:rPr>
          <w:rFonts w:ascii="仿宋_GB2312" w:eastAsia="仿宋_GB2312"/>
          <w:b/>
          <w:sz w:val="32"/>
          <w:szCs w:val="32"/>
        </w:rPr>
      </w:pPr>
    </w:p>
    <w:p>
      <w:pPr>
        <w:widowControl/>
        <w:jc w:val="left"/>
        <w:rPr>
          <w:rFonts w:ascii="仿宋_GB2312" w:eastAsia="仿宋_GB2312"/>
          <w:b/>
          <w:sz w:val="32"/>
          <w:szCs w:val="32"/>
        </w:rPr>
      </w:pPr>
    </w:p>
    <w:sectPr>
      <w:footerReference r:id="rId3" w:type="default"/>
      <w:footerReference r:id="rId4" w:type="even"/>
      <w:pgSz w:w="11906" w:h="16838"/>
      <w:pgMar w:top="1440" w:right="1797" w:bottom="1440" w:left="179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Segoe UI Symbol">
    <w:panose1 w:val="020B0502040204020203"/>
    <w:charset w:val="00"/>
    <w:family w:val="swiss"/>
    <w:pitch w:val="default"/>
    <w:sig w:usb0="8000006F" w:usb1="1200FBEF" w:usb2="0064C000" w:usb3="00000002" w:csb0="00000001" w:csb1="4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="1099" w:wrap="around" w:vAnchor="text" w:hAnchor="page" w:x="8998" w:y="-2"/>
      <w:jc w:val="both"/>
      <w:rPr>
        <w:rStyle w:val="9"/>
        <w:rFonts w:ascii="宋体" w:hAnsi="宋体"/>
        <w:sz w:val="28"/>
        <w:szCs w:val="28"/>
      </w:rPr>
    </w:pPr>
    <w:r>
      <w:rPr>
        <w:rStyle w:val="9"/>
        <w:rFonts w:hint="eastAsia" w:ascii="宋体" w:hAnsi="宋体"/>
        <w:sz w:val="28"/>
        <w:szCs w:val="28"/>
      </w:rPr>
      <w:fldChar w:fldCharType="begin"/>
    </w:r>
    <w:r>
      <w:rPr>
        <w:rStyle w:val="9"/>
        <w:rFonts w:hint="eastAsia" w:ascii="宋体" w:hAnsi="宋体"/>
        <w:sz w:val="28"/>
        <w:szCs w:val="28"/>
      </w:rPr>
      <w:instrText xml:space="preserve">PAGE  </w:instrText>
    </w:r>
    <w:r>
      <w:rPr>
        <w:rStyle w:val="9"/>
        <w:rFonts w:hint="eastAsia" w:ascii="宋体" w:hAnsi="宋体"/>
        <w:sz w:val="28"/>
        <w:szCs w:val="28"/>
      </w:rPr>
      <w:fldChar w:fldCharType="separate"/>
    </w:r>
    <w:r>
      <w:rPr>
        <w:rStyle w:val="9"/>
        <w:rFonts w:ascii="宋体" w:hAnsi="宋体"/>
        <w:sz w:val="28"/>
        <w:szCs w:val="28"/>
      </w:rPr>
      <w:t>- 5 -</w:t>
    </w:r>
    <w:r>
      <w:rPr>
        <w:rStyle w:val="9"/>
        <w:rFonts w:hint="eastAsia" w:ascii="宋体" w:hAnsi="宋体"/>
        <w:sz w:val="28"/>
        <w:szCs w:val="28"/>
      </w:rPr>
      <w:fldChar w:fldCharType="end"/>
    </w:r>
    <w:r>
      <w:rPr>
        <w:rStyle w:val="9"/>
        <w:rFonts w:hint="eastAsia" w:ascii="宋体" w:hAnsi="宋体"/>
        <w:sz w:val="28"/>
        <w:szCs w:val="28"/>
      </w:rPr>
      <w:t xml:space="preserve">       </w:t>
    </w:r>
  </w:p>
  <w:p>
    <w:pPr>
      <w:pStyle w:val="4"/>
      <w:ind w:right="360" w:firstLine="360"/>
      <w:rPr>
        <w:rFonts w:ascii="仿宋_GB2312" w:eastAsia="仿宋_GB2312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outside" w:y="1"/>
      <w:ind w:firstLine="280"/>
      <w:rPr>
        <w:rStyle w:val="9"/>
        <w:rFonts w:ascii="宋体" w:hAnsi="宋体"/>
        <w:sz w:val="28"/>
        <w:szCs w:val="28"/>
      </w:rPr>
    </w:pPr>
    <w:r>
      <w:rPr>
        <w:rStyle w:val="9"/>
        <w:rFonts w:ascii="宋体" w:hAnsi="宋体"/>
        <w:sz w:val="28"/>
        <w:szCs w:val="28"/>
      </w:rPr>
      <w:fldChar w:fldCharType="begin"/>
    </w:r>
    <w:r>
      <w:rPr>
        <w:rStyle w:val="9"/>
        <w:rFonts w:ascii="宋体" w:hAnsi="宋体"/>
        <w:sz w:val="28"/>
        <w:szCs w:val="28"/>
      </w:rPr>
      <w:instrText xml:space="preserve">PAGE  </w:instrText>
    </w:r>
    <w:r>
      <w:rPr>
        <w:rStyle w:val="9"/>
        <w:rFonts w:ascii="宋体" w:hAnsi="宋体"/>
        <w:sz w:val="28"/>
        <w:szCs w:val="28"/>
      </w:rPr>
      <w:fldChar w:fldCharType="separate"/>
    </w:r>
    <w:r>
      <w:rPr>
        <w:rStyle w:val="9"/>
        <w:rFonts w:ascii="宋体" w:hAnsi="宋体"/>
        <w:sz w:val="28"/>
        <w:szCs w:val="28"/>
      </w:rPr>
      <w:t>- 4 -</w:t>
    </w:r>
    <w:r>
      <w:rPr>
        <w:rStyle w:val="9"/>
        <w:rFonts w:ascii="宋体" w:hAnsi="宋体"/>
        <w:sz w:val="28"/>
        <w:szCs w:val="28"/>
      </w:rPr>
      <w:fldChar w:fldCharType="end"/>
    </w:r>
  </w:p>
  <w:p>
    <w:pPr>
      <w:pStyle w:val="4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M0YWRlMmRmMDJhMWRkYTU3ZjEyOWYyZjhiYTcyMzAifQ=="/>
  </w:docVars>
  <w:rsids>
    <w:rsidRoot w:val="00CD7E3F"/>
    <w:rsid w:val="00073B6C"/>
    <w:rsid w:val="000C0C8A"/>
    <w:rsid w:val="00136BA3"/>
    <w:rsid w:val="00145290"/>
    <w:rsid w:val="00166C6E"/>
    <w:rsid w:val="00197E90"/>
    <w:rsid w:val="002329EF"/>
    <w:rsid w:val="002823DD"/>
    <w:rsid w:val="0029627B"/>
    <w:rsid w:val="002A7811"/>
    <w:rsid w:val="002B2474"/>
    <w:rsid w:val="003266A9"/>
    <w:rsid w:val="00377466"/>
    <w:rsid w:val="003D32E4"/>
    <w:rsid w:val="0044715A"/>
    <w:rsid w:val="004862EA"/>
    <w:rsid w:val="0049353C"/>
    <w:rsid w:val="004B7D1D"/>
    <w:rsid w:val="004E79B3"/>
    <w:rsid w:val="00531310"/>
    <w:rsid w:val="00583C5D"/>
    <w:rsid w:val="005A0E83"/>
    <w:rsid w:val="005D470B"/>
    <w:rsid w:val="00603046"/>
    <w:rsid w:val="00605426"/>
    <w:rsid w:val="00626E3B"/>
    <w:rsid w:val="00636041"/>
    <w:rsid w:val="006404DB"/>
    <w:rsid w:val="0064537D"/>
    <w:rsid w:val="00662CE2"/>
    <w:rsid w:val="00667483"/>
    <w:rsid w:val="00671611"/>
    <w:rsid w:val="006B1EFC"/>
    <w:rsid w:val="006B2B89"/>
    <w:rsid w:val="006E5DCD"/>
    <w:rsid w:val="00752DD6"/>
    <w:rsid w:val="00771A40"/>
    <w:rsid w:val="00773384"/>
    <w:rsid w:val="007754D0"/>
    <w:rsid w:val="0078012D"/>
    <w:rsid w:val="00787316"/>
    <w:rsid w:val="007D3B58"/>
    <w:rsid w:val="007E7805"/>
    <w:rsid w:val="0080357E"/>
    <w:rsid w:val="00821368"/>
    <w:rsid w:val="008551EC"/>
    <w:rsid w:val="00884FF3"/>
    <w:rsid w:val="008933CF"/>
    <w:rsid w:val="00941FCE"/>
    <w:rsid w:val="00952DE1"/>
    <w:rsid w:val="00964AD6"/>
    <w:rsid w:val="00966A38"/>
    <w:rsid w:val="00970738"/>
    <w:rsid w:val="00973A2E"/>
    <w:rsid w:val="009A6367"/>
    <w:rsid w:val="009F3FB4"/>
    <w:rsid w:val="00A97F09"/>
    <w:rsid w:val="00AC561B"/>
    <w:rsid w:val="00AF7912"/>
    <w:rsid w:val="00B927E5"/>
    <w:rsid w:val="00BA5242"/>
    <w:rsid w:val="00BB6FF7"/>
    <w:rsid w:val="00BF7A60"/>
    <w:rsid w:val="00C23C1C"/>
    <w:rsid w:val="00CB0717"/>
    <w:rsid w:val="00CD7E3F"/>
    <w:rsid w:val="00D03385"/>
    <w:rsid w:val="00D23828"/>
    <w:rsid w:val="00D5283A"/>
    <w:rsid w:val="00D57799"/>
    <w:rsid w:val="00D86481"/>
    <w:rsid w:val="00DB77B1"/>
    <w:rsid w:val="00E13ECA"/>
    <w:rsid w:val="00E314CD"/>
    <w:rsid w:val="00E429E2"/>
    <w:rsid w:val="00E84063"/>
    <w:rsid w:val="00E85898"/>
    <w:rsid w:val="00EE6185"/>
    <w:rsid w:val="00F76260"/>
    <w:rsid w:val="00F76B17"/>
    <w:rsid w:val="00F8012B"/>
    <w:rsid w:val="00FD5961"/>
    <w:rsid w:val="23053C89"/>
    <w:rsid w:val="46131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uiPriority w:val="0"/>
    <w:pPr>
      <w:ind w:left="100"/>
    </w:p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link w:val="10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page number"/>
    <w:basedOn w:val="8"/>
    <w:qFormat/>
    <w:uiPriority w:val="0"/>
  </w:style>
  <w:style w:type="character" w:customStyle="1" w:styleId="10">
    <w:name w:val="普通(网站) 字符"/>
    <w:link w:val="6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11">
    <w:name w:val="批注框文本 字符"/>
    <w:basedOn w:val="8"/>
    <w:link w:val="3"/>
    <w:qFormat/>
    <w:uiPriority w:val="0"/>
    <w:rPr>
      <w:kern w:val="2"/>
      <w:sz w:val="18"/>
      <w:szCs w:val="18"/>
    </w:rPr>
  </w:style>
  <w:style w:type="paragraph" w:styleId="12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character" w:customStyle="1" w:styleId="13">
    <w:name w:val="Intense Reference"/>
    <w:basedOn w:val="8"/>
    <w:qFormat/>
    <w:uiPriority w:val="32"/>
    <w:rPr>
      <w:b/>
      <w:bCs/>
      <w:smallCaps/>
      <w:color w:val="4F81BD" w:themeColor="accent1"/>
      <w:spacing w:val="5"/>
      <w14:textFill>
        <w14:solidFill>
          <w14:schemeClr w14:val="accent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CB78C3-FA47-4B30-AB2D-61F0DEC5F12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118</Words>
  <Characters>675</Characters>
  <Lines>5</Lines>
  <Paragraphs>1</Paragraphs>
  <TotalTime>24</TotalTime>
  <ScaleCrop>false</ScaleCrop>
  <LinksUpToDate>false</LinksUpToDate>
  <CharactersWithSpaces>792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2022-11-15T09:04:00Z</dcterms:created>
  <dc:creator>User</dc:creator>
  <cp:lastModifiedBy>凌儿</cp:lastModifiedBy>
  <cp:lastPrinted>2018-11-14T01:23:00Z</cp:lastPrinted>
  <dcterms:modified xsi:type="dcterms:W3CDTF">2024-05-29T02:21:58Z</dcterms:modified>
  <dc:title>融规 [2012] 253号                  签发人：郑卫东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32EEC4D72431405D96302DF8D20E53F8_12</vt:lpwstr>
  </property>
</Properties>
</file>