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F3B" w:rsidRDefault="00596B71">
      <w:pPr>
        <w:spacing w:line="540" w:lineRule="auto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附件</w:t>
      </w:r>
    </w:p>
    <w:p w:rsidR="002D02C9" w:rsidRDefault="002D02C9" w:rsidP="00C75399">
      <w:pPr>
        <w:spacing w:line="540" w:lineRule="auto"/>
        <w:jc w:val="center"/>
        <w:rPr>
          <w:rFonts w:ascii="仿宋_GB2312" w:eastAsia="仿宋_GB2312"/>
          <w:b/>
          <w:sz w:val="32"/>
          <w:szCs w:val="32"/>
        </w:rPr>
      </w:pPr>
    </w:p>
    <w:p w:rsidR="00C75399" w:rsidRDefault="002D02C9" w:rsidP="00C75399">
      <w:pPr>
        <w:spacing w:line="540" w:lineRule="auto"/>
        <w:jc w:val="center"/>
        <w:rPr>
          <w:rFonts w:ascii="仿宋_GB2312" w:eastAsia="仿宋_GB2312"/>
          <w:b/>
          <w:sz w:val="32"/>
          <w:szCs w:val="32"/>
        </w:rPr>
      </w:pPr>
      <w:r w:rsidRPr="002D02C9">
        <w:rPr>
          <w:rFonts w:ascii="仿宋_GB2312" w:eastAsia="仿宋_GB2312" w:hint="eastAsia"/>
          <w:b/>
          <w:bCs/>
          <w:sz w:val="32"/>
          <w:szCs w:val="32"/>
        </w:rPr>
        <w:t>福清市东张镇先锋村文化综合服务中心及周边地块（29-A-113、 29-A-116）控</w:t>
      </w:r>
      <w:proofErr w:type="gramStart"/>
      <w:r w:rsidRPr="002D02C9">
        <w:rPr>
          <w:rFonts w:ascii="仿宋_GB2312" w:eastAsia="仿宋_GB2312" w:hint="eastAsia"/>
          <w:b/>
          <w:bCs/>
          <w:sz w:val="32"/>
          <w:szCs w:val="32"/>
        </w:rPr>
        <w:t>规</w:t>
      </w:r>
      <w:proofErr w:type="gramEnd"/>
      <w:r w:rsidRPr="002D02C9">
        <w:rPr>
          <w:rFonts w:ascii="仿宋_GB2312" w:eastAsia="仿宋_GB2312" w:hint="eastAsia"/>
          <w:b/>
          <w:bCs/>
          <w:sz w:val="32"/>
          <w:szCs w:val="32"/>
        </w:rPr>
        <w:t>调整论证报告</w:t>
      </w:r>
      <w:r w:rsidR="00C75399">
        <w:rPr>
          <w:rFonts w:ascii="仿宋_GB2312" w:eastAsia="仿宋_GB2312" w:hint="eastAsia"/>
          <w:b/>
          <w:sz w:val="32"/>
          <w:szCs w:val="32"/>
        </w:rPr>
        <w:t>主要内容及规划图纸</w:t>
      </w:r>
    </w:p>
    <w:p w:rsidR="00C75399" w:rsidRDefault="00C75399">
      <w:pPr>
        <w:spacing w:line="540" w:lineRule="auto"/>
        <w:jc w:val="center"/>
        <w:rPr>
          <w:rFonts w:ascii="仿宋_GB2312" w:eastAsia="仿宋_GB2312"/>
          <w:b/>
          <w:sz w:val="32"/>
          <w:szCs w:val="32"/>
        </w:rPr>
      </w:pPr>
    </w:p>
    <w:p w:rsidR="00F32F3B" w:rsidRDefault="00596B71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一、主要内容</w:t>
      </w:r>
    </w:p>
    <w:p w:rsidR="00F32F3B" w:rsidRDefault="00596B71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1、项目概况</w:t>
      </w:r>
    </w:p>
    <w:p w:rsidR="00C75399" w:rsidRPr="00C75399" w:rsidRDefault="00C75399" w:rsidP="00C75399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项目区位：</w:t>
      </w:r>
      <w:r w:rsidR="002D02C9" w:rsidRPr="002D02C9">
        <w:rPr>
          <w:rFonts w:ascii="仿宋_GB2312" w:eastAsia="仿宋_GB2312" w:hint="eastAsia"/>
          <w:sz w:val="32"/>
          <w:szCs w:val="32"/>
        </w:rPr>
        <w:t>拟调整地块位于福清市东张镇区中南部先锋村部西侧</w:t>
      </w:r>
      <w:r w:rsidRPr="00C75399">
        <w:rPr>
          <w:rFonts w:ascii="仿宋_GB2312" w:eastAsia="仿宋_GB2312" w:hint="eastAsia"/>
          <w:sz w:val="32"/>
          <w:szCs w:val="32"/>
        </w:rPr>
        <w:t>。</w:t>
      </w:r>
    </w:p>
    <w:p w:rsidR="00C75399" w:rsidRPr="00C75399" w:rsidRDefault="00C75399" w:rsidP="00C75399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规划范围：</w:t>
      </w:r>
      <w:r w:rsidR="002D02C9" w:rsidRPr="002D02C9">
        <w:rPr>
          <w:rFonts w:ascii="仿宋_GB2312" w:eastAsia="仿宋_GB2312" w:hint="eastAsia"/>
          <w:sz w:val="32"/>
          <w:szCs w:val="32"/>
        </w:rPr>
        <w:t>东靠先锋村部、玉井庙，西抵清华南路，北至玉井东街，</w:t>
      </w:r>
      <w:proofErr w:type="gramStart"/>
      <w:r w:rsidR="002D02C9" w:rsidRPr="002D02C9">
        <w:rPr>
          <w:rFonts w:ascii="仿宋_GB2312" w:eastAsia="仿宋_GB2312" w:hint="eastAsia"/>
          <w:sz w:val="32"/>
          <w:szCs w:val="32"/>
        </w:rPr>
        <w:t>南邻大金湖</w:t>
      </w:r>
      <w:proofErr w:type="gramEnd"/>
      <w:r w:rsidR="002D02C9" w:rsidRPr="002D02C9">
        <w:rPr>
          <w:rFonts w:ascii="仿宋_GB2312" w:eastAsia="仿宋_GB2312" w:hint="eastAsia"/>
          <w:sz w:val="32"/>
          <w:szCs w:val="32"/>
        </w:rPr>
        <w:t>酒店，含A-113（商住混合用地，用地面积0.20公顷/3.0亩）及A-116 （二类住宅用地，用地面积为1.32公顷/19.8亩）两个地块</w:t>
      </w:r>
      <w:r w:rsidRPr="00C75399">
        <w:rPr>
          <w:rFonts w:ascii="仿宋_GB2312" w:eastAsia="仿宋_GB2312" w:hint="eastAsia"/>
          <w:sz w:val="32"/>
          <w:szCs w:val="32"/>
        </w:rPr>
        <w:t>。</w:t>
      </w:r>
    </w:p>
    <w:p w:rsidR="00F32F3B" w:rsidRDefault="00596B71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2</w:t>
      </w:r>
      <w:r>
        <w:rPr>
          <w:rFonts w:ascii="仿宋_GB2312" w:eastAsia="仿宋_GB2312" w:hint="eastAsia"/>
          <w:b/>
          <w:sz w:val="32"/>
          <w:szCs w:val="32"/>
        </w:rPr>
        <w:t>、调整必要性</w:t>
      </w:r>
    </w:p>
    <w:p w:rsidR="00C75399" w:rsidRPr="00C75399" w:rsidRDefault="00C75399" w:rsidP="00C75399">
      <w:pPr>
        <w:tabs>
          <w:tab w:val="left" w:pos="720"/>
        </w:tabs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1）</w:t>
      </w:r>
      <w:r w:rsidR="002D02C9" w:rsidRPr="002D02C9">
        <w:rPr>
          <w:rFonts w:ascii="仿宋_GB2312" w:eastAsia="仿宋_GB2312" w:hint="eastAsia"/>
          <w:b/>
          <w:bCs/>
          <w:sz w:val="32"/>
          <w:szCs w:val="32"/>
        </w:rPr>
        <w:t>满足群众文化活动及近期建设需</w:t>
      </w:r>
      <w:r w:rsidRPr="00C75399">
        <w:rPr>
          <w:rFonts w:ascii="仿宋_GB2312" w:eastAsia="仿宋_GB2312" w:hint="eastAsia"/>
          <w:b/>
          <w:bCs/>
          <w:sz w:val="32"/>
          <w:szCs w:val="32"/>
        </w:rPr>
        <w:t>要</w:t>
      </w:r>
    </w:p>
    <w:p w:rsidR="00C75399" w:rsidRPr="00C75399" w:rsidRDefault="002D02C9" w:rsidP="00C75399">
      <w:pPr>
        <w:tabs>
          <w:tab w:val="left" w:pos="720"/>
        </w:tabs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sz w:val="32"/>
          <w:szCs w:val="32"/>
        </w:rPr>
        <w:t>现状先锋文化中心位于镇区北端，远离先锋居民点集中区，距离核心区超过1公里，使用不便，满足不了居民文化活动需求，拟结合村部西侧集体资产用地建设先锋综合文化活动中心；村委已计划于近期进行项目报建，同时已完成初步方案设计，近期建设需求迫切。</w:t>
      </w:r>
    </w:p>
    <w:p w:rsidR="00C75399" w:rsidRPr="00C75399" w:rsidRDefault="00C75399" w:rsidP="00C75399">
      <w:pPr>
        <w:tabs>
          <w:tab w:val="left" w:pos="720"/>
        </w:tabs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2）</w:t>
      </w:r>
      <w:r w:rsidR="002D02C9" w:rsidRPr="002D02C9">
        <w:rPr>
          <w:rFonts w:ascii="仿宋_GB2312" w:eastAsia="仿宋_GB2312" w:hint="eastAsia"/>
          <w:b/>
          <w:bCs/>
          <w:sz w:val="32"/>
          <w:szCs w:val="32"/>
        </w:rPr>
        <w:t>盘活闲置集体资产</w:t>
      </w:r>
    </w:p>
    <w:p w:rsidR="00C75399" w:rsidRPr="00C75399" w:rsidRDefault="002D02C9" w:rsidP="00C75399">
      <w:pPr>
        <w:tabs>
          <w:tab w:val="left" w:pos="720"/>
        </w:tabs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sz w:val="32"/>
          <w:szCs w:val="32"/>
        </w:rPr>
        <w:t>用地现状为一栋老式建筑，建筑老旧存在安全隐患，除</w:t>
      </w:r>
      <w:r w:rsidRPr="002D02C9">
        <w:rPr>
          <w:rFonts w:ascii="仿宋_GB2312" w:eastAsia="仿宋_GB2312" w:hint="eastAsia"/>
          <w:sz w:val="32"/>
          <w:szCs w:val="32"/>
        </w:rPr>
        <w:lastRenderedPageBreak/>
        <w:t>沿街店面外其余建筑空间均闲置，选址位置地处东张镇区中心、城镇沿街主干道旁，区位交通优越，土地利用价值高，结合危房改造可有效盘活该闲置集体资产</w:t>
      </w:r>
      <w:r w:rsidR="00C75399" w:rsidRPr="00C75399">
        <w:rPr>
          <w:rFonts w:ascii="仿宋_GB2312" w:eastAsia="仿宋_GB2312" w:hint="eastAsia"/>
          <w:sz w:val="32"/>
          <w:szCs w:val="32"/>
        </w:rPr>
        <w:t>。</w:t>
      </w:r>
    </w:p>
    <w:p w:rsidR="00F32F3B" w:rsidRDefault="00596B71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3</w:t>
      </w:r>
      <w:r>
        <w:rPr>
          <w:rFonts w:ascii="仿宋_GB2312" w:eastAsia="仿宋_GB2312" w:hint="eastAsia"/>
          <w:b/>
          <w:sz w:val="32"/>
          <w:szCs w:val="32"/>
        </w:rPr>
        <w:t>、规划调整方案</w:t>
      </w:r>
    </w:p>
    <w:p w:rsidR="00C75399" w:rsidRPr="00C75399" w:rsidRDefault="00C75399" w:rsidP="00C75399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1)用地性质调整</w:t>
      </w:r>
    </w:p>
    <w:p w:rsidR="002D02C9" w:rsidRPr="002D02C9" w:rsidRDefault="002D02C9" w:rsidP="002D02C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sz w:val="32"/>
          <w:szCs w:val="32"/>
        </w:rPr>
        <w:t>A-113地块：拆分成两个地块，其中</w:t>
      </w:r>
      <w:proofErr w:type="gramStart"/>
      <w:r w:rsidRPr="002D02C9">
        <w:rPr>
          <w:rFonts w:ascii="仿宋_GB2312" w:eastAsia="仿宋_GB2312" w:hint="eastAsia"/>
          <w:sz w:val="32"/>
          <w:szCs w:val="32"/>
        </w:rPr>
        <w:t>邻</w:t>
      </w:r>
      <w:proofErr w:type="gramEnd"/>
      <w:r w:rsidRPr="002D02C9">
        <w:rPr>
          <w:rFonts w:ascii="仿宋_GB2312" w:eastAsia="仿宋_GB2312" w:hint="eastAsia"/>
          <w:sz w:val="32"/>
          <w:szCs w:val="32"/>
        </w:rPr>
        <w:t>先锋村西侧用地局部调整为文化活动用地（080302），剩余用地性质保持不变</w:t>
      </w:r>
    </w:p>
    <w:p w:rsidR="00C75399" w:rsidRPr="00C75399" w:rsidRDefault="002D02C9" w:rsidP="002D02C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sz w:val="32"/>
          <w:szCs w:val="32"/>
        </w:rPr>
        <w:t>A-116地块：保持二类住宅用地性质不变</w:t>
      </w:r>
      <w:r w:rsidR="00C75399" w:rsidRPr="00C75399">
        <w:rPr>
          <w:rFonts w:ascii="仿宋_GB2312" w:eastAsia="仿宋_GB2312" w:hint="eastAsia"/>
          <w:sz w:val="32"/>
          <w:szCs w:val="32"/>
        </w:rPr>
        <w:t>。</w:t>
      </w:r>
    </w:p>
    <w:p w:rsidR="00C75399" w:rsidRPr="00C75399" w:rsidRDefault="00C75399" w:rsidP="00C75399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b/>
          <w:bCs/>
          <w:sz w:val="32"/>
          <w:szCs w:val="32"/>
        </w:rPr>
        <w:t>2)控制指标调整</w:t>
      </w:r>
    </w:p>
    <w:p w:rsidR="002D02C9" w:rsidRPr="002D02C9" w:rsidRDefault="002D02C9" w:rsidP="002D02C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sz w:val="32"/>
          <w:szCs w:val="32"/>
        </w:rPr>
        <w:t>A-113-01地块：用地面积扣减调出的文化活动用地等，其余指标保持不变；</w:t>
      </w:r>
    </w:p>
    <w:p w:rsidR="002D02C9" w:rsidRPr="002D02C9" w:rsidRDefault="002D02C9" w:rsidP="002D02C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sz w:val="32"/>
          <w:szCs w:val="32"/>
        </w:rPr>
        <w:t>A-113-02地块：用地面积394㎡， 容积率1.8保持不变，建筑密度不高于60%，绿地率不低于1</w:t>
      </w:r>
      <w:r>
        <w:rPr>
          <w:rFonts w:ascii="仿宋_GB2312" w:eastAsia="仿宋_GB2312"/>
          <w:sz w:val="32"/>
          <w:szCs w:val="32"/>
        </w:rPr>
        <w:t>0</w:t>
      </w:r>
      <w:r w:rsidRPr="002D02C9">
        <w:rPr>
          <w:rFonts w:ascii="仿宋_GB2312" w:eastAsia="仿宋_GB2312" w:hint="eastAsia"/>
          <w:sz w:val="32"/>
          <w:szCs w:val="32"/>
        </w:rPr>
        <w:t>%，建筑限高30m保持不变。</w:t>
      </w:r>
    </w:p>
    <w:p w:rsidR="00C75399" w:rsidRPr="00C75399" w:rsidRDefault="002D02C9" w:rsidP="002D02C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sz w:val="32"/>
          <w:szCs w:val="32"/>
        </w:rPr>
        <w:t>A-116地块：用地面积增补吸纳原A-113拆分后的碎地面积，其余控制指标保持不变</w:t>
      </w:r>
      <w:r w:rsidR="00C75399" w:rsidRPr="00C75399">
        <w:rPr>
          <w:rFonts w:ascii="仿宋_GB2312" w:eastAsia="仿宋_GB2312" w:hint="eastAsia"/>
          <w:sz w:val="32"/>
          <w:szCs w:val="32"/>
        </w:rPr>
        <w:t>。</w:t>
      </w:r>
    </w:p>
    <w:p w:rsidR="00F32F3B" w:rsidRDefault="00596B71">
      <w:pPr>
        <w:spacing w:line="600" w:lineRule="exact"/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t>4</w:t>
      </w:r>
      <w:r>
        <w:rPr>
          <w:rFonts w:ascii="仿宋_GB2312" w:eastAsia="仿宋_GB2312" w:hint="eastAsia"/>
          <w:b/>
          <w:sz w:val="32"/>
          <w:szCs w:val="32"/>
        </w:rPr>
        <w:t>、调整可行性分析</w:t>
      </w:r>
    </w:p>
    <w:p w:rsidR="002D02C9" w:rsidRPr="002D02C9" w:rsidRDefault="00C75399" w:rsidP="002D02C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C75399">
        <w:rPr>
          <w:rFonts w:ascii="仿宋_GB2312" w:eastAsia="仿宋_GB2312" w:hint="eastAsia"/>
          <w:sz w:val="32"/>
          <w:szCs w:val="32"/>
        </w:rPr>
        <w:t>1、</w:t>
      </w:r>
      <w:r w:rsidR="002D02C9" w:rsidRPr="002D02C9">
        <w:rPr>
          <w:rFonts w:ascii="仿宋_GB2312" w:eastAsia="仿宋_GB2312" w:hint="eastAsia"/>
          <w:sz w:val="32"/>
          <w:szCs w:val="32"/>
        </w:rPr>
        <w:t>项目属于乡镇重要公益性公</w:t>
      </w:r>
      <w:proofErr w:type="gramStart"/>
      <w:r w:rsidR="002D02C9" w:rsidRPr="002D02C9">
        <w:rPr>
          <w:rFonts w:ascii="仿宋_GB2312" w:eastAsia="仿宋_GB2312" w:hint="eastAsia"/>
          <w:sz w:val="32"/>
          <w:szCs w:val="32"/>
        </w:rPr>
        <w:t>服配套</w:t>
      </w:r>
      <w:proofErr w:type="gramEnd"/>
      <w:r w:rsidR="002D02C9" w:rsidRPr="002D02C9">
        <w:rPr>
          <w:rFonts w:ascii="仿宋_GB2312" w:eastAsia="仿宋_GB2312" w:hint="eastAsia"/>
          <w:sz w:val="32"/>
          <w:szCs w:val="32"/>
        </w:rPr>
        <w:t>设施，关系国计民生的民生工程，具备规划调整的前提。</w:t>
      </w:r>
    </w:p>
    <w:p w:rsidR="002D02C9" w:rsidRPr="002D02C9" w:rsidRDefault="002D02C9" w:rsidP="002D02C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sz w:val="32"/>
          <w:szCs w:val="32"/>
        </w:rPr>
        <w:t>2、项目建设具有紧迫性、必要性，是镇村发展的迫切需要;将改善东张镇公共服务设施配套，满足人民群众对文化活动的需求。</w:t>
      </w:r>
    </w:p>
    <w:p w:rsidR="002D02C9" w:rsidRPr="002D02C9" w:rsidRDefault="002D02C9" w:rsidP="002D02C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sz w:val="32"/>
          <w:szCs w:val="32"/>
        </w:rPr>
        <w:t>3、项目紧靠城镇主要道路，建设交通方便，满足通行需</w:t>
      </w:r>
      <w:r w:rsidRPr="002D02C9">
        <w:rPr>
          <w:rFonts w:ascii="仿宋_GB2312" w:eastAsia="仿宋_GB2312" w:hint="eastAsia"/>
          <w:sz w:val="32"/>
          <w:szCs w:val="32"/>
        </w:rPr>
        <w:lastRenderedPageBreak/>
        <w:t>求，对片区交通无影响。</w:t>
      </w:r>
    </w:p>
    <w:p w:rsidR="002D02C9" w:rsidRPr="002D02C9" w:rsidRDefault="002D02C9" w:rsidP="002D02C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sz w:val="32"/>
          <w:szCs w:val="32"/>
        </w:rPr>
        <w:t>4、项目调整前后人口总量不变，建设总量不增加，未对公共设施和市政设施产生新增负荷。</w:t>
      </w:r>
    </w:p>
    <w:p w:rsidR="002D02C9" w:rsidRPr="002D02C9" w:rsidRDefault="002D02C9" w:rsidP="002D02C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sz w:val="32"/>
          <w:szCs w:val="32"/>
        </w:rPr>
        <w:t>5、项目调整，不降低五线管控要求。</w:t>
      </w:r>
    </w:p>
    <w:p w:rsidR="00C75399" w:rsidRPr="00C75399" w:rsidRDefault="002D02C9" w:rsidP="002D02C9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sz w:val="32"/>
          <w:szCs w:val="32"/>
        </w:rPr>
        <w:t>6、拟建</w:t>
      </w:r>
      <w:proofErr w:type="gramStart"/>
      <w:r w:rsidRPr="002D02C9">
        <w:rPr>
          <w:rFonts w:ascii="仿宋_GB2312" w:eastAsia="仿宋_GB2312" w:hint="eastAsia"/>
          <w:sz w:val="32"/>
          <w:szCs w:val="32"/>
        </w:rPr>
        <w:t>建</w:t>
      </w:r>
      <w:proofErr w:type="gramEnd"/>
      <w:r w:rsidRPr="002D02C9">
        <w:rPr>
          <w:rFonts w:ascii="仿宋_GB2312" w:eastAsia="仿宋_GB2312" w:hint="eastAsia"/>
          <w:sz w:val="32"/>
          <w:szCs w:val="32"/>
        </w:rPr>
        <w:t>(构)筑物范围内无高压电线、通讯电缆通过，地下无管道通过。项目所需的给水排水设施可以排入市政网管</w:t>
      </w:r>
      <w:r w:rsidR="00C75399" w:rsidRPr="00C75399">
        <w:rPr>
          <w:rFonts w:ascii="仿宋_GB2312" w:eastAsia="仿宋_GB2312" w:hint="eastAsia"/>
          <w:sz w:val="32"/>
          <w:szCs w:val="32"/>
        </w:rPr>
        <w:t>。</w:t>
      </w:r>
    </w:p>
    <w:p w:rsidR="00C75399" w:rsidRPr="00C75399" w:rsidRDefault="002D02C9" w:rsidP="00C75399">
      <w:pPr>
        <w:spacing w:line="600" w:lineRule="exact"/>
        <w:ind w:firstLineChars="200" w:firstLine="643"/>
        <w:rPr>
          <w:rFonts w:ascii="仿宋_GB2312" w:eastAsia="仿宋_GB2312"/>
          <w:sz w:val="32"/>
          <w:szCs w:val="32"/>
        </w:rPr>
      </w:pPr>
      <w:r w:rsidRPr="002D02C9">
        <w:rPr>
          <w:rFonts w:ascii="仿宋_GB2312" w:eastAsia="仿宋_GB2312" w:hint="eastAsia"/>
          <w:b/>
          <w:bCs/>
          <w:sz w:val="32"/>
          <w:szCs w:val="32"/>
        </w:rPr>
        <w:t>本次调整符合地方管理规定、地方发展诉求,调整工作合法、合</w:t>
      </w:r>
      <w:proofErr w:type="gramStart"/>
      <w:r w:rsidRPr="002D02C9">
        <w:rPr>
          <w:rFonts w:ascii="仿宋_GB2312" w:eastAsia="仿宋_GB2312" w:hint="eastAsia"/>
          <w:b/>
          <w:bCs/>
          <w:sz w:val="32"/>
          <w:szCs w:val="32"/>
        </w:rPr>
        <w:t>规</w:t>
      </w:r>
      <w:proofErr w:type="gramEnd"/>
      <w:r w:rsidRPr="002D02C9">
        <w:rPr>
          <w:rFonts w:ascii="仿宋_GB2312" w:eastAsia="仿宋_GB2312" w:hint="eastAsia"/>
          <w:b/>
          <w:bCs/>
          <w:sz w:val="32"/>
          <w:szCs w:val="32"/>
        </w:rPr>
        <w:t>、合理,是规划实施的具体体现，对东张镇的公</w:t>
      </w:r>
      <w:proofErr w:type="gramStart"/>
      <w:r w:rsidRPr="002D02C9">
        <w:rPr>
          <w:rFonts w:ascii="仿宋_GB2312" w:eastAsia="仿宋_GB2312" w:hint="eastAsia"/>
          <w:b/>
          <w:bCs/>
          <w:sz w:val="32"/>
          <w:szCs w:val="32"/>
        </w:rPr>
        <w:t>服设施</w:t>
      </w:r>
      <w:proofErr w:type="gramEnd"/>
      <w:r w:rsidRPr="002D02C9">
        <w:rPr>
          <w:rFonts w:ascii="仿宋_GB2312" w:eastAsia="仿宋_GB2312" w:hint="eastAsia"/>
          <w:b/>
          <w:bCs/>
          <w:sz w:val="32"/>
          <w:szCs w:val="32"/>
        </w:rPr>
        <w:t>配套完善具有积极作用</w:t>
      </w:r>
      <w:r w:rsidR="00C75399" w:rsidRPr="00C75399">
        <w:rPr>
          <w:rFonts w:ascii="仿宋_GB2312" w:eastAsia="仿宋_GB2312" w:hint="eastAsia"/>
          <w:b/>
          <w:bCs/>
          <w:sz w:val="32"/>
          <w:szCs w:val="32"/>
        </w:rPr>
        <w:t>。</w:t>
      </w:r>
    </w:p>
    <w:p w:rsidR="00F32F3B" w:rsidRPr="00C75399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F32F3B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F32F3B" w:rsidRDefault="00596B71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二、规划图纸</w:t>
      </w:r>
    </w:p>
    <w:p w:rsidR="00F32F3B" w:rsidRDefault="00596B71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1、地块图则</w:t>
      </w:r>
    </w:p>
    <w:p w:rsidR="00F32F3B" w:rsidRDefault="002D02C9">
      <w:pPr>
        <w:rPr>
          <w:rFonts w:ascii="仿宋_GB2312" w:eastAsia="仿宋_GB2312"/>
          <w:b/>
          <w:sz w:val="32"/>
          <w:szCs w:val="32"/>
        </w:rPr>
      </w:pPr>
      <w:r>
        <w:rPr>
          <w:noProof/>
        </w:rPr>
        <w:drawing>
          <wp:inline distT="0" distB="0" distL="0" distR="0" wp14:anchorId="75479B3F" wp14:editId="0BF026CB">
            <wp:extent cx="5278120" cy="37331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3B" w:rsidRDefault="00F32F3B">
      <w:pPr>
        <w:rPr>
          <w:rFonts w:ascii="仿宋_GB2312" w:eastAsia="仿宋_GB2312"/>
          <w:b/>
          <w:sz w:val="32"/>
          <w:szCs w:val="32"/>
        </w:rPr>
      </w:pPr>
    </w:p>
    <w:p w:rsidR="00F32F3B" w:rsidRDefault="00F32F3B">
      <w:pPr>
        <w:rPr>
          <w:rFonts w:ascii="仿宋_GB2312" w:eastAsia="仿宋_GB2312"/>
          <w:b/>
          <w:sz w:val="32"/>
          <w:szCs w:val="32"/>
        </w:rPr>
      </w:pPr>
    </w:p>
    <w:p w:rsidR="00F32F3B" w:rsidRDefault="00F32F3B">
      <w:pPr>
        <w:ind w:firstLineChars="200" w:firstLine="643"/>
        <w:rPr>
          <w:rFonts w:ascii="仿宋_GB2312" w:eastAsia="仿宋_GB2312"/>
          <w:b/>
          <w:sz w:val="32"/>
          <w:szCs w:val="32"/>
        </w:rPr>
      </w:pPr>
      <w:bookmarkStart w:id="0" w:name="_GoBack"/>
      <w:bookmarkEnd w:id="0"/>
    </w:p>
    <w:p w:rsidR="00F32F3B" w:rsidRDefault="00F32F3B">
      <w:pPr>
        <w:widowControl/>
        <w:jc w:val="left"/>
        <w:rPr>
          <w:rFonts w:ascii="仿宋_GB2312" w:eastAsia="仿宋_GB2312"/>
          <w:b/>
          <w:sz w:val="32"/>
          <w:szCs w:val="32"/>
        </w:rPr>
      </w:pPr>
    </w:p>
    <w:sectPr w:rsidR="00F32F3B">
      <w:footerReference w:type="even" r:id="rId8"/>
      <w:footerReference w:type="default" r:id="rId9"/>
      <w:pgSz w:w="11906" w:h="16838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A4F" w:rsidRDefault="00C96A4F">
      <w:r>
        <w:separator/>
      </w:r>
    </w:p>
  </w:endnote>
  <w:endnote w:type="continuationSeparator" w:id="0">
    <w:p w:rsidR="00C96A4F" w:rsidRDefault="00C96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F3B" w:rsidRDefault="00596B71">
    <w:pPr>
      <w:pStyle w:val="a5"/>
      <w:framePr w:wrap="around" w:vAnchor="text" w:hAnchor="margin" w:xAlign="outside" w:y="1"/>
      <w:ind w:firstLine="280"/>
      <w:rPr>
        <w:rStyle w:val="a8"/>
        <w:rFonts w:ascii="宋体" w:hAnsi="宋体"/>
        <w:sz w:val="28"/>
        <w:szCs w:val="28"/>
      </w:rPr>
    </w:pPr>
    <w:r>
      <w:rPr>
        <w:rStyle w:val="a8"/>
        <w:rFonts w:ascii="宋体" w:hAnsi="宋体"/>
        <w:sz w:val="28"/>
        <w:szCs w:val="28"/>
      </w:rPr>
      <w:fldChar w:fldCharType="begin"/>
    </w:r>
    <w:r>
      <w:rPr>
        <w:rStyle w:val="a8"/>
        <w:rFonts w:ascii="宋体" w:hAnsi="宋体"/>
        <w:sz w:val="28"/>
        <w:szCs w:val="28"/>
      </w:rPr>
      <w:instrText xml:space="preserve">PAGE  </w:instrText>
    </w:r>
    <w:r>
      <w:rPr>
        <w:rStyle w:val="a8"/>
        <w:rFonts w:ascii="宋体" w:hAnsi="宋体"/>
        <w:sz w:val="28"/>
        <w:szCs w:val="28"/>
      </w:rPr>
      <w:fldChar w:fldCharType="separate"/>
    </w:r>
    <w:r w:rsidR="006B19EC">
      <w:rPr>
        <w:rStyle w:val="a8"/>
        <w:rFonts w:ascii="宋体" w:hAnsi="宋体"/>
        <w:noProof/>
        <w:sz w:val="28"/>
        <w:szCs w:val="28"/>
      </w:rPr>
      <w:t>- 2 -</w:t>
    </w:r>
    <w:r>
      <w:rPr>
        <w:rStyle w:val="a8"/>
        <w:rFonts w:ascii="宋体" w:hAnsi="宋体"/>
        <w:sz w:val="28"/>
        <w:szCs w:val="28"/>
      </w:rPr>
      <w:fldChar w:fldCharType="end"/>
    </w:r>
  </w:p>
  <w:p w:rsidR="00F32F3B" w:rsidRDefault="00F32F3B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F3B" w:rsidRDefault="00596B71">
    <w:pPr>
      <w:pStyle w:val="a5"/>
      <w:framePr w:w="1099" w:wrap="around" w:vAnchor="text" w:hAnchor="page" w:x="8998" w:y="-2"/>
      <w:jc w:val="both"/>
      <w:rPr>
        <w:rStyle w:val="a8"/>
        <w:rFonts w:ascii="宋体" w:hAnsi="宋体"/>
        <w:sz w:val="28"/>
        <w:szCs w:val="28"/>
      </w:rPr>
    </w:pPr>
    <w:r>
      <w:rPr>
        <w:rStyle w:val="a8"/>
        <w:rFonts w:ascii="宋体" w:hAnsi="宋体" w:hint="eastAsia"/>
        <w:sz w:val="28"/>
        <w:szCs w:val="28"/>
      </w:rPr>
      <w:fldChar w:fldCharType="begin"/>
    </w:r>
    <w:r>
      <w:rPr>
        <w:rStyle w:val="a8"/>
        <w:rFonts w:ascii="宋体" w:hAnsi="宋体" w:hint="eastAsia"/>
        <w:sz w:val="28"/>
        <w:szCs w:val="28"/>
      </w:rPr>
      <w:instrText xml:space="preserve">PAGE  </w:instrText>
    </w:r>
    <w:r>
      <w:rPr>
        <w:rStyle w:val="a8"/>
        <w:rFonts w:ascii="宋体" w:hAnsi="宋体" w:hint="eastAsia"/>
        <w:sz w:val="28"/>
        <w:szCs w:val="28"/>
      </w:rPr>
      <w:fldChar w:fldCharType="separate"/>
    </w:r>
    <w:r w:rsidR="006B19EC">
      <w:rPr>
        <w:rStyle w:val="a8"/>
        <w:rFonts w:ascii="宋体" w:hAnsi="宋体"/>
        <w:noProof/>
        <w:sz w:val="28"/>
        <w:szCs w:val="28"/>
      </w:rPr>
      <w:t>- 1 -</w:t>
    </w:r>
    <w:r>
      <w:rPr>
        <w:rStyle w:val="a8"/>
        <w:rFonts w:ascii="宋体" w:hAnsi="宋体" w:hint="eastAsia"/>
        <w:sz w:val="28"/>
        <w:szCs w:val="28"/>
      </w:rPr>
      <w:fldChar w:fldCharType="end"/>
    </w:r>
    <w:r>
      <w:rPr>
        <w:rStyle w:val="a8"/>
        <w:rFonts w:ascii="宋体" w:hAnsi="宋体" w:hint="eastAsia"/>
        <w:sz w:val="28"/>
        <w:szCs w:val="28"/>
      </w:rPr>
      <w:t xml:space="preserve">       </w:t>
    </w:r>
  </w:p>
  <w:p w:rsidR="00F32F3B" w:rsidRDefault="00F32F3B">
    <w:pPr>
      <w:pStyle w:val="a5"/>
      <w:ind w:right="360" w:firstLine="360"/>
      <w:rPr>
        <w:rFonts w:ascii="仿宋_GB2312" w:eastAsia="仿宋_GB2312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A4F" w:rsidRDefault="00C96A4F">
      <w:r>
        <w:separator/>
      </w:r>
    </w:p>
  </w:footnote>
  <w:footnote w:type="continuationSeparator" w:id="0">
    <w:p w:rsidR="00C96A4F" w:rsidRDefault="00C96A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wOTZiYWM4YjlkNWIyNTdhOTE4ZjAwYzA1NGNhMTYifQ=="/>
  </w:docVars>
  <w:rsids>
    <w:rsidRoot w:val="00CD7E3F"/>
    <w:rsid w:val="0003075A"/>
    <w:rsid w:val="00073B6C"/>
    <w:rsid w:val="00082265"/>
    <w:rsid w:val="000C0C8A"/>
    <w:rsid w:val="00136BA3"/>
    <w:rsid w:val="00145290"/>
    <w:rsid w:val="00166C6E"/>
    <w:rsid w:val="00177DC8"/>
    <w:rsid w:val="00197E90"/>
    <w:rsid w:val="002329EF"/>
    <w:rsid w:val="0029627B"/>
    <w:rsid w:val="002A721D"/>
    <w:rsid w:val="002A7811"/>
    <w:rsid w:val="002B2474"/>
    <w:rsid w:val="002D02C9"/>
    <w:rsid w:val="003264DF"/>
    <w:rsid w:val="003266A9"/>
    <w:rsid w:val="00377466"/>
    <w:rsid w:val="003D32E4"/>
    <w:rsid w:val="003F4764"/>
    <w:rsid w:val="0044715A"/>
    <w:rsid w:val="004862EA"/>
    <w:rsid w:val="0049353C"/>
    <w:rsid w:val="004E79B3"/>
    <w:rsid w:val="00583C5D"/>
    <w:rsid w:val="00596B71"/>
    <w:rsid w:val="005D470B"/>
    <w:rsid w:val="00605426"/>
    <w:rsid w:val="00626E3B"/>
    <w:rsid w:val="006404DB"/>
    <w:rsid w:val="0064537D"/>
    <w:rsid w:val="00662CE2"/>
    <w:rsid w:val="00667483"/>
    <w:rsid w:val="006B19EC"/>
    <w:rsid w:val="006B1EFC"/>
    <w:rsid w:val="006B2B89"/>
    <w:rsid w:val="006E5DCD"/>
    <w:rsid w:val="00752DD6"/>
    <w:rsid w:val="00771A40"/>
    <w:rsid w:val="00773384"/>
    <w:rsid w:val="0078012D"/>
    <w:rsid w:val="00787316"/>
    <w:rsid w:val="007D3B58"/>
    <w:rsid w:val="007E2650"/>
    <w:rsid w:val="007E7805"/>
    <w:rsid w:val="0080357E"/>
    <w:rsid w:val="00821368"/>
    <w:rsid w:val="008551EC"/>
    <w:rsid w:val="00884FF3"/>
    <w:rsid w:val="00952DE1"/>
    <w:rsid w:val="00964AD6"/>
    <w:rsid w:val="00973A2E"/>
    <w:rsid w:val="009F3FB4"/>
    <w:rsid w:val="00AC561B"/>
    <w:rsid w:val="00AF7912"/>
    <w:rsid w:val="00B30B6E"/>
    <w:rsid w:val="00B927E5"/>
    <w:rsid w:val="00B97B6C"/>
    <w:rsid w:val="00BA5242"/>
    <w:rsid w:val="00BB6FF7"/>
    <w:rsid w:val="00BF7A60"/>
    <w:rsid w:val="00C23C1C"/>
    <w:rsid w:val="00C75399"/>
    <w:rsid w:val="00C85F98"/>
    <w:rsid w:val="00C928AE"/>
    <w:rsid w:val="00C96A4F"/>
    <w:rsid w:val="00CB0717"/>
    <w:rsid w:val="00CD7E3F"/>
    <w:rsid w:val="00D5283A"/>
    <w:rsid w:val="00D57799"/>
    <w:rsid w:val="00D86481"/>
    <w:rsid w:val="00DB77B1"/>
    <w:rsid w:val="00DC176A"/>
    <w:rsid w:val="00E13ECA"/>
    <w:rsid w:val="00E314CD"/>
    <w:rsid w:val="00E429E2"/>
    <w:rsid w:val="00E84063"/>
    <w:rsid w:val="00E85898"/>
    <w:rsid w:val="00EE6185"/>
    <w:rsid w:val="00F1355A"/>
    <w:rsid w:val="00F263B4"/>
    <w:rsid w:val="00F31168"/>
    <w:rsid w:val="00F32F3B"/>
    <w:rsid w:val="00F76260"/>
    <w:rsid w:val="00F76B17"/>
    <w:rsid w:val="00F8012B"/>
    <w:rsid w:val="00FD5961"/>
    <w:rsid w:val="200F1D0F"/>
    <w:rsid w:val="41FA31EA"/>
    <w:rsid w:val="46131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A708DB6-5F22-4EF9-A50E-1768BD822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="100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link w:val="Char0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page number"/>
    <w:basedOn w:val="a0"/>
    <w:qFormat/>
  </w:style>
  <w:style w:type="character" w:customStyle="1" w:styleId="Char0">
    <w:name w:val="普通(网站) Char"/>
    <w:link w:val="a7"/>
    <w:qFormat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9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3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8D073-0321-496F-9677-3813A7C86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161</Words>
  <Characters>921</Characters>
  <Application>Microsoft Office Word</Application>
  <DocSecurity>0</DocSecurity>
  <Lines>7</Lines>
  <Paragraphs>2</Paragraphs>
  <ScaleCrop>false</ScaleCrop>
  <Company>Microsoft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融规 [2012] 253号                  签发人：郑卫东</dc:title>
  <dc:creator>User</dc:creator>
  <cp:lastModifiedBy>Microsoft 帐户</cp:lastModifiedBy>
  <cp:revision>11</cp:revision>
  <cp:lastPrinted>2018-11-14T01:23:00Z</cp:lastPrinted>
  <dcterms:created xsi:type="dcterms:W3CDTF">2022-09-13T13:08:00Z</dcterms:created>
  <dcterms:modified xsi:type="dcterms:W3CDTF">2024-06-06T02:49:00Z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B8A3F9D96CCE46E5A7D03070D436B3A7_12</vt:lpwstr>
  </property>
</Properties>
</file>