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3FCA8E">
      <w:pPr>
        <w:spacing w:line="760" w:lineRule="exact"/>
        <w:jc w:val="center"/>
        <w:rPr>
          <w:rFonts w:ascii="方正小标宋简体" w:eastAsia="方正小标宋简体"/>
          <w:sz w:val="40"/>
          <w:szCs w:val="44"/>
        </w:rPr>
      </w:pPr>
      <w:bookmarkStart w:id="0" w:name="标题"/>
      <w:r>
        <w:rPr>
          <w:rFonts w:hint="eastAsia" w:ascii="方正小标宋简体" w:eastAsia="方正小标宋简体"/>
          <w:sz w:val="40"/>
          <w:szCs w:val="44"/>
        </w:rPr>
        <w:t>福州新区元洪功能区管理委员会</w:t>
      </w:r>
      <w:r>
        <w:rPr>
          <w:rFonts w:ascii="方正小标宋简体" w:eastAsia="方正小标宋简体"/>
          <w:sz w:val="40"/>
          <w:szCs w:val="44"/>
        </w:rPr>
        <w:t>关于</w:t>
      </w:r>
    </w:p>
    <w:p w14:paraId="504A824D">
      <w:pPr>
        <w:spacing w:line="760" w:lineRule="exact"/>
        <w:jc w:val="center"/>
        <w:rPr>
          <w:rFonts w:ascii="方正小标宋简体" w:eastAsia="方正小标宋简体"/>
          <w:sz w:val="40"/>
          <w:szCs w:val="44"/>
        </w:rPr>
      </w:pPr>
      <w:r>
        <w:rPr>
          <w:rFonts w:ascii="方正小标宋简体" w:eastAsia="方正小标宋简体"/>
          <w:sz w:val="40"/>
          <w:szCs w:val="44"/>
        </w:rPr>
        <w:t>《</w:t>
      </w:r>
      <w:r>
        <w:rPr>
          <w:rFonts w:hint="eastAsia" w:ascii="方正小标宋简体" w:eastAsia="方正小标宋简体"/>
          <w:sz w:val="40"/>
          <w:szCs w:val="44"/>
        </w:rPr>
        <w:t>福州元洪国际食品产业园局部基本单元控制性详细规划修编</w:t>
      </w:r>
      <w:r>
        <w:rPr>
          <w:rFonts w:ascii="方正小标宋简体" w:eastAsia="方正小标宋简体"/>
          <w:sz w:val="40"/>
          <w:szCs w:val="44"/>
        </w:rPr>
        <w:t>》</w:t>
      </w:r>
      <w:r>
        <w:rPr>
          <w:rFonts w:hint="eastAsia" w:ascii="方正小标宋简体" w:eastAsia="方正小标宋简体"/>
          <w:sz w:val="40"/>
          <w:szCs w:val="44"/>
        </w:rPr>
        <w:t>方案</w:t>
      </w:r>
      <w:r>
        <w:rPr>
          <w:rFonts w:ascii="方正小标宋简体" w:eastAsia="方正小标宋简体"/>
          <w:sz w:val="40"/>
          <w:szCs w:val="44"/>
        </w:rPr>
        <w:t>的公示</w:t>
      </w:r>
      <w:bookmarkEnd w:id="0"/>
    </w:p>
    <w:p w14:paraId="5575A035">
      <w:pPr>
        <w:ind w:firstLine="640" w:firstLineChars="200"/>
        <w:rPr>
          <w:rFonts w:ascii="仿宋_GB2312" w:eastAsia="仿宋_GB2312"/>
          <w:sz w:val="32"/>
          <w:szCs w:val="32"/>
        </w:rPr>
      </w:pPr>
    </w:p>
    <w:p w14:paraId="1C900219">
      <w:pPr>
        <w:ind w:firstLine="640" w:firstLineChars="200"/>
        <w:rPr>
          <w:rFonts w:ascii="仿宋_GB2312" w:eastAsia="仿宋_GB2312"/>
          <w:sz w:val="32"/>
          <w:szCs w:val="32"/>
        </w:rPr>
      </w:pPr>
      <w:r>
        <w:rPr>
          <w:rFonts w:hint="eastAsia" w:ascii="仿宋_GB2312" w:eastAsia="仿宋_GB2312"/>
          <w:sz w:val="32"/>
          <w:szCs w:val="32"/>
        </w:rPr>
        <w:t>我委委托福建省城乡规划设计研究院组织编制《福州元洪国际食品产业园局部基本单元控制性详细规划修编》，经过多次征求意见和技术审查，该规划方案于</w:t>
      </w:r>
      <w:r>
        <w:rPr>
          <w:rFonts w:ascii="仿宋_GB2312" w:eastAsia="仿宋_GB2312"/>
          <w:sz w:val="32"/>
          <w:szCs w:val="32"/>
        </w:rPr>
        <w:t>2024</w:t>
      </w:r>
      <w:r>
        <w:rPr>
          <w:rFonts w:hint="eastAsia" w:ascii="仿宋_GB2312" w:eastAsia="仿宋_GB2312"/>
          <w:sz w:val="32"/>
          <w:szCs w:val="32"/>
        </w:rPr>
        <w:t>年</w:t>
      </w:r>
      <w:r>
        <w:rPr>
          <w:rFonts w:ascii="仿宋_GB2312" w:eastAsia="仿宋_GB2312"/>
          <w:sz w:val="32"/>
          <w:szCs w:val="32"/>
        </w:rPr>
        <w:t>8</w:t>
      </w:r>
      <w:r>
        <w:rPr>
          <w:rFonts w:hint="eastAsia" w:ascii="仿宋_GB2312" w:eastAsia="仿宋_GB2312"/>
          <w:sz w:val="32"/>
          <w:szCs w:val="32"/>
        </w:rPr>
        <w:t>月8日通过专家和部门技术审查，并按会议意见进行修改完善。根据《中华人民共和国城乡规划法》《福建省城市控制性详细规划管理暂行办法》《城市、镇控制性详细规划编制审批办法》等法律法规要求，现将该规划方案公示并征求公众意见。</w:t>
      </w:r>
    </w:p>
    <w:p w14:paraId="5BAD41B0">
      <w:pPr>
        <w:ind w:firstLine="640" w:firstLineChars="200"/>
        <w:rPr>
          <w:rFonts w:ascii="仿宋_GB2312" w:eastAsia="仿宋_GB2312"/>
          <w:sz w:val="32"/>
          <w:szCs w:val="32"/>
        </w:rPr>
      </w:pPr>
      <w:r>
        <w:rPr>
          <w:rFonts w:hint="eastAsia" w:ascii="仿宋_GB2312" w:eastAsia="仿宋_GB2312"/>
          <w:sz w:val="32"/>
          <w:szCs w:val="32"/>
        </w:rPr>
        <w:t>规划主要内容发布在福清市人民政府网，规划图片发布在网站（http://www.fuqing.gov.cn/）。公示时间自2024年8月1</w:t>
      </w:r>
      <w:r>
        <w:rPr>
          <w:rFonts w:hint="eastAsia" w:ascii="仿宋_GB2312" w:eastAsia="仿宋_GB2312"/>
          <w:sz w:val="32"/>
          <w:szCs w:val="32"/>
          <w:lang w:val="en-US" w:eastAsia="zh-CN"/>
        </w:rPr>
        <w:t>6</w:t>
      </w:r>
      <w:r>
        <w:rPr>
          <w:rFonts w:hint="eastAsia" w:ascii="仿宋_GB2312" w:eastAsia="仿宋_GB2312"/>
          <w:sz w:val="32"/>
          <w:szCs w:val="32"/>
        </w:rPr>
        <w:t>日至2024年9月1</w:t>
      </w:r>
      <w:r>
        <w:rPr>
          <w:rFonts w:hint="eastAsia" w:ascii="仿宋_GB2312" w:eastAsia="仿宋_GB2312"/>
          <w:sz w:val="32"/>
          <w:szCs w:val="32"/>
          <w:lang w:val="en-US" w:eastAsia="zh-CN"/>
        </w:rPr>
        <w:t>6</w:t>
      </w:r>
      <w:r>
        <w:rPr>
          <w:rFonts w:hint="eastAsia" w:ascii="仿宋_GB2312" w:eastAsia="仿宋_GB2312"/>
          <w:sz w:val="32"/>
          <w:szCs w:val="32"/>
        </w:rPr>
        <w:t>日，公示期间，欢迎单位和个人通过信函和其他书面形式对规划提出意见与建议。来信来函邮寄地址：福清市城头镇元创路1号，邮政编码：350</w:t>
      </w:r>
      <w:r>
        <w:rPr>
          <w:rFonts w:ascii="仿宋_GB2312" w:eastAsia="仿宋_GB2312"/>
          <w:sz w:val="32"/>
          <w:szCs w:val="32"/>
        </w:rPr>
        <w:t>314</w:t>
      </w:r>
      <w:r>
        <w:rPr>
          <w:rFonts w:hint="eastAsia" w:ascii="仿宋_GB2312" w:eastAsia="仿宋_GB2312"/>
          <w:sz w:val="32"/>
          <w:szCs w:val="32"/>
        </w:rPr>
        <w:t>，联系电话：0591-85</w:t>
      </w:r>
      <w:r>
        <w:rPr>
          <w:rFonts w:ascii="仿宋_GB2312" w:eastAsia="仿宋_GB2312"/>
          <w:sz w:val="32"/>
          <w:szCs w:val="32"/>
        </w:rPr>
        <w:t>576036</w:t>
      </w:r>
      <w:r>
        <w:rPr>
          <w:rFonts w:hint="eastAsia" w:ascii="仿宋_GB2312" w:eastAsia="仿宋_GB2312"/>
          <w:sz w:val="32"/>
          <w:szCs w:val="32"/>
        </w:rPr>
        <w:t>，并注明“福州元洪国际食品产业园局部基本单元控制性详细规划修编”。</w:t>
      </w:r>
    </w:p>
    <w:p w14:paraId="20BDD727">
      <w:pPr>
        <w:widowControl/>
        <w:jc w:val="left"/>
        <w:rPr>
          <w:rFonts w:ascii="仿宋_GB2312" w:eastAsia="仿宋_GB2312"/>
          <w:sz w:val="32"/>
          <w:szCs w:val="32"/>
        </w:rPr>
      </w:pPr>
    </w:p>
    <w:p w14:paraId="2DF3C152">
      <w:pPr>
        <w:ind w:firstLine="640" w:firstLineChars="200"/>
        <w:rPr>
          <w:rFonts w:ascii="仿宋_GB2312" w:eastAsia="仿宋_GB2312"/>
          <w:sz w:val="32"/>
          <w:szCs w:val="32"/>
        </w:rPr>
      </w:pPr>
      <w:r>
        <w:rPr>
          <w:rFonts w:hint="eastAsia" w:ascii="仿宋_GB2312" w:eastAsia="仿宋_GB2312"/>
          <w:sz w:val="32"/>
          <w:szCs w:val="32"/>
        </w:rPr>
        <w:t>附件：福州元洪国际食品产业园局部基本单元控制性详细规划修编的主要内容及规划图纸</w:t>
      </w:r>
    </w:p>
    <w:p w14:paraId="7B4C2B92">
      <w:pPr>
        <w:spacing w:line="520" w:lineRule="exact"/>
        <w:ind w:firstLine="640" w:firstLineChars="200"/>
        <w:rPr>
          <w:rFonts w:ascii="仿宋_GB2312" w:eastAsia="仿宋_GB2312"/>
          <w:sz w:val="32"/>
          <w:szCs w:val="32"/>
        </w:rPr>
      </w:pPr>
      <w:r>
        <w:rPr>
          <w:rFonts w:hint="eastAsia" w:ascii="仿宋_GB2312" w:eastAsia="仿宋_GB2312"/>
          <w:sz w:val="32"/>
          <w:szCs w:val="32"/>
        </w:rPr>
        <w:t> </w:t>
      </w:r>
    </w:p>
    <w:p w14:paraId="34307680">
      <w:pPr>
        <w:ind w:firstLine="640" w:firstLineChars="200"/>
        <w:jc w:val="right"/>
        <w:rPr>
          <w:rFonts w:ascii="仿宋_GB2312" w:eastAsia="仿宋_GB2312"/>
          <w:sz w:val="32"/>
          <w:szCs w:val="32"/>
        </w:rPr>
      </w:pPr>
      <w:r>
        <w:rPr>
          <w:rFonts w:hint="eastAsia" w:ascii="仿宋_GB2312" w:eastAsia="仿宋_GB2312"/>
          <w:sz w:val="32"/>
          <w:szCs w:val="32"/>
        </w:rPr>
        <w:t>福州新区元洪功能区管理委员会</w:t>
      </w:r>
    </w:p>
    <w:p w14:paraId="423EED15">
      <w:pPr>
        <w:spacing w:line="520" w:lineRule="exact"/>
        <w:ind w:firstLine="4800" w:firstLineChars="1500"/>
        <w:rPr>
          <w:rFonts w:ascii="仿宋_GB2312" w:eastAsia="仿宋_GB2312"/>
          <w:sz w:val="32"/>
          <w:szCs w:val="32"/>
        </w:rPr>
      </w:pPr>
      <w:bookmarkStart w:id="1" w:name="日期"/>
      <w:r>
        <w:rPr>
          <w:rFonts w:hint="eastAsia" w:ascii="仿宋_GB2312" w:eastAsia="仿宋_GB2312"/>
          <w:sz w:val="32"/>
          <w:szCs w:val="32"/>
        </w:rPr>
        <w:t>202</w:t>
      </w:r>
      <w:r>
        <w:rPr>
          <w:rFonts w:ascii="仿宋_GB2312" w:eastAsia="仿宋_GB2312"/>
          <w:sz w:val="32"/>
          <w:szCs w:val="32"/>
        </w:rPr>
        <w:t>4</w:t>
      </w:r>
      <w:r>
        <w:rPr>
          <w:rFonts w:hint="eastAsia" w:ascii="仿宋_GB2312" w:eastAsia="仿宋_GB2312"/>
          <w:sz w:val="32"/>
          <w:szCs w:val="32"/>
        </w:rPr>
        <w:t>年</w:t>
      </w:r>
      <w:r>
        <w:rPr>
          <w:rFonts w:ascii="仿宋_GB2312" w:eastAsia="仿宋_GB2312"/>
          <w:sz w:val="32"/>
          <w:szCs w:val="32"/>
        </w:rPr>
        <w:t>8</w:t>
      </w:r>
      <w:r>
        <w:rPr>
          <w:rFonts w:hint="eastAsia" w:ascii="仿宋_GB2312" w:eastAsia="仿宋_GB2312"/>
          <w:sz w:val="32"/>
          <w:szCs w:val="32"/>
        </w:rPr>
        <w:t>月</w:t>
      </w:r>
      <w:r>
        <w:rPr>
          <w:rFonts w:ascii="仿宋_GB2312" w:eastAsia="仿宋_GB2312"/>
          <w:sz w:val="32"/>
          <w:szCs w:val="32"/>
        </w:rPr>
        <w:t>1</w:t>
      </w:r>
      <w:r>
        <w:rPr>
          <w:rFonts w:hint="eastAsia" w:ascii="仿宋_GB2312" w:eastAsia="仿宋_GB2312"/>
          <w:sz w:val="32"/>
          <w:szCs w:val="32"/>
          <w:lang w:val="en-US" w:eastAsia="zh-CN"/>
        </w:rPr>
        <w:t>6</w:t>
      </w:r>
      <w:r>
        <w:rPr>
          <w:rFonts w:hint="eastAsia" w:ascii="仿宋_GB2312" w:eastAsia="仿宋_GB2312"/>
          <w:sz w:val="32"/>
          <w:szCs w:val="32"/>
        </w:rPr>
        <w:t>日</w:t>
      </w:r>
      <w:bookmarkEnd w:id="1"/>
    </w:p>
    <w:p w14:paraId="031A1DA4">
      <w:pPr>
        <w:widowControl/>
        <w:jc w:val="left"/>
        <w:rPr>
          <w:rFonts w:ascii="仿宋_GB2312" w:eastAsia="仿宋_GB2312"/>
          <w:sz w:val="32"/>
          <w:szCs w:val="32"/>
        </w:rPr>
      </w:pPr>
      <w:r>
        <w:rPr>
          <w:rFonts w:ascii="仿宋_GB2312" w:eastAsia="仿宋_GB2312"/>
          <w:sz w:val="32"/>
          <w:szCs w:val="32"/>
        </w:rPr>
        <w:br w:type="page"/>
      </w:r>
      <w:bookmarkStart w:id="2" w:name="_GoBack"/>
      <w:bookmarkEnd w:id="2"/>
    </w:p>
    <w:p w14:paraId="1BEFDC58">
      <w:pPr>
        <w:rPr>
          <w:rFonts w:ascii="仿宋_GB2312" w:eastAsia="仿宋_GB2312"/>
          <w:sz w:val="32"/>
          <w:szCs w:val="32"/>
        </w:rPr>
      </w:pPr>
      <w:r>
        <w:rPr>
          <w:rFonts w:hint="eastAsia" w:ascii="仿宋_GB2312" w:eastAsia="仿宋_GB2312"/>
          <w:sz w:val="32"/>
          <w:szCs w:val="32"/>
        </w:rPr>
        <w:t>附件</w:t>
      </w:r>
    </w:p>
    <w:p w14:paraId="5BE4E58D">
      <w:pPr>
        <w:spacing w:line="540" w:lineRule="auto"/>
        <w:jc w:val="center"/>
        <w:rPr>
          <w:rFonts w:ascii="仿宋_GB2312" w:eastAsia="仿宋_GB2312"/>
          <w:sz w:val="36"/>
          <w:szCs w:val="32"/>
        </w:rPr>
      </w:pPr>
      <w:r>
        <w:rPr>
          <w:rFonts w:hint="eastAsia" w:ascii="仿宋_GB2312" w:eastAsia="仿宋_GB2312"/>
          <w:sz w:val="36"/>
          <w:szCs w:val="32"/>
        </w:rPr>
        <w:t>福州元洪国际食品产业园局部基本单元控制性详细规划修编的主要内容及规划图纸</w:t>
      </w:r>
    </w:p>
    <w:p w14:paraId="77472AEF">
      <w:pPr>
        <w:ind w:firstLine="643" w:firstLineChars="200"/>
        <w:rPr>
          <w:rFonts w:ascii="仿宋_GB2312" w:eastAsia="仿宋_GB2312"/>
          <w:b/>
          <w:sz w:val="32"/>
          <w:szCs w:val="32"/>
        </w:rPr>
      </w:pPr>
      <w:r>
        <w:rPr>
          <w:rFonts w:hint="eastAsia" w:ascii="仿宋_GB2312" w:eastAsia="仿宋_GB2312"/>
          <w:b/>
          <w:sz w:val="32"/>
          <w:szCs w:val="32"/>
        </w:rPr>
        <w:t>一、主要内容</w:t>
      </w:r>
    </w:p>
    <w:p w14:paraId="0047156E">
      <w:pPr>
        <w:ind w:firstLine="643" w:firstLineChars="200"/>
        <w:rPr>
          <w:rFonts w:ascii="仿宋_GB2312" w:eastAsia="仿宋_GB2312"/>
          <w:b/>
          <w:sz w:val="32"/>
          <w:szCs w:val="32"/>
        </w:rPr>
      </w:pPr>
      <w:r>
        <w:rPr>
          <w:rFonts w:hint="eastAsia" w:ascii="仿宋_GB2312" w:eastAsia="仿宋_GB2312"/>
          <w:b/>
          <w:sz w:val="32"/>
          <w:szCs w:val="32"/>
        </w:rPr>
        <w:t>1、区位及规划范围</w:t>
      </w:r>
    </w:p>
    <w:p w14:paraId="420DC127">
      <w:pPr>
        <w:ind w:firstLine="640" w:firstLineChars="200"/>
        <w:rPr>
          <w:rFonts w:ascii="仿宋_GB2312" w:eastAsia="仿宋_GB2312"/>
          <w:sz w:val="32"/>
          <w:szCs w:val="32"/>
        </w:rPr>
      </w:pPr>
      <w:r>
        <w:rPr>
          <w:rFonts w:hint="eastAsia" w:ascii="仿宋_GB2312" w:eastAsia="仿宋_GB2312"/>
          <w:sz w:val="32"/>
          <w:szCs w:val="32"/>
        </w:rPr>
        <w:t>规划区位于福州元洪投资区东部，地处福清、长乐滨海新城、平潭的中心地带，南临福清湾，西临城头镇镇区。距离元洪作业区5km，距离福清中心城区1</w:t>
      </w:r>
      <w:r>
        <w:rPr>
          <w:rFonts w:ascii="仿宋_GB2312" w:eastAsia="仿宋_GB2312"/>
          <w:sz w:val="32"/>
          <w:szCs w:val="32"/>
        </w:rPr>
        <w:t>8</w:t>
      </w:r>
      <w:r>
        <w:rPr>
          <w:rFonts w:hint="eastAsia" w:ascii="仿宋_GB2312" w:eastAsia="仿宋_GB2312"/>
          <w:sz w:val="32"/>
          <w:szCs w:val="32"/>
        </w:rPr>
        <w:t>km，与松下港、江阴港、福州长乐国际机场等交通枢纽有便捷交通联系。</w:t>
      </w:r>
    </w:p>
    <w:p w14:paraId="24B7C4BF">
      <w:pPr>
        <w:ind w:firstLine="640" w:firstLineChars="200"/>
        <w:rPr>
          <w:rFonts w:ascii="仿宋_GB2312" w:eastAsia="仿宋_GB2312"/>
          <w:sz w:val="32"/>
          <w:szCs w:val="32"/>
        </w:rPr>
      </w:pPr>
      <w:r>
        <w:rPr>
          <w:rFonts w:hint="eastAsia" w:ascii="仿宋_GB2312" w:eastAsia="仿宋_GB2312"/>
          <w:sz w:val="32"/>
          <w:szCs w:val="32"/>
        </w:rPr>
        <w:t>规划范围为：东至元创路，西抵元城路，北至海城路，南达城头海堤，规划总面积约2</w:t>
      </w:r>
      <w:r>
        <w:rPr>
          <w:rFonts w:ascii="仿宋_GB2312" w:eastAsia="仿宋_GB2312"/>
          <w:sz w:val="32"/>
          <w:szCs w:val="32"/>
        </w:rPr>
        <w:t>50.00</w:t>
      </w:r>
      <w:r>
        <w:rPr>
          <w:rFonts w:hint="eastAsia" w:ascii="仿宋_GB2312" w:eastAsia="仿宋_GB2312"/>
          <w:sz w:val="32"/>
          <w:szCs w:val="32"/>
        </w:rPr>
        <w:t>公顷。</w:t>
      </w:r>
    </w:p>
    <w:p w14:paraId="39039181">
      <w:pPr>
        <w:ind w:firstLine="643" w:firstLineChars="200"/>
        <w:rPr>
          <w:rFonts w:ascii="仿宋_GB2312" w:eastAsia="仿宋_GB2312"/>
          <w:b/>
          <w:sz w:val="32"/>
          <w:szCs w:val="32"/>
        </w:rPr>
      </w:pPr>
      <w:r>
        <w:rPr>
          <w:rFonts w:ascii="仿宋_GB2312" w:eastAsia="仿宋_GB2312"/>
          <w:b/>
          <w:sz w:val="32"/>
          <w:szCs w:val="32"/>
        </w:rPr>
        <w:t>2</w:t>
      </w:r>
      <w:r>
        <w:rPr>
          <w:rFonts w:hint="eastAsia" w:ascii="仿宋_GB2312" w:eastAsia="仿宋_GB2312"/>
          <w:b/>
          <w:sz w:val="32"/>
          <w:szCs w:val="32"/>
        </w:rPr>
        <w:t>、功能定位</w:t>
      </w:r>
    </w:p>
    <w:p w14:paraId="58F1CB97">
      <w:pPr>
        <w:spacing w:after="120"/>
        <w:ind w:firstLine="640" w:firstLineChars="200"/>
        <w:rPr>
          <w:rFonts w:ascii="仿宋_GB2312" w:eastAsia="仿宋_GB2312"/>
          <w:sz w:val="32"/>
          <w:szCs w:val="32"/>
        </w:rPr>
      </w:pPr>
      <w:r>
        <w:rPr>
          <w:rFonts w:hint="eastAsia" w:ascii="仿宋_GB2312" w:eastAsia="仿宋_GB2312"/>
          <w:sz w:val="32"/>
          <w:szCs w:val="32"/>
        </w:rPr>
        <w:t>集食品加工展销、公共服务、居住休闲为一体的国际食品产业园。</w:t>
      </w:r>
    </w:p>
    <w:p w14:paraId="4F1C55DE">
      <w:pPr>
        <w:ind w:firstLine="643" w:firstLineChars="200"/>
        <w:rPr>
          <w:rFonts w:ascii="仿宋_GB2312" w:eastAsia="仿宋_GB2312"/>
          <w:b/>
          <w:sz w:val="32"/>
          <w:szCs w:val="32"/>
        </w:rPr>
      </w:pPr>
      <w:r>
        <w:rPr>
          <w:rFonts w:ascii="仿宋_GB2312" w:eastAsia="仿宋_GB2312"/>
          <w:b/>
          <w:sz w:val="32"/>
          <w:szCs w:val="32"/>
        </w:rPr>
        <w:t>3</w:t>
      </w:r>
      <w:r>
        <w:rPr>
          <w:rFonts w:hint="eastAsia" w:ascii="仿宋_GB2312" w:eastAsia="仿宋_GB2312"/>
          <w:b/>
          <w:sz w:val="32"/>
          <w:szCs w:val="32"/>
        </w:rPr>
        <w:t>、发展规模</w:t>
      </w:r>
    </w:p>
    <w:p w14:paraId="0D1702B6">
      <w:pPr>
        <w:spacing w:after="120"/>
        <w:ind w:firstLine="640" w:firstLineChars="200"/>
        <w:rPr>
          <w:rFonts w:ascii="仿宋_GB2312" w:eastAsia="仿宋_GB2312"/>
          <w:sz w:val="32"/>
          <w:szCs w:val="32"/>
        </w:rPr>
      </w:pPr>
      <w:r>
        <w:rPr>
          <w:rFonts w:hint="eastAsia" w:ascii="仿宋_GB2312" w:eastAsia="仿宋_GB2312"/>
          <w:sz w:val="32"/>
          <w:szCs w:val="32"/>
        </w:rPr>
        <w:t>规划人口规模为</w:t>
      </w:r>
      <w:r>
        <w:rPr>
          <w:rFonts w:ascii="仿宋_GB2312" w:eastAsia="仿宋_GB2312"/>
          <w:sz w:val="32"/>
          <w:szCs w:val="32"/>
        </w:rPr>
        <w:t>1.22</w:t>
      </w:r>
      <w:r>
        <w:rPr>
          <w:rFonts w:hint="eastAsia" w:ascii="仿宋_GB2312" w:eastAsia="仿宋_GB2312"/>
          <w:sz w:val="32"/>
          <w:szCs w:val="32"/>
        </w:rPr>
        <w:t>万人，规划城市建设用地面积2</w:t>
      </w:r>
      <w:r>
        <w:rPr>
          <w:rFonts w:ascii="仿宋_GB2312" w:eastAsia="仿宋_GB2312"/>
          <w:sz w:val="32"/>
          <w:szCs w:val="32"/>
        </w:rPr>
        <w:t>44.59</w:t>
      </w:r>
      <w:r>
        <w:rPr>
          <w:rFonts w:hint="eastAsia" w:ascii="仿宋_GB2312" w:eastAsia="仿宋_GB2312"/>
          <w:sz w:val="32"/>
          <w:szCs w:val="32"/>
        </w:rPr>
        <w:t>公顷。</w:t>
      </w:r>
    </w:p>
    <w:p w14:paraId="46CFCA85">
      <w:pPr>
        <w:ind w:firstLine="643" w:firstLineChars="200"/>
        <w:rPr>
          <w:rFonts w:ascii="仿宋_GB2312" w:eastAsia="仿宋_GB2312"/>
          <w:b/>
          <w:sz w:val="32"/>
          <w:szCs w:val="32"/>
        </w:rPr>
      </w:pPr>
      <w:r>
        <w:rPr>
          <w:rFonts w:ascii="仿宋_GB2312" w:eastAsia="仿宋_GB2312"/>
          <w:b/>
          <w:sz w:val="32"/>
          <w:szCs w:val="32"/>
        </w:rPr>
        <w:t>4</w:t>
      </w:r>
      <w:r>
        <w:rPr>
          <w:rFonts w:hint="eastAsia" w:ascii="仿宋_GB2312" w:eastAsia="仿宋_GB2312"/>
          <w:b/>
          <w:sz w:val="32"/>
          <w:szCs w:val="32"/>
        </w:rPr>
        <w:t>、用地布局规划</w:t>
      </w:r>
    </w:p>
    <w:p w14:paraId="2C993852">
      <w:pPr>
        <w:ind w:firstLine="640" w:firstLineChars="200"/>
        <w:rPr>
          <w:rFonts w:ascii="仿宋_GB2312" w:eastAsia="仿宋_GB2312"/>
          <w:sz w:val="32"/>
          <w:szCs w:val="32"/>
        </w:rPr>
      </w:pPr>
      <w:r>
        <w:rPr>
          <w:rFonts w:hint="eastAsia" w:ascii="仿宋_GB2312" w:eastAsia="仿宋_GB2312"/>
          <w:sz w:val="32"/>
          <w:szCs w:val="32"/>
        </w:rPr>
        <w:t>规划用地布局结合总体空间结构，重点完善路网体系、明确生活和工业功能分区、整治片区风貌，营造功能完善、配套齐全、环境优美的食品工业区。</w:t>
      </w:r>
    </w:p>
    <w:p w14:paraId="0D1259C4">
      <w:pPr>
        <w:ind w:firstLine="643" w:firstLineChars="200"/>
        <w:rPr>
          <w:rFonts w:ascii="仿宋_GB2312" w:eastAsia="仿宋_GB2312"/>
          <w:b/>
          <w:sz w:val="32"/>
          <w:szCs w:val="32"/>
        </w:rPr>
      </w:pPr>
      <w:r>
        <w:rPr>
          <w:rFonts w:ascii="仿宋_GB2312" w:eastAsia="仿宋_GB2312"/>
          <w:b/>
          <w:sz w:val="32"/>
          <w:szCs w:val="32"/>
        </w:rPr>
        <w:t>5</w:t>
      </w:r>
      <w:r>
        <w:rPr>
          <w:rFonts w:hint="eastAsia" w:ascii="仿宋_GB2312" w:eastAsia="仿宋_GB2312"/>
          <w:b/>
          <w:sz w:val="32"/>
          <w:szCs w:val="32"/>
        </w:rPr>
        <w:t>、道路交通规划</w:t>
      </w:r>
    </w:p>
    <w:p w14:paraId="140A5B9E">
      <w:pPr>
        <w:ind w:firstLine="640" w:firstLineChars="200"/>
        <w:rPr>
          <w:rFonts w:ascii="仿宋_GB2312" w:eastAsia="仿宋_GB2312"/>
          <w:sz w:val="32"/>
          <w:szCs w:val="32"/>
        </w:rPr>
      </w:pPr>
      <w:r>
        <w:rPr>
          <w:rFonts w:hint="eastAsia" w:ascii="仿宋_GB2312" w:eastAsia="仿宋_GB2312"/>
          <w:sz w:val="32"/>
          <w:szCs w:val="32"/>
        </w:rPr>
        <w:t>规划形成“四横两纵”的主干路网格局，“四横”自北向南依次为：海城路、洪桥大道、洪嘉大道、滨海大道。“两纵”为元城路、元创路。</w:t>
      </w:r>
    </w:p>
    <w:p w14:paraId="6C6984B4">
      <w:pPr>
        <w:ind w:firstLine="643" w:firstLineChars="200"/>
        <w:rPr>
          <w:rFonts w:ascii="仿宋_GB2312" w:eastAsia="仿宋_GB2312"/>
          <w:b/>
          <w:sz w:val="32"/>
          <w:szCs w:val="32"/>
        </w:rPr>
      </w:pPr>
    </w:p>
    <w:p w14:paraId="2714D219">
      <w:pPr>
        <w:ind w:firstLine="643" w:firstLineChars="200"/>
        <w:rPr>
          <w:rFonts w:ascii="仿宋_GB2312" w:eastAsia="仿宋_GB2312"/>
          <w:b/>
          <w:sz w:val="32"/>
          <w:szCs w:val="32"/>
        </w:rPr>
      </w:pPr>
    </w:p>
    <w:p w14:paraId="64CCC15A">
      <w:pPr>
        <w:ind w:firstLine="643" w:firstLineChars="200"/>
        <w:rPr>
          <w:rFonts w:ascii="仿宋_GB2312" w:eastAsia="仿宋_GB2312"/>
          <w:b/>
          <w:sz w:val="32"/>
          <w:szCs w:val="32"/>
        </w:rPr>
      </w:pPr>
    </w:p>
    <w:p w14:paraId="1E228359">
      <w:pPr>
        <w:ind w:firstLine="643" w:firstLineChars="200"/>
        <w:rPr>
          <w:rFonts w:ascii="仿宋_GB2312" w:eastAsia="仿宋_GB2312"/>
          <w:b/>
          <w:sz w:val="32"/>
          <w:szCs w:val="32"/>
        </w:rPr>
      </w:pPr>
    </w:p>
    <w:p w14:paraId="2D15A528">
      <w:pPr>
        <w:ind w:firstLine="643" w:firstLineChars="200"/>
        <w:rPr>
          <w:rFonts w:ascii="仿宋_GB2312" w:eastAsia="仿宋_GB2312"/>
          <w:b/>
          <w:sz w:val="32"/>
          <w:szCs w:val="32"/>
        </w:rPr>
      </w:pPr>
    </w:p>
    <w:p w14:paraId="326DAF5F">
      <w:pPr>
        <w:ind w:firstLine="643" w:firstLineChars="200"/>
        <w:rPr>
          <w:rFonts w:ascii="仿宋_GB2312" w:eastAsia="仿宋_GB2312"/>
          <w:b/>
          <w:sz w:val="32"/>
          <w:szCs w:val="32"/>
        </w:rPr>
      </w:pPr>
    </w:p>
    <w:p w14:paraId="34EDA010">
      <w:pPr>
        <w:ind w:firstLine="643" w:firstLineChars="200"/>
        <w:rPr>
          <w:rFonts w:ascii="仿宋_GB2312" w:eastAsia="仿宋_GB2312"/>
          <w:b/>
          <w:sz w:val="32"/>
          <w:szCs w:val="32"/>
        </w:rPr>
      </w:pPr>
    </w:p>
    <w:p w14:paraId="1B224368">
      <w:pPr>
        <w:ind w:firstLine="643" w:firstLineChars="200"/>
        <w:rPr>
          <w:rFonts w:ascii="仿宋_GB2312" w:eastAsia="仿宋_GB2312"/>
          <w:b/>
          <w:sz w:val="32"/>
          <w:szCs w:val="32"/>
        </w:rPr>
      </w:pPr>
    </w:p>
    <w:p w14:paraId="423C6EEA">
      <w:pPr>
        <w:ind w:firstLine="643" w:firstLineChars="200"/>
        <w:rPr>
          <w:rFonts w:ascii="仿宋_GB2312" w:eastAsia="仿宋_GB2312"/>
          <w:b/>
          <w:sz w:val="32"/>
          <w:szCs w:val="32"/>
        </w:rPr>
        <w:sectPr>
          <w:footerReference r:id="rId3" w:type="default"/>
          <w:footerReference r:id="rId4" w:type="even"/>
          <w:pgSz w:w="11906" w:h="16838"/>
          <w:pgMar w:top="1440" w:right="1797" w:bottom="1440" w:left="1797" w:header="851" w:footer="992" w:gutter="0"/>
          <w:pgNumType w:fmt="numberInDash"/>
          <w:cols w:space="425" w:num="1"/>
          <w:docGrid w:type="lines" w:linePitch="312" w:charSpace="0"/>
        </w:sectPr>
      </w:pPr>
    </w:p>
    <w:p w14:paraId="3F570137">
      <w:pPr>
        <w:spacing w:line="540" w:lineRule="auto"/>
        <w:rPr>
          <w:rFonts w:ascii="仿宋_GB2312" w:eastAsia="仿宋_GB2312"/>
          <w:sz w:val="36"/>
          <w:szCs w:val="32"/>
        </w:rPr>
      </w:pPr>
      <w:r>
        <w:rPr>
          <w:rFonts w:hint="eastAsia" w:ascii="仿宋_GB2312" w:eastAsia="仿宋_GB2312"/>
          <w:sz w:val="36"/>
          <w:szCs w:val="32"/>
        </w:rPr>
        <w:t>1、区位图</w:t>
      </w:r>
    </w:p>
    <w:p w14:paraId="07D6756C">
      <w:pPr>
        <w:spacing w:line="540" w:lineRule="auto"/>
        <w:jc w:val="center"/>
        <w:rPr>
          <w:rFonts w:ascii="仿宋_GB2312" w:eastAsia="仿宋_GB2312"/>
          <w:sz w:val="36"/>
          <w:szCs w:val="32"/>
        </w:rPr>
      </w:pPr>
      <w:r>
        <w:rPr>
          <w:rFonts w:ascii="仿宋_GB2312" w:eastAsia="仿宋_GB2312"/>
          <w:sz w:val="36"/>
          <w:szCs w:val="32"/>
        </w:rPr>
        <w:drawing>
          <wp:inline distT="0" distB="0" distL="0" distR="0">
            <wp:extent cx="5142230" cy="71996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42856" cy="7199999"/>
                    </a:xfrm>
                    <a:prstGeom prst="rect">
                      <a:avLst/>
                    </a:prstGeom>
                    <a:noFill/>
                    <a:ln>
                      <a:noFill/>
                    </a:ln>
                  </pic:spPr>
                </pic:pic>
              </a:graphicData>
            </a:graphic>
          </wp:inline>
        </w:drawing>
      </w:r>
    </w:p>
    <w:p w14:paraId="49636CED">
      <w:pPr>
        <w:spacing w:line="540" w:lineRule="auto"/>
        <w:jc w:val="center"/>
        <w:rPr>
          <w:rFonts w:ascii="仿宋_GB2312" w:eastAsia="仿宋_GB2312"/>
          <w:sz w:val="36"/>
          <w:szCs w:val="32"/>
        </w:rPr>
      </w:pPr>
    </w:p>
    <w:p w14:paraId="06569EE3">
      <w:pPr>
        <w:spacing w:line="540" w:lineRule="auto"/>
        <w:jc w:val="center"/>
        <w:rPr>
          <w:rFonts w:ascii="仿宋_GB2312" w:eastAsia="仿宋_GB2312"/>
          <w:sz w:val="36"/>
          <w:szCs w:val="32"/>
        </w:rPr>
      </w:pPr>
    </w:p>
    <w:p w14:paraId="441A1553">
      <w:pPr>
        <w:spacing w:line="540" w:lineRule="auto"/>
        <w:rPr>
          <w:rFonts w:ascii="仿宋_GB2312" w:eastAsia="仿宋_GB2312"/>
          <w:sz w:val="36"/>
          <w:szCs w:val="32"/>
        </w:rPr>
      </w:pPr>
      <w:r>
        <w:rPr>
          <w:rFonts w:ascii="仿宋_GB2312" w:eastAsia="仿宋_GB2312"/>
          <w:sz w:val="36"/>
          <w:szCs w:val="32"/>
        </w:rPr>
        <w:t>2</w:t>
      </w:r>
      <w:r>
        <w:rPr>
          <w:rFonts w:hint="eastAsia" w:ascii="仿宋_GB2312" w:eastAsia="仿宋_GB2312"/>
          <w:sz w:val="36"/>
          <w:szCs w:val="32"/>
        </w:rPr>
        <w:t>、用地规划图</w:t>
      </w:r>
    </w:p>
    <w:p w14:paraId="37B0E719">
      <w:pPr>
        <w:spacing w:line="540" w:lineRule="auto"/>
        <w:jc w:val="center"/>
        <w:rPr>
          <w:rFonts w:ascii="仿宋_GB2312" w:eastAsia="仿宋_GB2312"/>
          <w:sz w:val="36"/>
          <w:szCs w:val="32"/>
        </w:rPr>
      </w:pPr>
      <w:r>
        <w:rPr>
          <w:rFonts w:ascii="仿宋_GB2312" w:eastAsia="仿宋_GB2312"/>
          <w:sz w:val="36"/>
          <w:szCs w:val="32"/>
        </w:rPr>
        <w:drawing>
          <wp:inline distT="0" distB="0" distL="0" distR="0">
            <wp:extent cx="5142230" cy="71996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42855" cy="7199998"/>
                    </a:xfrm>
                    <a:prstGeom prst="rect">
                      <a:avLst/>
                    </a:prstGeom>
                    <a:noFill/>
                    <a:ln>
                      <a:noFill/>
                    </a:ln>
                  </pic:spPr>
                </pic:pic>
              </a:graphicData>
            </a:graphic>
          </wp:inline>
        </w:drawing>
      </w:r>
    </w:p>
    <w:p w14:paraId="189E6AAC">
      <w:pPr>
        <w:spacing w:line="540" w:lineRule="auto"/>
        <w:jc w:val="center"/>
        <w:rPr>
          <w:rFonts w:ascii="仿宋_GB2312" w:eastAsia="仿宋_GB2312"/>
          <w:sz w:val="36"/>
          <w:szCs w:val="32"/>
        </w:rPr>
      </w:pPr>
    </w:p>
    <w:p w14:paraId="106F11FE">
      <w:pPr>
        <w:spacing w:line="540" w:lineRule="auto"/>
        <w:jc w:val="center"/>
        <w:rPr>
          <w:rFonts w:ascii="仿宋_GB2312" w:eastAsia="仿宋_GB2312"/>
          <w:sz w:val="36"/>
          <w:szCs w:val="32"/>
        </w:rPr>
      </w:pPr>
    </w:p>
    <w:p w14:paraId="1011F805">
      <w:pPr>
        <w:spacing w:line="540" w:lineRule="auto"/>
        <w:rPr>
          <w:rFonts w:ascii="仿宋_GB2312" w:eastAsia="仿宋_GB2312"/>
          <w:sz w:val="36"/>
          <w:szCs w:val="32"/>
        </w:rPr>
      </w:pPr>
      <w:r>
        <w:rPr>
          <w:rFonts w:ascii="仿宋_GB2312" w:eastAsia="仿宋_GB2312"/>
          <w:sz w:val="36"/>
          <w:szCs w:val="32"/>
        </w:rPr>
        <w:t>3</w:t>
      </w:r>
      <w:r>
        <w:rPr>
          <w:rFonts w:hint="eastAsia" w:ascii="仿宋_GB2312" w:eastAsia="仿宋_GB2312"/>
          <w:sz w:val="36"/>
          <w:szCs w:val="32"/>
        </w:rPr>
        <w:t>、道路交通规划图</w:t>
      </w:r>
    </w:p>
    <w:p w14:paraId="1C649AE1">
      <w:pPr>
        <w:spacing w:line="540" w:lineRule="auto"/>
        <w:jc w:val="center"/>
        <w:rPr>
          <w:rFonts w:ascii="仿宋_GB2312" w:eastAsia="仿宋_GB2312"/>
          <w:sz w:val="36"/>
          <w:szCs w:val="32"/>
        </w:rPr>
      </w:pPr>
      <w:r>
        <w:rPr>
          <w:rFonts w:ascii="仿宋_GB2312" w:eastAsia="仿宋_GB2312"/>
          <w:sz w:val="36"/>
          <w:szCs w:val="32"/>
        </w:rPr>
        <w:drawing>
          <wp:inline distT="0" distB="0" distL="0" distR="0">
            <wp:extent cx="5142230" cy="71996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42856" cy="7199999"/>
                    </a:xfrm>
                    <a:prstGeom prst="rect">
                      <a:avLst/>
                    </a:prstGeom>
                    <a:noFill/>
                    <a:ln>
                      <a:noFill/>
                    </a:ln>
                  </pic:spPr>
                </pic:pic>
              </a:graphicData>
            </a:graphic>
          </wp:inline>
        </w:drawing>
      </w:r>
    </w:p>
    <w:sectPr>
      <w:pgSz w:w="11906" w:h="16838"/>
      <w:pgMar w:top="1440" w:right="1797" w:bottom="1440" w:left="179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1BB59">
    <w:pPr>
      <w:pStyle w:val="5"/>
      <w:framePr w:w="1099" w:wrap="around" w:vAnchor="text" w:hAnchor="page" w:x="8998" w:y="-2"/>
      <w:jc w:val="both"/>
      <w:rPr>
        <w:rStyle w:val="11"/>
        <w:rFonts w:hint="eastAsia" w:ascii="宋体" w:hAnsi="宋体"/>
        <w:sz w:val="28"/>
        <w:szCs w:val="28"/>
      </w:rPr>
    </w:pPr>
    <w:r>
      <w:rPr>
        <w:rStyle w:val="11"/>
        <w:rFonts w:hint="eastAsia" w:ascii="宋体" w:hAnsi="宋体"/>
        <w:sz w:val="28"/>
        <w:szCs w:val="28"/>
      </w:rPr>
      <w:fldChar w:fldCharType="begin"/>
    </w:r>
    <w:r>
      <w:rPr>
        <w:rStyle w:val="11"/>
        <w:rFonts w:hint="eastAsia" w:ascii="宋体" w:hAnsi="宋体"/>
        <w:sz w:val="28"/>
        <w:szCs w:val="28"/>
      </w:rPr>
      <w:instrText xml:space="preserve">PAGE  </w:instrText>
    </w:r>
    <w:r>
      <w:rPr>
        <w:rStyle w:val="11"/>
        <w:rFonts w:hint="eastAsia" w:ascii="宋体" w:hAnsi="宋体"/>
        <w:sz w:val="28"/>
        <w:szCs w:val="28"/>
      </w:rPr>
      <w:fldChar w:fldCharType="separate"/>
    </w:r>
    <w:r>
      <w:rPr>
        <w:rStyle w:val="11"/>
        <w:rFonts w:ascii="宋体" w:hAnsi="宋体"/>
        <w:sz w:val="28"/>
        <w:szCs w:val="28"/>
      </w:rPr>
      <w:t>- 5 -</w:t>
    </w:r>
    <w:r>
      <w:rPr>
        <w:rStyle w:val="11"/>
        <w:rFonts w:hint="eastAsia" w:ascii="宋体" w:hAnsi="宋体"/>
        <w:sz w:val="28"/>
        <w:szCs w:val="28"/>
      </w:rPr>
      <w:fldChar w:fldCharType="end"/>
    </w:r>
    <w:r>
      <w:rPr>
        <w:rStyle w:val="11"/>
        <w:rFonts w:hint="eastAsia" w:ascii="宋体" w:hAnsi="宋体"/>
        <w:sz w:val="28"/>
        <w:szCs w:val="28"/>
      </w:rPr>
      <w:t xml:space="preserve">       </w:t>
    </w:r>
  </w:p>
  <w:p w14:paraId="203D0446">
    <w:pPr>
      <w:pStyle w:val="5"/>
      <w:ind w:right="360" w:firstLine="360"/>
      <w:rPr>
        <w:rFonts w:ascii="仿宋_GB2312" w:eastAsia="仿宋_GB2312"/>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790B9">
    <w:pPr>
      <w:pStyle w:val="5"/>
      <w:framePr w:wrap="around" w:vAnchor="text" w:hAnchor="margin" w:xAlign="outside" w:y="1"/>
      <w:ind w:firstLine="280"/>
      <w:rPr>
        <w:rStyle w:val="11"/>
        <w:rFonts w:hint="eastAsia" w:ascii="宋体" w:hAnsi="宋体"/>
        <w:sz w:val="28"/>
        <w:szCs w:val="28"/>
      </w:rPr>
    </w:pPr>
    <w:r>
      <w:rPr>
        <w:rStyle w:val="11"/>
        <w:rFonts w:ascii="宋体" w:hAnsi="宋体"/>
        <w:sz w:val="28"/>
        <w:szCs w:val="28"/>
      </w:rPr>
      <w:fldChar w:fldCharType="begin"/>
    </w:r>
    <w:r>
      <w:rPr>
        <w:rStyle w:val="11"/>
        <w:rFonts w:ascii="宋体" w:hAnsi="宋体"/>
        <w:sz w:val="28"/>
        <w:szCs w:val="28"/>
      </w:rPr>
      <w:instrText xml:space="preserve">PAGE  </w:instrText>
    </w:r>
    <w:r>
      <w:rPr>
        <w:rStyle w:val="11"/>
        <w:rFonts w:ascii="宋体" w:hAnsi="宋体"/>
        <w:sz w:val="28"/>
        <w:szCs w:val="28"/>
      </w:rPr>
      <w:fldChar w:fldCharType="separate"/>
    </w:r>
    <w:r>
      <w:rPr>
        <w:rStyle w:val="11"/>
        <w:rFonts w:ascii="宋体" w:hAnsi="宋体"/>
        <w:sz w:val="28"/>
        <w:szCs w:val="28"/>
      </w:rPr>
      <w:t>- 4 -</w:t>
    </w:r>
    <w:r>
      <w:rPr>
        <w:rStyle w:val="11"/>
        <w:rFonts w:ascii="宋体" w:hAnsi="宋体"/>
        <w:sz w:val="28"/>
        <w:szCs w:val="28"/>
      </w:rPr>
      <w:fldChar w:fldCharType="end"/>
    </w:r>
  </w:p>
  <w:p w14:paraId="61E7C8F8">
    <w:pPr>
      <w:pStyle w:val="5"/>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TA4ZDA3MDEyMTE1NTkyZTBlNTY1ZDMyM2M3YWUwNGMifQ=="/>
  </w:docVars>
  <w:rsids>
    <w:rsidRoot w:val="00CD7E3F"/>
    <w:rsid w:val="000342C8"/>
    <w:rsid w:val="00073B6C"/>
    <w:rsid w:val="000D0759"/>
    <w:rsid w:val="00136BA3"/>
    <w:rsid w:val="00145290"/>
    <w:rsid w:val="00162DD1"/>
    <w:rsid w:val="00197C91"/>
    <w:rsid w:val="002329EF"/>
    <w:rsid w:val="002354E4"/>
    <w:rsid w:val="00276434"/>
    <w:rsid w:val="002A7811"/>
    <w:rsid w:val="002D42DB"/>
    <w:rsid w:val="002F3817"/>
    <w:rsid w:val="00324A9B"/>
    <w:rsid w:val="00337844"/>
    <w:rsid w:val="00372CE9"/>
    <w:rsid w:val="00377466"/>
    <w:rsid w:val="00383985"/>
    <w:rsid w:val="00397128"/>
    <w:rsid w:val="003A45F6"/>
    <w:rsid w:val="003C2365"/>
    <w:rsid w:val="003D32E4"/>
    <w:rsid w:val="003E57E9"/>
    <w:rsid w:val="0042403C"/>
    <w:rsid w:val="00460BC7"/>
    <w:rsid w:val="0049353C"/>
    <w:rsid w:val="004B59FD"/>
    <w:rsid w:val="00533F3E"/>
    <w:rsid w:val="00583C5D"/>
    <w:rsid w:val="005B417A"/>
    <w:rsid w:val="005C1387"/>
    <w:rsid w:val="005D470B"/>
    <w:rsid w:val="00613C91"/>
    <w:rsid w:val="00626E3B"/>
    <w:rsid w:val="00632730"/>
    <w:rsid w:val="0064537D"/>
    <w:rsid w:val="00656B00"/>
    <w:rsid w:val="006B1EFC"/>
    <w:rsid w:val="007075D0"/>
    <w:rsid w:val="007107F6"/>
    <w:rsid w:val="007163BC"/>
    <w:rsid w:val="00747383"/>
    <w:rsid w:val="00771A40"/>
    <w:rsid w:val="0078012D"/>
    <w:rsid w:val="00830AB3"/>
    <w:rsid w:val="00854E84"/>
    <w:rsid w:val="008A2811"/>
    <w:rsid w:val="009159DC"/>
    <w:rsid w:val="00921D78"/>
    <w:rsid w:val="009B2442"/>
    <w:rsid w:val="00A24B79"/>
    <w:rsid w:val="00A418E2"/>
    <w:rsid w:val="00A5213E"/>
    <w:rsid w:val="00A90154"/>
    <w:rsid w:val="00A93DC3"/>
    <w:rsid w:val="00AA5928"/>
    <w:rsid w:val="00AC561B"/>
    <w:rsid w:val="00B1706F"/>
    <w:rsid w:val="00B524BF"/>
    <w:rsid w:val="00B86EAD"/>
    <w:rsid w:val="00B927E5"/>
    <w:rsid w:val="00BA438F"/>
    <w:rsid w:val="00BA5242"/>
    <w:rsid w:val="00BA5FBE"/>
    <w:rsid w:val="00BE15DF"/>
    <w:rsid w:val="00C23C1C"/>
    <w:rsid w:val="00CD5E08"/>
    <w:rsid w:val="00CD7E3F"/>
    <w:rsid w:val="00D17885"/>
    <w:rsid w:val="00D25B7D"/>
    <w:rsid w:val="00D57799"/>
    <w:rsid w:val="00D86481"/>
    <w:rsid w:val="00DB77B1"/>
    <w:rsid w:val="00DC4ABB"/>
    <w:rsid w:val="00E13ECA"/>
    <w:rsid w:val="00E314CD"/>
    <w:rsid w:val="00E429E2"/>
    <w:rsid w:val="00E603A6"/>
    <w:rsid w:val="00E85898"/>
    <w:rsid w:val="00EA06C1"/>
    <w:rsid w:val="00EC70D1"/>
    <w:rsid w:val="00EE6185"/>
    <w:rsid w:val="00F008DB"/>
    <w:rsid w:val="00F14716"/>
    <w:rsid w:val="00F565F2"/>
    <w:rsid w:val="00FC6D0C"/>
    <w:rsid w:val="00FD5961"/>
    <w:rsid w:val="0C6311F3"/>
    <w:rsid w:val="1ED46585"/>
    <w:rsid w:val="461313D5"/>
    <w:rsid w:val="655C32D3"/>
    <w:rsid w:val="6E4E0530"/>
    <w:rsid w:val="7D20753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nhideWhenUsed="0" w:uiPriority="0" w:semiHidden="0" w:name="annotation reference"/>
    <w:lsdException w:uiPriority="0" w:name="line number"/>
    <w:lsdException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5"/>
    <w:qFormat/>
    <w:uiPriority w:val="0"/>
    <w:pPr>
      <w:jc w:val="left"/>
    </w:pPr>
  </w:style>
  <w:style w:type="paragraph" w:styleId="3">
    <w:name w:val="Date"/>
    <w:basedOn w:val="1"/>
    <w:next w:val="1"/>
    <w:uiPriority w:val="0"/>
    <w:pPr>
      <w:ind w:left="100"/>
    </w:pPr>
  </w:style>
  <w:style w:type="paragraph" w:styleId="4">
    <w:name w:val="Balloon Text"/>
    <w:basedOn w:val="1"/>
    <w:link w:val="14"/>
    <w:uiPriority w:val="0"/>
    <w:rPr>
      <w:sz w:val="18"/>
      <w:szCs w:val="18"/>
    </w:rPr>
  </w:style>
  <w:style w:type="paragraph" w:styleId="5">
    <w:name w:val="footer"/>
    <w:basedOn w:val="1"/>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link w:val="13"/>
    <w:uiPriority w:val="0"/>
    <w:pPr>
      <w:widowControl/>
      <w:spacing w:before="100" w:beforeAutospacing="1" w:after="100" w:afterAutospacing="1"/>
      <w:jc w:val="left"/>
    </w:pPr>
    <w:rPr>
      <w:rFonts w:ascii="宋体" w:hAnsi="宋体" w:cs="宋体"/>
      <w:kern w:val="0"/>
      <w:sz w:val="24"/>
    </w:rPr>
  </w:style>
  <w:style w:type="paragraph" w:styleId="8">
    <w:name w:val="annotation subject"/>
    <w:basedOn w:val="2"/>
    <w:next w:val="2"/>
    <w:link w:val="16"/>
    <w:semiHidden/>
    <w:unhideWhenUsed/>
    <w:uiPriority w:val="0"/>
    <w:rPr>
      <w:b/>
      <w:bCs/>
    </w:rPr>
  </w:style>
  <w:style w:type="character" w:styleId="11">
    <w:name w:val="page number"/>
    <w:basedOn w:val="10"/>
    <w:uiPriority w:val="0"/>
  </w:style>
  <w:style w:type="character" w:styleId="12">
    <w:name w:val="annotation reference"/>
    <w:basedOn w:val="10"/>
    <w:uiPriority w:val="0"/>
    <w:rPr>
      <w:sz w:val="21"/>
      <w:szCs w:val="21"/>
    </w:rPr>
  </w:style>
  <w:style w:type="character" w:customStyle="1" w:styleId="13">
    <w:name w:val="普通(网站) 字符"/>
    <w:link w:val="7"/>
    <w:uiPriority w:val="0"/>
    <w:rPr>
      <w:rFonts w:ascii="宋体" w:hAnsi="宋体" w:eastAsia="宋体" w:cs="宋体"/>
      <w:sz w:val="24"/>
      <w:szCs w:val="24"/>
      <w:lang w:val="en-US" w:eastAsia="zh-CN" w:bidi="ar-SA"/>
    </w:rPr>
  </w:style>
  <w:style w:type="character" w:customStyle="1" w:styleId="14">
    <w:name w:val="批注框文本 字符"/>
    <w:basedOn w:val="10"/>
    <w:link w:val="4"/>
    <w:qFormat/>
    <w:uiPriority w:val="0"/>
    <w:rPr>
      <w:kern w:val="2"/>
      <w:sz w:val="18"/>
      <w:szCs w:val="18"/>
    </w:rPr>
  </w:style>
  <w:style w:type="character" w:customStyle="1" w:styleId="15">
    <w:name w:val="批注文字 字符"/>
    <w:basedOn w:val="10"/>
    <w:link w:val="2"/>
    <w:uiPriority w:val="0"/>
    <w:rPr>
      <w:kern w:val="2"/>
      <w:sz w:val="21"/>
      <w:szCs w:val="24"/>
    </w:rPr>
  </w:style>
  <w:style w:type="character" w:customStyle="1" w:styleId="16">
    <w:name w:val="批注主题 字符"/>
    <w:basedOn w:val="15"/>
    <w:link w:val="8"/>
    <w:semiHidden/>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Pages>
  <Words>862</Words>
  <Characters>936</Characters>
  <Lines>6</Lines>
  <Paragraphs>1</Paragraphs>
  <TotalTime>17</TotalTime>
  <ScaleCrop>false</ScaleCrop>
  <LinksUpToDate>false</LinksUpToDate>
  <CharactersWithSpaces>937</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2024-08-13T04:37:00Z</dcterms:created>
  <dc:creator>User</dc:creator>
  <cp:lastModifiedBy>Chris</cp:lastModifiedBy>
  <cp:lastPrinted>2018-11-14T01:23:00Z</cp:lastPrinted>
  <dcterms:modified xsi:type="dcterms:W3CDTF">2024-08-16T00:50:24Z</dcterms:modified>
  <dc:title>融规 [2012] 253号                  签发人：郑卫东</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2F1A8E6D32324D9CAF0E1ACCDB076A2D_12</vt:lpwstr>
  </property>
</Properties>
</file>