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ind w:firstLine="0" w:firstLineChars="0"/>
        <w:rPr>
          <w:rFonts w:hint="eastAsia"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附件</w:t>
      </w:r>
    </w:p>
    <w:p>
      <w:pPr>
        <w:spacing w:line="460" w:lineRule="exact"/>
        <w:ind w:firstLine="0" w:firstLineChars="0"/>
        <w:rPr>
          <w:rFonts w:hint="eastAsia" w:ascii="黑体" w:eastAsia="黑体"/>
          <w:bCs/>
          <w:kern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《福清市电动汽车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充电基础设施专项规划修编（2023-2035年）》主要内容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及规划图纸</w:t>
      </w:r>
    </w:p>
    <w:p>
      <w:pPr>
        <w:spacing w:line="460" w:lineRule="exact"/>
        <w:ind w:firstLine="0" w:firstLineChars="0"/>
        <w:jc w:val="center"/>
        <w:rPr>
          <w:rFonts w:hint="eastAsia" w:ascii="黑体" w:eastAsia="黑体"/>
          <w:bCs/>
          <w:kern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56" w:beforeLines="50" w:after="156" w:afterLines="50" w:line="560" w:lineRule="exact"/>
        <w:ind w:left="0" w:leftChars="0" w:firstLine="640" w:firstLineChars="200"/>
        <w:textAlignment w:val="auto"/>
        <w:rPr>
          <w:rFonts w:ascii="黑体" w:eastAsia="黑体"/>
          <w:bCs/>
          <w:kern w:val="0"/>
          <w:sz w:val="32"/>
          <w:szCs w:val="32"/>
        </w:rPr>
      </w:pPr>
      <w:r>
        <w:rPr>
          <w:rFonts w:hint="eastAsia" w:ascii="黑体" w:eastAsia="黑体"/>
          <w:bCs/>
          <w:kern w:val="0"/>
          <w:sz w:val="32"/>
          <w:szCs w:val="32"/>
        </w:rPr>
        <w:t>一、主要内容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1、区位及规划范围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/>
        <w:jc w:val="both"/>
        <w:textAlignment w:val="auto"/>
        <w:rPr>
          <w:rFonts w:hint="eastAsia" w:ascii="仿宋_GB2312"/>
          <w:kern w:val="0"/>
          <w:szCs w:val="32"/>
        </w:rPr>
      </w:pPr>
      <w:r>
        <w:rPr>
          <w:rFonts w:hint="eastAsia"/>
        </w:rPr>
        <w:t>本</w:t>
      </w:r>
      <w:r>
        <w:t>规划</w:t>
      </w:r>
      <w:r>
        <w:rPr>
          <w:rFonts w:hint="eastAsia"/>
        </w:rPr>
        <w:t>范围为福清市域，涵盖全市行政辖区，包括</w:t>
      </w:r>
      <w:r>
        <w:t>7</w:t>
      </w:r>
      <w:r>
        <w:rPr>
          <w:rFonts w:hint="eastAsia"/>
        </w:rPr>
        <w:t>个街道</w:t>
      </w:r>
      <w:r>
        <w:t>17</w:t>
      </w:r>
      <w:r>
        <w:rPr>
          <w:rFonts w:hint="eastAsia"/>
        </w:rPr>
        <w:t>个镇，</w:t>
      </w:r>
      <w:r>
        <w:rPr>
          <w:rFonts w:hint="eastAsia" w:ascii="仿宋_GB2312"/>
          <w:kern w:val="0"/>
          <w:szCs w:val="32"/>
        </w:rPr>
        <w:t>陆域面积1519平方公里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2</w:t>
      </w:r>
      <w:r>
        <w:rPr>
          <w:rFonts w:ascii="黑体" w:eastAsia="黑体"/>
          <w:bCs/>
          <w:kern w:val="0"/>
        </w:rPr>
        <w:t>、规划目标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/>
        </w:rPr>
      </w:pPr>
      <w:r>
        <w:rPr>
          <w:rFonts w:hint="eastAsia"/>
        </w:rPr>
        <w:t>以国家、省、市现有新能源汽车推广相关政策为基础，紧扣福清市电动汽车发展趋势和电动汽车推广应用需求，坚持“专用为主、公共为辅，兼顾换电”，科学构建规模超前、布局合理、体系完善的充（换）电基础设施，搭建多样化的充电基础设施服务网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3</w:t>
      </w:r>
      <w:r>
        <w:rPr>
          <w:rFonts w:ascii="黑体" w:eastAsia="黑体"/>
          <w:bCs/>
          <w:kern w:val="0"/>
        </w:rPr>
        <w:t>、</w:t>
      </w:r>
      <w:r>
        <w:rPr>
          <w:rFonts w:hint="eastAsia" w:ascii="黑体" w:eastAsia="黑体"/>
          <w:bCs/>
          <w:kern w:val="0"/>
        </w:rPr>
        <w:t>规模预测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/>
        <w:jc w:val="both"/>
        <w:textAlignment w:val="auto"/>
        <w:rPr>
          <w:rFonts w:hint="eastAsia"/>
        </w:rPr>
      </w:pPr>
      <w:r>
        <w:rPr>
          <w:rFonts w:hint="eastAsia"/>
        </w:rPr>
        <w:t>规划至2025年，全域专用充电桩</w:t>
      </w:r>
      <w:r>
        <w:t>347</w:t>
      </w:r>
      <w:r>
        <w:rPr>
          <w:rFonts w:hint="eastAsia"/>
        </w:rPr>
        <w:t>个，其中公交专用充电桩</w:t>
      </w:r>
      <w:r>
        <w:t>285</w:t>
      </w:r>
      <w:r>
        <w:rPr>
          <w:rFonts w:hint="eastAsia"/>
        </w:rPr>
        <w:t>个，重（轻）卡专用充电桩</w:t>
      </w:r>
      <w:r>
        <w:t>62</w:t>
      </w:r>
      <w:r>
        <w:rPr>
          <w:rFonts w:hint="eastAsia"/>
        </w:rPr>
        <w:t>个；公共充电桩1</w:t>
      </w:r>
      <w:r>
        <w:t>5</w:t>
      </w:r>
      <w:r>
        <w:rPr>
          <w:rFonts w:hint="eastAsia"/>
        </w:rPr>
        <w:t>68个。规划至20</w:t>
      </w:r>
      <w:r>
        <w:t>3</w:t>
      </w:r>
      <w:r>
        <w:rPr>
          <w:rFonts w:hint="eastAsia"/>
        </w:rPr>
        <w:t>5年，全域专用充电桩</w:t>
      </w:r>
      <w:r>
        <w:t>623</w:t>
      </w:r>
      <w:r>
        <w:rPr>
          <w:rFonts w:hint="eastAsia"/>
        </w:rPr>
        <w:t>个，其中公交专用充电桩</w:t>
      </w:r>
      <w:r>
        <w:t>408</w:t>
      </w:r>
      <w:r>
        <w:rPr>
          <w:rFonts w:hint="eastAsia"/>
        </w:rPr>
        <w:t>个，重（轻）卡专用充电桩</w:t>
      </w:r>
      <w:r>
        <w:t>215</w:t>
      </w:r>
      <w:r>
        <w:rPr>
          <w:rFonts w:hint="eastAsia"/>
        </w:rPr>
        <w:t>个，公共充电桩</w:t>
      </w:r>
      <w:r>
        <w:t>32</w:t>
      </w:r>
      <w:r>
        <w:rPr>
          <w:rFonts w:hint="eastAsia"/>
        </w:rPr>
        <w:t>37个。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56" w:beforeLines="50" w:after="156" w:afterLines="50" w:line="560" w:lineRule="exact"/>
        <w:ind w:firstLine="640"/>
        <w:textAlignment w:val="auto"/>
        <w:rPr>
          <w:rFonts w:hint="eastAsia"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4</w:t>
      </w:r>
      <w:r>
        <w:rPr>
          <w:rFonts w:ascii="黑体" w:eastAsia="黑体"/>
          <w:bCs/>
          <w:kern w:val="0"/>
        </w:rPr>
        <w:t>、</w:t>
      </w:r>
      <w:r>
        <w:rPr>
          <w:rFonts w:hint="eastAsia" w:ascii="黑体" w:eastAsia="黑体"/>
          <w:bCs/>
          <w:kern w:val="0"/>
        </w:rPr>
        <w:t>规划总体布局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1、专用充（换）电基础设施布局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（1）公交专用充（换）电基础设施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至2</w:t>
      </w:r>
      <w:r>
        <w:t>035</w:t>
      </w:r>
      <w:r>
        <w:rPr>
          <w:rFonts w:hint="eastAsia"/>
        </w:rPr>
        <w:t>年规划</w:t>
      </w:r>
      <w:r>
        <w:t>30</w:t>
      </w:r>
      <w:r>
        <w:rPr>
          <w:rFonts w:hint="eastAsia"/>
        </w:rPr>
        <w:t>处公交专用充（换）电站</w:t>
      </w:r>
      <w:r>
        <w:t>，</w:t>
      </w:r>
      <w:r>
        <w:rPr>
          <w:rFonts w:hint="eastAsia"/>
        </w:rPr>
        <w:t>共计</w:t>
      </w:r>
      <w:r>
        <w:t>408个公交专用充电桩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（2）重（轻）卡专用充（换）电基础设施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至2</w:t>
      </w:r>
      <w:r>
        <w:t>035</w:t>
      </w:r>
      <w:r>
        <w:rPr>
          <w:rFonts w:hint="eastAsia"/>
        </w:rPr>
        <w:t>年规划</w:t>
      </w:r>
      <w:r>
        <w:t>7</w:t>
      </w:r>
      <w:r>
        <w:rPr>
          <w:rFonts w:hint="eastAsia"/>
        </w:rPr>
        <w:t>处重（轻）卡专用充（换）电站，共计</w:t>
      </w:r>
      <w:r>
        <w:t>215个</w:t>
      </w:r>
      <w:r>
        <w:rPr>
          <w:rFonts w:hint="eastAsia"/>
        </w:rPr>
        <w:t>重（轻）卡专用充电</w:t>
      </w:r>
      <w:r>
        <w:t>桩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/>
        </w:rPr>
      </w:pPr>
      <w:r>
        <w:rPr>
          <w:rFonts w:hint="eastAsia"/>
        </w:rPr>
        <w:t>2、公共充（换）电基础设施布局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/>
        </w:rPr>
      </w:pPr>
      <w:r>
        <w:rPr>
          <w:rFonts w:hint="eastAsia"/>
        </w:rPr>
        <w:t>（1）城际公共充电基础设施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至2</w:t>
      </w:r>
      <w:r>
        <w:t>035</w:t>
      </w:r>
      <w:r>
        <w:rPr>
          <w:rFonts w:hint="eastAsia"/>
        </w:rPr>
        <w:t>年规划5处城际公共充电站，共计28个公共充电桩。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/>
        </w:rPr>
      </w:pPr>
      <w:r>
        <w:rPr>
          <w:rFonts w:hint="eastAsia"/>
        </w:rPr>
        <w:t>（2）城市公共充（换）电基础设施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</w:pPr>
      <w:r>
        <w:rPr>
          <w:rFonts w:hint="eastAsia"/>
        </w:rPr>
        <w:t>至</w:t>
      </w:r>
      <w:r>
        <w:t>2035年</w:t>
      </w:r>
      <w:r>
        <w:rPr>
          <w:rFonts w:hint="eastAsia"/>
        </w:rPr>
        <w:t>规划2</w:t>
      </w:r>
      <w:r>
        <w:t>14</w:t>
      </w:r>
      <w:r>
        <w:rPr>
          <w:rFonts w:hint="eastAsia"/>
        </w:rPr>
        <w:t>处公共充（换）电站，共计3</w:t>
      </w:r>
      <w:r>
        <w:t>209</w:t>
      </w:r>
      <w:r>
        <w:rPr>
          <w:rFonts w:hint="eastAsia"/>
        </w:rPr>
        <w:t>个公共充电桩。其中，中心城区规划</w:t>
      </w:r>
      <w:r>
        <w:t>123</w:t>
      </w:r>
      <w:r>
        <w:rPr>
          <w:rFonts w:hint="eastAsia"/>
        </w:rPr>
        <w:t>处公共充（换）电站，共计2</w:t>
      </w:r>
      <w:r>
        <w:t>059</w:t>
      </w:r>
      <w:r>
        <w:rPr>
          <w:rFonts w:hint="eastAsia"/>
        </w:rPr>
        <w:t>个公共充电桩；外围乡镇规划9</w:t>
      </w:r>
      <w:r>
        <w:t>1</w:t>
      </w:r>
      <w:r>
        <w:rPr>
          <w:rFonts w:hint="eastAsia"/>
        </w:rPr>
        <w:t>处公共充（换）电站，共计1</w:t>
      </w:r>
      <w:r>
        <w:t>150</w:t>
      </w:r>
      <w:r>
        <w:rPr>
          <w:rFonts w:hint="eastAsia"/>
        </w:rPr>
        <w:t>个公共充电桩。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/>
        </w:rPr>
      </w:pPr>
      <w:r>
        <w:rPr>
          <w:rFonts w:hint="eastAsia"/>
        </w:rPr>
        <w:t>3、“光储充检”智能充电站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/>
        <w:textAlignment w:val="auto"/>
        <w:rPr>
          <w:rFonts w:hint="eastAsia"/>
        </w:rPr>
      </w:pPr>
      <w:r>
        <w:rPr>
          <w:rFonts w:hint="eastAsia"/>
        </w:rPr>
        <w:t>规划1处“光储充检”智能充电站。通过利用霞河机动车检测站的闲置屋面资源、汽车检测设备、永智充电站、蔚来储换电站等资源优势，推广集中式“光储充检”一体化示范站，同步建设光伏雨棚、休息室、公共卫生间、便利店、户外导视牌等的配套设施。</w:t>
      </w:r>
    </w:p>
    <w:p>
      <w:pPr>
        <w:ind w:left="566" w:leftChars="177" w:firstLine="1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表1  福清市</w:t>
      </w:r>
      <w:r>
        <w:rPr>
          <w:sz w:val="21"/>
          <w:szCs w:val="21"/>
        </w:rPr>
        <w:t>公交</w:t>
      </w:r>
      <w:r>
        <w:rPr>
          <w:rFonts w:hint="eastAsia"/>
          <w:sz w:val="21"/>
          <w:szCs w:val="21"/>
        </w:rPr>
        <w:t>专用</w:t>
      </w:r>
      <w:r>
        <w:rPr>
          <w:sz w:val="21"/>
          <w:szCs w:val="21"/>
        </w:rPr>
        <w:t>充（换）电设施布局一览表</w:t>
      </w:r>
    </w:p>
    <w:tbl>
      <w:tblPr>
        <w:tblStyle w:val="35"/>
        <w:tblW w:w="5006" w:type="pc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"/>
        <w:gridCol w:w="681"/>
        <w:gridCol w:w="852"/>
        <w:gridCol w:w="3116"/>
        <w:gridCol w:w="1844"/>
        <w:gridCol w:w="994"/>
        <w:gridCol w:w="6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  <w:tblHeader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3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分区</w:t>
            </w: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用地编号</w:t>
            </w:r>
          </w:p>
        </w:tc>
        <w:tc>
          <w:tcPr>
            <w:tcW w:w="182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站点区位</w:t>
            </w:r>
          </w:p>
        </w:tc>
        <w:tc>
          <w:tcPr>
            <w:tcW w:w="10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规划用地性质</w:t>
            </w:r>
          </w:p>
        </w:tc>
        <w:tc>
          <w:tcPr>
            <w:tcW w:w="5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充电桩总数（个）</w:t>
            </w:r>
          </w:p>
        </w:tc>
        <w:tc>
          <w:tcPr>
            <w:tcW w:w="3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建设时序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399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龙江-04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福清站北侧公交停车场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51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龙江-05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龙江街道龙江公交站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交通枢纽用地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龙山-02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福建省福州市福清市龙山街道龙东村龙山东南31号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交通枢纽用地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石竹-06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石竹街道福通路光电园公交枢纽站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一类工业用地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石竹-09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福建省福州市福清市宏路客运接驳站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行政办公用地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6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石竹-10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福建省福清市闽运西站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综合交通枢纽用地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35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音西-05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音西街道京东方工业园南侧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音西-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34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音西街道福唐路福清市公共交通公司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9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音西-09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福建省福州市福清市音西街道福清医院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医院用地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玉屏-01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福州市福清市小桔充电站_闽运福清北站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11</w:t>
            </w:r>
          </w:p>
        </w:tc>
        <w:tc>
          <w:tcPr>
            <w:tcW w:w="399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东瀚-01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福建省福清市东瀚镇锦城豪庭南侧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镜洋-02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福建省福州市福清市镜洋镇琯口溪兜1号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高等院校用地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13</w:t>
            </w:r>
          </w:p>
        </w:tc>
        <w:tc>
          <w:tcPr>
            <w:tcW w:w="3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宏路-13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福厦高铁站西侧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11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99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高山-03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高山镇境内，国道G104西南侧，乐恒家具北侧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华侨-01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江华大道北侧，蓝园管委会东侧，蓝园公交首末站内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16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江阴-04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江阴镇内，国道G228南侧，江阴公交枢纽站内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17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龙田-02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龙田环城东路西侧，龙田镇公交枢纽站内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18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渔溪-05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渔溪镇境内，渔溪镇纬四路北侧，渔溪交通枢纽站内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19</w:t>
            </w:r>
          </w:p>
        </w:tc>
        <w:tc>
          <w:tcPr>
            <w:tcW w:w="399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宏路-26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融和路南侧，融元污水处理厂对面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宏路-15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福人路西侧，融侨城西侧，石门村范围内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21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宏路-22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石竹山景区停车场内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22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宏路-25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国道G324西侧，福清市职业技术学校东侧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23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龙江-12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福建师范大学福清分校东侧，下梧村内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龙山-06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X177南侧，坊里村范围内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25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阳下-19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福厦铁路西侧，洪宽公交首末站内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26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音西-12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福俱路西侧，碧桂园融府南侧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27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音西-13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福唐路西侧，康辉中学东侧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28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音西-18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福融盛包装材料有限公司南侧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29</w:t>
            </w:r>
          </w:p>
        </w:tc>
        <w:tc>
          <w:tcPr>
            <w:tcW w:w="399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沙埔-01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沙埔实验小学西侧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9" w:hRule="atLeast"/>
        </w:trPr>
        <w:tc>
          <w:tcPr>
            <w:tcW w:w="2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99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新厝-04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新厝镇境内，纬六路与省道S209交叉口南侧</w:t>
            </w:r>
          </w:p>
        </w:tc>
        <w:tc>
          <w:tcPr>
            <w:tcW w:w="10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9" w:hRule="atLeast"/>
        </w:trPr>
        <w:tc>
          <w:tcPr>
            <w:tcW w:w="406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合计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408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 xml:space="preserve"> - </w:t>
            </w:r>
          </w:p>
        </w:tc>
      </w:tr>
    </w:tbl>
    <w:p>
      <w:pPr>
        <w:ind w:firstLine="0" w:firstLineChars="0"/>
        <w:jc w:val="center"/>
        <w:rPr>
          <w:color w:val="000000"/>
          <w:sz w:val="21"/>
          <w:szCs w:val="21"/>
        </w:rPr>
      </w:pPr>
    </w:p>
    <w:p>
      <w:pPr>
        <w:ind w:left="566" w:leftChars="177" w:firstLine="1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</w:t>
      </w:r>
      <w:r>
        <w:rPr>
          <w:sz w:val="21"/>
          <w:szCs w:val="21"/>
        </w:rPr>
        <w:t xml:space="preserve">2  </w:t>
      </w:r>
      <w:r>
        <w:rPr>
          <w:rFonts w:hint="eastAsia"/>
          <w:sz w:val="21"/>
          <w:szCs w:val="21"/>
        </w:rPr>
        <w:t>福清市重轻卡充（换）电基础设施布局一览表</w:t>
      </w:r>
    </w:p>
    <w:tbl>
      <w:tblPr>
        <w:tblStyle w:val="35"/>
        <w:tblW w:w="5067" w:type="pct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"/>
        <w:gridCol w:w="474"/>
        <w:gridCol w:w="2397"/>
        <w:gridCol w:w="2836"/>
        <w:gridCol w:w="997"/>
        <w:gridCol w:w="850"/>
        <w:gridCol w:w="7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16" w:hRule="atLeast"/>
          <w:tblHeader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序号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分区</w:t>
            </w: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名称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站点区位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规划用地性质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充电桩总数（个）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建设时序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74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元洪国际食品产业园重轻卡充（换）电站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国道G228北侧，福建星龙翔水产食品批发商贸城西侧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公共交通设施用地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74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江阴港城经济区重轻卡充（换）电站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国盛大道北侧，汇丰物流内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交通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场站</w:t>
            </w:r>
            <w:r>
              <w:rPr>
                <w:rFonts w:ascii="宋体" w:hAnsi="宋体" w:eastAsia="宋体" w:cs="宋体"/>
                <w:sz w:val="18"/>
                <w:szCs w:val="18"/>
              </w:rPr>
              <w:t>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274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江阴港城经济区重轻卡充（换）电站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国道G</w:t>
            </w:r>
            <w:r>
              <w:rPr>
                <w:rFonts w:ascii="宋体" w:hAnsi="宋体" w:eastAsia="宋体" w:cs="宋体"/>
                <w:sz w:val="18"/>
                <w:szCs w:val="18"/>
              </w:rPr>
              <w:t>228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南侧，江阴公交枢纽站内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公共交通设施用地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远期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宏路北重轻卡充（换）电站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国道G324西侧，中财管道运营配送中心西侧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其他服务设施用地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远期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</w:p>
        </w:tc>
        <w:tc>
          <w:tcPr>
            <w:tcW w:w="274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汽车走廊南侧综合服务区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国道G324东侧，沥青综合拌料场南侧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社会停车场用地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远期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6</w:t>
            </w:r>
          </w:p>
        </w:tc>
        <w:tc>
          <w:tcPr>
            <w:tcW w:w="274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闽台（福州）蓝色经济产业园重轻卡充（换）电站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江华大道北侧，江镜华侨农场丰华区西侧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远期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42" w:hRule="atLeast"/>
        </w:trPr>
        <w:tc>
          <w:tcPr>
            <w:tcW w:w="22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274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138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闽台（福州）蓝色经济产业园重轻卡充（换）电站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1641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江华大道北侧，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蓝园管委会东侧</w:t>
            </w:r>
          </w:p>
        </w:tc>
        <w:tc>
          <w:tcPr>
            <w:tcW w:w="57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公共交通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场站</w:t>
            </w:r>
            <w:r>
              <w:rPr>
                <w:rFonts w:ascii="宋体" w:hAnsi="宋体" w:eastAsia="宋体" w:cs="宋体"/>
                <w:sz w:val="18"/>
                <w:szCs w:val="18"/>
              </w:rPr>
              <w:t>用地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远期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42" w:hRule="atLeast"/>
        </w:trPr>
        <w:tc>
          <w:tcPr>
            <w:tcW w:w="4101" w:type="pct"/>
            <w:gridSpan w:val="5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合计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215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 xml:space="preserve"> - </w:t>
            </w:r>
          </w:p>
        </w:tc>
      </w:tr>
    </w:tbl>
    <w:p>
      <w:pPr>
        <w:ind w:firstLine="0" w:firstLineChars="0"/>
        <w:jc w:val="center"/>
        <w:rPr>
          <w:rFonts w:hint="eastAsia"/>
          <w:color w:val="000000"/>
          <w:sz w:val="21"/>
          <w:szCs w:val="21"/>
        </w:rPr>
      </w:pPr>
    </w:p>
    <w:p>
      <w:pPr>
        <w:ind w:firstLine="0" w:firstLineChars="0"/>
        <w:jc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表3福清市城际公共</w:t>
      </w:r>
      <w:r>
        <w:rPr>
          <w:color w:val="000000"/>
          <w:sz w:val="21"/>
          <w:szCs w:val="21"/>
        </w:rPr>
        <w:t>充电站布局</w:t>
      </w:r>
      <w:r>
        <w:rPr>
          <w:rFonts w:hint="eastAsia"/>
          <w:color w:val="000000"/>
          <w:sz w:val="21"/>
          <w:szCs w:val="21"/>
        </w:rPr>
        <w:t>一览表</w:t>
      </w:r>
    </w:p>
    <w:tbl>
      <w:tblPr>
        <w:tblStyle w:val="35"/>
        <w:tblW w:w="5000" w:type="pct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"/>
        <w:gridCol w:w="1051"/>
        <w:gridCol w:w="1153"/>
        <w:gridCol w:w="2976"/>
        <w:gridCol w:w="994"/>
        <w:gridCol w:w="1030"/>
        <w:gridCol w:w="8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91" w:hRule="atLeast"/>
        </w:trPr>
        <w:tc>
          <w:tcPr>
            <w:tcW w:w="28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序号</w:t>
            </w:r>
          </w:p>
        </w:tc>
        <w:tc>
          <w:tcPr>
            <w:tcW w:w="61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分区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用地编号</w:t>
            </w:r>
          </w:p>
        </w:tc>
        <w:tc>
          <w:tcPr>
            <w:tcW w:w="1745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站点区位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规划用地性质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充电桩总数（个）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建设时序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91" w:hRule="atLeast"/>
        </w:trPr>
        <w:tc>
          <w:tcPr>
            <w:tcW w:w="28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宏路-02</w:t>
            </w:r>
          </w:p>
        </w:tc>
        <w:tc>
          <w:tcPr>
            <w:tcW w:w="1745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福建省福州市福清市宏路街道大往服务区_沈阳方向_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公路用地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91" w:hRule="atLeast"/>
        </w:trPr>
        <w:tc>
          <w:tcPr>
            <w:tcW w:w="28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616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宏路-03</w:t>
            </w:r>
          </w:p>
        </w:tc>
        <w:tc>
          <w:tcPr>
            <w:tcW w:w="1745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福建省福州市福清市宏路街道大往服务区_海口方向_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公路用地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91" w:hRule="atLeast"/>
        </w:trPr>
        <w:tc>
          <w:tcPr>
            <w:tcW w:w="28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镜洋-01</w:t>
            </w:r>
          </w:p>
        </w:tc>
        <w:tc>
          <w:tcPr>
            <w:tcW w:w="1745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福建省福州市福清市镜洋镇镜洋街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公路用地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91" w:hRule="atLeast"/>
        </w:trPr>
        <w:tc>
          <w:tcPr>
            <w:tcW w:w="28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616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三山-03</w:t>
            </w:r>
          </w:p>
        </w:tc>
        <w:tc>
          <w:tcPr>
            <w:tcW w:w="1745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渔平高速三山服务区_平潭方向_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公路用地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91" w:hRule="atLeast"/>
        </w:trPr>
        <w:tc>
          <w:tcPr>
            <w:tcW w:w="28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</w:p>
        </w:tc>
        <w:tc>
          <w:tcPr>
            <w:tcW w:w="616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三山-04</w:t>
            </w:r>
          </w:p>
        </w:tc>
        <w:tc>
          <w:tcPr>
            <w:tcW w:w="1745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渔平高速三山服务区_渔溪方向_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公路用地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91" w:hRule="atLeast"/>
        </w:trPr>
        <w:tc>
          <w:tcPr>
            <w:tcW w:w="3904" w:type="pct"/>
            <w:gridSpan w:val="5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合计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 xml:space="preserve"> - </w:t>
            </w:r>
          </w:p>
        </w:tc>
      </w:tr>
    </w:tbl>
    <w:p>
      <w:pPr>
        <w:ind w:firstLine="0" w:firstLineChars="0"/>
        <w:rPr>
          <w:rFonts w:hint="eastAsia"/>
          <w:color w:val="000000"/>
          <w:sz w:val="21"/>
          <w:szCs w:val="21"/>
        </w:rPr>
      </w:pPr>
    </w:p>
    <w:p>
      <w:pPr>
        <w:ind w:firstLine="0" w:firstLineChars="0"/>
        <w:jc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表4 福清市城市公共充（换）电</w:t>
      </w:r>
      <w:r>
        <w:rPr>
          <w:rFonts w:hint="eastAsia"/>
          <w:sz w:val="21"/>
          <w:szCs w:val="21"/>
        </w:rPr>
        <w:t>基础设施</w:t>
      </w:r>
      <w:r>
        <w:rPr>
          <w:rFonts w:hint="eastAsia"/>
          <w:color w:val="000000"/>
          <w:sz w:val="21"/>
          <w:szCs w:val="21"/>
        </w:rPr>
        <w:t>布局一览表</w:t>
      </w:r>
    </w:p>
    <w:tbl>
      <w:tblPr>
        <w:tblStyle w:val="35"/>
        <w:tblW w:w="5000" w:type="pc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"/>
        <w:gridCol w:w="537"/>
        <w:gridCol w:w="621"/>
        <w:gridCol w:w="3735"/>
        <w:gridCol w:w="1479"/>
        <w:gridCol w:w="1052"/>
        <w:gridCol w:w="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28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序号</w:t>
            </w:r>
          </w:p>
        </w:tc>
        <w:tc>
          <w:tcPr>
            <w:tcW w:w="31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分区</w:t>
            </w:r>
          </w:p>
        </w:tc>
        <w:tc>
          <w:tcPr>
            <w:tcW w:w="364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用地编号</w:t>
            </w:r>
          </w:p>
        </w:tc>
        <w:tc>
          <w:tcPr>
            <w:tcW w:w="2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站点区位</w:t>
            </w:r>
          </w:p>
        </w:tc>
        <w:tc>
          <w:tcPr>
            <w:tcW w:w="86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规划用地性质</w:t>
            </w:r>
          </w:p>
        </w:tc>
        <w:tc>
          <w:tcPr>
            <w:tcW w:w="61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充电桩总数（个）</w:t>
            </w:r>
          </w:p>
        </w:tc>
        <w:tc>
          <w:tcPr>
            <w:tcW w:w="364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</w:rPr>
              <w:t>建设时序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315" w:type="pct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福清市市民休闲公园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宏路街道104国道金竹石化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福建省福州市福清市宏路街道福融路亿基大厦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福清市清盛大道南侧湿地公园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福清市福融路9号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福清市宏路街道创业大道辅路国资小镇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福清市宏路街道石门村委会石门村_融侨观邸充电桩_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福建省福州市福清市龙江街道创业大道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龙江街道正达大厦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福州福清市龙江街道霞楼村龙江路农贸市场_滨海嘉苑_旁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福清站北侧公交停车场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福州市福清市北京师范大学福清附属学校阳光服务中心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福清市龙江街道龙江客运汽车站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交通枢纽用地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福清市龙江街道龙江路公交公司油站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星星充电汽车充电站_福清铭丰新能源_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防护绿地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福建省福州市福清市福政路9号_凯乐汇名车会所_内停车场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商业其他服务设施混合用地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石竹街道福玉路8号福清华安珠宝有限公司工厂园区停车场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福清市石竹街道福融路5号霞河机动车检测站内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一类工业用地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福建省福州市福清市融侨经济技术开发区光电科技园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石竹街道福通路光电园公交枢纽站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福建省福州市福清市石竹街道福政路38号茂华汽车城停车场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商业其他服务设施混合用地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石竹街道福玉路16号长安汽车4S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商业其他服务设施混合用地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福建省福清市石竹街道南少林药业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福建省福州市福清市石竹街道厦大科技园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福建省福清市石竹街道棋山村_外厝12号101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福清市石竹街道福玉路8号福清华安珠宝有限公司工厂园区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福建省福清市清荣大道与福政路交叉口西150米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福建省福州市福清市奎岭路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福建省福州市福清市清荣大道下岭尾一号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医疗卫生用地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福建省福州市福清市福腾路与双溪路交叉口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阳下街道洪宽大道融湾棠颂山语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阳下街道洪智路福清三豪制衣有限公司西南201米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住宅用地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福清市福建森达电器股份有限公司福清分公司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阳下街道后坂村101号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福建省福州市福清市石竹街道清宏路2-15号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福州市福清市清昌大道101号创元_福建_大酒店有限公司大门口右侧停车场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万达广场福清清昌大道店地下停车场F150~F155车位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万达广场地下停车场B248~B250号车位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音西街道京东方工业园南侧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福清市龙江公园内部停车场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福清市福和万达广场旁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福建省福州市福清市音西街道福清医院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医院用地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福建省福州市福清市音西街道日东包装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福州市福清市小桔充电站_沃尔玛_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石竹街道104国道鑫华鹏物流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46</w:t>
            </w:r>
          </w:p>
        </w:tc>
        <w:tc>
          <w:tcPr>
            <w:tcW w:w="315" w:type="pct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城头镇东垣小学旁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城头镇后俸村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京东元洪全球食品数字经济产业中心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商业商务混合用地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城头镇后俸村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城头镇后俸村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城头镇创业服务中心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住宅用地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海口镇海口客运站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海口镇立华电器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防护绿地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东瀚-01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福建省福清市东瀚镇锦城豪庭南侧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高山镇海峡商品交易中心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福清市高山水厂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三类住宅用地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龙田镇福庐路北路5-1号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三山镇同同富充电站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防护绿地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三山镇横坑村华平客运站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三山镇东方青雷站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防护绿地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江阴镇何厝村中石油新港加油站内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公用设施营业网点用地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福清市环洋新材料有限公司宿舍楼北侧150米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渔溪镇324国道西侧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福建省福清市渔溪镇渔江路208-1号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东张-01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东张镇半岭村200号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一都-01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一都镇一都村新街168号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67</w:t>
            </w:r>
          </w:p>
        </w:tc>
        <w:tc>
          <w:tcPr>
            <w:tcW w:w="315" w:type="pct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福厦高铁站西侧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宏路-22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石竹山景区停车场内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宏路-23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下林路与融和路交叉口西北侧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宏路-24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福清龙江水文化公园停车场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福百路西侧，观音埔湿地公园内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龙江南路北侧，玉融山环山栈道停车场内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X177南侧，隆中村境内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福泽大道西侧，福清全民健身园内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体育场馆用地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利桥古街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瑞亭小学东侧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石竹路北侧，真丰片区安置房西侧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广场用地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福清佳宁化妆品有限公司北侧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住宅用地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福业大道西侧，冠发国际新城内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清昌大道南侧，霞盛公交停车场内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两馆一中心内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文化设施用地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清辉花园西侧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福清革命历史纪念碑北侧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滨江小学霞盛校区东北侧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音西-31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福清国际商展中心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音西-32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福清西圣小区东侧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87</w:t>
            </w:r>
          </w:p>
        </w:tc>
        <w:tc>
          <w:tcPr>
            <w:tcW w:w="315" w:type="pct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元洪管委会东侧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港头-02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港头镇观音殿东南侧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高山镇境内，国道G104西南侧，乐恒家具北侧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高山天力加油站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华侨-01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江华大道北侧，蓝园管委会东侧，蓝园公交首末站内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金城江镜·梦茵御景南侧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龙田环城东路西侧，龙田镇公交枢纽站内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33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福清市二医院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中小学用地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三山三隆酒店北侧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广场用地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三山花蛤小镇东侧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三山镇瑶湖公园东侧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沙埔-01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沙埔实验小学西侧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江阴镇内，国道G228南侧，江阴公交枢纽站内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江阴江源新苑小区北侧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医院用地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福州市保税港区管委会西侧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国盛大道北侧，汇丰物流内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上迳-01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国道G324东侧，沥青综合拌料场南侧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新厝-02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新厝凯兴学府小区北侧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商业商务混合用地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东张-02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东张优品电子公司南侧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医疗卫生用地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镜洋-06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镜洋埃索加油站北侧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近期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107</w:t>
            </w:r>
          </w:p>
        </w:tc>
        <w:tc>
          <w:tcPr>
            <w:tcW w:w="315" w:type="pct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中心城区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龙江南路北侧，香埔加油站内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G324西侧，星胜丰物流有限公司南侧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石门小学西侧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国道G324东侧，乾丰集团南侧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二类工业用地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福人路西侧，融侨城西侧，石门村范围内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宏路亿童幼儿园北侧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福清红星美凯龙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清盛大道与福政路交叉口西侧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宏路-19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福清西站西侧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宏路-20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太城溪饮水工程管理部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宏路-21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清灵寺北侧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苍霞路西侧，金强（福清）绿色建筑产业有限公司北侧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福百路东侧，文茂商业中心内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福建师范大学福清分校东侧，下梧村内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福清动车站东侧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交通枢纽用地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龙江-14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南方医大福清医院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医院用地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山水大道南侧，坊里村北侧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山水大道南侧，塘头小区东侧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向海路南侧，龙江福邸内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朝晖职业技术学校南侧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龙江福邸小区南侧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恒泰花园南侧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福清市阳爱语训康复中心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东部新城 坊里村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文化设施用地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福清元洪高级中学东侧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东部新城 南宅村内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商业商务混合用地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龙山-18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瑞亭路与永昌路交叉口西北侧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国道G324西侧，中财管道运营配送中心西侧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其他服务设施用地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棋山街与福平街交叉口东北侧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石竹-19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福政小区东南侧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洪铨路北侧，北林村内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万安大道西侧，香滙融江三期香澜东北侧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139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福长路和洪宽二路交叉口东侧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福清侨鑫机械对面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油楼村老人协会西侧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福清龙华职专东侧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龙湖正邦虎溪原著西北侧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洪宽福利造纸厂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北林小学南侧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体育用地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阳下-18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清荣大道与福腾路交叉口东南侧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体育用地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融侨酒店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福俱路西侧，碧桂园融府南侧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149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福唐路西侧，康辉中学东侧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福清华侨中学第二校区东侧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音西-17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福唐路和清图路交叉口西南侧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福清市妇幼保健院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医疗卫生用地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音西霞盛新厝小区西侧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音西美林新村北侧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林中变电站西侧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融源山庄西侧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马山村老人协会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音西-29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融侨冠捷花园东侧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159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音西-30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融商大厦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商务设施用地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音西-33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福百路与清盛大道交叉口东北侧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商务设施用地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玉屏-02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龙山环路和横二路交叉口东南侧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玉屏-03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红博中学西南侧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玉屏-04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清荣花园东北侧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玉屏-05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凯景悦蓝山东北侧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165</w:t>
            </w:r>
          </w:p>
        </w:tc>
        <w:tc>
          <w:tcPr>
            <w:tcW w:w="315" w:type="pct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乡镇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国道G228北侧，福建星龙翔水产食品批发商贸城西侧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城头大道东侧，大厝村内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滨海大道北侧，福建印福脂工业有限公司南侧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滨海大道北侧，福建星龙翔水厂视频批发商贸城东侧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商业商务混合用地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城头-12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城头镇峰前村综治中心东侧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城头-13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滨海大通道北侧海口农场内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体育用地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商贸物流员南侧24米规划路西侧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华强山庄酒店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旅馆用地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海口后路派出所东侧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福清永鸿文化城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防护绿地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中国·福清国际商贸城B地块南侧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海口-08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东阁农场管委会东侧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文化设施用地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南岭-01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南岭镇政府东侧，西溪村内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南岭-02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梨洞水库北侧梨洞村内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179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东瀚-02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东瀚大瓤村服务站西侧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东瀚-03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东瀚海洋牧场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港口用地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港头-01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港头镇锦江小区西侧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高山税务分局东南侧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体育用地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高山前北路南侧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高山镇育才中学东侧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高山-08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福清第五医院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医疗卫生用地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华侨-02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华侨城东侧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华侨-03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江华大道北侧，江镜华侨农场丰华区西侧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国道G228东侧，江镜镇规划加油站内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加油加气站用地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189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江镜镇万家美超市西北侧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江镜228国道西侧南宵村内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医院用地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江镜谢塘小学东北侧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龙田镇环城东路和龙锦路交叉口的北侧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龙田镇体育文化公园内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龙田镇溪尾新村南侧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体育用地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龙田-07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滨海壹号院北侧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公共交通场站用地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花蛤小镇西侧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三山-09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三山金厝头小学北侧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二类居住用地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三山-10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三山横坑村内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199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三山-11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福清天安医院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医疗卫生用地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融侨新港假日酒店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江阴-08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天成耀隆北侧，绿金纸业西侧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上迳-02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上迳镇人民政府西侧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商务设施用地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上迳-03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诚丰香樟湖北侧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新厝-01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福清新厝盘升新港花园北侧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205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新厝-03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福建宝利特新材料有限公司对面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206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渔溪虞阳中学北侧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中小学用地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207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渔溪育童儿童康复中心南侧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208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渔溪-06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渔溪镇虞阳公园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209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渔溪-07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上迳路南侧，上张村内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商住混合用地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210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东张-03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东张清安路东侧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211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镜洋-03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税务局镜洋分局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212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镜洋-04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福清魁星液化气公司西南侧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商业设施用地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213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镜洋-05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镜洋派出所东侧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公园绿地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5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214</w:t>
            </w:r>
          </w:p>
        </w:tc>
        <w:tc>
          <w:tcPr>
            <w:tcW w:w="315" w:type="pct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ind w:firstLine="0" w:firstLineChars="0"/>
              <w:rPr>
                <w:rFonts w:ascii="宋体" w:hAnsi="宋体" w:eastAsia="宋体" w:cs="宋体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一都-02</w:t>
            </w:r>
          </w:p>
        </w:tc>
        <w:tc>
          <w:tcPr>
            <w:tcW w:w="219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一都后溪漂流东侧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社会停车场用地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020" w:type="pct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合计</w:t>
            </w:r>
          </w:p>
        </w:tc>
        <w:tc>
          <w:tcPr>
            <w:tcW w:w="61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3209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 xml:space="preserve"> -</w:t>
            </w:r>
          </w:p>
        </w:tc>
      </w:tr>
    </w:tbl>
    <w:p>
      <w:pPr>
        <w:tabs>
          <w:tab w:val="left" w:pos="1440"/>
        </w:tabs>
        <w:spacing w:line="520" w:lineRule="exact"/>
        <w:ind w:firstLine="640"/>
        <w:jc w:val="both"/>
        <w:rPr>
          <w:rFonts w:hint="eastAsia" w:ascii="仿宋_GB2312"/>
          <w:kern w:val="0"/>
          <w:szCs w:val="32"/>
        </w:rPr>
      </w:pPr>
    </w:p>
    <w:p>
      <w:pPr>
        <w:spacing w:before="156" w:beforeLines="50" w:after="156" w:afterLines="50" w:line="460" w:lineRule="exact"/>
        <w:ind w:firstLine="640" w:firstLineChars="200"/>
        <w:rPr>
          <w:rFonts w:ascii="黑体" w:eastAsia="黑体"/>
          <w:bCs/>
          <w:kern w:val="0"/>
          <w:sz w:val="32"/>
          <w:szCs w:val="32"/>
        </w:rPr>
      </w:pPr>
      <w:r>
        <w:rPr>
          <w:rFonts w:hint="eastAsia" w:ascii="黑体" w:eastAsia="黑体"/>
          <w:bCs/>
          <w:kern w:val="0"/>
          <w:sz w:val="32"/>
          <w:szCs w:val="32"/>
        </w:rPr>
        <w:t>二、规划图纸</w:t>
      </w:r>
    </w:p>
    <w:p>
      <w:pPr>
        <w:spacing w:line="460" w:lineRule="exact"/>
        <w:ind w:firstLine="640"/>
        <w:rPr>
          <w:rFonts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1、市域电动汽车充电设施规划布局图</w:t>
      </w:r>
    </w:p>
    <w:p>
      <w:pPr>
        <w:spacing w:line="460" w:lineRule="exact"/>
        <w:ind w:firstLine="640"/>
        <w:rPr>
          <w:rFonts w:ascii="黑体" w:eastAsia="黑体"/>
          <w:bCs/>
          <w:kern w:val="0"/>
        </w:rPr>
      </w:pPr>
      <w:r>
        <w:rPr>
          <w:rFonts w:hint="eastAsia" w:ascii="黑体" w:eastAsia="黑体"/>
          <w:bCs/>
          <w:kern w:val="0"/>
        </w:rPr>
        <w:t>2、中心城区电动汽车充电设施规划布局图</w:t>
      </w:r>
    </w:p>
    <w:p>
      <w:pPr>
        <w:spacing w:line="460" w:lineRule="exact"/>
        <w:ind w:firstLine="640"/>
        <w:rPr>
          <w:rFonts w:ascii="黑体" w:eastAsia="黑体"/>
          <w:bCs/>
          <w:kern w:val="0"/>
        </w:rPr>
      </w:pPr>
    </w:p>
    <w:p>
      <w:pPr>
        <w:spacing w:line="460" w:lineRule="exact"/>
        <w:ind w:firstLine="640"/>
        <w:rPr>
          <w:rFonts w:ascii="黑体" w:eastAsia="黑体"/>
          <w:bCs/>
          <w:kern w:val="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460" w:lineRule="exact"/>
        <w:ind w:firstLine="640"/>
        <w:rPr>
          <w:rFonts w:ascii="黑体" w:eastAsia="黑体"/>
          <w:bCs/>
          <w:kern w:val="0"/>
        </w:rPr>
      </w:pPr>
      <w:r>
        <w:rPr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-1140460</wp:posOffset>
            </wp:positionV>
            <wp:extent cx="10567035" cy="7486015"/>
            <wp:effectExtent l="0" t="0" r="5715" b="635"/>
            <wp:wrapSquare wrapText="bothSides"/>
            <wp:docPr id="1" name="图片 15" descr="福清市电动汽车充电基础设施专项规划修编（2023-2035年）成果0408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福清市电动汽车充电基础设施专项规划修编（2023-2035年）成果0408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5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640"/>
        <w:rPr>
          <w:rFonts w:hint="eastAsia" w:ascii="黑体" w:eastAsia="黑体"/>
          <w:bCs/>
          <w:kern w:val="0"/>
        </w:rPr>
      </w:pPr>
      <w:r>
        <w:rPr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-1140460</wp:posOffset>
            </wp:positionV>
            <wp:extent cx="10647680" cy="7543165"/>
            <wp:effectExtent l="0" t="0" r="1270" b="635"/>
            <wp:wrapSquare wrapText="bothSides"/>
            <wp:docPr id="2" name="图片 16" descr="福清市电动汽车充电基础设施专项规划修编（2023-2035年）成果0408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福清市电动汽车充电基础设施专项规划修编（2023-2035年）成果0408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4768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797" w:right="1440" w:bottom="1797" w:left="1440" w:header="851" w:footer="992" w:gutter="0"/>
      <w:pgNumType w:fmt="numberInDash"/>
      <w:cols w:space="720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YaHei">
    <w:altName w:val="黑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幼圆">
    <w:altName w:val="宋体"/>
    <w:panose1 w:val="02010509060101010101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imesNewRomanPSMT">
    <w:altName w:val="等线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framePr w:w="1099" w:wrap="around" w:vAnchor="text" w:hAnchor="page" w:x="8998" w:y="-2"/>
      <w:ind w:firstLine="0" w:firstLineChars="0"/>
      <w:jc w:val="both"/>
      <w:rPr>
        <w:rStyle w:val="39"/>
        <w:rFonts w:ascii="宋体" w:hAnsi="宋体"/>
        <w:sz w:val="28"/>
        <w:szCs w:val="28"/>
      </w:rPr>
    </w:pPr>
    <w:r>
      <w:rPr>
        <w:rStyle w:val="39"/>
        <w:rFonts w:hint="eastAsia" w:ascii="宋体" w:hAnsi="宋体"/>
        <w:sz w:val="28"/>
        <w:szCs w:val="28"/>
      </w:rPr>
      <w:fldChar w:fldCharType="begin"/>
    </w:r>
    <w:r>
      <w:rPr>
        <w:rStyle w:val="39"/>
        <w:rFonts w:hint="eastAsia" w:ascii="宋体" w:hAnsi="宋体"/>
        <w:sz w:val="28"/>
        <w:szCs w:val="28"/>
      </w:rPr>
      <w:instrText xml:space="preserve">PAGE  </w:instrText>
    </w:r>
    <w:r>
      <w:rPr>
        <w:rStyle w:val="39"/>
        <w:rFonts w:hint="eastAsia" w:ascii="宋体" w:hAnsi="宋体"/>
        <w:sz w:val="28"/>
        <w:szCs w:val="28"/>
      </w:rPr>
      <w:fldChar w:fldCharType="separate"/>
    </w:r>
    <w:r>
      <w:rPr>
        <w:rStyle w:val="39"/>
        <w:rFonts w:ascii="宋体" w:hAnsi="宋体"/>
        <w:sz w:val="28"/>
        <w:szCs w:val="28"/>
        <w:lang/>
      </w:rPr>
      <w:t>- 15 -</w:t>
    </w:r>
    <w:r>
      <w:rPr>
        <w:rStyle w:val="39"/>
        <w:rFonts w:hint="eastAsia" w:ascii="宋体" w:hAnsi="宋体"/>
        <w:sz w:val="28"/>
        <w:szCs w:val="28"/>
      </w:rPr>
      <w:fldChar w:fldCharType="end"/>
    </w:r>
    <w:r>
      <w:rPr>
        <w:rStyle w:val="39"/>
        <w:rFonts w:hint="eastAsia" w:ascii="宋体" w:hAnsi="宋体"/>
        <w:sz w:val="28"/>
        <w:szCs w:val="28"/>
      </w:rPr>
      <w:t xml:space="preserve">       </w:t>
    </w:r>
  </w:p>
  <w:p>
    <w:pPr>
      <w:pStyle w:val="23"/>
      <w:ind w:right="360" w:firstLine="560"/>
      <w:rPr>
        <w:rFonts w:ascii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framePr w:wrap="around" w:vAnchor="text" w:hAnchor="margin" w:xAlign="outside" w:y="1"/>
      <w:ind w:firstLine="280" w:firstLineChars="100"/>
      <w:rPr>
        <w:rStyle w:val="39"/>
        <w:rFonts w:ascii="宋体" w:hAnsi="宋体"/>
        <w:sz w:val="28"/>
        <w:szCs w:val="28"/>
      </w:rPr>
    </w:pPr>
    <w:r>
      <w:rPr>
        <w:rStyle w:val="39"/>
        <w:rFonts w:ascii="宋体" w:hAnsi="宋体"/>
        <w:sz w:val="28"/>
        <w:szCs w:val="28"/>
      </w:rPr>
      <w:fldChar w:fldCharType="begin"/>
    </w:r>
    <w:r>
      <w:rPr>
        <w:rStyle w:val="39"/>
        <w:rFonts w:ascii="宋体" w:hAnsi="宋体"/>
        <w:sz w:val="28"/>
        <w:szCs w:val="28"/>
      </w:rPr>
      <w:instrText xml:space="preserve">PAGE  </w:instrText>
    </w:r>
    <w:r>
      <w:rPr>
        <w:rStyle w:val="39"/>
        <w:rFonts w:ascii="宋体" w:hAnsi="宋体"/>
        <w:sz w:val="28"/>
        <w:szCs w:val="28"/>
      </w:rPr>
      <w:fldChar w:fldCharType="separate"/>
    </w:r>
    <w:r>
      <w:rPr>
        <w:rStyle w:val="39"/>
        <w:rFonts w:ascii="宋体" w:hAnsi="宋体"/>
        <w:sz w:val="28"/>
        <w:szCs w:val="28"/>
        <w:lang/>
      </w:rPr>
      <w:t>- 14 -</w:t>
    </w:r>
    <w:r>
      <w:rPr>
        <w:rStyle w:val="39"/>
        <w:rFonts w:ascii="宋体" w:hAnsi="宋体"/>
        <w:sz w:val="28"/>
        <w:szCs w:val="28"/>
      </w:rPr>
      <w:fldChar w:fldCharType="end"/>
    </w:r>
  </w:p>
  <w:p>
    <w:pPr>
      <w:pStyle w:val="2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FFFF88"/>
    <w:multiLevelType w:val="singleLevel"/>
    <w:tmpl w:val="0FFFFF88"/>
    <w:lvl w:ilvl="0" w:tentative="0">
      <w:start w:val="1"/>
      <w:numFmt w:val="decimal"/>
      <w:pStyle w:val="16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60"/>
  <w:drawingGridVerticalSpacing w:val="435"/>
  <w:displayHorizontalDrawingGridEvery w:val="0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mY2Y5MjZkOTQzYjQwMmIwMGZkYzBjYzNlZTZkYjAifQ=="/>
  </w:docVars>
  <w:rsids>
    <w:rsidRoot w:val="004759F9"/>
    <w:rsid w:val="00050FEF"/>
    <w:rsid w:val="000568F7"/>
    <w:rsid w:val="00060489"/>
    <w:rsid w:val="00064524"/>
    <w:rsid w:val="00065652"/>
    <w:rsid w:val="0007495A"/>
    <w:rsid w:val="00080D35"/>
    <w:rsid w:val="000829B3"/>
    <w:rsid w:val="00083A83"/>
    <w:rsid w:val="000B57B7"/>
    <w:rsid w:val="000E0310"/>
    <w:rsid w:val="000E040D"/>
    <w:rsid w:val="000E4C59"/>
    <w:rsid w:val="001178F8"/>
    <w:rsid w:val="00120B5F"/>
    <w:rsid w:val="00133640"/>
    <w:rsid w:val="0015455D"/>
    <w:rsid w:val="00164EBE"/>
    <w:rsid w:val="001658B8"/>
    <w:rsid w:val="00190213"/>
    <w:rsid w:val="00194F89"/>
    <w:rsid w:val="001A020B"/>
    <w:rsid w:val="001A1A7D"/>
    <w:rsid w:val="001A1E37"/>
    <w:rsid w:val="001B0E25"/>
    <w:rsid w:val="001B2187"/>
    <w:rsid w:val="001B3792"/>
    <w:rsid w:val="001C2B17"/>
    <w:rsid w:val="001C6E9A"/>
    <w:rsid w:val="001F6876"/>
    <w:rsid w:val="00217AF2"/>
    <w:rsid w:val="00221A49"/>
    <w:rsid w:val="00223379"/>
    <w:rsid w:val="00224224"/>
    <w:rsid w:val="00232D4F"/>
    <w:rsid w:val="00252173"/>
    <w:rsid w:val="0028271B"/>
    <w:rsid w:val="00287219"/>
    <w:rsid w:val="002A725D"/>
    <w:rsid w:val="002A79EF"/>
    <w:rsid w:val="002B3A00"/>
    <w:rsid w:val="002D229C"/>
    <w:rsid w:val="002D58EC"/>
    <w:rsid w:val="002E4087"/>
    <w:rsid w:val="002E41D7"/>
    <w:rsid w:val="002E5281"/>
    <w:rsid w:val="002F2CFA"/>
    <w:rsid w:val="002F6DA4"/>
    <w:rsid w:val="00300D6B"/>
    <w:rsid w:val="00311FBC"/>
    <w:rsid w:val="003131F6"/>
    <w:rsid w:val="00316FFC"/>
    <w:rsid w:val="00317611"/>
    <w:rsid w:val="003276D1"/>
    <w:rsid w:val="003314CE"/>
    <w:rsid w:val="0033548C"/>
    <w:rsid w:val="00343D32"/>
    <w:rsid w:val="003473EB"/>
    <w:rsid w:val="0036318A"/>
    <w:rsid w:val="00370425"/>
    <w:rsid w:val="00374BBC"/>
    <w:rsid w:val="00376E00"/>
    <w:rsid w:val="00391E3A"/>
    <w:rsid w:val="003C2A71"/>
    <w:rsid w:val="003C4332"/>
    <w:rsid w:val="003D0DAA"/>
    <w:rsid w:val="003E5F3D"/>
    <w:rsid w:val="003F0037"/>
    <w:rsid w:val="003F35FC"/>
    <w:rsid w:val="00401FEF"/>
    <w:rsid w:val="004123C6"/>
    <w:rsid w:val="00421B37"/>
    <w:rsid w:val="00440408"/>
    <w:rsid w:val="00445768"/>
    <w:rsid w:val="004621A1"/>
    <w:rsid w:val="0047126E"/>
    <w:rsid w:val="00473B3F"/>
    <w:rsid w:val="004759F9"/>
    <w:rsid w:val="004804AA"/>
    <w:rsid w:val="00482832"/>
    <w:rsid w:val="00485F3C"/>
    <w:rsid w:val="00496D9E"/>
    <w:rsid w:val="004A6CE3"/>
    <w:rsid w:val="004B037A"/>
    <w:rsid w:val="004B15CB"/>
    <w:rsid w:val="004D77A4"/>
    <w:rsid w:val="004E3341"/>
    <w:rsid w:val="004F4786"/>
    <w:rsid w:val="00516259"/>
    <w:rsid w:val="00555B15"/>
    <w:rsid w:val="0057459D"/>
    <w:rsid w:val="005922A3"/>
    <w:rsid w:val="005A1DE8"/>
    <w:rsid w:val="005B2CC4"/>
    <w:rsid w:val="005B2DC0"/>
    <w:rsid w:val="005B4DF2"/>
    <w:rsid w:val="005C0595"/>
    <w:rsid w:val="005C250B"/>
    <w:rsid w:val="005D7DBC"/>
    <w:rsid w:val="005E3462"/>
    <w:rsid w:val="005F1FD5"/>
    <w:rsid w:val="006340B2"/>
    <w:rsid w:val="00646D32"/>
    <w:rsid w:val="006544D2"/>
    <w:rsid w:val="00654715"/>
    <w:rsid w:val="0066282B"/>
    <w:rsid w:val="00674473"/>
    <w:rsid w:val="00690E39"/>
    <w:rsid w:val="00695D25"/>
    <w:rsid w:val="006A34E1"/>
    <w:rsid w:val="006D773C"/>
    <w:rsid w:val="006E4DF3"/>
    <w:rsid w:val="006F045B"/>
    <w:rsid w:val="006F2960"/>
    <w:rsid w:val="006F37A2"/>
    <w:rsid w:val="006F3BA1"/>
    <w:rsid w:val="007056A5"/>
    <w:rsid w:val="00705A24"/>
    <w:rsid w:val="007304D3"/>
    <w:rsid w:val="00732726"/>
    <w:rsid w:val="00733AE0"/>
    <w:rsid w:val="00737C3F"/>
    <w:rsid w:val="00744ABB"/>
    <w:rsid w:val="007625BB"/>
    <w:rsid w:val="00763475"/>
    <w:rsid w:val="00763572"/>
    <w:rsid w:val="0077583B"/>
    <w:rsid w:val="00781287"/>
    <w:rsid w:val="007A2E7D"/>
    <w:rsid w:val="007C0CE9"/>
    <w:rsid w:val="007C4498"/>
    <w:rsid w:val="007C73F0"/>
    <w:rsid w:val="007E1AB6"/>
    <w:rsid w:val="007E213C"/>
    <w:rsid w:val="007F4A7E"/>
    <w:rsid w:val="00844495"/>
    <w:rsid w:val="00844535"/>
    <w:rsid w:val="008522E0"/>
    <w:rsid w:val="00883474"/>
    <w:rsid w:val="0088570A"/>
    <w:rsid w:val="008865D7"/>
    <w:rsid w:val="00887D2B"/>
    <w:rsid w:val="00895FA2"/>
    <w:rsid w:val="008A1587"/>
    <w:rsid w:val="008D6AAE"/>
    <w:rsid w:val="008F2823"/>
    <w:rsid w:val="008F5278"/>
    <w:rsid w:val="008F783F"/>
    <w:rsid w:val="00915FC6"/>
    <w:rsid w:val="00925A09"/>
    <w:rsid w:val="00937DA3"/>
    <w:rsid w:val="00942E25"/>
    <w:rsid w:val="00950723"/>
    <w:rsid w:val="00984CF2"/>
    <w:rsid w:val="00990B35"/>
    <w:rsid w:val="00992C06"/>
    <w:rsid w:val="009958D8"/>
    <w:rsid w:val="009A4A4C"/>
    <w:rsid w:val="009B07DC"/>
    <w:rsid w:val="009B0A4E"/>
    <w:rsid w:val="009B1712"/>
    <w:rsid w:val="009B4B36"/>
    <w:rsid w:val="009D6001"/>
    <w:rsid w:val="009F1A43"/>
    <w:rsid w:val="009F2B05"/>
    <w:rsid w:val="009F3AAE"/>
    <w:rsid w:val="00A0186B"/>
    <w:rsid w:val="00A14E59"/>
    <w:rsid w:val="00A1643A"/>
    <w:rsid w:val="00A17B47"/>
    <w:rsid w:val="00A36144"/>
    <w:rsid w:val="00A56A76"/>
    <w:rsid w:val="00A60F07"/>
    <w:rsid w:val="00A728F1"/>
    <w:rsid w:val="00A74E71"/>
    <w:rsid w:val="00A768E1"/>
    <w:rsid w:val="00A85C51"/>
    <w:rsid w:val="00AB189A"/>
    <w:rsid w:val="00AC054F"/>
    <w:rsid w:val="00AC5623"/>
    <w:rsid w:val="00AD03ED"/>
    <w:rsid w:val="00B1167B"/>
    <w:rsid w:val="00B1246E"/>
    <w:rsid w:val="00B1426B"/>
    <w:rsid w:val="00B20706"/>
    <w:rsid w:val="00B2679B"/>
    <w:rsid w:val="00B52ACF"/>
    <w:rsid w:val="00B60AF3"/>
    <w:rsid w:val="00B63705"/>
    <w:rsid w:val="00B73405"/>
    <w:rsid w:val="00B753D0"/>
    <w:rsid w:val="00B80A98"/>
    <w:rsid w:val="00B92BAE"/>
    <w:rsid w:val="00B97F0B"/>
    <w:rsid w:val="00BB3A97"/>
    <w:rsid w:val="00BE2711"/>
    <w:rsid w:val="00BF53CD"/>
    <w:rsid w:val="00C02D65"/>
    <w:rsid w:val="00C02DA6"/>
    <w:rsid w:val="00C03CEA"/>
    <w:rsid w:val="00C1200D"/>
    <w:rsid w:val="00C12B93"/>
    <w:rsid w:val="00C23F74"/>
    <w:rsid w:val="00C278E6"/>
    <w:rsid w:val="00C43324"/>
    <w:rsid w:val="00C4648C"/>
    <w:rsid w:val="00C52AA3"/>
    <w:rsid w:val="00C55605"/>
    <w:rsid w:val="00C55B8E"/>
    <w:rsid w:val="00C66B48"/>
    <w:rsid w:val="00C75450"/>
    <w:rsid w:val="00C7655F"/>
    <w:rsid w:val="00C827C1"/>
    <w:rsid w:val="00CA3471"/>
    <w:rsid w:val="00CA516F"/>
    <w:rsid w:val="00CB2AB5"/>
    <w:rsid w:val="00CB4E5A"/>
    <w:rsid w:val="00CC6748"/>
    <w:rsid w:val="00CC7294"/>
    <w:rsid w:val="00CD2B97"/>
    <w:rsid w:val="00CF0CDD"/>
    <w:rsid w:val="00CF1E5D"/>
    <w:rsid w:val="00CF2B41"/>
    <w:rsid w:val="00CF7CD5"/>
    <w:rsid w:val="00D141A5"/>
    <w:rsid w:val="00D335A5"/>
    <w:rsid w:val="00D41949"/>
    <w:rsid w:val="00D47847"/>
    <w:rsid w:val="00D6283D"/>
    <w:rsid w:val="00D722B1"/>
    <w:rsid w:val="00D961D6"/>
    <w:rsid w:val="00DA1E51"/>
    <w:rsid w:val="00DB57BB"/>
    <w:rsid w:val="00DC23EF"/>
    <w:rsid w:val="00DE0226"/>
    <w:rsid w:val="00DE3910"/>
    <w:rsid w:val="00DE3ECB"/>
    <w:rsid w:val="00DE6BCC"/>
    <w:rsid w:val="00DE7F63"/>
    <w:rsid w:val="00DF7490"/>
    <w:rsid w:val="00E04F42"/>
    <w:rsid w:val="00E12FBA"/>
    <w:rsid w:val="00E23370"/>
    <w:rsid w:val="00E3786E"/>
    <w:rsid w:val="00E452E6"/>
    <w:rsid w:val="00E476EC"/>
    <w:rsid w:val="00E47758"/>
    <w:rsid w:val="00E808CE"/>
    <w:rsid w:val="00EB1EDC"/>
    <w:rsid w:val="00EB39EA"/>
    <w:rsid w:val="00EC11BD"/>
    <w:rsid w:val="00EE1383"/>
    <w:rsid w:val="00EE38F4"/>
    <w:rsid w:val="00EE3C0E"/>
    <w:rsid w:val="00EF37C7"/>
    <w:rsid w:val="00EF3807"/>
    <w:rsid w:val="00EF63B2"/>
    <w:rsid w:val="00F02280"/>
    <w:rsid w:val="00F023EE"/>
    <w:rsid w:val="00F10266"/>
    <w:rsid w:val="00F15471"/>
    <w:rsid w:val="00F17E78"/>
    <w:rsid w:val="00F26784"/>
    <w:rsid w:val="00F30CC4"/>
    <w:rsid w:val="00F3399A"/>
    <w:rsid w:val="00F3449A"/>
    <w:rsid w:val="00F435CE"/>
    <w:rsid w:val="00F5030A"/>
    <w:rsid w:val="00F6205E"/>
    <w:rsid w:val="00F86D66"/>
    <w:rsid w:val="00FB65EC"/>
    <w:rsid w:val="00FC7192"/>
    <w:rsid w:val="00FD01E9"/>
    <w:rsid w:val="00FD7886"/>
    <w:rsid w:val="00FE65CD"/>
    <w:rsid w:val="00FE7194"/>
    <w:rsid w:val="070A2469"/>
    <w:rsid w:val="224F3AF6"/>
    <w:rsid w:val="779776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uiPriority="99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99" w:semiHidden="0" w:name="Date"/>
    <w:lsdException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iPriority="99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iPriority="99" w:semiHidden="0" w:name="Balloon Text"/>
    <w:lsdException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_GB2312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49"/>
    <w:qFormat/>
    <w:uiPriority w:val="9"/>
    <w:pPr>
      <w:keepNext/>
      <w:keepLines/>
      <w:autoSpaceDE w:val="0"/>
      <w:autoSpaceDN w:val="0"/>
      <w:adjustRightInd w:val="0"/>
      <w:spacing w:before="340" w:after="330" w:line="578" w:lineRule="auto"/>
      <w:ind w:firstLine="440"/>
      <w:outlineLvl w:val="0"/>
    </w:pPr>
    <w:rPr>
      <w:rFonts w:ascii="宋体" w:hAnsi="宋体" w:eastAsia="宋体" w:cs="MicrosoftYaHei"/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50"/>
    <w:unhideWhenUsed/>
    <w:qFormat/>
    <w:uiPriority w:val="0"/>
    <w:pPr>
      <w:keepNext/>
      <w:keepLines/>
      <w:autoSpaceDE w:val="0"/>
      <w:autoSpaceDN w:val="0"/>
      <w:adjustRightInd w:val="0"/>
      <w:spacing w:before="280" w:after="290" w:line="376" w:lineRule="auto"/>
      <w:ind w:firstLine="440"/>
      <w:outlineLvl w:val="3"/>
    </w:pPr>
    <w:rPr>
      <w:rFonts w:ascii="Cambria" w:hAnsi="Cambria" w:eastAsia="宋体" w:cs="Times New Roman"/>
      <w:b/>
      <w:bCs/>
      <w:kern w:val="0"/>
      <w:sz w:val="28"/>
      <w:szCs w:val="28"/>
    </w:rPr>
  </w:style>
  <w:style w:type="paragraph" w:styleId="4">
    <w:name w:val="heading 5"/>
    <w:basedOn w:val="1"/>
    <w:next w:val="1"/>
    <w:link w:val="51"/>
    <w:unhideWhenUsed/>
    <w:qFormat/>
    <w:uiPriority w:val="0"/>
    <w:pPr>
      <w:keepNext/>
      <w:keepLines/>
      <w:autoSpaceDE w:val="0"/>
      <w:autoSpaceDN w:val="0"/>
      <w:adjustRightInd w:val="0"/>
      <w:spacing w:before="280" w:after="290" w:line="376" w:lineRule="auto"/>
      <w:ind w:firstLine="440"/>
      <w:outlineLvl w:val="4"/>
    </w:pPr>
    <w:rPr>
      <w:rFonts w:ascii="宋体" w:hAnsi="宋体" w:eastAsia="宋体" w:cs="MicrosoftYaHei"/>
      <w:b/>
      <w:bCs/>
      <w:kern w:val="0"/>
      <w:sz w:val="28"/>
      <w:szCs w:val="28"/>
    </w:rPr>
  </w:style>
  <w:style w:type="paragraph" w:styleId="5">
    <w:name w:val="heading 6"/>
    <w:basedOn w:val="1"/>
    <w:next w:val="1"/>
    <w:link w:val="52"/>
    <w:qFormat/>
    <w:uiPriority w:val="0"/>
    <w:pPr>
      <w:keepNext/>
      <w:keepLines/>
      <w:spacing w:before="240" w:after="64" w:line="320" w:lineRule="auto"/>
      <w:ind w:firstLine="0" w:firstLineChars="0"/>
      <w:jc w:val="both"/>
      <w:outlineLvl w:val="5"/>
    </w:pPr>
    <w:rPr>
      <w:rFonts w:ascii="Arial" w:hAnsi="Arial" w:eastAsia="黑体"/>
      <w:b/>
      <w:bCs/>
      <w:sz w:val="24"/>
    </w:rPr>
  </w:style>
  <w:style w:type="paragraph" w:styleId="6">
    <w:name w:val="heading 7"/>
    <w:basedOn w:val="1"/>
    <w:next w:val="1"/>
    <w:link w:val="53"/>
    <w:qFormat/>
    <w:uiPriority w:val="0"/>
    <w:pPr>
      <w:keepNext/>
      <w:keepLines/>
      <w:spacing w:before="240" w:after="64" w:line="320" w:lineRule="auto"/>
      <w:ind w:firstLine="0" w:firstLineChars="0"/>
      <w:jc w:val="both"/>
      <w:outlineLvl w:val="6"/>
    </w:pPr>
    <w:rPr>
      <w:rFonts w:eastAsia="宋体"/>
      <w:b/>
      <w:bCs/>
      <w:sz w:val="24"/>
    </w:rPr>
  </w:style>
  <w:style w:type="paragraph" w:styleId="7">
    <w:name w:val="heading 8"/>
    <w:basedOn w:val="1"/>
    <w:next w:val="1"/>
    <w:link w:val="54"/>
    <w:qFormat/>
    <w:uiPriority w:val="0"/>
    <w:pPr>
      <w:keepNext/>
      <w:keepLines/>
      <w:spacing w:before="240" w:after="64" w:line="320" w:lineRule="auto"/>
      <w:ind w:firstLine="0" w:firstLineChars="0"/>
      <w:jc w:val="both"/>
      <w:outlineLvl w:val="7"/>
    </w:pPr>
    <w:rPr>
      <w:rFonts w:ascii="Arial" w:hAnsi="Arial" w:eastAsia="黑体"/>
      <w:sz w:val="24"/>
    </w:rPr>
  </w:style>
  <w:style w:type="paragraph" w:styleId="8">
    <w:name w:val="heading 9"/>
    <w:basedOn w:val="1"/>
    <w:next w:val="1"/>
    <w:link w:val="55"/>
    <w:qFormat/>
    <w:uiPriority w:val="0"/>
    <w:pPr>
      <w:keepNext/>
      <w:keepLines/>
      <w:spacing w:before="240" w:after="64" w:line="320" w:lineRule="auto"/>
      <w:ind w:firstLine="0" w:firstLineChars="0"/>
      <w:jc w:val="both"/>
      <w:outlineLvl w:val="8"/>
    </w:pPr>
    <w:rPr>
      <w:rFonts w:ascii="Arial" w:hAnsi="Arial" w:eastAsia="黑体"/>
      <w:sz w:val="21"/>
      <w:szCs w:val="21"/>
    </w:rPr>
  </w:style>
  <w:style w:type="character" w:default="1" w:styleId="37">
    <w:name w:val="Default Paragraph Font"/>
    <w:unhideWhenUsed/>
    <w:uiPriority w:val="1"/>
  </w:style>
  <w:style w:type="table" w:default="1" w:styleId="35">
    <w:name w:val="Normal Table"/>
    <w:unhideWhenUsed/>
    <w:qFormat/>
    <w:uiPriority w:val="99"/>
    <w:tblPr>
      <w:tblStyle w:val="35"/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1320" w:firstLine="440"/>
    </w:pPr>
    <w:rPr>
      <w:rFonts w:ascii="Calibri" w:hAnsi="Calibri" w:eastAsia="宋体" w:cs="MicrosoftYaHei"/>
      <w:kern w:val="0"/>
      <w:sz w:val="18"/>
      <w:szCs w:val="18"/>
    </w:rPr>
  </w:style>
  <w:style w:type="paragraph" w:styleId="10">
    <w:name w:val="Normal Indent"/>
    <w:basedOn w:val="1"/>
    <w:next w:val="11"/>
    <w:qFormat/>
    <w:uiPriority w:val="0"/>
    <w:pPr>
      <w:ind w:firstLine="420" w:firstLineChars="0"/>
      <w:jc w:val="both"/>
    </w:pPr>
    <w:rPr>
      <w:rFonts w:ascii="Verdana" w:hAnsi="Verdana" w:eastAsia="宋体"/>
      <w:sz w:val="21"/>
      <w:szCs w:val="20"/>
    </w:rPr>
  </w:style>
  <w:style w:type="paragraph" w:styleId="11">
    <w:name w:val="Body Text"/>
    <w:basedOn w:val="1"/>
    <w:link w:val="105"/>
    <w:unhideWhenUsed/>
    <w:uiPriority w:val="99"/>
    <w:pPr>
      <w:autoSpaceDE w:val="0"/>
      <w:autoSpaceDN w:val="0"/>
      <w:adjustRightInd w:val="0"/>
      <w:spacing w:after="120" w:line="360" w:lineRule="auto"/>
      <w:ind w:firstLine="440"/>
    </w:pPr>
    <w:rPr>
      <w:rFonts w:ascii="宋体" w:hAnsi="宋体" w:eastAsia="宋体" w:cs="MicrosoftYaHei"/>
      <w:kern w:val="0"/>
      <w:sz w:val="24"/>
      <w:szCs w:val="22"/>
    </w:rPr>
  </w:style>
  <w:style w:type="paragraph" w:styleId="12">
    <w:name w:val="caption"/>
    <w:basedOn w:val="1"/>
    <w:next w:val="1"/>
    <w:unhideWhenUsed/>
    <w:qFormat/>
    <w:uiPriority w:val="35"/>
    <w:pPr>
      <w:ind w:firstLine="0" w:firstLineChars="0"/>
      <w:jc w:val="both"/>
    </w:pPr>
    <w:rPr>
      <w:rFonts w:ascii="Cambria" w:hAnsi="Cambria" w:eastAsia="黑体" w:cs="Times New Roman"/>
      <w:sz w:val="20"/>
      <w:szCs w:val="20"/>
    </w:rPr>
  </w:style>
  <w:style w:type="paragraph" w:styleId="13">
    <w:name w:val="Document Map"/>
    <w:basedOn w:val="1"/>
    <w:link w:val="62"/>
    <w:unhideWhenUsed/>
    <w:uiPriority w:val="99"/>
    <w:pPr>
      <w:autoSpaceDE w:val="0"/>
      <w:autoSpaceDN w:val="0"/>
      <w:adjustRightInd w:val="0"/>
      <w:spacing w:line="360" w:lineRule="auto"/>
      <w:ind w:firstLine="440"/>
    </w:pPr>
    <w:rPr>
      <w:rFonts w:ascii="宋体" w:hAnsi="宋体" w:eastAsia="宋体" w:cs="MicrosoftYaHei"/>
      <w:kern w:val="0"/>
      <w:sz w:val="18"/>
      <w:szCs w:val="18"/>
    </w:rPr>
  </w:style>
  <w:style w:type="paragraph" w:styleId="14">
    <w:name w:val="annotation text"/>
    <w:basedOn w:val="1"/>
    <w:link w:val="102"/>
    <w:unhideWhenUsed/>
    <w:uiPriority w:val="99"/>
    <w:pPr>
      <w:autoSpaceDE w:val="0"/>
      <w:autoSpaceDN w:val="0"/>
      <w:adjustRightInd w:val="0"/>
      <w:spacing w:line="360" w:lineRule="auto"/>
      <w:ind w:firstLine="440"/>
    </w:pPr>
    <w:rPr>
      <w:rFonts w:ascii="宋体" w:hAnsi="宋体" w:eastAsia="宋体" w:cs="MicrosoftYaHei"/>
      <w:kern w:val="0"/>
      <w:sz w:val="24"/>
      <w:szCs w:val="22"/>
    </w:rPr>
  </w:style>
  <w:style w:type="paragraph" w:styleId="15">
    <w:name w:val="Body Text Indent"/>
    <w:basedOn w:val="1"/>
    <w:link w:val="69"/>
    <w:uiPriority w:val="0"/>
    <w:pPr>
      <w:ind w:firstLine="600"/>
      <w:jc w:val="both"/>
    </w:pPr>
    <w:rPr>
      <w:kern w:val="0"/>
      <w:sz w:val="30"/>
    </w:rPr>
  </w:style>
  <w:style w:type="paragraph" w:styleId="16">
    <w:name w:val="List 2"/>
    <w:basedOn w:val="1"/>
    <w:uiPriority w:val="0"/>
    <w:pPr>
      <w:numPr>
        <w:ilvl w:val="0"/>
        <w:numId w:val="1"/>
      </w:numPr>
      <w:tabs>
        <w:tab w:val="clear" w:pos="360"/>
      </w:tabs>
      <w:ind w:left="840" w:hanging="420" w:firstLineChars="0"/>
      <w:jc w:val="both"/>
    </w:pPr>
    <w:rPr>
      <w:rFonts w:eastAsia="宋体"/>
      <w:sz w:val="24"/>
      <w:szCs w:val="20"/>
    </w:rPr>
  </w:style>
  <w:style w:type="paragraph" w:styleId="17">
    <w:name w:val="toc 5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880" w:firstLine="440"/>
    </w:pPr>
    <w:rPr>
      <w:rFonts w:ascii="Calibri" w:hAnsi="Calibri" w:eastAsia="宋体" w:cs="MicrosoftYaHei"/>
      <w:kern w:val="0"/>
      <w:sz w:val="18"/>
      <w:szCs w:val="18"/>
    </w:rPr>
  </w:style>
  <w:style w:type="paragraph" w:styleId="18">
    <w:name w:val="toc 3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440" w:firstLine="440"/>
    </w:pPr>
    <w:rPr>
      <w:rFonts w:ascii="Calibri" w:hAnsi="Calibri" w:eastAsia="宋体" w:cs="MicrosoftYaHei"/>
      <w:i/>
      <w:iCs/>
      <w:kern w:val="0"/>
      <w:sz w:val="20"/>
      <w:szCs w:val="20"/>
    </w:rPr>
  </w:style>
  <w:style w:type="paragraph" w:styleId="19">
    <w:name w:val="Plain Text"/>
    <w:basedOn w:val="1"/>
    <w:link w:val="74"/>
    <w:uiPriority w:val="0"/>
    <w:pPr>
      <w:widowControl/>
      <w:ind w:firstLine="0" w:firstLineChars="0"/>
    </w:pPr>
    <w:rPr>
      <w:rFonts w:ascii="宋体" w:hAnsi="Courier New" w:eastAsia="宋体" w:cs="Courier New"/>
      <w:kern w:val="0"/>
      <w:sz w:val="24"/>
      <w:szCs w:val="21"/>
    </w:rPr>
  </w:style>
  <w:style w:type="paragraph" w:styleId="20">
    <w:name w:val="toc 8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1540" w:firstLine="440"/>
    </w:pPr>
    <w:rPr>
      <w:rFonts w:ascii="Calibri" w:hAnsi="Calibri" w:eastAsia="宋体" w:cs="MicrosoftYaHei"/>
      <w:kern w:val="0"/>
      <w:sz w:val="18"/>
      <w:szCs w:val="18"/>
    </w:rPr>
  </w:style>
  <w:style w:type="paragraph" w:styleId="21">
    <w:name w:val="Date"/>
    <w:basedOn w:val="1"/>
    <w:next w:val="1"/>
    <w:link w:val="140"/>
    <w:uiPriority w:val="99"/>
    <w:pPr>
      <w:ind w:left="100" w:leftChars="2500"/>
    </w:pPr>
  </w:style>
  <w:style w:type="paragraph" w:styleId="22">
    <w:name w:val="Balloon Text"/>
    <w:basedOn w:val="1"/>
    <w:link w:val="58"/>
    <w:unhideWhenUsed/>
    <w:uiPriority w:val="99"/>
    <w:pPr>
      <w:autoSpaceDE w:val="0"/>
      <w:autoSpaceDN w:val="0"/>
      <w:adjustRightInd w:val="0"/>
      <w:spacing w:line="360" w:lineRule="auto"/>
      <w:ind w:firstLine="440"/>
    </w:pPr>
    <w:rPr>
      <w:rFonts w:ascii="宋体" w:hAnsi="宋体" w:eastAsia="宋体" w:cs="MicrosoftYaHei"/>
      <w:kern w:val="0"/>
      <w:sz w:val="18"/>
      <w:szCs w:val="18"/>
    </w:rPr>
  </w:style>
  <w:style w:type="paragraph" w:styleId="23">
    <w:name w:val="footer"/>
    <w:basedOn w:val="1"/>
    <w:link w:val="5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56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uiPriority w:val="39"/>
    <w:pPr>
      <w:tabs>
        <w:tab w:val="right" w:leader="dot" w:pos="10206"/>
      </w:tabs>
      <w:autoSpaceDE w:val="0"/>
      <w:autoSpaceDN w:val="0"/>
      <w:adjustRightInd w:val="0"/>
      <w:spacing w:before="120" w:after="120" w:line="360" w:lineRule="auto"/>
      <w:ind w:firstLine="482"/>
      <w:jc w:val="center"/>
    </w:pPr>
    <w:rPr>
      <w:rFonts w:ascii="Calibri" w:hAnsi="Calibri" w:eastAsia="宋体" w:cs="MicrosoftYaHei"/>
      <w:b/>
      <w:bCs/>
      <w:caps/>
      <w:kern w:val="0"/>
      <w:sz w:val="24"/>
      <w:lang/>
    </w:rPr>
  </w:style>
  <w:style w:type="paragraph" w:styleId="26">
    <w:name w:val="toc 4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660" w:firstLine="440"/>
    </w:pPr>
    <w:rPr>
      <w:rFonts w:ascii="Calibri" w:hAnsi="Calibri" w:eastAsia="宋体" w:cs="MicrosoftYaHei"/>
      <w:kern w:val="0"/>
      <w:sz w:val="18"/>
      <w:szCs w:val="18"/>
    </w:rPr>
  </w:style>
  <w:style w:type="paragraph" w:styleId="27">
    <w:name w:val="toc 6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1100" w:firstLine="440"/>
    </w:pPr>
    <w:rPr>
      <w:rFonts w:ascii="Calibri" w:hAnsi="Calibri" w:eastAsia="宋体" w:cs="MicrosoftYaHei"/>
      <w:kern w:val="0"/>
      <w:sz w:val="18"/>
      <w:szCs w:val="18"/>
    </w:rPr>
  </w:style>
  <w:style w:type="paragraph" w:styleId="28">
    <w:name w:val="toc 2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220" w:firstLine="440"/>
    </w:pPr>
    <w:rPr>
      <w:rFonts w:ascii="Calibri" w:hAnsi="Calibri" w:eastAsia="宋体" w:cs="MicrosoftYaHei"/>
      <w:smallCaps/>
      <w:kern w:val="0"/>
      <w:sz w:val="20"/>
      <w:szCs w:val="20"/>
    </w:rPr>
  </w:style>
  <w:style w:type="paragraph" w:styleId="29">
    <w:name w:val="toc 9"/>
    <w:basedOn w:val="1"/>
    <w:next w:val="1"/>
    <w:unhideWhenUsed/>
    <w:uiPriority w:val="39"/>
    <w:pPr>
      <w:autoSpaceDE w:val="0"/>
      <w:autoSpaceDN w:val="0"/>
      <w:adjustRightInd w:val="0"/>
      <w:spacing w:line="360" w:lineRule="auto"/>
      <w:ind w:left="1760" w:firstLine="440"/>
    </w:pPr>
    <w:rPr>
      <w:rFonts w:ascii="Calibri" w:hAnsi="Calibri" w:eastAsia="宋体" w:cs="MicrosoftYaHei"/>
      <w:kern w:val="0"/>
      <w:sz w:val="18"/>
      <w:szCs w:val="18"/>
    </w:rPr>
  </w:style>
  <w:style w:type="paragraph" w:styleId="30">
    <w:name w:val="HTML Preformatted"/>
    <w:basedOn w:val="1"/>
    <w:link w:val="77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 w:firstLineChars="0"/>
    </w:pPr>
    <w:rPr>
      <w:rFonts w:ascii="宋体" w:hAnsi="宋体" w:eastAsia="宋体" w:cs="宋体"/>
      <w:kern w:val="0"/>
      <w:sz w:val="24"/>
    </w:rPr>
  </w:style>
  <w:style w:type="paragraph" w:styleId="31">
    <w:name w:val="Normal (Web)"/>
    <w:basedOn w:val="1"/>
    <w:link w:val="43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32">
    <w:name w:val="Title"/>
    <w:basedOn w:val="1"/>
    <w:next w:val="1"/>
    <w:link w:val="44"/>
    <w:qFormat/>
    <w:uiPriority w:val="10"/>
    <w:pPr>
      <w:spacing w:line="760" w:lineRule="exact"/>
      <w:ind w:firstLine="0" w:firstLineChars="0"/>
      <w:jc w:val="center"/>
      <w:outlineLvl w:val="0"/>
    </w:pPr>
    <w:rPr>
      <w:rFonts w:ascii="Cambria" w:hAnsi="Cambria" w:eastAsia="方正小标宋简体"/>
      <w:bCs/>
      <w:sz w:val="44"/>
      <w:szCs w:val="32"/>
    </w:rPr>
  </w:style>
  <w:style w:type="paragraph" w:styleId="33">
    <w:name w:val="annotation subject"/>
    <w:basedOn w:val="14"/>
    <w:next w:val="14"/>
    <w:link w:val="103"/>
    <w:unhideWhenUsed/>
    <w:uiPriority w:val="99"/>
    <w:rPr>
      <w:b/>
      <w:bCs/>
    </w:rPr>
  </w:style>
  <w:style w:type="paragraph" w:styleId="34">
    <w:name w:val="Body Text First Indent"/>
    <w:basedOn w:val="11"/>
    <w:link w:val="106"/>
    <w:unhideWhenUsed/>
    <w:uiPriority w:val="99"/>
    <w:pPr>
      <w:ind w:firstLine="420" w:firstLineChars="100"/>
    </w:pPr>
  </w:style>
  <w:style w:type="table" w:styleId="36">
    <w:name w:val="Table Grid"/>
    <w:basedOn w:val="35"/>
    <w:uiPriority w:val="39"/>
    <w:pPr>
      <w:widowControl w:val="0"/>
      <w:jc w:val="both"/>
    </w:p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character" w:styleId="38">
    <w:name w:val="Strong"/>
    <w:qFormat/>
    <w:uiPriority w:val="22"/>
    <w:rPr>
      <w:b/>
      <w:bCs/>
    </w:rPr>
  </w:style>
  <w:style w:type="character" w:styleId="39">
    <w:name w:val="page number"/>
    <w:uiPriority w:val="0"/>
  </w:style>
  <w:style w:type="character" w:styleId="40">
    <w:name w:val="FollowedHyperlink"/>
    <w:unhideWhenUsed/>
    <w:uiPriority w:val="99"/>
    <w:rPr>
      <w:color w:val="800080"/>
      <w:u w:val="single"/>
    </w:rPr>
  </w:style>
  <w:style w:type="character" w:styleId="41">
    <w:name w:val="Hyperlink"/>
    <w:unhideWhenUsed/>
    <w:uiPriority w:val="99"/>
    <w:rPr>
      <w:color w:val="0000FF"/>
      <w:u w:val="single"/>
    </w:rPr>
  </w:style>
  <w:style w:type="character" w:styleId="42">
    <w:name w:val="annotation reference"/>
    <w:unhideWhenUsed/>
    <w:uiPriority w:val="99"/>
    <w:rPr>
      <w:sz w:val="21"/>
      <w:szCs w:val="21"/>
    </w:rPr>
  </w:style>
  <w:style w:type="character" w:customStyle="1" w:styleId="43">
    <w:name w:val="普通(网站) 字符"/>
    <w:link w:val="31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4">
    <w:name w:val="标题 字符"/>
    <w:link w:val="32"/>
    <w:uiPriority w:val="10"/>
    <w:rPr>
      <w:rFonts w:ascii="Cambria" w:hAnsi="Cambria" w:eastAsia="方正小标宋简体" w:cs="Times New Roman"/>
      <w:bCs/>
      <w:kern w:val="2"/>
      <w:sz w:val="44"/>
      <w:szCs w:val="32"/>
    </w:rPr>
  </w:style>
  <w:style w:type="paragraph" w:styleId="45">
    <w:name w:val="No Spacing"/>
    <w:basedOn w:val="1"/>
    <w:qFormat/>
    <w:uiPriority w:val="1"/>
    <w:rPr>
      <w:rFonts w:eastAsia="黑体"/>
    </w:rPr>
  </w:style>
  <w:style w:type="paragraph" w:customStyle="1" w:styleId="46">
    <w:name w:val="二级标题"/>
    <w:basedOn w:val="1"/>
    <w:next w:val="1"/>
    <w:qFormat/>
    <w:uiPriority w:val="0"/>
    <w:rPr>
      <w:rFonts w:ascii="仿宋_GB2312" w:eastAsia="楷体_GB2312"/>
      <w:szCs w:val="32"/>
    </w:rPr>
  </w:style>
  <w:style w:type="paragraph" w:customStyle="1" w:styleId="47">
    <w:name w:val="三级标题"/>
    <w:basedOn w:val="1"/>
    <w:next w:val="1"/>
    <w:qFormat/>
    <w:uiPriority w:val="0"/>
    <w:rPr>
      <w:rFonts w:eastAsia="楷体_GB2312"/>
    </w:rPr>
  </w:style>
  <w:style w:type="paragraph" w:customStyle="1" w:styleId="48">
    <w:name w:val="p15"/>
    <w:basedOn w:val="1"/>
    <w:uiPriority w:val="0"/>
    <w:pPr>
      <w:widowControl/>
      <w:ind w:firstLine="0" w:firstLineChars="0"/>
      <w:jc w:val="both"/>
    </w:pPr>
    <w:rPr>
      <w:rFonts w:eastAsia="宋体"/>
      <w:kern w:val="0"/>
      <w:sz w:val="21"/>
      <w:szCs w:val="21"/>
    </w:rPr>
  </w:style>
  <w:style w:type="character" w:customStyle="1" w:styleId="49">
    <w:name w:val="标题 1 字符"/>
    <w:link w:val="2"/>
    <w:uiPriority w:val="9"/>
    <w:rPr>
      <w:rFonts w:ascii="宋体" w:hAnsi="宋体" w:cs="MicrosoftYaHei"/>
      <w:b/>
      <w:bCs/>
      <w:kern w:val="44"/>
      <w:sz w:val="44"/>
      <w:szCs w:val="44"/>
    </w:rPr>
  </w:style>
  <w:style w:type="character" w:customStyle="1" w:styleId="50">
    <w:name w:val="标题 4 字符"/>
    <w:link w:val="3"/>
    <w:uiPriority w:val="0"/>
    <w:rPr>
      <w:rFonts w:ascii="Cambria" w:hAnsi="Cambria"/>
      <w:b/>
      <w:bCs/>
      <w:sz w:val="28"/>
      <w:szCs w:val="28"/>
    </w:rPr>
  </w:style>
  <w:style w:type="character" w:customStyle="1" w:styleId="51">
    <w:name w:val="标题 5 字符"/>
    <w:aliases w:val="段落标题 字符"/>
    <w:link w:val="4"/>
    <w:uiPriority w:val="0"/>
    <w:rPr>
      <w:rFonts w:ascii="宋体" w:hAnsi="宋体" w:cs="MicrosoftYaHei"/>
      <w:b/>
      <w:bCs/>
      <w:sz w:val="28"/>
      <w:szCs w:val="28"/>
    </w:rPr>
  </w:style>
  <w:style w:type="character" w:customStyle="1" w:styleId="52">
    <w:name w:val="标题 6 字符"/>
    <w:link w:val="5"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3">
    <w:name w:val="标题 7 字符"/>
    <w:link w:val="6"/>
    <w:uiPriority w:val="0"/>
    <w:rPr>
      <w:b/>
      <w:bCs/>
      <w:kern w:val="2"/>
      <w:sz w:val="24"/>
      <w:szCs w:val="24"/>
    </w:rPr>
  </w:style>
  <w:style w:type="character" w:customStyle="1" w:styleId="54">
    <w:name w:val="标题 8 字符"/>
    <w:link w:val="7"/>
    <w:uiPriority w:val="0"/>
    <w:rPr>
      <w:rFonts w:ascii="Arial" w:hAnsi="Arial" w:eastAsia="黑体"/>
      <w:kern w:val="2"/>
      <w:sz w:val="24"/>
      <w:szCs w:val="24"/>
    </w:rPr>
  </w:style>
  <w:style w:type="character" w:customStyle="1" w:styleId="55">
    <w:name w:val="标题 9 字符"/>
    <w:link w:val="8"/>
    <w:uiPriority w:val="0"/>
    <w:rPr>
      <w:rFonts w:ascii="Arial" w:hAnsi="Arial" w:eastAsia="黑体"/>
      <w:kern w:val="2"/>
      <w:sz w:val="21"/>
      <w:szCs w:val="21"/>
    </w:rPr>
  </w:style>
  <w:style w:type="character" w:customStyle="1" w:styleId="56">
    <w:name w:val="页眉 字符"/>
    <w:link w:val="24"/>
    <w:uiPriority w:val="99"/>
    <w:rPr>
      <w:rFonts w:eastAsia="仿宋_GB2312"/>
      <w:kern w:val="2"/>
      <w:sz w:val="18"/>
      <w:szCs w:val="18"/>
    </w:rPr>
  </w:style>
  <w:style w:type="character" w:customStyle="1" w:styleId="57">
    <w:name w:val="页脚 字符"/>
    <w:link w:val="23"/>
    <w:uiPriority w:val="0"/>
    <w:rPr>
      <w:rFonts w:eastAsia="仿宋_GB2312"/>
      <w:kern w:val="2"/>
      <w:sz w:val="18"/>
      <w:szCs w:val="18"/>
    </w:rPr>
  </w:style>
  <w:style w:type="character" w:customStyle="1" w:styleId="58">
    <w:name w:val="批注框文本 字符"/>
    <w:link w:val="22"/>
    <w:uiPriority w:val="99"/>
    <w:rPr>
      <w:rFonts w:ascii="宋体" w:hAnsi="宋体" w:cs="MicrosoftYaHei"/>
      <w:sz w:val="18"/>
      <w:szCs w:val="18"/>
    </w:rPr>
  </w:style>
  <w:style w:type="paragraph" w:styleId="59">
    <w:name w:val="List Paragraph"/>
    <w:basedOn w:val="1"/>
    <w:qFormat/>
    <w:uiPriority w:val="34"/>
    <w:pPr>
      <w:autoSpaceDE w:val="0"/>
      <w:autoSpaceDN w:val="0"/>
      <w:adjustRightInd w:val="0"/>
      <w:spacing w:line="360" w:lineRule="auto"/>
      <w:ind w:firstLine="420"/>
    </w:pPr>
    <w:rPr>
      <w:rFonts w:ascii="宋体" w:hAnsi="宋体" w:eastAsia="宋体" w:cs="MicrosoftYaHei"/>
      <w:kern w:val="0"/>
      <w:sz w:val="24"/>
      <w:szCs w:val="22"/>
    </w:rPr>
  </w:style>
  <w:style w:type="character" w:customStyle="1" w:styleId="60">
    <w:name w:val="标题 1 Char"/>
    <w:aliases w:val="一级标题 Char"/>
    <w:uiPriority w:val="0"/>
    <w:rPr>
      <w:rFonts w:ascii="黑体" w:hAnsi="黑体" w:eastAsia="黑体" w:cs="MicrosoftYaHei"/>
      <w:b/>
      <w:bCs/>
      <w:color w:val="000000"/>
      <w:kern w:val="0"/>
      <w:sz w:val="36"/>
      <w:szCs w:val="36"/>
    </w:rPr>
  </w:style>
  <w:style w:type="character" w:customStyle="1" w:styleId="61">
    <w:name w:val="标题 2 Char"/>
    <w:aliases w:val="二级标题 Char"/>
    <w:uiPriority w:val="0"/>
    <w:rPr>
      <w:rFonts w:ascii="Cambria" w:hAnsi="Cambria" w:eastAsia="宋体" w:cs="Times New Roman"/>
      <w:b/>
      <w:bCs/>
      <w:color w:val="0070C0"/>
      <w:kern w:val="0"/>
      <w:sz w:val="32"/>
      <w:szCs w:val="30"/>
    </w:rPr>
  </w:style>
  <w:style w:type="character" w:customStyle="1" w:styleId="62">
    <w:name w:val="文档结构图 字符"/>
    <w:link w:val="13"/>
    <w:uiPriority w:val="99"/>
    <w:rPr>
      <w:rFonts w:ascii="宋体" w:hAnsi="宋体" w:cs="MicrosoftYaHei"/>
      <w:sz w:val="18"/>
      <w:szCs w:val="18"/>
    </w:rPr>
  </w:style>
  <w:style w:type="character" w:customStyle="1" w:styleId="63">
    <w:name w:val="标题 3 Char1"/>
    <w:aliases w:val="三级标题 Char"/>
    <w:uiPriority w:val="0"/>
    <w:rPr>
      <w:rFonts w:ascii="宋体" w:hAnsi="宋体" w:eastAsia="宋体" w:cs="MicrosoftYaHei"/>
      <w:b/>
      <w:bCs/>
      <w:color w:val="FF0000"/>
      <w:kern w:val="0"/>
      <w:sz w:val="24"/>
      <w:szCs w:val="24"/>
    </w:rPr>
  </w:style>
  <w:style w:type="character" w:customStyle="1" w:styleId="64">
    <w:name w:val="apple-converted-space"/>
    <w:uiPriority w:val="0"/>
  </w:style>
  <w:style w:type="paragraph" w:customStyle="1" w:styleId="65">
    <w:name w:val="Default"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 w:bidi="ar-SA"/>
    </w:rPr>
  </w:style>
  <w:style w:type="character" w:customStyle="1" w:styleId="66">
    <w:name w:val="A0"/>
    <w:uiPriority w:val="99"/>
    <w:rPr>
      <w:rFonts w:cs="宋体"/>
      <w:color w:val="221E1F"/>
      <w:sz w:val="22"/>
      <w:szCs w:val="22"/>
    </w:rPr>
  </w:style>
  <w:style w:type="paragraph" w:styleId="67">
    <w:name w:val=""/>
    <w:basedOn w:val="1"/>
    <w:next w:val="1"/>
    <w:unhideWhenUsed/>
    <w:qFormat/>
    <w:uiPriority w:val="39"/>
    <w:pPr>
      <w:widowControl/>
      <w:autoSpaceDE w:val="0"/>
      <w:autoSpaceDN w:val="0"/>
      <w:adjustRightInd w:val="0"/>
      <w:spacing w:before="480" w:line="276" w:lineRule="auto"/>
      <w:ind w:firstLine="440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68">
    <w:name w:val="样式 标题 2 + 段前: 9.5 磅"/>
    <w:basedOn w:val="1"/>
    <w:uiPriority w:val="0"/>
    <w:pPr>
      <w:spacing w:before="190" w:line="360" w:lineRule="auto"/>
      <w:ind w:firstLine="440"/>
    </w:pPr>
    <w:rPr>
      <w:rFonts w:ascii="Arial" w:hAnsi="Arial" w:eastAsia="宋体" w:cs="宋体"/>
      <w:sz w:val="24"/>
      <w:szCs w:val="20"/>
    </w:rPr>
  </w:style>
  <w:style w:type="character" w:customStyle="1" w:styleId="69">
    <w:name w:val="正文文本缩进 字符"/>
    <w:link w:val="15"/>
    <w:uiPriority w:val="0"/>
    <w:rPr>
      <w:rFonts w:eastAsia="仿宋_GB2312"/>
      <w:sz w:val="30"/>
      <w:szCs w:val="24"/>
    </w:rPr>
  </w:style>
  <w:style w:type="character" w:customStyle="1" w:styleId="70">
    <w:name w:val="正文文本缩进 字符1"/>
    <w:uiPriority w:val="0"/>
    <w:rPr>
      <w:rFonts w:eastAsia="仿宋_GB2312"/>
      <w:kern w:val="2"/>
      <w:sz w:val="32"/>
      <w:szCs w:val="24"/>
    </w:rPr>
  </w:style>
  <w:style w:type="character" w:customStyle="1" w:styleId="71">
    <w:name w:val="正文文本缩进 Char1"/>
    <w:semiHidden/>
    <w:uiPriority w:val="99"/>
    <w:rPr>
      <w:rFonts w:ascii="宋体" w:hAnsi="宋体" w:eastAsia="宋体" w:cs="MicrosoftYaHei"/>
      <w:kern w:val="0"/>
      <w:sz w:val="22"/>
    </w:rPr>
  </w:style>
  <w:style w:type="paragraph" w:customStyle="1" w:styleId="72">
    <w:name w:val="表格"/>
    <w:basedOn w:val="1"/>
    <w:uiPriority w:val="0"/>
    <w:pPr>
      <w:ind w:firstLine="0" w:firstLineChars="0"/>
      <w:jc w:val="center"/>
    </w:pPr>
    <w:rPr>
      <w:rFonts w:ascii="宋体" w:eastAsia="宋体"/>
      <w:sz w:val="21"/>
      <w:szCs w:val="20"/>
    </w:rPr>
  </w:style>
  <w:style w:type="paragraph" w:customStyle="1" w:styleId="73">
    <w:name w:val="Char Char Char Char"/>
    <w:basedOn w:val="1"/>
    <w:uiPriority w:val="0"/>
    <w:pPr>
      <w:spacing w:before="120" w:after="120" w:line="500" w:lineRule="exact"/>
      <w:ind w:firstLine="420" w:firstLineChars="0"/>
      <w:jc w:val="both"/>
    </w:pPr>
    <w:rPr>
      <w:rFonts w:ascii="Tahoma" w:hAnsi="Tahoma" w:eastAsia="宋体"/>
      <w:sz w:val="28"/>
      <w:szCs w:val="20"/>
    </w:rPr>
  </w:style>
  <w:style w:type="character" w:customStyle="1" w:styleId="74">
    <w:name w:val="纯文本 字符"/>
    <w:link w:val="19"/>
    <w:uiPriority w:val="0"/>
    <w:rPr>
      <w:rFonts w:ascii="宋体" w:hAnsi="Courier New" w:cs="Courier New"/>
      <w:sz w:val="24"/>
      <w:szCs w:val="21"/>
    </w:rPr>
  </w:style>
  <w:style w:type="paragraph" w:customStyle="1" w:styleId="75">
    <w:name w:val="样式 首行缩进:  2 字符"/>
    <w:basedOn w:val="1"/>
    <w:uiPriority w:val="0"/>
    <w:pPr>
      <w:widowControl/>
      <w:spacing w:line="560" w:lineRule="exact"/>
      <w:ind w:firstLine="560"/>
    </w:pPr>
    <w:rPr>
      <w:rFonts w:ascii="宋体" w:hAnsi="宋体" w:eastAsia="宋体" w:cs="宋体"/>
      <w:kern w:val="0"/>
      <w:sz w:val="28"/>
      <w:szCs w:val="20"/>
    </w:rPr>
  </w:style>
  <w:style w:type="paragraph" w:customStyle="1" w:styleId="76">
    <w:name w:val="列出段落1"/>
    <w:basedOn w:val="1"/>
    <w:qFormat/>
    <w:uiPriority w:val="0"/>
    <w:pPr>
      <w:ind w:firstLine="420"/>
      <w:jc w:val="both"/>
    </w:pPr>
    <w:rPr>
      <w:rFonts w:ascii="Calibri" w:hAnsi="Calibri" w:eastAsia="宋体" w:cs="黑体"/>
      <w:sz w:val="21"/>
      <w:szCs w:val="22"/>
    </w:rPr>
  </w:style>
  <w:style w:type="character" w:customStyle="1" w:styleId="77">
    <w:name w:val="HTML 预设格式 字符"/>
    <w:link w:val="30"/>
    <w:uiPriority w:val="99"/>
    <w:rPr>
      <w:rFonts w:ascii="宋体" w:hAnsi="宋体" w:cs="宋体"/>
      <w:sz w:val="24"/>
      <w:szCs w:val="24"/>
    </w:rPr>
  </w:style>
  <w:style w:type="table" w:customStyle="1" w:styleId="78">
    <w:name w:val="网格表 1 浅色1"/>
    <w:basedOn w:val="35"/>
    <w:uiPriority w:val="46"/>
    <w:rPr>
      <w:rFonts w:ascii="Calibri" w:hAnsi="Calibri" w:eastAsia="宋体" w:cs="Times New Roman"/>
      <w:kern w:val="2"/>
      <w:sz w:val="21"/>
      <w:szCs w:val="22"/>
    </w:rPr>
    <w:tblPr>
      <w:tblStyle w:val="35"/>
      <w:tblStyleRowBandSize w:val="1"/>
      <w:tblStyleColBandSize w:val="1"/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</w:tblPr>
    <w:trPr>
      <w:wBefore w:w="0" w:type="dxa"/>
    </w:trPr>
    <w:tblStylePr w:type="firstRow">
      <w:rPr>
        <w:b/>
        <w:bCs/>
      </w:rPr>
      <w:tblPr>
        <w:tblStyle w:val="35"/>
      </w:tblPr>
      <w:tcPr>
        <w:tcBorders>
          <w:left w:val="single" w:color="666666" w:sz="12" w:space="0"/>
        </w:tcBorders>
      </w:tcPr>
    </w:tblStylePr>
    <w:tblStylePr w:type="lastRow">
      <w:rPr>
        <w:b/>
        <w:bCs/>
      </w:rPr>
      <w:tblPr>
        <w:tblStyle w:val="35"/>
      </w:tbl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79">
    <w:name w:val="一般文字"/>
    <w:basedOn w:val="1"/>
    <w:uiPriority w:val="0"/>
    <w:pPr>
      <w:spacing w:afterLines="50" w:line="360" w:lineRule="auto"/>
      <w:ind w:firstLine="480"/>
      <w:jc w:val="both"/>
    </w:pPr>
    <w:rPr>
      <w:rFonts w:ascii="宋体" w:hAnsi="宋体" w:eastAsia="宋体" w:cs="宋体"/>
      <w:sz w:val="24"/>
      <w:szCs w:val="20"/>
    </w:rPr>
  </w:style>
  <w:style w:type="paragraph" w:customStyle="1" w:styleId="80">
    <w:name w:val="Char Char Char Char Char Char Char Char Char Char"/>
    <w:basedOn w:val="1"/>
    <w:uiPriority w:val="0"/>
    <w:pPr>
      <w:spacing w:line="360" w:lineRule="auto"/>
      <w:jc w:val="both"/>
    </w:pPr>
    <w:rPr>
      <w:rFonts w:eastAsia="宋体"/>
      <w:b/>
      <w:bCs/>
      <w:sz w:val="24"/>
      <w:szCs w:val="32"/>
    </w:rPr>
  </w:style>
  <w:style w:type="paragraph" w:customStyle="1" w:styleId="81">
    <w:name w:val="xl65"/>
    <w:basedOn w:val="1"/>
    <w:uiPriority w:val="0"/>
    <w:pPr>
      <w:widowControl/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82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83">
    <w:name w:val="xl6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84">
    <w:name w:val="xl6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</w:rPr>
  </w:style>
  <w:style w:type="paragraph" w:customStyle="1" w:styleId="85">
    <w:name w:val="xl6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textAlignment w:val="bottom"/>
    </w:pPr>
    <w:rPr>
      <w:rFonts w:ascii="宋体" w:hAnsi="宋体" w:eastAsia="宋体" w:cs="宋体"/>
      <w:kern w:val="0"/>
      <w:sz w:val="24"/>
    </w:rPr>
  </w:style>
  <w:style w:type="paragraph" w:customStyle="1" w:styleId="86">
    <w:name w:val="xl7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  <w:textAlignment w:val="bottom"/>
    </w:pPr>
    <w:rPr>
      <w:rFonts w:ascii="宋体" w:hAnsi="宋体" w:eastAsia="宋体" w:cs="宋体"/>
      <w:kern w:val="0"/>
      <w:sz w:val="24"/>
    </w:rPr>
  </w:style>
  <w:style w:type="paragraph" w:customStyle="1" w:styleId="87">
    <w:name w:val="xl7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</w:rPr>
  </w:style>
  <w:style w:type="paragraph" w:customStyle="1" w:styleId="88">
    <w:name w:val="xl72"/>
    <w:basedOn w:val="1"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89">
    <w:name w:val="xl73"/>
    <w:basedOn w:val="1"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90">
    <w:name w:val="xl74"/>
    <w:basedOn w:val="1"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91">
    <w:name w:val="xl75"/>
    <w:basedOn w:val="1"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</w:rPr>
  </w:style>
  <w:style w:type="paragraph" w:customStyle="1" w:styleId="92">
    <w:name w:val="xl76"/>
    <w:basedOn w:val="1"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</w:rPr>
  </w:style>
  <w:style w:type="paragraph" w:customStyle="1" w:styleId="93">
    <w:name w:val="xl77"/>
    <w:basedOn w:val="1"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</w:rPr>
  </w:style>
  <w:style w:type="paragraph" w:customStyle="1" w:styleId="94">
    <w:name w:val="xl78"/>
    <w:basedOn w:val="1"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95">
    <w:name w:val="xl79"/>
    <w:basedOn w:val="1"/>
    <w:uiPriority w:val="0"/>
    <w:pPr>
      <w:widowControl/>
      <w:pBdr>
        <w:top w:val="single" w:color="auto" w:sz="4" w:space="0"/>
        <w:lef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96">
    <w:name w:val="xl80"/>
    <w:basedOn w:val="1"/>
    <w:uiPriority w:val="0"/>
    <w:pPr>
      <w:widowControl/>
      <w:pBdr>
        <w:top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97">
    <w:name w:val="xl81"/>
    <w:basedOn w:val="1"/>
    <w:uiPriority w:val="0"/>
    <w:pPr>
      <w:widowControl/>
      <w:pBdr>
        <w:top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98">
    <w:name w:val="xl82"/>
    <w:basedOn w:val="1"/>
    <w:uiPriority w:val="0"/>
    <w:pPr>
      <w:widowControl/>
      <w:pBdr>
        <w:bottom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56"/>
      <w:szCs w:val="56"/>
    </w:rPr>
  </w:style>
  <w:style w:type="paragraph" w:customStyle="1" w:styleId="99">
    <w:name w:val="msonormal"/>
    <w:basedOn w:val="1"/>
    <w:uiPriority w:val="0"/>
    <w:pPr>
      <w:widowControl/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</w:rPr>
  </w:style>
  <w:style w:type="paragraph" w:customStyle="1" w:styleId="100">
    <w:name w:val="长汀正文样式"/>
    <w:basedOn w:val="1"/>
    <w:link w:val="101"/>
    <w:uiPriority w:val="0"/>
    <w:pPr>
      <w:spacing w:line="480" w:lineRule="auto"/>
      <w:ind w:firstLine="482"/>
    </w:pPr>
    <w:rPr>
      <w:rFonts w:ascii="宋体" w:hAnsi="宋体" w:eastAsia="宋体" w:cs="宋体"/>
      <w:kern w:val="0"/>
      <w:sz w:val="24"/>
      <w:szCs w:val="20"/>
    </w:rPr>
  </w:style>
  <w:style w:type="character" w:customStyle="1" w:styleId="101">
    <w:name w:val="长汀正文样式 Char"/>
    <w:link w:val="100"/>
    <w:uiPriority w:val="0"/>
    <w:rPr>
      <w:rFonts w:ascii="宋体" w:hAnsi="宋体" w:cs="宋体"/>
      <w:sz w:val="24"/>
    </w:rPr>
  </w:style>
  <w:style w:type="character" w:customStyle="1" w:styleId="102">
    <w:name w:val="批注文字 字符"/>
    <w:link w:val="14"/>
    <w:uiPriority w:val="99"/>
    <w:rPr>
      <w:rFonts w:ascii="宋体" w:hAnsi="宋体" w:cs="MicrosoftYaHei"/>
      <w:sz w:val="24"/>
      <w:szCs w:val="22"/>
    </w:rPr>
  </w:style>
  <w:style w:type="character" w:customStyle="1" w:styleId="103">
    <w:name w:val="批注主题 字符"/>
    <w:link w:val="33"/>
    <w:uiPriority w:val="99"/>
    <w:rPr>
      <w:rFonts w:ascii="宋体" w:hAnsi="宋体" w:cs="MicrosoftYaHei"/>
      <w:b/>
      <w:bCs/>
      <w:sz w:val="24"/>
      <w:szCs w:val="22"/>
    </w:rPr>
  </w:style>
  <w:style w:type="paragraph" w:customStyle="1" w:styleId="104">
    <w:name w:val="文1"/>
    <w:basedOn w:val="1"/>
    <w:uiPriority w:val="0"/>
    <w:pPr>
      <w:snapToGrid w:val="0"/>
      <w:spacing w:line="300" w:lineRule="auto"/>
      <w:ind w:firstLine="480"/>
      <w:jc w:val="both"/>
    </w:pPr>
    <w:rPr>
      <w:rFonts w:ascii="幼圆" w:eastAsia="幼圆"/>
      <w:sz w:val="24"/>
      <w:szCs w:val="20"/>
    </w:rPr>
  </w:style>
  <w:style w:type="character" w:customStyle="1" w:styleId="105">
    <w:name w:val="正文文本 字符"/>
    <w:link w:val="11"/>
    <w:uiPriority w:val="99"/>
    <w:rPr>
      <w:rFonts w:ascii="宋体" w:hAnsi="宋体" w:cs="MicrosoftYaHei"/>
      <w:sz w:val="24"/>
      <w:szCs w:val="22"/>
    </w:rPr>
  </w:style>
  <w:style w:type="character" w:customStyle="1" w:styleId="106">
    <w:name w:val="正文文本首行缩进 字符"/>
    <w:basedOn w:val="105"/>
    <w:link w:val="34"/>
    <w:uiPriority w:val="99"/>
  </w:style>
  <w:style w:type="paragraph" w:customStyle="1" w:styleId="107">
    <w:name w:val="正文 New New New New"/>
    <w:uiPriority w:val="0"/>
    <w:pPr>
      <w:widowControl w:val="0"/>
      <w:spacing w:line="360" w:lineRule="auto"/>
      <w:ind w:firstLine="200" w:firstLineChars="200"/>
      <w:jc w:val="both"/>
    </w:pPr>
    <w:rPr>
      <w:rFonts w:ascii="仿宋" w:hAnsi="仿宋" w:eastAsia="仿宋"/>
      <w:kern w:val="2"/>
      <w:sz w:val="32"/>
      <w:szCs w:val="24"/>
      <w:lang w:val="en-US" w:eastAsia="zh-CN" w:bidi="ar-SA"/>
    </w:rPr>
  </w:style>
  <w:style w:type="paragraph" w:customStyle="1" w:styleId="108">
    <w:name w:val="表格文字"/>
    <w:basedOn w:val="1"/>
    <w:next w:val="1"/>
    <w:qFormat/>
    <w:uiPriority w:val="0"/>
    <w:pPr>
      <w:spacing w:line="360" w:lineRule="exact"/>
      <w:ind w:firstLine="0" w:firstLineChars="0"/>
      <w:jc w:val="center"/>
      <w:textAlignment w:val="center"/>
    </w:pPr>
    <w:rPr>
      <w:rFonts w:ascii="Calibri" w:hAnsi="Calibri" w:eastAsia="宋体"/>
      <w:sz w:val="21"/>
      <w:szCs w:val="21"/>
    </w:rPr>
  </w:style>
  <w:style w:type="character" w:customStyle="1" w:styleId="109">
    <w:name w:val="标题 3 Char"/>
    <w:uiPriority w:val="0"/>
    <w:rPr>
      <w:b/>
      <w:bCs/>
      <w:kern w:val="2"/>
      <w:sz w:val="32"/>
      <w:szCs w:val="32"/>
    </w:rPr>
  </w:style>
  <w:style w:type="character" w:customStyle="1" w:styleId="110">
    <w:name w:val="font291"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11">
    <w:name w:val="font281"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12">
    <w:name w:val="font301"/>
    <w:uiPriority w:val="0"/>
    <w:rPr>
      <w:rFonts w:hint="eastAsia" w:ascii="宋体" w:hAnsi="宋体" w:eastAsia="宋体"/>
      <w:color w:val="000000"/>
      <w:sz w:val="24"/>
      <w:szCs w:val="24"/>
      <w:u w:val="single"/>
    </w:rPr>
  </w:style>
  <w:style w:type="character" w:customStyle="1" w:styleId="113">
    <w:name w:val="font321"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  <w:style w:type="character" w:customStyle="1" w:styleId="114">
    <w:name w:val="font311"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  <w:style w:type="character" w:customStyle="1" w:styleId="115">
    <w:name w:val="font341"/>
    <w:uiPriority w:val="0"/>
    <w:rPr>
      <w:rFonts w:hint="eastAsia" w:ascii="宋体" w:hAnsi="宋体" w:eastAsia="宋体"/>
      <w:color w:val="000000"/>
      <w:sz w:val="24"/>
      <w:szCs w:val="24"/>
      <w:u w:val="single"/>
    </w:rPr>
  </w:style>
  <w:style w:type="character" w:customStyle="1" w:styleId="116">
    <w:name w:val="font331"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17">
    <w:name w:val="font891"/>
    <w:uiPriority w:val="0"/>
    <w:rPr>
      <w:rFonts w:hint="eastAsia" w:ascii="宋体" w:hAnsi="宋体" w:eastAsia="宋体"/>
      <w:color w:val="636563"/>
      <w:sz w:val="24"/>
      <w:szCs w:val="24"/>
      <w:u w:val="none"/>
    </w:rPr>
  </w:style>
  <w:style w:type="character" w:customStyle="1" w:styleId="118">
    <w:name w:val="font881"/>
    <w:uiPriority w:val="0"/>
    <w:rPr>
      <w:rFonts w:hint="eastAsia" w:ascii="宋体" w:hAnsi="宋体" w:eastAsia="宋体"/>
      <w:color w:val="636563"/>
      <w:sz w:val="24"/>
      <w:szCs w:val="24"/>
      <w:u w:val="none"/>
    </w:rPr>
  </w:style>
  <w:style w:type="character" w:customStyle="1" w:styleId="119">
    <w:name w:val="font51"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  <w:style w:type="character" w:customStyle="1" w:styleId="120">
    <w:name w:val="font261"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21">
    <w:name w:val="font251"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paragraph" w:customStyle="1" w:styleId="122">
    <w:name w:val="xl24"/>
    <w:basedOn w:val="1"/>
    <w:uiPriority w:val="0"/>
    <w:pPr>
      <w:widowControl/>
      <w:spacing w:before="100" w:beforeAutospacing="1" w:after="100" w:afterAutospacing="1"/>
      <w:ind w:firstLine="0" w:firstLineChars="0"/>
      <w:jc w:val="center"/>
    </w:pPr>
    <w:rPr>
      <w:rFonts w:ascii="Arial Unicode MS" w:hAnsi="Arial Unicode MS" w:eastAsia="Arial Unicode MS"/>
      <w:kern w:val="0"/>
      <w:sz w:val="24"/>
    </w:rPr>
  </w:style>
  <w:style w:type="table" w:customStyle="1" w:styleId="123">
    <w:name w:val="网格型1"/>
    <w:basedOn w:val="35"/>
    <w:uiPriority w:val="39"/>
    <w:rPr>
      <w:rFonts w:ascii="Calibri" w:hAnsi="Calibri" w:eastAsia="宋体" w:cs="Times New Roman"/>
      <w:kern w:val="2"/>
      <w:sz w:val="21"/>
      <w:szCs w:val="22"/>
    </w:r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table" w:customStyle="1" w:styleId="124">
    <w:name w:val="网格型2"/>
    <w:basedOn w:val="35"/>
    <w:uiPriority w:val="39"/>
    <w:rPr>
      <w:rFonts w:ascii="Calibri" w:hAnsi="Calibri" w:eastAsia="宋体" w:cs="Times New Roman"/>
      <w:kern w:val="2"/>
      <w:sz w:val="21"/>
      <w:szCs w:val="22"/>
    </w:r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table" w:customStyle="1" w:styleId="125">
    <w:name w:val="网格型3"/>
    <w:basedOn w:val="35"/>
    <w:uiPriority w:val="39"/>
    <w:rPr>
      <w:rFonts w:ascii="Calibri" w:hAnsi="Calibri" w:eastAsia="宋体" w:cs="Times New Roman"/>
      <w:kern w:val="2"/>
      <w:sz w:val="21"/>
      <w:szCs w:val="22"/>
    </w:r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character" w:customStyle="1" w:styleId="126">
    <w:name w:val="fontstyle01"/>
    <w:uiPriority w:val="0"/>
    <w:rPr>
      <w:rFonts w:hint="default" w:ascii="TimesNewRomanPS-BoldMT" w:hAnsi="TimesNewRomanPS-BoldMT"/>
      <w:b/>
      <w:bCs/>
      <w:color w:val="000000"/>
      <w:sz w:val="24"/>
      <w:szCs w:val="24"/>
    </w:rPr>
  </w:style>
  <w:style w:type="character" w:customStyle="1" w:styleId="127">
    <w:name w:val="fontstyle21"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28">
    <w:name w:val="fontstyle31"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129">
    <w:name w:val="标题 1 Char1"/>
    <w:uiPriority w:val="0"/>
    <w:rPr>
      <w:rFonts w:ascii="宋体" w:hAnsi="宋体" w:eastAsia="宋体" w:cs="MicrosoftYaHei"/>
      <w:b/>
      <w:bCs/>
      <w:kern w:val="44"/>
      <w:sz w:val="44"/>
      <w:szCs w:val="44"/>
    </w:rPr>
  </w:style>
  <w:style w:type="character" w:customStyle="1" w:styleId="130">
    <w:name w:val="标题 1 Char2"/>
    <w:uiPriority w:val="0"/>
    <w:rPr>
      <w:rFonts w:ascii="宋体" w:hAnsi="宋体" w:eastAsia="宋体" w:cs="MicrosoftYaHei"/>
      <w:b/>
      <w:bCs/>
      <w:kern w:val="44"/>
      <w:sz w:val="44"/>
      <w:szCs w:val="44"/>
    </w:rPr>
  </w:style>
  <w:style w:type="character" w:customStyle="1" w:styleId="131">
    <w:name w:val="标题 2 Char1"/>
    <w:semiHidden/>
    <w:uiPriority w:val="0"/>
    <w:rPr>
      <w:rFonts w:ascii="Cambria" w:hAnsi="Cambria" w:eastAsia="宋体" w:cs="Times New Roman"/>
      <w:b/>
      <w:bCs/>
      <w:kern w:val="0"/>
      <w:sz w:val="32"/>
      <w:szCs w:val="32"/>
    </w:rPr>
  </w:style>
  <w:style w:type="paragraph" w:customStyle="1" w:styleId="132">
    <w:name w:val="一级标题 1、"/>
    <w:basedOn w:val="1"/>
    <w:link w:val="133"/>
    <w:qFormat/>
    <w:uiPriority w:val="0"/>
    <w:pPr>
      <w:autoSpaceDE w:val="0"/>
      <w:autoSpaceDN w:val="0"/>
      <w:adjustRightInd w:val="0"/>
      <w:spacing w:line="360" w:lineRule="auto"/>
      <w:ind w:firstLine="0" w:firstLineChars="0"/>
      <w:outlineLvl w:val="0"/>
    </w:pPr>
    <w:rPr>
      <w:rFonts w:ascii="黑体" w:hAnsi="宋体" w:eastAsia="黑体" w:cs="MicrosoftYaHei"/>
      <w:kern w:val="0"/>
      <w:sz w:val="36"/>
      <w:szCs w:val="22"/>
    </w:rPr>
  </w:style>
  <w:style w:type="character" w:customStyle="1" w:styleId="133">
    <w:name w:val="一级标题 1、 字符"/>
    <w:link w:val="132"/>
    <w:uiPriority w:val="0"/>
    <w:rPr>
      <w:rFonts w:ascii="黑体" w:hAnsi="宋体" w:eastAsia="黑体" w:cs="MicrosoftYaHei"/>
      <w:sz w:val="36"/>
      <w:szCs w:val="22"/>
    </w:rPr>
  </w:style>
  <w:style w:type="paragraph" w:customStyle="1" w:styleId="134">
    <w:name w:val="二级标题1.1"/>
    <w:basedOn w:val="1"/>
    <w:link w:val="135"/>
    <w:uiPriority w:val="0"/>
    <w:pPr>
      <w:autoSpaceDE w:val="0"/>
      <w:autoSpaceDN w:val="0"/>
      <w:adjustRightInd w:val="0"/>
      <w:spacing w:line="360" w:lineRule="auto"/>
      <w:ind w:firstLine="640"/>
      <w:outlineLvl w:val="1"/>
    </w:pPr>
    <w:rPr>
      <w:rFonts w:ascii="黑体" w:hAnsi="黑体" w:eastAsia="黑体" w:cs="MicrosoftYaHei"/>
      <w:color w:val="000000"/>
      <w:kern w:val="0"/>
      <w:szCs w:val="32"/>
    </w:rPr>
  </w:style>
  <w:style w:type="character" w:customStyle="1" w:styleId="135">
    <w:name w:val="二级标题1.1 字符"/>
    <w:link w:val="134"/>
    <w:uiPriority w:val="0"/>
    <w:rPr>
      <w:rFonts w:ascii="黑体" w:hAnsi="黑体" w:eastAsia="黑体" w:cs="MicrosoftYaHei"/>
      <w:color w:val="000000"/>
      <w:sz w:val="32"/>
      <w:szCs w:val="32"/>
    </w:rPr>
  </w:style>
  <w:style w:type="paragraph" w:customStyle="1" w:styleId="136">
    <w:name w:val="二级标题1.1啊"/>
    <w:basedOn w:val="134"/>
    <w:link w:val="137"/>
    <w:qFormat/>
    <w:uiPriority w:val="0"/>
    <w:pPr>
      <w:ind w:firstLine="320" w:firstLineChars="100"/>
    </w:pPr>
  </w:style>
  <w:style w:type="character" w:customStyle="1" w:styleId="137">
    <w:name w:val="二级标题1.1啊 字符"/>
    <w:link w:val="136"/>
    <w:uiPriority w:val="0"/>
    <w:rPr>
      <w:rFonts w:ascii="黑体" w:hAnsi="黑体" w:eastAsia="黑体" w:cs="MicrosoftYaHei"/>
      <w:color w:val="000000"/>
      <w:sz w:val="32"/>
      <w:szCs w:val="32"/>
    </w:rPr>
  </w:style>
  <w:style w:type="paragraph" w:customStyle="1" w:styleId="138">
    <w:name w:val="三级标题1.1.1"/>
    <w:basedOn w:val="1"/>
    <w:link w:val="139"/>
    <w:qFormat/>
    <w:uiPriority w:val="0"/>
    <w:pPr>
      <w:autoSpaceDE w:val="0"/>
      <w:autoSpaceDN w:val="0"/>
      <w:adjustRightInd w:val="0"/>
      <w:spacing w:line="360" w:lineRule="auto"/>
      <w:ind w:firstLine="480"/>
      <w:outlineLvl w:val="2"/>
    </w:pPr>
    <w:rPr>
      <w:rFonts w:ascii="黑体" w:hAnsi="黑体" w:eastAsia="黑体" w:cs="MicrosoftYaHei"/>
      <w:kern w:val="0"/>
      <w:sz w:val="28"/>
      <w:szCs w:val="22"/>
    </w:rPr>
  </w:style>
  <w:style w:type="character" w:customStyle="1" w:styleId="139">
    <w:name w:val="三级标题1.1.1 字符"/>
    <w:link w:val="138"/>
    <w:uiPriority w:val="0"/>
    <w:rPr>
      <w:rFonts w:ascii="黑体" w:hAnsi="黑体" w:eastAsia="黑体" w:cs="MicrosoftYaHei"/>
      <w:sz w:val="28"/>
      <w:szCs w:val="22"/>
    </w:rPr>
  </w:style>
  <w:style w:type="character" w:customStyle="1" w:styleId="140">
    <w:name w:val="日期 字符"/>
    <w:link w:val="21"/>
    <w:uiPriority w:val="99"/>
    <w:rPr>
      <w:rFonts w:eastAsia="仿宋_GB2312"/>
      <w:kern w:val="2"/>
      <w:sz w:val="32"/>
      <w:szCs w:val="24"/>
    </w:rPr>
  </w:style>
  <w:style w:type="paragraph" w:customStyle="1" w:styleId="141">
    <w:name w:val="font5"/>
    <w:basedOn w:val="1"/>
    <w:uiPriority w:val="0"/>
    <w:pPr>
      <w:widowControl/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18"/>
      <w:szCs w:val="18"/>
    </w:rPr>
  </w:style>
  <w:style w:type="paragraph" w:customStyle="1" w:styleId="142">
    <w:name w:val="font6"/>
    <w:basedOn w:val="1"/>
    <w:uiPriority w:val="0"/>
    <w:pPr>
      <w:widowControl/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18"/>
      <w:szCs w:val="18"/>
    </w:rPr>
  </w:style>
  <w:style w:type="paragraph" w:customStyle="1" w:styleId="143">
    <w:name w:val="xl58"/>
    <w:basedOn w:val="1"/>
    <w:uiPriority w:val="0"/>
    <w:pPr>
      <w:widowControl/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144">
    <w:name w:val="xl59"/>
    <w:basedOn w:val="1"/>
    <w:uiPriority w:val="0"/>
    <w:pPr>
      <w:widowControl/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145">
    <w:name w:val="xl60"/>
    <w:basedOn w:val="1"/>
    <w:uiPriority w:val="0"/>
    <w:pPr>
      <w:widowControl/>
      <w:spacing w:before="100" w:beforeAutospacing="1" w:after="100" w:afterAutospacing="1"/>
      <w:ind w:firstLine="0" w:firstLineChars="0"/>
      <w:jc w:val="center"/>
      <w:textAlignment w:val="bottom"/>
    </w:pPr>
    <w:rPr>
      <w:rFonts w:ascii="宋体" w:hAnsi="宋体" w:eastAsia="宋体" w:cs="宋体"/>
      <w:kern w:val="0"/>
      <w:sz w:val="24"/>
    </w:rPr>
  </w:style>
  <w:style w:type="paragraph" w:customStyle="1" w:styleId="146">
    <w:name w:val="xl61"/>
    <w:basedOn w:val="1"/>
    <w:uiPriority w:val="0"/>
    <w:pPr>
      <w:widowControl/>
      <w:spacing w:before="100" w:beforeAutospacing="1" w:after="100" w:afterAutospacing="1"/>
      <w:ind w:firstLine="0" w:firstLineChars="0"/>
      <w:jc w:val="center"/>
      <w:textAlignment w:val="bottom"/>
    </w:pPr>
    <w:rPr>
      <w:rFonts w:ascii="宋体" w:hAnsi="宋体" w:eastAsia="宋体" w:cs="宋体"/>
      <w:kern w:val="0"/>
      <w:sz w:val="24"/>
    </w:rPr>
  </w:style>
  <w:style w:type="paragraph" w:customStyle="1" w:styleId="147">
    <w:name w:val="xl62"/>
    <w:basedOn w:val="1"/>
    <w:uiPriority w:val="0"/>
    <w:pPr>
      <w:widowControl/>
      <w:spacing w:before="100" w:beforeAutospacing="1" w:after="100" w:afterAutospacing="1"/>
      <w:ind w:firstLine="0" w:firstLineChars="0"/>
      <w:jc w:val="center"/>
      <w:textAlignment w:val="bottom"/>
    </w:pPr>
    <w:rPr>
      <w:rFonts w:ascii="宋体" w:hAnsi="宋体" w:eastAsia="宋体" w:cs="宋体"/>
      <w:kern w:val="0"/>
      <w:sz w:val="24"/>
    </w:rPr>
  </w:style>
  <w:style w:type="paragraph" w:customStyle="1" w:styleId="148">
    <w:name w:val="xl63"/>
    <w:basedOn w:val="1"/>
    <w:uiPriority w:val="0"/>
    <w:pPr>
      <w:widowControl/>
      <w:spacing w:before="100" w:beforeAutospacing="1" w:after="100" w:afterAutospacing="1"/>
      <w:ind w:firstLine="0" w:firstLineChars="0"/>
      <w:jc w:val="center"/>
      <w:textAlignment w:val="bottom"/>
    </w:pPr>
    <w:rPr>
      <w:rFonts w:ascii="宋体" w:hAnsi="宋体" w:eastAsia="宋体" w:cs="宋体"/>
      <w:color w:val="FF0000"/>
      <w:kern w:val="0"/>
      <w:sz w:val="24"/>
    </w:rPr>
  </w:style>
  <w:style w:type="paragraph" w:customStyle="1" w:styleId="149">
    <w:name w:val="xl64"/>
    <w:basedOn w:val="1"/>
    <w:uiPriority w:val="0"/>
    <w:pPr>
      <w:widowControl/>
      <w:spacing w:before="100" w:beforeAutospacing="1" w:after="100" w:afterAutospacing="1"/>
      <w:ind w:firstLine="0" w:firstLineChars="0"/>
      <w:jc w:val="center"/>
      <w:textAlignment w:val="bottom"/>
    </w:pPr>
    <w:rPr>
      <w:rFonts w:ascii="宋体" w:hAnsi="宋体" w:eastAsia="宋体" w:cs="宋体"/>
      <w:color w:val="FF0000"/>
      <w:kern w:val="0"/>
      <w:sz w:val="24"/>
    </w:rPr>
  </w:style>
  <w:style w:type="table" w:customStyle="1" w:styleId="150">
    <w:name w:val="网格型4"/>
    <w:basedOn w:val="35"/>
    <w:uiPriority w:val="39"/>
    <w:pPr>
      <w:widowControl w:val="0"/>
      <w:jc w:val="both"/>
    </w:p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table" w:customStyle="1" w:styleId="151">
    <w:name w:val="网格表 1 浅色11"/>
    <w:basedOn w:val="35"/>
    <w:uiPriority w:val="46"/>
    <w:rPr>
      <w:rFonts w:ascii="Calibri" w:hAnsi="Calibri" w:eastAsia="宋体" w:cs="Times New Roman"/>
      <w:kern w:val="2"/>
      <w:sz w:val="21"/>
      <w:szCs w:val="22"/>
    </w:rPr>
    <w:tblPr>
      <w:tblStyle w:val="35"/>
      <w:tblStyleRowBandSize w:val="1"/>
      <w:tblStyleColBandSize w:val="1"/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</w:tblPr>
    <w:trPr>
      <w:wBefore w:w="0" w:type="dxa"/>
    </w:trPr>
    <w:tblStylePr w:type="firstRow">
      <w:rPr>
        <w:b/>
        <w:bCs/>
      </w:rPr>
      <w:tblPr>
        <w:tblStyle w:val="35"/>
      </w:tblPr>
      <w:tcPr>
        <w:tcBorders>
          <w:left w:val="single" w:color="666666" w:sz="12" w:space="0"/>
        </w:tcBorders>
      </w:tcPr>
    </w:tblStylePr>
    <w:tblStylePr w:type="lastRow">
      <w:rPr>
        <w:b/>
        <w:bCs/>
      </w:rPr>
      <w:tblPr>
        <w:tblStyle w:val="35"/>
      </w:tbl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2">
    <w:name w:val="网格型11"/>
    <w:basedOn w:val="35"/>
    <w:uiPriority w:val="39"/>
    <w:rPr>
      <w:rFonts w:ascii="Calibri" w:hAnsi="Calibri" w:eastAsia="宋体" w:cs="Times New Roman"/>
      <w:kern w:val="2"/>
      <w:sz w:val="21"/>
      <w:szCs w:val="22"/>
    </w:r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table" w:customStyle="1" w:styleId="153">
    <w:name w:val="网格型21"/>
    <w:basedOn w:val="35"/>
    <w:uiPriority w:val="39"/>
    <w:rPr>
      <w:rFonts w:ascii="Calibri" w:hAnsi="Calibri" w:eastAsia="宋体" w:cs="Times New Roman"/>
      <w:kern w:val="2"/>
      <w:sz w:val="21"/>
      <w:szCs w:val="22"/>
    </w:r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table" w:customStyle="1" w:styleId="154">
    <w:name w:val="网格型31"/>
    <w:basedOn w:val="35"/>
    <w:uiPriority w:val="39"/>
    <w:rPr>
      <w:rFonts w:ascii="Calibri" w:hAnsi="Calibri" w:eastAsia="宋体" w:cs="Times New Roman"/>
      <w:kern w:val="2"/>
      <w:sz w:val="21"/>
      <w:szCs w:val="22"/>
    </w:rPr>
    <w:tblPr>
      <w:tblStyle w:val="3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dxa"/>
    </w:trPr>
  </w:style>
  <w:style w:type="paragraph" w:customStyle="1" w:styleId="155">
    <w:name w:val="font7"/>
    <w:basedOn w:val="1"/>
    <w:uiPriority w:val="0"/>
    <w:pPr>
      <w:widowControl/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17</Pages>
  <Words>1630</Words>
  <Characters>9295</Characters>
  <Lines>77</Lines>
  <Paragraphs>21</Paragraphs>
  <TotalTime>2</TotalTime>
  <ScaleCrop>false</ScaleCrop>
  <LinksUpToDate>false</LinksUpToDate>
  <CharactersWithSpaces>10904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2022-01-26T09:19:00Z</dcterms:created>
  <dc:creator>User</dc:creator>
  <cp:lastModifiedBy>Administrator</cp:lastModifiedBy>
  <cp:lastPrinted>2014-08-29T01:14:00Z</cp:lastPrinted>
  <dcterms:modified xsi:type="dcterms:W3CDTF">2024-05-17T08:19:08Z</dcterms:modified>
  <dc:title>融规 [2012] 253号                  签发人：郑卫东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B916D03E6E0D414194F3C3015490A691_13</vt:lpwstr>
  </property>
</Properties>
</file>