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285" w:tblpY="1848"/>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7905"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105" w:leftChars="-50"/>
              <w:jc w:val="distribute"/>
              <w:textAlignment w:val="auto"/>
              <w:rPr>
                <w:rFonts w:ascii="宋体" w:hAnsi="宋体" w:eastAsia="宋体"/>
                <w:b/>
                <w:color w:val="FF0000"/>
                <w:w w:val="95"/>
                <w:sz w:val="84"/>
                <w:szCs w:val="84"/>
              </w:rPr>
            </w:pPr>
            <w:r>
              <w:rPr>
                <w:rFonts w:hint="eastAsia" w:ascii="宋体" w:hAnsi="宋体" w:eastAsia="宋体"/>
                <w:b/>
                <w:color w:val="FF0000"/>
                <w:w w:val="90"/>
                <w:sz w:val="84"/>
                <w:szCs w:val="84"/>
                <w:lang w:val="en-US" w:eastAsia="zh-CN"/>
              </w:rPr>
              <w:t>福清市发展和改革局</w:t>
            </w:r>
          </w:p>
        </w:tc>
        <w:tc>
          <w:tcPr>
            <w:tcW w:w="17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宋体" w:hAnsi="宋体" w:eastAsia="宋体"/>
                <w:b/>
                <w:color w:val="FF0000"/>
                <w:w w:val="90"/>
                <w:sz w:val="84"/>
                <w:szCs w:val="84"/>
              </w:rPr>
            </w:pPr>
            <w:r>
              <w:rPr>
                <w:rFonts w:hint="eastAsia" w:ascii="宋体" w:hAnsi="宋体" w:eastAsia="宋体"/>
                <w:b/>
                <w:color w:val="FF0000"/>
                <w:w w:val="90"/>
                <w:sz w:val="84"/>
                <w:szCs w:val="84"/>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05"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宋体" w:hAnsi="宋体" w:eastAsia="宋体"/>
                <w:b/>
                <w:color w:val="FF0000"/>
                <w:w w:val="95"/>
                <w:sz w:val="84"/>
                <w:szCs w:val="84"/>
                <w:lang w:val="en-US"/>
              </w:rPr>
            </w:pPr>
            <w:r>
              <w:rPr>
                <w:rFonts w:hint="eastAsia" w:ascii="宋体" w:hAnsi="宋体" w:eastAsia="宋体"/>
                <w:b/>
                <w:color w:val="FF0000"/>
                <w:spacing w:val="0"/>
                <w:w w:val="75"/>
                <w:kern w:val="0"/>
                <w:sz w:val="84"/>
                <w:szCs w:val="84"/>
                <w:fitText w:val="7560" w:id="314389174"/>
              </w:rPr>
              <w:t>福清</w:t>
            </w:r>
            <w:r>
              <w:rPr>
                <w:rFonts w:hint="eastAsia" w:ascii="宋体" w:hAnsi="宋体" w:eastAsia="宋体"/>
                <w:b/>
                <w:color w:val="FF0000"/>
                <w:spacing w:val="0"/>
                <w:w w:val="75"/>
                <w:kern w:val="0"/>
                <w:sz w:val="84"/>
                <w:szCs w:val="84"/>
                <w:fitText w:val="7560" w:id="314389174"/>
                <w:lang w:eastAsia="zh-CN"/>
              </w:rPr>
              <w:t>市</w:t>
            </w:r>
            <w:r>
              <w:rPr>
                <w:rFonts w:hint="eastAsia" w:ascii="宋体" w:hAnsi="宋体" w:eastAsia="宋体"/>
                <w:b/>
                <w:color w:val="FF0000"/>
                <w:spacing w:val="0"/>
                <w:w w:val="75"/>
                <w:kern w:val="0"/>
                <w:sz w:val="84"/>
                <w:szCs w:val="84"/>
                <w:fitText w:val="7560" w:id="314389174"/>
                <w:lang w:val="en-US" w:eastAsia="zh-CN"/>
              </w:rPr>
              <w:t>公安局交通警察大</w:t>
            </w:r>
            <w:r>
              <w:rPr>
                <w:rFonts w:hint="eastAsia" w:ascii="宋体" w:hAnsi="宋体" w:eastAsia="宋体"/>
                <w:b/>
                <w:color w:val="FF0000"/>
                <w:spacing w:val="-19"/>
                <w:w w:val="75"/>
                <w:kern w:val="0"/>
                <w:sz w:val="84"/>
                <w:szCs w:val="84"/>
                <w:fitText w:val="7560" w:id="314389174"/>
                <w:lang w:val="en-US" w:eastAsia="zh-CN"/>
              </w:rPr>
              <w:t>队</w:t>
            </w:r>
            <w:r>
              <w:rPr>
                <w:rFonts w:hint="eastAsia" w:ascii="宋体" w:hAnsi="宋体" w:eastAsia="宋体"/>
                <w:b/>
                <w:color w:val="FF0000"/>
                <w:spacing w:val="1"/>
                <w:w w:val="81"/>
                <w:kern w:val="0"/>
                <w:sz w:val="84"/>
                <w:szCs w:val="84"/>
                <w:fitText w:val="7560" w:id="1594360436"/>
                <w:lang w:val="en-US" w:eastAsia="zh-CN"/>
              </w:rPr>
              <w:t>福清市自然资源和规划</w:t>
            </w:r>
            <w:r>
              <w:rPr>
                <w:rFonts w:hint="eastAsia" w:ascii="宋体" w:hAnsi="宋体" w:eastAsia="宋体"/>
                <w:b/>
                <w:color w:val="FF0000"/>
                <w:spacing w:val="-1"/>
                <w:w w:val="81"/>
                <w:kern w:val="0"/>
                <w:sz w:val="84"/>
                <w:szCs w:val="84"/>
                <w:fitText w:val="7560" w:id="1594360436"/>
                <w:lang w:val="en-US" w:eastAsia="zh-CN"/>
              </w:rPr>
              <w:t>局</w:t>
            </w:r>
          </w:p>
        </w:tc>
        <w:tc>
          <w:tcPr>
            <w:tcW w:w="17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b/>
                <w:color w:val="FF0000"/>
                <w:w w:val="9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05"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宋体" w:hAnsi="宋体" w:eastAsia="宋体"/>
                <w:b/>
                <w:color w:val="FF0000"/>
                <w:w w:val="90"/>
                <w:sz w:val="84"/>
                <w:szCs w:val="84"/>
                <w:lang w:val="en-US" w:eastAsia="zh-CN"/>
              </w:rPr>
            </w:pPr>
            <w:r>
              <w:rPr>
                <w:rFonts w:hint="eastAsia" w:ascii="宋体" w:hAnsi="宋体" w:eastAsia="宋体"/>
                <w:b/>
                <w:color w:val="FF0000"/>
                <w:w w:val="90"/>
                <w:sz w:val="84"/>
                <w:szCs w:val="84"/>
                <w:lang w:val="en-US" w:eastAsia="zh-CN"/>
              </w:rPr>
              <w:t>福清市市场监督管理局</w:t>
            </w:r>
          </w:p>
        </w:tc>
        <w:tc>
          <w:tcPr>
            <w:tcW w:w="17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b/>
                <w:color w:val="FF0000"/>
                <w:w w:val="9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05"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default" w:ascii="宋体" w:hAnsi="宋体" w:eastAsia="宋体"/>
                <w:b/>
                <w:color w:val="FF0000"/>
                <w:w w:val="90"/>
                <w:sz w:val="84"/>
                <w:szCs w:val="84"/>
                <w:lang w:val="en-US" w:eastAsia="zh-CN"/>
              </w:rPr>
            </w:pPr>
            <w:r>
              <w:rPr>
                <w:rFonts w:hint="eastAsia" w:ascii="宋体" w:hAnsi="宋体" w:eastAsia="宋体"/>
                <w:b/>
                <w:color w:val="FF0000"/>
                <w:w w:val="90"/>
                <w:sz w:val="84"/>
                <w:szCs w:val="84"/>
                <w:lang w:val="en-US" w:eastAsia="zh-CN"/>
              </w:rPr>
              <w:t>福清市城市管理局</w:t>
            </w:r>
          </w:p>
        </w:tc>
        <w:tc>
          <w:tcPr>
            <w:tcW w:w="17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b/>
                <w:color w:val="FF0000"/>
                <w:w w:val="9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05" w:type="dxa"/>
            <w:noWrap w:val="0"/>
            <w:vAlign w:val="center"/>
          </w:tcPr>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宋体" w:hAnsi="宋体" w:eastAsia="宋体"/>
                <w:b/>
                <w:color w:val="FF0000"/>
                <w:w w:val="90"/>
                <w:sz w:val="84"/>
                <w:szCs w:val="84"/>
                <w:lang w:val="en-US" w:eastAsia="zh-CN"/>
              </w:rPr>
            </w:pPr>
            <w:r>
              <w:rPr>
                <w:rFonts w:hint="eastAsia" w:ascii="宋体" w:hAnsi="宋体" w:eastAsia="宋体"/>
                <w:b/>
                <w:color w:val="FF0000"/>
                <w:spacing w:val="0"/>
                <w:w w:val="75"/>
                <w:kern w:val="0"/>
                <w:sz w:val="84"/>
                <w:szCs w:val="84"/>
                <w:fitText w:val="7560" w:id="1609332629"/>
                <w:lang w:val="en-US" w:eastAsia="zh-CN"/>
              </w:rPr>
              <w:t>国家税务总局福清市税务</w:t>
            </w:r>
            <w:r>
              <w:rPr>
                <w:rFonts w:hint="eastAsia" w:ascii="宋体" w:hAnsi="宋体" w:eastAsia="宋体"/>
                <w:b/>
                <w:color w:val="FF0000"/>
                <w:spacing w:val="-19"/>
                <w:w w:val="75"/>
                <w:kern w:val="0"/>
                <w:sz w:val="84"/>
                <w:szCs w:val="84"/>
                <w:fitText w:val="7560" w:id="1609332629"/>
                <w:lang w:val="en-US" w:eastAsia="zh-CN"/>
              </w:rPr>
              <w:t>局</w:t>
            </w:r>
          </w:p>
        </w:tc>
        <w:tc>
          <w:tcPr>
            <w:tcW w:w="175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ascii="黑体" w:hAnsi="黑体" w:eastAsia="黑体"/>
                <w:b/>
                <w:color w:val="FF0000"/>
                <w:w w:val="90"/>
                <w:sz w:val="44"/>
                <w:szCs w:val="44"/>
              </w:rPr>
            </w:pP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Times New Roman"/>
          <w:b/>
          <w:snapToGrid/>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1000" w:lineRule="exact"/>
        <w:ind w:right="361" w:rightChars="172"/>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融发改价格</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kern w:val="0"/>
          <w:sz w:val="32"/>
          <w:szCs w:val="32"/>
        </w:rPr>
        <w:t>号</w:t>
      </w:r>
    </w:p>
    <w:p>
      <w:pPr>
        <w:rPr>
          <w:rFonts w:hint="eastAsia" w:ascii="宋体" w:hAnsi="宋体" w:eastAsia="宋体"/>
          <w:b/>
          <w:w w:val="90"/>
          <w:sz w:val="44"/>
          <w:szCs w:val="44"/>
        </w:rPr>
      </w:pPr>
      <w:r>
        <w:rPr>
          <w:rFonts w:ascii="仿宋" w:hAnsi="仿宋" w:eastAsia="仿宋"/>
          <w:sz w:val="32"/>
          <w:szCs w:val="32"/>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104775</wp:posOffset>
                </wp:positionV>
                <wp:extent cx="6124575" cy="30480"/>
                <wp:effectExtent l="0" t="9525" r="9525" b="17145"/>
                <wp:wrapNone/>
                <wp:docPr id="2" name="直接箭头连接符 2"/>
                <wp:cNvGraphicFramePr/>
                <a:graphic xmlns:a="http://schemas.openxmlformats.org/drawingml/2006/main">
                  <a:graphicData uri="http://schemas.microsoft.com/office/word/2010/wordprocessingShape">
                    <wps:wsp>
                      <wps:cNvCnPr/>
                      <wps:spPr>
                        <a:xfrm flipV="1">
                          <a:off x="0" y="0"/>
                          <a:ext cx="6124575" cy="30480"/>
                        </a:xfrm>
                        <a:prstGeom prst="straightConnector1">
                          <a:avLst/>
                        </a:prstGeom>
                        <a:ln w="19050"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16.55pt;margin-top:8.25pt;height:2.4pt;width:482.25pt;z-index:251659264;mso-width-relative:page;mso-height-relative:page;" filled="f" stroked="t" coordsize="21600,21600" o:gfxdata="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zyF/p2AAAAAkBAAAPAAAAAAAA&#10;AAEAIAAAACIAAABkcnMvZG93bnJldi54bWxQSwECFAAUAAAACACHTuJAlIFniRICAAAFBAAADgAA&#10;AAAAAAABACAAAAAnAQAAZHJzL2Uyb0RvYy54bWxQSwUGAAAAAAYABgBZAQAAqwUAAAAA&#10;">
                <v:fill on="f" focussize="0,0"/>
                <v:stroke weight="1.5pt" color="#FF0000" joinstyle="round"/>
                <v:imagedata o:title=""/>
                <o:lock v:ext="edit" aspectratio="f"/>
              </v:shape>
            </w:pict>
          </mc:Fallback>
        </mc:AlternateContent>
      </w:r>
      <w:r>
        <w:rPr>
          <w:rFonts w:hint="eastAsia" w:ascii="宋体" w:hAnsi="宋体" w:eastAsia="宋体"/>
          <w:b/>
          <w:w w:val="90"/>
          <w:sz w:val="44"/>
          <w:szCs w:val="44"/>
        </w:rPr>
        <w:t xml:space="preserve">                               </w:t>
      </w:r>
    </w:p>
    <w:p>
      <w:pPr>
        <w:jc w:val="center"/>
        <w:rPr>
          <w:rFonts w:hint="eastAsia" w:asciiTheme="majorEastAsia" w:hAnsiTheme="majorEastAsia" w:eastAsiaTheme="majorEastAsia" w:cstheme="majorEastAsia"/>
          <w:b/>
          <w:bCs w:val="0"/>
          <w:color w:val="000000" w:themeColor="text1"/>
          <w:w w:val="95"/>
          <w:sz w:val="44"/>
          <w:szCs w:val="44"/>
          <w:lang w:val="en-US" w:eastAsia="zh-CN"/>
          <w14:textFill>
            <w14:solidFill>
              <w14:schemeClr w14:val="tx1"/>
            </w14:solidFill>
          </w14:textFill>
        </w:rPr>
      </w:pPr>
      <w:r>
        <w:rPr>
          <w:rFonts w:hint="eastAsia" w:asciiTheme="majorEastAsia" w:hAnsiTheme="majorEastAsia" w:eastAsiaTheme="majorEastAsia" w:cstheme="majorEastAsia"/>
          <w:b/>
          <w:bCs w:val="0"/>
          <w:color w:val="000000" w:themeColor="text1"/>
          <w:w w:val="95"/>
          <w:sz w:val="44"/>
          <w:szCs w:val="44"/>
          <w14:textFill>
            <w14:solidFill>
              <w14:schemeClr w14:val="tx1"/>
            </w14:solidFill>
          </w14:textFill>
        </w:rPr>
        <w:t>福清市发展和改革局</w:t>
      </w:r>
      <w:r>
        <w:rPr>
          <w:rFonts w:hint="eastAsia" w:asciiTheme="majorEastAsia" w:hAnsiTheme="majorEastAsia" w:eastAsiaTheme="majorEastAsia" w:cstheme="majorEastAsia"/>
          <w:b/>
          <w:bCs w:val="0"/>
          <w:color w:val="000000" w:themeColor="text1"/>
          <w:w w:val="95"/>
          <w:sz w:val="44"/>
          <w:szCs w:val="44"/>
          <w:lang w:val="en-US" w:eastAsia="zh-CN"/>
          <w14:textFill>
            <w14:solidFill>
              <w14:schemeClr w14:val="tx1"/>
            </w14:solidFill>
          </w14:textFill>
        </w:rPr>
        <w:t xml:space="preserve"> 福清市公安局交通警察大队</w:t>
      </w:r>
      <w:r>
        <w:rPr>
          <w:rFonts w:hint="eastAsia" w:asciiTheme="majorEastAsia" w:hAnsiTheme="majorEastAsia" w:eastAsiaTheme="majorEastAsia" w:cstheme="majorEastAsia"/>
          <w:b/>
          <w:bCs w:val="0"/>
          <w:color w:val="000000" w:themeColor="text1"/>
          <w:w w:val="100"/>
          <w:sz w:val="44"/>
          <w:szCs w:val="44"/>
          <w:lang w:val="en-US" w:eastAsia="zh-CN"/>
          <w14:textFill>
            <w14:solidFill>
              <w14:schemeClr w14:val="tx1"/>
            </w14:solidFill>
          </w14:textFill>
        </w:rPr>
        <w:t xml:space="preserve"> </w:t>
      </w:r>
      <w:r>
        <w:rPr>
          <w:rFonts w:hint="eastAsia" w:asciiTheme="majorEastAsia" w:hAnsiTheme="majorEastAsia" w:eastAsiaTheme="majorEastAsia" w:cstheme="majorEastAsia"/>
          <w:b/>
          <w:bCs w:val="0"/>
          <w:color w:val="000000" w:themeColor="text1"/>
          <w:w w:val="94"/>
          <w:sz w:val="44"/>
          <w:szCs w:val="44"/>
          <w:lang w:val="en-US" w:eastAsia="zh-CN"/>
          <w14:textFill>
            <w14:solidFill>
              <w14:schemeClr w14:val="tx1"/>
            </w14:solidFill>
          </w14:textFill>
        </w:rPr>
        <w:t>福清市自然资源和规划局 福清市市场监督管理局</w:t>
      </w:r>
      <w:r>
        <w:rPr>
          <w:rFonts w:hint="eastAsia" w:asciiTheme="majorEastAsia" w:hAnsiTheme="majorEastAsia" w:eastAsiaTheme="majorEastAsia" w:cstheme="majorEastAsia"/>
          <w:b/>
          <w:bCs w:val="0"/>
          <w:color w:val="000000" w:themeColor="text1"/>
          <w:w w:val="95"/>
          <w:sz w:val="44"/>
          <w:szCs w:val="44"/>
          <w:lang w:val="en-US" w:eastAsia="zh-CN"/>
          <w14:textFill>
            <w14:solidFill>
              <w14:schemeClr w14:val="tx1"/>
            </w14:solidFill>
          </w14:textFill>
        </w:rPr>
        <w:t xml:space="preserve"> 福清市城市管理局 国家税务总局福清市税务局</w:t>
      </w:r>
    </w:p>
    <w:p>
      <w:pPr>
        <w:jc w:val="center"/>
        <w:rPr>
          <w:rFonts w:hint="eastAsia" w:asciiTheme="majorEastAsia" w:hAnsiTheme="majorEastAsia" w:eastAsiaTheme="majorEastAsia" w:cstheme="majorEastAsia"/>
          <w:b/>
          <w:snapToGrid/>
          <w:color w:val="000000"/>
          <w:w w:val="100"/>
          <w:kern w:val="2"/>
          <w:sz w:val="44"/>
          <w:szCs w:val="44"/>
        </w:rPr>
      </w:pPr>
      <w:r>
        <w:rPr>
          <w:rFonts w:hint="eastAsia" w:asciiTheme="majorEastAsia" w:hAnsiTheme="majorEastAsia" w:eastAsiaTheme="majorEastAsia" w:cstheme="majorEastAsia"/>
          <w:b/>
          <w:bCs w:val="0"/>
          <w:color w:val="000000" w:themeColor="text1"/>
          <w:w w:val="95"/>
          <w:sz w:val="44"/>
          <w:szCs w:val="44"/>
          <w:lang w:val="en-US" w:eastAsia="zh-CN"/>
          <w14:textFill>
            <w14:solidFill>
              <w14:schemeClr w14:val="tx1"/>
            </w14:solidFill>
          </w14:textFill>
        </w:rPr>
        <w:t>关于印发《</w:t>
      </w:r>
      <w:r>
        <w:rPr>
          <w:rFonts w:hint="eastAsia" w:asciiTheme="majorEastAsia" w:hAnsiTheme="majorEastAsia" w:eastAsiaTheme="majorEastAsia" w:cstheme="majorEastAsia"/>
          <w:b/>
          <w:snapToGrid/>
          <w:color w:val="000000"/>
          <w:w w:val="95"/>
          <w:kern w:val="2"/>
          <w:sz w:val="44"/>
          <w:szCs w:val="44"/>
        </w:rPr>
        <w:t>福清市机动车</w:t>
      </w:r>
      <w:r>
        <w:rPr>
          <w:rFonts w:hint="eastAsia" w:asciiTheme="majorEastAsia" w:hAnsiTheme="majorEastAsia" w:eastAsiaTheme="majorEastAsia" w:cstheme="majorEastAsia"/>
          <w:b/>
          <w:snapToGrid/>
          <w:color w:val="000000"/>
          <w:w w:val="100"/>
          <w:kern w:val="2"/>
          <w:sz w:val="44"/>
          <w:szCs w:val="44"/>
        </w:rPr>
        <w:t>停放服务</w:t>
      </w:r>
    </w:p>
    <w:p>
      <w:pPr>
        <w:jc w:val="center"/>
        <w:rPr>
          <w:rFonts w:hint="default" w:asciiTheme="majorEastAsia" w:hAnsiTheme="majorEastAsia" w:eastAsiaTheme="majorEastAsia" w:cstheme="majorEastAsia"/>
          <w:b/>
          <w:bCs w:val="0"/>
          <w:color w:val="000000" w:themeColor="text1"/>
          <w:w w:val="100"/>
          <w:sz w:val="44"/>
          <w:szCs w:val="44"/>
          <w:lang w:val="en-US" w:eastAsia="zh-CN"/>
          <w14:textFill>
            <w14:solidFill>
              <w14:schemeClr w14:val="tx1"/>
            </w14:solidFill>
          </w14:textFill>
        </w:rPr>
      </w:pPr>
      <w:r>
        <w:rPr>
          <w:rFonts w:hint="eastAsia" w:asciiTheme="majorEastAsia" w:hAnsiTheme="majorEastAsia" w:eastAsiaTheme="majorEastAsia" w:cstheme="majorEastAsia"/>
          <w:b/>
          <w:snapToGrid/>
          <w:color w:val="000000"/>
          <w:w w:val="100"/>
          <w:kern w:val="2"/>
          <w:sz w:val="44"/>
          <w:szCs w:val="44"/>
        </w:rPr>
        <w:t>收费管理办法</w:t>
      </w:r>
      <w:r>
        <w:rPr>
          <w:rFonts w:hint="eastAsia" w:asciiTheme="majorEastAsia" w:hAnsiTheme="majorEastAsia" w:eastAsiaTheme="majorEastAsia" w:cstheme="majorEastAsia"/>
          <w:b/>
          <w:bCs w:val="0"/>
          <w:color w:val="000000" w:themeColor="text1"/>
          <w:w w:val="100"/>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napToGrid/>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《福清市机动车停放服务收费管理办法》已于2022年9月22日经市十八届政府第28次常务会议审议通过，现印发给你们，请认真贯彻实施。</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附件：《福清市机动车停放服务收费管理办法》</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b w:val="0"/>
          <w:bCs w:val="0"/>
          <w:sz w:val="32"/>
          <w:szCs w:val="32"/>
          <w:lang w:val="en-US" w:eastAsia="zh-CN"/>
        </w:rPr>
      </w:pPr>
    </w:p>
    <w:p>
      <w:pPr>
        <w:jc w:val="both"/>
        <w:rPr>
          <w:rFonts w:hint="eastAsia" w:ascii="仿宋_GB2312" w:hAnsi="仿宋_GB2312" w:eastAsia="仿宋_GB2312" w:cs="仿宋_GB2312"/>
          <w:b w:val="0"/>
          <w:bCs/>
          <w:color w:val="000000" w:themeColor="text1"/>
          <w:w w:val="10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w w:val="100"/>
          <w:sz w:val="32"/>
          <w:szCs w:val="32"/>
          <w14:textFill>
            <w14:solidFill>
              <w14:schemeClr w14:val="tx1"/>
            </w14:solidFill>
          </w14:textFill>
        </w:rPr>
        <w:t>福清市发展和改革局</w:t>
      </w:r>
      <w:r>
        <w:rPr>
          <w:rFonts w:hint="eastAsia" w:ascii="仿宋_GB2312" w:hAnsi="仿宋_GB2312" w:eastAsia="仿宋_GB2312" w:cs="仿宋_GB2312"/>
          <w:b w:val="0"/>
          <w:bCs/>
          <w:color w:val="000000" w:themeColor="text1"/>
          <w:w w:val="100"/>
          <w:sz w:val="32"/>
          <w:szCs w:val="32"/>
          <w:lang w:val="en-US" w:eastAsia="zh-CN"/>
          <w14:textFill>
            <w14:solidFill>
              <w14:schemeClr w14:val="tx1"/>
            </w14:solidFill>
          </w14:textFill>
        </w:rPr>
        <w:t xml:space="preserve">          福清市公安局交通警察大队</w:t>
      </w: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t xml:space="preserve">福清市自然资源和规划局       福清市市场监督管理局 </w:t>
      </w: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t>福清市城市管理局             国家税务总局福清市税务局</w:t>
      </w:r>
    </w:p>
    <w:p>
      <w:pPr>
        <w:ind w:firstLine="5168" w:firstLineChars="1700"/>
        <w:jc w:val="both"/>
        <w:rPr>
          <w:rFonts w:hint="default" w:ascii="仿宋_GB2312" w:hAnsi="仿宋_GB2312" w:eastAsia="仿宋_GB2312" w:cs="仿宋_GB2312"/>
          <w:b w:val="0"/>
          <w:bCs/>
          <w:color w:val="000000" w:themeColor="text1"/>
          <w:w w:val="95"/>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t>2022年9月28日</w:t>
      </w: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jc w:val="both"/>
        <w:rPr>
          <w:rFonts w:hint="eastAsia" w:ascii="仿宋_GB2312" w:hAnsi="仿宋_GB2312" w:eastAsia="仿宋_GB2312" w:cs="仿宋_GB2312"/>
          <w:b w:val="0"/>
          <w:bCs/>
          <w:color w:val="000000" w:themeColor="text1"/>
          <w:w w:val="95"/>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80" w:lineRule="exact"/>
        <w:ind w:right="283" w:rightChars="135" w:firstLine="280"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3175</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25pt;height:0.05pt;width:453.55pt;z-index:251662336;mso-width-relative:page;mso-height-relative:page;" filled="f" stroked="t" coordsize="21600,21600" o:gfxdata="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cswi0gAAAAIBAAAPAAAAAAAAAAEAIAAAACIAAABkcnMvZG93bnJldi54bWxQSwEC&#10;FAAUAAAACACHTuJAK/ZGoPoBAAD0AwAADgAAAAAAAAABACAAAAAh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福州市发展和改革委员会，福清市人民政府办公室，</w:t>
      </w:r>
      <w:r>
        <w:rPr>
          <w:rFonts w:hint="eastAsia" w:ascii="仿宋_GB2312" w:hAnsi="仿宋_GB2312" w:eastAsia="仿宋_GB2312" w:cs="仿宋_GB2312"/>
          <w:sz w:val="28"/>
          <w:szCs w:val="28"/>
          <w:lang w:eastAsia="zh-CN"/>
        </w:rPr>
        <w:t>归档</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280" w:firstLineChars="10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760085" cy="635"/>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57600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2pt;height:0.05pt;width:453.55pt;z-index:251661312;mso-width-relative:page;mso-height-relative:page;" filled="f" stroked="t" coordsize="21600,21600" o:gfxdata="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H+wDLVAAAABgEAAA8AAAAAAAAAAQAgAAAAIgAAAGRycy9kb3du&#10;cmV2LnhtbFBLAQIUABQAAAAIAIdO4kC/QXQGAgIAAP4DAAAOAAAAAAAAAAEAIAAAACQBAABkcnMv&#10;ZTJvRG9jLnhtbFBLBQYAAAAABgAGAFkBAACY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76008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05pt;width:453.55pt;z-index:251660288;mso-width-relative:page;mso-height-relative:page;" filled="f" stroked="t" coordsize="21600,21600" o:gfxdata="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sed7SAAAAAgEAAA8AAAAAAAAAAQAgAAAAIgAAAGRycy9kb3ducmV2LnhtbFBLAQIU&#10;ABQAAAAIAIdO4kArGhGw+QEAAPQDAAAOAAAAAAAAAAEAIAAAACEBAABkcnMvZTJvRG9jLnhtbFBL&#10;BQYAAAAABgAGAFkBAACM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福清市发展和改革局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28</w:t>
      </w:r>
      <w:bookmarkStart w:id="0" w:name="_GoBack"/>
      <w:bookmarkEnd w:id="0"/>
      <w:r>
        <w:rPr>
          <w:rFonts w:hint="eastAsia" w:ascii="仿宋_GB2312" w:hAnsi="仿宋_GB2312" w:eastAsia="仿宋_GB2312" w:cs="仿宋_GB2312"/>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napToGrid/>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napToGrid/>
          <w:color w:val="000000"/>
          <w:kern w:val="2"/>
          <w:sz w:val="32"/>
          <w:szCs w:val="32"/>
          <w:lang w:val="en-US" w:eastAsia="zh-CN"/>
        </w:rPr>
      </w:pPr>
      <w:r>
        <w:rPr>
          <w:rFonts w:hint="eastAsia" w:ascii="黑体" w:hAnsi="黑体" w:eastAsia="黑体" w:cs="黑体"/>
          <w:b w:val="0"/>
          <w:bCs/>
          <w:snapToGrid/>
          <w:color w:val="000000"/>
          <w:kern w:val="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napToGrid/>
          <w:color w:val="000000"/>
          <w:kern w:val="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Times New Roman"/>
          <w:b/>
          <w:snapToGrid/>
          <w:color w:val="000000"/>
          <w:kern w:val="2"/>
          <w:sz w:val="44"/>
          <w:szCs w:val="44"/>
        </w:rPr>
      </w:pPr>
      <w:r>
        <w:rPr>
          <w:rFonts w:hint="eastAsia" w:ascii="宋体" w:hAnsi="宋体" w:eastAsia="宋体" w:cs="Times New Roman"/>
          <w:b/>
          <w:snapToGrid/>
          <w:color w:val="000000"/>
          <w:kern w:val="2"/>
          <w:sz w:val="44"/>
          <w:szCs w:val="44"/>
        </w:rPr>
        <w:t>福清市机动车停放服务收费管理办法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napToGrid/>
          <w:color w:val="000000"/>
          <w:kern w:val="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第一条</w:t>
      </w:r>
      <w:r>
        <w:rPr>
          <w:rFonts w:hint="eastAsia" w:ascii="仿宋_GB2312" w:hAnsi="仿宋_GB2312" w:eastAsia="仿宋_GB2312" w:cs="仿宋_GB2312"/>
          <w:snapToGrid/>
          <w:color w:val="000000"/>
          <w:kern w:val="2"/>
          <w:sz w:val="32"/>
          <w:szCs w:val="32"/>
        </w:rPr>
        <w:t xml:space="preserve"> 为规范机动车停放服务收费行为，引导机动车合理分流,切实维护停车场经营者和消费者的合法权益，根据《国家发展改革委 住房和城乡建设部 交通运输部关于进一步完善机动车停放服务收费政策的指导意见》</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发改价格〔2015〕2975号</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rPr>
        <w:t>《福建省定价目录》</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闽政〔2022〕14号</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rPr>
        <w:t>《福建省物价局 福建省住建厅 福建省交通运输厅关于进一步完善机动车停放服务收费政策的实施意见》</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闽价服〔2016〕233号</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w:t>
      </w:r>
      <w:r>
        <w:rPr>
          <w:rFonts w:hint="eastAsia" w:ascii="仿宋_GB2312" w:hAnsi="仿宋_GB2312" w:eastAsia="仿宋_GB2312" w:cs="仿宋_GB2312"/>
          <w:snapToGrid/>
          <w:color w:val="000000"/>
          <w:kern w:val="2"/>
          <w:sz w:val="32"/>
          <w:szCs w:val="32"/>
        </w:rPr>
        <w:t>《</w:t>
      </w:r>
      <w:r>
        <w:rPr>
          <w:rFonts w:hint="eastAsia" w:ascii="仿宋_GB2312" w:hAnsi="仿宋_GB2312" w:eastAsia="仿宋_GB2312" w:cs="仿宋_GB2312"/>
          <w:snapToGrid/>
          <w:color w:val="000000"/>
          <w:kern w:val="2"/>
          <w:sz w:val="32"/>
          <w:szCs w:val="32"/>
          <w:lang w:val="en-US" w:eastAsia="zh-CN"/>
        </w:rPr>
        <w:t>福州市发展和改革委 福州市公安局交通管理局 福州市自然资源和规划局 福州市市场监督管理局 福州市城市管理委员会 国家税务总局福州市税务局关于印发&lt;福州市机动车停放服务收费管理办法&gt;的通知</w:t>
      </w:r>
      <w:r>
        <w:rPr>
          <w:rFonts w:hint="eastAsia" w:ascii="仿宋_GB2312" w:hAnsi="仿宋_GB2312" w:eastAsia="仿宋_GB2312" w:cs="仿宋_GB2312"/>
          <w:snapToGrid/>
          <w:color w:val="000000"/>
          <w:kern w:val="2"/>
          <w:sz w:val="32"/>
          <w:szCs w:val="32"/>
        </w:rPr>
        <w:t>》</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榕发改价格〔2022〕64号</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lang w:val="en-US" w:eastAsia="zh-CN"/>
        </w:rPr>
        <w:t>和《福州市停车场建设和管理办法》（市政府2021第80号令）</w:t>
      </w:r>
      <w:r>
        <w:rPr>
          <w:rFonts w:hint="eastAsia" w:ascii="仿宋_GB2312" w:hAnsi="仿宋_GB2312" w:eastAsia="仿宋_GB2312" w:cs="仿宋_GB2312"/>
          <w:snapToGrid/>
          <w:color w:val="000000"/>
          <w:kern w:val="2"/>
          <w:sz w:val="32"/>
          <w:szCs w:val="32"/>
        </w:rPr>
        <w:t>的有关规定，结合我市实际，制定本办法。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第二条</w:t>
      </w:r>
      <w:r>
        <w:rPr>
          <w:rFonts w:hint="eastAsia" w:ascii="仿宋_GB2312" w:hAnsi="仿宋_GB2312" w:eastAsia="仿宋_GB2312" w:cs="仿宋_GB2312"/>
          <w:snapToGrid/>
          <w:color w:val="000000"/>
          <w:kern w:val="2"/>
          <w:sz w:val="32"/>
          <w:szCs w:val="32"/>
        </w:rPr>
        <w:t xml:space="preserve"> 本办法所称机动车停放服务收费，指经营者为机动车辆有序停放提供场地和服务而收取的费用。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第三条</w:t>
      </w:r>
      <w:r>
        <w:rPr>
          <w:rFonts w:hint="eastAsia" w:ascii="仿宋_GB2312" w:hAnsi="仿宋_GB2312" w:eastAsia="仿宋_GB2312" w:cs="仿宋_GB2312"/>
          <w:snapToGrid/>
          <w:color w:val="000000"/>
          <w:kern w:val="2"/>
          <w:sz w:val="32"/>
          <w:szCs w:val="32"/>
        </w:rPr>
        <w:t xml:space="preserve"> 福清市辖区内提供机动车停放服务并收取停放服务费的行为适用本办法。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第四条</w:t>
      </w:r>
      <w:r>
        <w:rPr>
          <w:rFonts w:hint="eastAsia" w:ascii="仿宋_GB2312" w:hAnsi="仿宋_GB2312" w:eastAsia="仿宋_GB2312" w:cs="仿宋_GB2312"/>
          <w:snapToGrid/>
          <w:color w:val="000000"/>
          <w:kern w:val="2"/>
          <w:sz w:val="32"/>
          <w:szCs w:val="32"/>
        </w:rPr>
        <w:t xml:space="preserve"> </w:t>
      </w:r>
      <w:r>
        <w:rPr>
          <w:rFonts w:hint="eastAsia" w:ascii="仿宋_GB2312" w:hAnsi="仿宋_GB2312" w:eastAsia="仿宋_GB2312" w:cs="仿宋_GB2312"/>
          <w:snapToGrid/>
          <w:color w:val="000000"/>
          <w:kern w:val="2"/>
          <w:sz w:val="32"/>
          <w:szCs w:val="32"/>
          <w:lang w:val="en-US" w:eastAsia="zh-CN"/>
        </w:rPr>
        <w:t>发改部门</w:t>
      </w:r>
      <w:r>
        <w:rPr>
          <w:rFonts w:hint="eastAsia" w:ascii="仿宋_GB2312" w:hAnsi="仿宋_GB2312" w:eastAsia="仿宋_GB2312" w:cs="仿宋_GB2312"/>
          <w:snapToGrid/>
          <w:color w:val="000000"/>
          <w:kern w:val="2"/>
          <w:sz w:val="32"/>
          <w:szCs w:val="32"/>
        </w:rPr>
        <w:t>负责制定福清市辖区范围内的机动车停放服务收费政策和</w:t>
      </w:r>
      <w:r>
        <w:rPr>
          <w:rFonts w:hint="eastAsia" w:ascii="仿宋_GB2312" w:hAnsi="仿宋_GB2312" w:eastAsia="仿宋_GB2312" w:cs="仿宋_GB2312"/>
          <w:snapToGrid/>
          <w:color w:val="000000"/>
          <w:kern w:val="2"/>
          <w:sz w:val="32"/>
          <w:szCs w:val="32"/>
          <w:lang w:val="en-US" w:eastAsia="zh-CN"/>
        </w:rPr>
        <w:t>相关收费政策的解释工作</w:t>
      </w:r>
      <w:r>
        <w:rPr>
          <w:rFonts w:hint="eastAsia" w:ascii="仿宋_GB2312" w:hAnsi="仿宋_GB2312" w:eastAsia="仿宋_GB2312" w:cs="仿宋_GB2312"/>
          <w:snapToGrid/>
          <w:color w:val="000000"/>
          <w:kern w:val="2"/>
          <w:sz w:val="32"/>
          <w:szCs w:val="32"/>
        </w:rPr>
        <w:t>。</w:t>
      </w:r>
      <w:r>
        <w:rPr>
          <w:rFonts w:hint="eastAsia" w:ascii="仿宋_GB2312" w:hAnsi="仿宋_GB2312" w:eastAsia="仿宋_GB2312" w:cs="仿宋_GB2312"/>
          <w:snapToGrid/>
          <w:color w:val="000000"/>
          <w:kern w:val="2"/>
          <w:sz w:val="32"/>
          <w:szCs w:val="32"/>
          <w:lang w:val="en-US" w:eastAsia="zh-CN"/>
        </w:rPr>
        <w:t>市场监管部门负责辖区内机动车停放服务收费的日常监督检查。</w:t>
      </w:r>
      <w:r>
        <w:rPr>
          <w:rFonts w:hint="eastAsia" w:ascii="仿宋_GB2312" w:hAnsi="仿宋_GB2312" w:eastAsia="仿宋_GB2312" w:cs="仿宋_GB2312"/>
          <w:snapToGrid/>
          <w:color w:val="000000"/>
          <w:kern w:val="2"/>
          <w:sz w:val="32"/>
          <w:szCs w:val="32"/>
        </w:rPr>
        <w:t>公安、</w:t>
      </w:r>
      <w:r>
        <w:rPr>
          <w:rFonts w:hint="eastAsia" w:ascii="仿宋_GB2312" w:hAnsi="仿宋_GB2312" w:eastAsia="仿宋_GB2312" w:cs="仿宋_GB2312"/>
          <w:snapToGrid/>
          <w:color w:val="000000"/>
          <w:kern w:val="2"/>
          <w:sz w:val="32"/>
          <w:szCs w:val="32"/>
          <w:lang w:val="en-US" w:eastAsia="zh-CN"/>
        </w:rPr>
        <w:t>规划、</w:t>
      </w:r>
      <w:r>
        <w:rPr>
          <w:rFonts w:hint="eastAsia" w:ascii="仿宋_GB2312" w:hAnsi="仿宋_GB2312" w:eastAsia="仿宋_GB2312" w:cs="仿宋_GB2312"/>
          <w:snapToGrid/>
          <w:color w:val="000000"/>
          <w:kern w:val="2"/>
          <w:sz w:val="32"/>
          <w:szCs w:val="32"/>
        </w:rPr>
        <w:t>城管、税务等相关部门在各自职责范围内协助做好机动车停放服务收费的管理工作。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第五条</w:t>
      </w:r>
      <w:r>
        <w:rPr>
          <w:rFonts w:hint="eastAsia" w:ascii="仿宋_GB2312" w:hAnsi="仿宋_GB2312" w:eastAsia="仿宋_GB2312" w:cs="仿宋_GB2312"/>
          <w:snapToGrid/>
          <w:color w:val="000000"/>
          <w:kern w:val="2"/>
          <w:sz w:val="32"/>
          <w:szCs w:val="32"/>
        </w:rPr>
        <w:t xml:space="preserve"> 机动车停放服务收费管理</w:t>
      </w:r>
      <w:r>
        <w:rPr>
          <w:rFonts w:hint="eastAsia" w:ascii="仿宋_GB2312" w:hAnsi="仿宋_GB2312" w:eastAsia="仿宋_GB2312" w:cs="仿宋_GB2312"/>
          <w:snapToGrid/>
          <w:color w:val="000000"/>
          <w:kern w:val="2"/>
          <w:sz w:val="32"/>
          <w:szCs w:val="32"/>
          <w:lang w:val="en-US" w:eastAsia="zh-CN"/>
        </w:rPr>
        <w:t>方式，由福清市价格主管部门按照国家、省和福州市有关政策规定具体执行</w:t>
      </w:r>
      <w:r>
        <w:rPr>
          <w:rFonts w:hint="eastAsia" w:ascii="仿宋_GB2312" w:hAnsi="仿宋_GB2312" w:eastAsia="仿宋_GB2312" w:cs="仿宋_GB2312"/>
          <w:snapToGrid/>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第六条</w:t>
      </w:r>
      <w:r>
        <w:rPr>
          <w:rFonts w:hint="eastAsia" w:ascii="仿宋_GB2312" w:hAnsi="仿宋_GB2312" w:eastAsia="仿宋_GB2312" w:cs="仿宋_GB2312"/>
          <w:snapToGrid/>
          <w:color w:val="000000"/>
          <w:kern w:val="2"/>
          <w:sz w:val="32"/>
          <w:szCs w:val="32"/>
        </w:rPr>
        <w:t xml:space="preserve"> 实行政府定价和政府指导价管理的机动车停放服务收费标准依据《福建省定价目录》的分级管理原则,由福清市价格主管部门具体核定,并向社会公布。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第七条</w:t>
      </w:r>
      <w:r>
        <w:rPr>
          <w:rFonts w:hint="eastAsia" w:ascii="仿宋_GB2312" w:hAnsi="仿宋_GB2312" w:eastAsia="仿宋_GB2312" w:cs="仿宋_GB2312"/>
          <w:snapToGrid/>
          <w:color w:val="000000"/>
          <w:kern w:val="2"/>
          <w:sz w:val="32"/>
          <w:szCs w:val="32"/>
        </w:rPr>
        <w:t xml:space="preserve"> 机动车停放服务收费实行差别化定价的原则。对纳入政府定价和政府指导价范围的停车设施，要综合考虑停车设施地理位置、供求关系及社会承受能力等因素制定和调整收费标准，按照“中心区域高于非中心区域、路内高于路外、白天高于夜间”的原则，不同区域、不同车型、不同时段的停车服务实行差别化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color w:val="000000"/>
          <w:sz w:val="32"/>
          <w:szCs w:val="32"/>
          <w:lang w:val="en-US" w:eastAsia="zh-CN"/>
        </w:rPr>
        <w:t>如有其他特殊情况，报请市政府研究决定。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第八条</w:t>
      </w:r>
      <w:r>
        <w:rPr>
          <w:rFonts w:hint="eastAsia" w:ascii="仿宋_GB2312" w:hAnsi="仿宋_GB2312" w:eastAsia="仿宋_GB2312" w:cs="仿宋_GB2312"/>
          <w:snapToGrid/>
          <w:color w:val="000000"/>
          <w:kern w:val="2"/>
          <w:sz w:val="32"/>
          <w:szCs w:val="32"/>
        </w:rPr>
        <w:t xml:space="preserve"> </w:t>
      </w:r>
      <w:r>
        <w:rPr>
          <w:rFonts w:hint="eastAsia" w:ascii="仿宋_GB2312" w:hAnsi="仿宋_GB2312" w:eastAsia="仿宋_GB2312" w:cs="仿宋_GB2312"/>
          <w:snapToGrid/>
          <w:color w:val="000000"/>
          <w:kern w:val="2"/>
          <w:sz w:val="32"/>
          <w:szCs w:val="32"/>
          <w:lang w:val="en-US" w:eastAsia="zh-CN"/>
        </w:rPr>
        <w:t>实行政府定价和政府指导价管理的停车场，</w:t>
      </w:r>
      <w:r>
        <w:rPr>
          <w:rFonts w:hint="eastAsia" w:ascii="仿宋_GB2312" w:hAnsi="仿宋_GB2312" w:eastAsia="仿宋_GB2312" w:cs="仿宋_GB2312"/>
          <w:snapToGrid/>
          <w:color w:val="000000"/>
          <w:kern w:val="2"/>
          <w:sz w:val="32"/>
          <w:szCs w:val="32"/>
        </w:rPr>
        <w:t>机动车停放服务收费采取计时或计次收费。计费时间以</w:t>
      </w:r>
      <w:r>
        <w:rPr>
          <w:rFonts w:hint="eastAsia" w:ascii="仿宋_GB2312" w:hAnsi="仿宋_GB2312" w:eastAsia="仿宋_GB2312" w:cs="仿宋_GB2312"/>
          <w:snapToGrid/>
          <w:color w:val="000000"/>
          <w:kern w:val="2"/>
          <w:sz w:val="32"/>
          <w:szCs w:val="32"/>
          <w:lang w:val="en-US" w:eastAsia="zh-CN"/>
        </w:rPr>
        <w:t>车辆连续停放</w:t>
      </w:r>
      <w:r>
        <w:rPr>
          <w:rFonts w:hint="eastAsia" w:ascii="仿宋_GB2312" w:hAnsi="仿宋_GB2312" w:eastAsia="仿宋_GB2312" w:cs="仿宋_GB2312"/>
          <w:snapToGrid/>
          <w:color w:val="000000"/>
          <w:kern w:val="2"/>
          <w:sz w:val="32"/>
          <w:szCs w:val="32"/>
        </w:rPr>
        <w:t>24小时为一个周期，超过一个周期后重新计费。采取计时收费的,因收费管理系统故障造成不能准确计费或无法计费的,收费标准按最低档次标准执行。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采取人工计时或计次收费的，必须向车辆停放者出具能够准确记录车辆牌号、车辆停放起始时间的书面记录凭证，车辆驶离停车场时根据凭证计算车辆停放服务费。因无记录凭证不能准确计费的，收费标准按最低档次标准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第九条</w:t>
      </w:r>
      <w:r>
        <w:rPr>
          <w:rFonts w:hint="eastAsia" w:ascii="仿宋_GB2312" w:hAnsi="仿宋_GB2312" w:eastAsia="仿宋_GB2312" w:cs="仿宋_GB2312"/>
          <w:snapToGrid/>
          <w:color w:val="000000"/>
          <w:kern w:val="2"/>
          <w:sz w:val="32"/>
          <w:szCs w:val="32"/>
        </w:rPr>
        <w:t xml:space="preserve"> 除机械式立体停车库外，原则上实行政府定价和政府指导价的停车场所车辆</w:t>
      </w:r>
      <w:r>
        <w:rPr>
          <w:rFonts w:hint="eastAsia" w:ascii="仿宋_GB2312" w:hAnsi="仿宋_GB2312" w:eastAsia="仿宋_GB2312" w:cs="仿宋_GB2312"/>
          <w:snapToGrid/>
          <w:color w:val="000000"/>
          <w:kern w:val="2"/>
          <w:sz w:val="32"/>
          <w:szCs w:val="32"/>
          <w:lang w:val="en-US" w:eastAsia="zh-CN"/>
        </w:rPr>
        <w:t>免费</w:t>
      </w:r>
      <w:r>
        <w:rPr>
          <w:rFonts w:hint="eastAsia" w:ascii="仿宋_GB2312" w:hAnsi="仿宋_GB2312" w:eastAsia="仿宋_GB2312" w:cs="仿宋_GB2312"/>
          <w:snapToGrid/>
          <w:color w:val="000000"/>
          <w:kern w:val="2"/>
          <w:sz w:val="32"/>
          <w:szCs w:val="32"/>
        </w:rPr>
        <w:t>停放</w:t>
      </w:r>
      <w:r>
        <w:rPr>
          <w:rFonts w:hint="eastAsia" w:ascii="仿宋_GB2312" w:hAnsi="仿宋_GB2312" w:eastAsia="仿宋_GB2312" w:cs="仿宋_GB2312"/>
          <w:snapToGrid/>
          <w:color w:val="000000"/>
          <w:kern w:val="2"/>
          <w:sz w:val="32"/>
          <w:szCs w:val="32"/>
          <w:lang w:val="en-US" w:eastAsia="zh-CN"/>
        </w:rPr>
        <w:t>时间</w:t>
      </w:r>
      <w:r>
        <w:rPr>
          <w:rFonts w:hint="eastAsia" w:ascii="仿宋_GB2312" w:hAnsi="仿宋_GB2312" w:eastAsia="仿宋_GB2312" w:cs="仿宋_GB2312"/>
          <w:b w:val="0"/>
          <w:bCs w:val="0"/>
          <w:snapToGrid/>
          <w:kern w:val="2"/>
          <w:sz w:val="32"/>
          <w:szCs w:val="32"/>
          <w:lang w:val="en-US" w:eastAsia="zh-CN"/>
        </w:rPr>
        <w:t>不得少于15分钟(含)，超过免费时间后按实际停放时间计费</w:t>
      </w:r>
      <w:r>
        <w:rPr>
          <w:rFonts w:hint="eastAsia" w:ascii="仿宋_GB2312" w:hAnsi="仿宋_GB2312" w:eastAsia="仿宋_GB2312" w:cs="仿宋_GB2312"/>
          <w:snapToGrid/>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第十条</w:t>
      </w:r>
      <w:r>
        <w:rPr>
          <w:rFonts w:hint="eastAsia" w:ascii="仿宋_GB2312" w:hAnsi="仿宋_GB2312" w:eastAsia="仿宋_GB2312" w:cs="仿宋_GB2312"/>
          <w:snapToGrid/>
          <w:color w:val="000000"/>
          <w:kern w:val="2"/>
          <w:sz w:val="32"/>
          <w:szCs w:val="32"/>
        </w:rPr>
        <w:t xml:space="preserve"> 下列情况应免收停车费：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（一）执行公务的军、警、消防、救护车辆和执行应急抢险救灾任务的车辆。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（二）由持残疾证的残疾人本人驾驶的合法残疾人专用车辆。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snapToGrid/>
          <w:color w:val="000000"/>
          <w:kern w:val="2"/>
          <w:sz w:val="32"/>
          <w:szCs w:val="32"/>
        </w:rPr>
        <w:t>（三）党政机关、群团组织和法律法规授权的具有公共事务管理职能的机构，办公时间对外来办事车辆提供停放服务的，免收机动车停放服务费。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第十一条</w:t>
      </w:r>
      <w:r>
        <w:rPr>
          <w:rFonts w:hint="eastAsia" w:ascii="仿宋_GB2312" w:hAnsi="仿宋_GB2312" w:eastAsia="仿宋_GB2312" w:cs="仿宋_GB2312"/>
          <w:snapToGrid/>
          <w:color w:val="000000"/>
          <w:kern w:val="2"/>
          <w:sz w:val="32"/>
          <w:szCs w:val="32"/>
        </w:rPr>
        <w:t xml:space="preserve"> </w:t>
      </w:r>
      <w:r>
        <w:rPr>
          <w:rFonts w:hint="eastAsia" w:ascii="仿宋_GB2312" w:hAnsi="仿宋_GB2312" w:eastAsia="仿宋_GB2312" w:cs="仿宋_GB2312"/>
          <w:snapToGrid/>
          <w:color w:val="000000"/>
          <w:kern w:val="2"/>
          <w:sz w:val="32"/>
          <w:szCs w:val="32"/>
          <w:lang w:val="en-US" w:eastAsia="zh-CN"/>
        </w:rPr>
        <w:t>鼓励有条件的实行政府指导价停车场和其他社会公共停车场所对长期固定停放车辆实行包月、包季等优惠措施</w:t>
      </w:r>
      <w:r>
        <w:rPr>
          <w:rFonts w:hint="eastAsia" w:ascii="仿宋_GB2312" w:hAnsi="仿宋_GB2312" w:eastAsia="仿宋_GB2312" w:cs="仿宋_GB2312"/>
          <w:snapToGrid/>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第十二条</w:t>
      </w:r>
      <w:r>
        <w:rPr>
          <w:rFonts w:hint="eastAsia" w:ascii="仿宋_GB2312" w:hAnsi="仿宋_GB2312" w:eastAsia="仿宋_GB2312" w:cs="仿宋_GB2312"/>
          <w:snapToGrid/>
          <w:color w:val="000000"/>
          <w:kern w:val="2"/>
          <w:sz w:val="32"/>
          <w:szCs w:val="32"/>
        </w:rPr>
        <w:t xml:space="preserve"> 实行政府指导价的停车场，应将实际执行的具体收费标准报福清市价格主管部门。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第十三条</w:t>
      </w:r>
      <w:r>
        <w:rPr>
          <w:rFonts w:hint="eastAsia" w:ascii="仿宋_GB2312" w:hAnsi="仿宋_GB2312" w:eastAsia="仿宋_GB2312" w:cs="仿宋_GB2312"/>
          <w:snapToGrid/>
          <w:color w:val="000000"/>
          <w:kern w:val="2"/>
          <w:sz w:val="32"/>
          <w:szCs w:val="32"/>
        </w:rPr>
        <w:t xml:space="preserve"> </w:t>
      </w:r>
      <w:r>
        <w:rPr>
          <w:rFonts w:hint="eastAsia" w:ascii="仿宋_GB2312" w:hAnsi="仿宋_GB2312" w:eastAsia="仿宋_GB2312" w:cs="仿宋_GB2312"/>
          <w:snapToGrid/>
          <w:color w:val="000000"/>
          <w:kern w:val="2"/>
          <w:sz w:val="32"/>
          <w:szCs w:val="32"/>
          <w:lang w:val="en-US" w:eastAsia="zh-CN"/>
        </w:rPr>
        <w:t>停车实施经营者应严格执行明码标价规定，在经营场所显著位置设置明码标价牌，</w:t>
      </w:r>
      <w:r>
        <w:rPr>
          <w:rFonts w:hint="eastAsia" w:ascii="仿宋_GB2312" w:hAnsi="仿宋_GB2312" w:eastAsia="仿宋_GB2312" w:cs="仿宋_GB2312"/>
          <w:snapToGrid/>
          <w:color w:val="000000"/>
          <w:kern w:val="2"/>
          <w:sz w:val="32"/>
          <w:szCs w:val="32"/>
        </w:rPr>
        <w:t>标明</w:t>
      </w:r>
      <w:r>
        <w:rPr>
          <w:rFonts w:hint="eastAsia" w:ascii="仿宋_GB2312" w:hAnsi="仿宋_GB2312" w:eastAsia="仿宋_GB2312" w:cs="仿宋_GB2312"/>
          <w:snapToGrid/>
          <w:color w:val="000000"/>
          <w:kern w:val="2"/>
          <w:sz w:val="32"/>
          <w:szCs w:val="32"/>
          <w:lang w:val="en-US" w:eastAsia="zh-CN"/>
        </w:rPr>
        <w:t>定价形式、收费标准、</w:t>
      </w:r>
      <w:r>
        <w:rPr>
          <w:rFonts w:hint="eastAsia" w:ascii="仿宋_GB2312" w:hAnsi="仿宋_GB2312" w:eastAsia="仿宋_GB2312" w:cs="仿宋_GB2312"/>
          <w:snapToGrid/>
          <w:color w:val="000000"/>
          <w:kern w:val="2"/>
          <w:sz w:val="32"/>
          <w:szCs w:val="32"/>
        </w:rPr>
        <w:t>定价主体</w:t>
      </w:r>
      <w:r>
        <w:rPr>
          <w:rFonts w:hint="eastAsia" w:ascii="仿宋_GB2312" w:hAnsi="仿宋_GB2312" w:eastAsia="仿宋_GB2312" w:cs="仿宋_GB2312"/>
          <w:snapToGrid/>
          <w:color w:val="000000"/>
          <w:kern w:val="2"/>
          <w:sz w:val="32"/>
          <w:szCs w:val="32"/>
          <w:lang w:eastAsia="zh-CN"/>
        </w:rPr>
        <w:t>、</w:t>
      </w:r>
      <w:r>
        <w:rPr>
          <w:rFonts w:hint="eastAsia" w:ascii="仿宋_GB2312" w:hAnsi="仿宋_GB2312" w:eastAsia="仿宋_GB2312" w:cs="仿宋_GB2312"/>
          <w:snapToGrid/>
          <w:color w:val="000000"/>
          <w:kern w:val="2"/>
          <w:sz w:val="32"/>
          <w:szCs w:val="32"/>
        </w:rPr>
        <w:t>计费</w:t>
      </w:r>
      <w:r>
        <w:rPr>
          <w:rFonts w:hint="eastAsia" w:ascii="仿宋_GB2312" w:hAnsi="仿宋_GB2312" w:eastAsia="仿宋_GB2312" w:cs="仿宋_GB2312"/>
          <w:snapToGrid/>
          <w:color w:val="000000"/>
          <w:kern w:val="2"/>
          <w:sz w:val="32"/>
          <w:szCs w:val="32"/>
          <w:lang w:val="en-US" w:eastAsia="zh-CN"/>
        </w:rPr>
        <w:t>办法</w:t>
      </w:r>
      <w:r>
        <w:rPr>
          <w:rFonts w:hint="eastAsia" w:ascii="仿宋_GB2312" w:hAnsi="仿宋_GB2312" w:eastAsia="仿宋_GB2312" w:cs="仿宋_GB2312"/>
          <w:snapToGrid/>
          <w:color w:val="000000"/>
          <w:kern w:val="2"/>
          <w:sz w:val="32"/>
          <w:szCs w:val="32"/>
        </w:rPr>
        <w:t>、免费时段、</w:t>
      </w:r>
      <w:r>
        <w:rPr>
          <w:rFonts w:hint="eastAsia" w:ascii="仿宋_GB2312" w:hAnsi="仿宋_GB2312" w:eastAsia="仿宋_GB2312" w:cs="仿宋_GB2312"/>
          <w:snapToGrid/>
          <w:color w:val="000000"/>
          <w:kern w:val="2"/>
          <w:sz w:val="32"/>
          <w:szCs w:val="32"/>
          <w:lang w:val="en-US" w:eastAsia="zh-CN"/>
        </w:rPr>
        <w:t>12315投诉举报电话</w:t>
      </w:r>
      <w:r>
        <w:rPr>
          <w:rFonts w:hint="eastAsia" w:ascii="仿宋_GB2312" w:hAnsi="仿宋_GB2312" w:eastAsia="仿宋_GB2312" w:cs="仿宋_GB2312"/>
          <w:snapToGrid/>
          <w:color w:val="000000"/>
          <w:kern w:val="2"/>
          <w:sz w:val="32"/>
          <w:szCs w:val="32"/>
        </w:rPr>
        <w:t>等,</w:t>
      </w:r>
      <w:r>
        <w:rPr>
          <w:rFonts w:hint="eastAsia" w:ascii="仿宋_GB2312" w:hAnsi="仿宋_GB2312" w:eastAsia="仿宋_GB2312" w:cs="仿宋_GB2312"/>
          <w:snapToGrid/>
          <w:color w:val="000000"/>
          <w:kern w:val="2"/>
          <w:sz w:val="32"/>
          <w:szCs w:val="32"/>
          <w:lang w:val="en-US" w:eastAsia="zh-CN"/>
        </w:rPr>
        <w:t>实行政府定价和政府指导价管理的应同时标明停车服务收费依据</w:t>
      </w:r>
      <w:r>
        <w:rPr>
          <w:rFonts w:hint="eastAsia" w:ascii="仿宋_GB2312" w:hAnsi="仿宋_GB2312" w:eastAsia="仿宋_GB2312" w:cs="仿宋_GB2312"/>
          <w:snapToGrid/>
          <w:color w:val="00000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第十四条</w:t>
      </w:r>
      <w:r>
        <w:rPr>
          <w:rFonts w:hint="eastAsia" w:ascii="仿宋_GB2312" w:hAnsi="仿宋_GB2312" w:eastAsia="仿宋_GB2312" w:cs="仿宋_GB2312"/>
          <w:snapToGrid/>
          <w:color w:val="000000"/>
          <w:kern w:val="2"/>
          <w:sz w:val="32"/>
          <w:szCs w:val="32"/>
        </w:rPr>
        <w:t xml:space="preserve"> 停车场在收取停车费时，应开具税务部门的发票。不提供发票的，可向税务部门举报，由税务部门依法查处。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napToGrid/>
          <w:color w:val="000000"/>
          <w:kern w:val="2"/>
          <w:sz w:val="32"/>
          <w:szCs w:val="32"/>
        </w:rPr>
      </w:pPr>
      <w:r>
        <w:rPr>
          <w:rFonts w:hint="eastAsia" w:ascii="仿宋_GB2312" w:hAnsi="仿宋_GB2312" w:eastAsia="仿宋_GB2312" w:cs="仿宋_GB2312"/>
          <w:b/>
          <w:snapToGrid/>
          <w:color w:val="000000"/>
          <w:kern w:val="2"/>
          <w:sz w:val="32"/>
          <w:szCs w:val="32"/>
        </w:rPr>
        <w:t>第十五条</w:t>
      </w:r>
      <w:r>
        <w:rPr>
          <w:rFonts w:hint="eastAsia" w:ascii="仿宋_GB2312" w:hAnsi="仿宋_GB2312" w:eastAsia="仿宋_GB2312" w:cs="仿宋_GB2312"/>
          <w:snapToGrid/>
          <w:color w:val="000000"/>
          <w:kern w:val="2"/>
          <w:sz w:val="32"/>
          <w:szCs w:val="32"/>
        </w:rPr>
        <w:t xml:space="preserve"> </w:t>
      </w:r>
      <w:r>
        <w:rPr>
          <w:rFonts w:hint="eastAsia" w:ascii="仿宋_GB2312" w:hAnsi="仿宋_GB2312" w:eastAsia="仿宋_GB2312" w:cs="仿宋_GB2312"/>
          <w:snapToGrid/>
          <w:color w:val="000000"/>
          <w:kern w:val="2"/>
          <w:sz w:val="32"/>
          <w:szCs w:val="32"/>
          <w:lang w:val="en-US" w:eastAsia="zh-CN"/>
        </w:rPr>
        <w:t>市场监管部门</w:t>
      </w:r>
      <w:r>
        <w:rPr>
          <w:rFonts w:hint="eastAsia" w:ascii="仿宋_GB2312" w:hAnsi="仿宋_GB2312" w:eastAsia="仿宋_GB2312" w:cs="仿宋_GB2312"/>
          <w:snapToGrid/>
          <w:color w:val="000000"/>
          <w:kern w:val="2"/>
          <w:sz w:val="32"/>
          <w:szCs w:val="32"/>
        </w:rPr>
        <w:t>应当依法加强对停车收费的监督检查，对不执行政府定价和政府指导价、不按规定明码标价以及价格欺诈等价格违法行为，依照</w:t>
      </w:r>
      <w:r>
        <w:rPr>
          <w:rFonts w:hint="eastAsia" w:ascii="仿宋_GB2312" w:hAnsi="仿宋_GB2312" w:eastAsia="仿宋_GB2312" w:cs="仿宋_GB2312"/>
          <w:snapToGrid/>
          <w:color w:val="000000"/>
          <w:kern w:val="2"/>
          <w:sz w:val="32"/>
          <w:szCs w:val="32"/>
          <w:lang w:val="en-US" w:eastAsia="zh-CN"/>
        </w:rPr>
        <w:t>相关价格法律法规</w:t>
      </w:r>
      <w:r>
        <w:rPr>
          <w:rFonts w:hint="eastAsia" w:ascii="仿宋_GB2312" w:hAnsi="仿宋_GB2312" w:eastAsia="仿宋_GB2312" w:cs="仿宋_GB2312"/>
          <w:snapToGrid/>
          <w:color w:val="000000"/>
          <w:kern w:val="2"/>
          <w:sz w:val="32"/>
          <w:szCs w:val="32"/>
        </w:rPr>
        <w:t>进行查处。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val="0"/>
          <w:bCs/>
          <w:snapToGrid/>
          <w:color w:val="000000"/>
          <w:kern w:val="2"/>
          <w:sz w:val="32"/>
          <w:szCs w:val="32"/>
          <w:lang w:val="en-US" w:eastAsia="zh-CN"/>
        </w:rPr>
      </w:pPr>
      <w:r>
        <w:rPr>
          <w:rFonts w:hint="eastAsia" w:ascii="仿宋_GB2312" w:hAnsi="仿宋_GB2312" w:eastAsia="仿宋_GB2312" w:cs="仿宋_GB2312"/>
          <w:b/>
          <w:snapToGrid/>
          <w:color w:val="000000"/>
          <w:kern w:val="2"/>
          <w:sz w:val="32"/>
          <w:szCs w:val="32"/>
        </w:rPr>
        <w:t xml:space="preserve">第十六条 </w:t>
      </w:r>
      <w:r>
        <w:rPr>
          <w:rFonts w:hint="eastAsia" w:ascii="仿宋_GB2312" w:hAnsi="仿宋_GB2312" w:eastAsia="仿宋_GB2312" w:cs="仿宋_GB2312"/>
          <w:b w:val="0"/>
          <w:bCs/>
          <w:snapToGrid/>
          <w:color w:val="000000"/>
          <w:kern w:val="2"/>
          <w:sz w:val="32"/>
          <w:szCs w:val="32"/>
          <w:lang w:val="en-US" w:eastAsia="zh-CN"/>
        </w:rPr>
        <w:t>本办法由福清市发展和改革局负责解释。</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snapToGrid/>
          <w:color w:val="000000"/>
          <w:kern w:val="2"/>
          <w:sz w:val="32"/>
          <w:szCs w:val="32"/>
        </w:rPr>
        <w:t>第十</w:t>
      </w:r>
      <w:r>
        <w:rPr>
          <w:rFonts w:hint="eastAsia" w:ascii="仿宋_GB2312" w:hAnsi="仿宋_GB2312" w:eastAsia="仿宋_GB2312" w:cs="仿宋_GB2312"/>
          <w:b/>
          <w:snapToGrid/>
          <w:color w:val="000000"/>
          <w:kern w:val="2"/>
          <w:sz w:val="32"/>
          <w:szCs w:val="32"/>
          <w:lang w:val="en-US" w:eastAsia="zh-CN"/>
        </w:rPr>
        <w:t>七</w:t>
      </w:r>
      <w:r>
        <w:rPr>
          <w:rFonts w:hint="eastAsia" w:ascii="仿宋_GB2312" w:hAnsi="仿宋_GB2312" w:eastAsia="仿宋_GB2312" w:cs="仿宋_GB2312"/>
          <w:b/>
          <w:snapToGrid/>
          <w:color w:val="000000"/>
          <w:kern w:val="2"/>
          <w:sz w:val="32"/>
          <w:szCs w:val="32"/>
        </w:rPr>
        <w:t>条</w:t>
      </w:r>
      <w:r>
        <w:rPr>
          <w:rFonts w:hint="eastAsia" w:ascii="仿宋_GB2312" w:hAnsi="仿宋_GB2312" w:eastAsia="仿宋_GB2312" w:cs="仿宋_GB2312"/>
          <w:b/>
          <w:snapToGrid/>
          <w:color w:val="000000"/>
          <w:kern w:val="2"/>
          <w:sz w:val="32"/>
          <w:szCs w:val="32"/>
          <w:lang w:val="en-US" w:eastAsia="zh-CN"/>
        </w:rPr>
        <w:t xml:space="preserve"> </w:t>
      </w:r>
      <w:r>
        <w:rPr>
          <w:rFonts w:hint="eastAsia" w:ascii="仿宋_GB2312" w:hAnsi="仿宋_GB2312" w:eastAsia="仿宋_GB2312" w:cs="仿宋_GB2312"/>
          <w:snapToGrid/>
          <w:color w:val="000000"/>
          <w:kern w:val="2"/>
          <w:sz w:val="32"/>
          <w:szCs w:val="32"/>
        </w:rPr>
        <w:t>本办法自20</w:t>
      </w:r>
      <w:r>
        <w:rPr>
          <w:rFonts w:hint="eastAsia" w:ascii="仿宋_GB2312" w:hAnsi="仿宋_GB2312" w:eastAsia="仿宋_GB2312" w:cs="仿宋_GB2312"/>
          <w:snapToGrid/>
          <w:color w:val="000000"/>
          <w:kern w:val="2"/>
          <w:sz w:val="32"/>
          <w:szCs w:val="32"/>
          <w:lang w:val="en-US" w:eastAsia="zh-CN"/>
        </w:rPr>
        <w:t>22</w:t>
      </w:r>
      <w:r>
        <w:rPr>
          <w:rFonts w:hint="eastAsia" w:ascii="仿宋_GB2312" w:hAnsi="仿宋_GB2312" w:eastAsia="仿宋_GB2312" w:cs="仿宋_GB2312"/>
          <w:snapToGrid/>
          <w:color w:val="000000"/>
          <w:kern w:val="2"/>
          <w:sz w:val="32"/>
          <w:szCs w:val="32"/>
        </w:rPr>
        <w:t>年</w:t>
      </w:r>
      <w:r>
        <w:rPr>
          <w:rFonts w:hint="eastAsia" w:ascii="仿宋_GB2312" w:hAnsi="仿宋_GB2312" w:eastAsia="仿宋_GB2312" w:cs="仿宋_GB2312"/>
          <w:snapToGrid/>
          <w:color w:val="000000"/>
          <w:kern w:val="2"/>
          <w:sz w:val="32"/>
          <w:szCs w:val="32"/>
          <w:lang w:val="en-US" w:eastAsia="zh-CN"/>
        </w:rPr>
        <w:t>10</w:t>
      </w:r>
      <w:r>
        <w:rPr>
          <w:rFonts w:hint="eastAsia" w:ascii="仿宋_GB2312" w:hAnsi="仿宋_GB2312" w:eastAsia="仿宋_GB2312" w:cs="仿宋_GB2312"/>
          <w:snapToGrid/>
          <w:color w:val="000000"/>
          <w:kern w:val="2"/>
          <w:sz w:val="32"/>
          <w:szCs w:val="32"/>
        </w:rPr>
        <w:t>月</w:t>
      </w:r>
      <w:r>
        <w:rPr>
          <w:rFonts w:hint="eastAsia" w:ascii="仿宋_GB2312" w:hAnsi="仿宋_GB2312" w:eastAsia="仿宋_GB2312" w:cs="仿宋_GB2312"/>
          <w:snapToGrid/>
          <w:color w:val="000000"/>
          <w:kern w:val="2"/>
          <w:sz w:val="32"/>
          <w:szCs w:val="32"/>
          <w:lang w:val="en-US" w:eastAsia="zh-CN"/>
        </w:rPr>
        <w:t>1</w:t>
      </w:r>
      <w:r>
        <w:rPr>
          <w:rFonts w:hint="eastAsia" w:ascii="仿宋_GB2312" w:hAnsi="仿宋_GB2312" w:eastAsia="仿宋_GB2312" w:cs="仿宋_GB2312"/>
          <w:snapToGrid/>
          <w:color w:val="000000"/>
          <w:kern w:val="2"/>
          <w:sz w:val="32"/>
          <w:szCs w:val="32"/>
        </w:rPr>
        <w:t>日起实施，本市其他停车收费管理的相关规定与本办法相抵触的，以本办法为准。</w:t>
      </w:r>
    </w:p>
    <w:p/>
    <w:sectPr>
      <w:headerReference r:id="rId3" w:type="default"/>
      <w:footerReference r:id="rId4" w:type="default"/>
      <w:pgSz w:w="11906" w:h="16838"/>
      <w:pgMar w:top="1417" w:right="1417" w:bottom="1417" w:left="1417" w:header="851" w:footer="992" w:gutter="0"/>
      <w:pgNumType w:fmt="numberInDash"/>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832271"/>
    <w:rsid w:val="302C4C1D"/>
    <w:rsid w:val="37D02032"/>
    <w:rsid w:val="3CD2770A"/>
    <w:rsid w:val="418D15FE"/>
    <w:rsid w:val="5C5604C4"/>
    <w:rsid w:val="73F36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2022-09-23T08:57:00Z</dcterms:created>
  <dc:creator>LENOVO</dc:creator>
  <cp:lastModifiedBy>LENOVO</cp:lastModifiedBy>
  <cp:lastPrinted>2022-09-23T09:27:00Z</cp:lastPrinted>
  <dcterms:modified xsi:type="dcterms:W3CDTF">2022-09-28T06:58:04Z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B8DBA5AD097F454997EE5F94F03CBAB2</vt:lpwstr>
  </property>
</Properties>
</file>