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color w:val="auto"/>
        </w:rPr>
      </w:pPr>
      <w:r>
        <w:rPr>
          <w:rFonts w:hint="default"/>
          <w:color w:val="auto"/>
        </w:rPr>
        <w:drawing>
          <wp:inline distT="0" distB="0" distL="114300" distR="114300">
            <wp:extent cx="5602605" cy="7705090"/>
            <wp:effectExtent l="0" t="0" r="17145" b="10160"/>
            <wp:docPr id="66" name="图片 66" descr="微信图片_2024090217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图片_20240902175700"/>
                    <pic:cNvPicPr>
                      <a:picLocks noChangeAspect="1"/>
                    </pic:cNvPicPr>
                  </pic:nvPicPr>
                  <pic:blipFill>
                    <a:blip r:embed="rId15"/>
                    <a:stretch>
                      <a:fillRect/>
                    </a:stretch>
                  </pic:blipFill>
                  <pic:spPr>
                    <a:xfrm>
                      <a:off x="0" y="0"/>
                      <a:ext cx="5602605" cy="7705090"/>
                    </a:xfrm>
                    <a:prstGeom prst="rect">
                      <a:avLst/>
                    </a:prstGeom>
                  </pic:spPr>
                </pic:pic>
              </a:graphicData>
            </a:graphic>
          </wp:inline>
        </w:drawing>
      </w:r>
      <w:r>
        <w:rPr>
          <w:rFonts w:hint="default"/>
          <w:color w:val="auto"/>
        </w:rPr>
        <w:br w:type="page"/>
      </w:r>
    </w:p>
    <w:p>
      <w:pPr>
        <w:pStyle w:val="22"/>
        <w:ind w:left="0" w:leftChars="0" w:firstLine="0" w:firstLineChars="0"/>
        <w:rPr>
          <w:rFonts w:hint="eastAsia" w:eastAsiaTheme="minorEastAsia"/>
          <w:color w:val="auto"/>
          <w:lang w:eastAsia="zh-CN"/>
        </w:rPr>
        <w:sectPr>
          <w:headerReference r:id="rId5" w:type="default"/>
          <w:footerReference r:id="rId6" w:type="default"/>
          <w:footerReference r:id="rId7"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bookmarkStart w:id="18" w:name="_GoBack"/>
      <w:bookmarkEnd w:id="18"/>
    </w:p>
    <w:sdt>
      <w:sdtPr>
        <w:rPr>
          <w:rFonts w:ascii="宋体" w:hAnsi="宋体" w:eastAsia="宋体" w:cstheme="minorBidi"/>
          <w:color w:val="auto"/>
          <w:sz w:val="21"/>
          <w:szCs w:val="22"/>
          <w:lang w:val="en-US" w:eastAsia="zh-CN" w:bidi="ar-SA"/>
        </w:rPr>
        <w:id w:val="147453645"/>
        <w15:color w:val="DBDBDB"/>
        <w:docPartObj>
          <w:docPartGallery w:val="Table of Contents"/>
          <w:docPartUnique/>
        </w:docPartObj>
      </w:sdtPr>
      <w:sdtEndPr>
        <w:rPr>
          <w:rFonts w:hint="default" w:ascii="Times New Roman" w:hAnsi="Times New Roman" w:eastAsia="宋体" w:cs="Times New Roman"/>
          <w:b/>
          <w:bCs/>
          <w:snapToGrid w:val="0"/>
          <w:color w:val="auto"/>
          <w:sz w:val="22"/>
          <w:szCs w:val="32"/>
          <w:lang w:val="en-US" w:eastAsia="zh-CN" w:bidi="ar-SA"/>
        </w:rPr>
      </w:sdtEndPr>
      <w:sdtContent>
        <w:p>
          <w:pPr>
            <w:spacing w:before="0" w:beforeLines="0" w:after="0" w:afterLines="0" w:line="240" w:lineRule="auto"/>
            <w:ind w:left="0" w:leftChars="0" w:right="0" w:rightChars="0" w:firstLine="0" w:firstLineChars="0"/>
            <w:jc w:val="center"/>
            <w:rPr>
              <w:color w:val="auto"/>
            </w:rPr>
          </w:pPr>
          <w:r>
            <w:rPr>
              <w:rFonts w:ascii="宋体" w:hAnsi="宋体" w:eastAsia="宋体"/>
              <w:color w:val="auto"/>
              <w:sz w:val="48"/>
              <w:szCs w:val="48"/>
            </w:rPr>
            <w:t>目录</w:t>
          </w:r>
        </w:p>
        <w:p>
          <w:pPr>
            <w:pStyle w:val="189"/>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b/>
              <w:color w:val="auto"/>
              <w:sz w:val="24"/>
              <w:szCs w:val="24"/>
            </w:rPr>
          </w:pPr>
          <w:r>
            <w:rPr>
              <w:rFonts w:hint="default" w:ascii="Times New Roman" w:hAnsi="Times New Roman" w:eastAsia="宋体" w:cs="Times New Roman"/>
              <w:b/>
              <w:bCs/>
              <w:snapToGrid w:val="0"/>
              <w:color w:val="auto"/>
              <w:sz w:val="24"/>
              <w:szCs w:val="24"/>
            </w:rPr>
            <w:fldChar w:fldCharType="begin"/>
          </w:r>
          <w:r>
            <w:rPr>
              <w:rFonts w:hint="default" w:ascii="Times New Roman" w:hAnsi="Times New Roman" w:eastAsia="宋体" w:cs="Times New Roman"/>
              <w:b/>
              <w:bCs/>
              <w:snapToGrid w:val="0"/>
              <w:color w:val="auto"/>
              <w:sz w:val="24"/>
              <w:szCs w:val="24"/>
            </w:rPr>
            <w:instrText xml:space="preserve">TOC \o "1-2" \h \u </w:instrText>
          </w:r>
          <w:r>
            <w:rPr>
              <w:rFonts w:hint="default" w:ascii="Times New Roman" w:hAnsi="Times New Roman" w:eastAsia="宋体" w:cs="Times New Roman"/>
              <w:b/>
              <w:bCs/>
              <w:snapToGrid w:val="0"/>
              <w:color w:val="auto"/>
              <w:sz w:val="24"/>
              <w:szCs w:val="24"/>
            </w:rPr>
            <w:fldChar w:fldCharType="separate"/>
          </w:r>
          <w:r>
            <w:rPr>
              <w:rFonts w:hint="default" w:ascii="Times New Roman" w:hAnsi="Times New Roman" w:eastAsia="宋体" w:cs="Times New Roman"/>
              <w:b/>
              <w:bCs/>
              <w:snapToGrid w:val="0"/>
              <w:color w:val="auto"/>
              <w:sz w:val="24"/>
              <w:szCs w:val="24"/>
            </w:rPr>
            <w:fldChar w:fldCharType="begin"/>
          </w:r>
          <w:r>
            <w:rPr>
              <w:rFonts w:hint="default" w:ascii="Times New Roman" w:hAnsi="Times New Roman" w:eastAsia="宋体" w:cs="Times New Roman"/>
              <w:b/>
              <w:bCs/>
              <w:snapToGrid w:val="0"/>
              <w:color w:val="auto"/>
              <w:sz w:val="24"/>
              <w:szCs w:val="24"/>
            </w:rPr>
            <w:instrText xml:space="preserve"> HYPERLINK \l _Toc27258 </w:instrText>
          </w:r>
          <w:r>
            <w:rPr>
              <w:rFonts w:hint="default" w:ascii="Times New Roman" w:hAnsi="Times New Roman" w:eastAsia="宋体" w:cs="Times New Roman"/>
              <w:b/>
              <w:bCs/>
              <w:snapToGrid w:val="0"/>
              <w:color w:val="auto"/>
              <w:sz w:val="24"/>
              <w:szCs w:val="24"/>
            </w:rPr>
            <w:fldChar w:fldCharType="separate"/>
          </w:r>
          <w:r>
            <w:rPr>
              <w:rFonts w:hint="default" w:ascii="Times New Roman" w:hAnsi="Times New Roman" w:eastAsia="宋体" w:cs="Times New Roman"/>
              <w:b/>
              <w:bCs/>
              <w:snapToGrid w:val="0"/>
              <w:color w:val="auto"/>
              <w:sz w:val="24"/>
              <w:szCs w:val="24"/>
            </w:rPr>
            <w:t>一、建设项目基本情况</w:t>
          </w:r>
          <w:r>
            <w:rPr>
              <w:b/>
              <w:color w:val="auto"/>
              <w:sz w:val="24"/>
              <w:szCs w:val="24"/>
            </w:rPr>
            <w:tab/>
          </w:r>
          <w:r>
            <w:rPr>
              <w:b/>
              <w:color w:val="auto"/>
              <w:sz w:val="24"/>
              <w:szCs w:val="24"/>
            </w:rPr>
            <w:fldChar w:fldCharType="begin"/>
          </w:r>
          <w:r>
            <w:rPr>
              <w:b/>
              <w:color w:val="auto"/>
              <w:sz w:val="24"/>
              <w:szCs w:val="24"/>
            </w:rPr>
            <w:instrText xml:space="preserve"> PAGEREF _Toc27258 \h </w:instrText>
          </w:r>
          <w:r>
            <w:rPr>
              <w:b/>
              <w:color w:val="auto"/>
              <w:sz w:val="24"/>
              <w:szCs w:val="24"/>
            </w:rPr>
            <w:fldChar w:fldCharType="separate"/>
          </w:r>
          <w:r>
            <w:rPr>
              <w:b/>
              <w:color w:val="auto"/>
              <w:sz w:val="24"/>
              <w:szCs w:val="24"/>
            </w:rPr>
            <w:t>1</w:t>
          </w:r>
          <w:r>
            <w:rPr>
              <w:b/>
              <w:color w:val="auto"/>
              <w:sz w:val="24"/>
              <w:szCs w:val="24"/>
            </w:rPr>
            <w:fldChar w:fldCharType="end"/>
          </w:r>
          <w:r>
            <w:rPr>
              <w:rFonts w:hint="default" w:ascii="Times New Roman" w:hAnsi="Times New Roman" w:eastAsia="宋体" w:cs="Times New Roman"/>
              <w:b/>
              <w:bCs/>
              <w:snapToGrid w:val="0"/>
              <w:color w:val="auto"/>
              <w:sz w:val="24"/>
              <w:szCs w:val="24"/>
            </w:rPr>
            <w:fldChar w:fldCharType="end"/>
          </w:r>
        </w:p>
        <w:p>
          <w:pPr>
            <w:pStyle w:val="189"/>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b/>
              <w:color w:val="auto"/>
              <w:sz w:val="24"/>
              <w:szCs w:val="24"/>
            </w:rPr>
          </w:pPr>
          <w:r>
            <w:rPr>
              <w:rFonts w:hint="default" w:ascii="Times New Roman" w:hAnsi="Times New Roman" w:eastAsia="宋体" w:cs="Times New Roman"/>
              <w:b/>
              <w:bCs/>
              <w:snapToGrid w:val="0"/>
              <w:color w:val="auto"/>
              <w:sz w:val="24"/>
              <w:szCs w:val="24"/>
            </w:rPr>
            <w:fldChar w:fldCharType="begin"/>
          </w:r>
          <w:r>
            <w:rPr>
              <w:rFonts w:hint="default" w:ascii="Times New Roman" w:hAnsi="Times New Roman" w:eastAsia="宋体" w:cs="Times New Roman"/>
              <w:b/>
              <w:bCs/>
              <w:snapToGrid w:val="0"/>
              <w:color w:val="auto"/>
              <w:sz w:val="24"/>
              <w:szCs w:val="24"/>
            </w:rPr>
            <w:instrText xml:space="preserve"> HYPERLINK \l _Toc29661 </w:instrText>
          </w:r>
          <w:r>
            <w:rPr>
              <w:rFonts w:hint="default" w:ascii="Times New Roman" w:hAnsi="Times New Roman" w:eastAsia="宋体" w:cs="Times New Roman"/>
              <w:b/>
              <w:bCs/>
              <w:snapToGrid w:val="0"/>
              <w:color w:val="auto"/>
              <w:sz w:val="24"/>
              <w:szCs w:val="24"/>
            </w:rPr>
            <w:fldChar w:fldCharType="separate"/>
          </w:r>
          <w:r>
            <w:rPr>
              <w:rFonts w:hint="default" w:ascii="Times New Roman" w:hAnsi="Times New Roman" w:eastAsia="宋体" w:cs="Times New Roman"/>
              <w:b/>
              <w:bCs/>
              <w:snapToGrid w:val="0"/>
              <w:color w:val="auto"/>
              <w:sz w:val="24"/>
              <w:szCs w:val="24"/>
            </w:rPr>
            <w:t>二、建设项目工程分析</w:t>
          </w:r>
          <w:r>
            <w:rPr>
              <w:b/>
              <w:color w:val="auto"/>
              <w:sz w:val="24"/>
              <w:szCs w:val="24"/>
            </w:rPr>
            <w:tab/>
          </w:r>
          <w:r>
            <w:rPr>
              <w:b/>
              <w:color w:val="auto"/>
              <w:sz w:val="24"/>
              <w:szCs w:val="24"/>
            </w:rPr>
            <w:fldChar w:fldCharType="begin"/>
          </w:r>
          <w:r>
            <w:rPr>
              <w:b/>
              <w:color w:val="auto"/>
              <w:sz w:val="24"/>
              <w:szCs w:val="24"/>
            </w:rPr>
            <w:instrText xml:space="preserve"> PAGEREF _Toc29661 \h </w:instrText>
          </w:r>
          <w:r>
            <w:rPr>
              <w:b/>
              <w:color w:val="auto"/>
              <w:sz w:val="24"/>
              <w:szCs w:val="24"/>
            </w:rPr>
            <w:fldChar w:fldCharType="separate"/>
          </w:r>
          <w:r>
            <w:rPr>
              <w:b/>
              <w:color w:val="auto"/>
              <w:sz w:val="24"/>
              <w:szCs w:val="24"/>
            </w:rPr>
            <w:t>11</w:t>
          </w:r>
          <w:r>
            <w:rPr>
              <w:b/>
              <w:color w:val="auto"/>
              <w:sz w:val="24"/>
              <w:szCs w:val="24"/>
            </w:rPr>
            <w:fldChar w:fldCharType="end"/>
          </w:r>
          <w:r>
            <w:rPr>
              <w:rFonts w:hint="default" w:ascii="Times New Roman" w:hAnsi="Times New Roman" w:eastAsia="宋体" w:cs="Times New Roman"/>
              <w:b/>
              <w:bCs/>
              <w:snapToGrid w:val="0"/>
              <w:color w:val="auto"/>
              <w:sz w:val="24"/>
              <w:szCs w:val="24"/>
            </w:rPr>
            <w:fldChar w:fldCharType="end"/>
          </w:r>
        </w:p>
        <w:p>
          <w:pPr>
            <w:pStyle w:val="189"/>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b/>
              <w:color w:val="auto"/>
              <w:sz w:val="24"/>
              <w:szCs w:val="24"/>
            </w:rPr>
          </w:pPr>
          <w:r>
            <w:rPr>
              <w:rFonts w:hint="default" w:ascii="Times New Roman" w:hAnsi="Times New Roman" w:eastAsia="宋体" w:cs="Times New Roman"/>
              <w:b/>
              <w:bCs/>
              <w:snapToGrid w:val="0"/>
              <w:color w:val="auto"/>
              <w:sz w:val="24"/>
              <w:szCs w:val="24"/>
            </w:rPr>
            <w:fldChar w:fldCharType="begin"/>
          </w:r>
          <w:r>
            <w:rPr>
              <w:rFonts w:hint="default" w:ascii="Times New Roman" w:hAnsi="Times New Roman" w:eastAsia="宋体" w:cs="Times New Roman"/>
              <w:b/>
              <w:bCs/>
              <w:snapToGrid w:val="0"/>
              <w:color w:val="auto"/>
              <w:sz w:val="24"/>
              <w:szCs w:val="24"/>
            </w:rPr>
            <w:instrText xml:space="preserve"> HYPERLINK \l _Toc14125 </w:instrText>
          </w:r>
          <w:r>
            <w:rPr>
              <w:rFonts w:hint="default" w:ascii="Times New Roman" w:hAnsi="Times New Roman" w:eastAsia="宋体" w:cs="Times New Roman"/>
              <w:b/>
              <w:bCs/>
              <w:snapToGrid w:val="0"/>
              <w:color w:val="auto"/>
              <w:sz w:val="24"/>
              <w:szCs w:val="24"/>
            </w:rPr>
            <w:fldChar w:fldCharType="separate"/>
          </w:r>
          <w:r>
            <w:rPr>
              <w:rFonts w:hint="default" w:ascii="Times New Roman" w:hAnsi="Times New Roman" w:eastAsia="宋体" w:cs="Times New Roman"/>
              <w:b/>
              <w:bCs/>
              <w:snapToGrid w:val="0"/>
              <w:color w:val="auto"/>
              <w:sz w:val="24"/>
              <w:szCs w:val="24"/>
            </w:rPr>
            <w:t>三、区域环境质量现状、环境保护目标及评价标准</w:t>
          </w:r>
          <w:r>
            <w:rPr>
              <w:b/>
              <w:color w:val="auto"/>
              <w:sz w:val="24"/>
              <w:szCs w:val="24"/>
            </w:rPr>
            <w:tab/>
          </w:r>
          <w:r>
            <w:rPr>
              <w:b/>
              <w:color w:val="auto"/>
              <w:sz w:val="24"/>
              <w:szCs w:val="24"/>
            </w:rPr>
            <w:fldChar w:fldCharType="begin"/>
          </w:r>
          <w:r>
            <w:rPr>
              <w:b/>
              <w:color w:val="auto"/>
              <w:sz w:val="24"/>
              <w:szCs w:val="24"/>
            </w:rPr>
            <w:instrText xml:space="preserve"> PAGEREF _Toc14125 \h </w:instrText>
          </w:r>
          <w:r>
            <w:rPr>
              <w:b/>
              <w:color w:val="auto"/>
              <w:sz w:val="24"/>
              <w:szCs w:val="24"/>
            </w:rPr>
            <w:fldChar w:fldCharType="separate"/>
          </w:r>
          <w:r>
            <w:rPr>
              <w:b/>
              <w:color w:val="auto"/>
              <w:sz w:val="24"/>
              <w:szCs w:val="24"/>
            </w:rPr>
            <w:t>20</w:t>
          </w:r>
          <w:r>
            <w:rPr>
              <w:b/>
              <w:color w:val="auto"/>
              <w:sz w:val="24"/>
              <w:szCs w:val="24"/>
            </w:rPr>
            <w:fldChar w:fldCharType="end"/>
          </w:r>
          <w:r>
            <w:rPr>
              <w:rFonts w:hint="default" w:ascii="Times New Roman" w:hAnsi="Times New Roman" w:eastAsia="宋体" w:cs="Times New Roman"/>
              <w:b/>
              <w:bCs/>
              <w:snapToGrid w:val="0"/>
              <w:color w:val="auto"/>
              <w:sz w:val="24"/>
              <w:szCs w:val="24"/>
            </w:rPr>
            <w:fldChar w:fldCharType="end"/>
          </w:r>
        </w:p>
        <w:p>
          <w:pPr>
            <w:pStyle w:val="189"/>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b/>
              <w:color w:val="auto"/>
              <w:sz w:val="24"/>
              <w:szCs w:val="24"/>
            </w:rPr>
          </w:pPr>
          <w:r>
            <w:rPr>
              <w:rFonts w:hint="default" w:ascii="Times New Roman" w:hAnsi="Times New Roman" w:eastAsia="宋体" w:cs="Times New Roman"/>
              <w:b/>
              <w:bCs/>
              <w:snapToGrid w:val="0"/>
              <w:color w:val="auto"/>
              <w:sz w:val="24"/>
              <w:szCs w:val="24"/>
            </w:rPr>
            <w:fldChar w:fldCharType="begin"/>
          </w:r>
          <w:r>
            <w:rPr>
              <w:rFonts w:hint="default" w:ascii="Times New Roman" w:hAnsi="Times New Roman" w:eastAsia="宋体" w:cs="Times New Roman"/>
              <w:b/>
              <w:bCs/>
              <w:snapToGrid w:val="0"/>
              <w:color w:val="auto"/>
              <w:sz w:val="24"/>
              <w:szCs w:val="24"/>
            </w:rPr>
            <w:instrText xml:space="preserve"> HYPERLINK \l _Toc643 </w:instrText>
          </w:r>
          <w:r>
            <w:rPr>
              <w:rFonts w:hint="default" w:ascii="Times New Roman" w:hAnsi="Times New Roman" w:eastAsia="宋体" w:cs="Times New Roman"/>
              <w:b/>
              <w:bCs/>
              <w:snapToGrid w:val="0"/>
              <w:color w:val="auto"/>
              <w:sz w:val="24"/>
              <w:szCs w:val="24"/>
            </w:rPr>
            <w:fldChar w:fldCharType="separate"/>
          </w:r>
          <w:r>
            <w:rPr>
              <w:rFonts w:hint="default" w:ascii="Times New Roman" w:hAnsi="Times New Roman" w:eastAsia="宋体" w:cs="Times New Roman"/>
              <w:b/>
              <w:bCs/>
              <w:snapToGrid w:val="0"/>
              <w:color w:val="auto"/>
              <w:sz w:val="24"/>
              <w:szCs w:val="24"/>
            </w:rPr>
            <w:t>四、主要环境影响和保护措施</w:t>
          </w:r>
          <w:r>
            <w:rPr>
              <w:b/>
              <w:color w:val="auto"/>
              <w:sz w:val="24"/>
              <w:szCs w:val="24"/>
            </w:rPr>
            <w:tab/>
          </w:r>
          <w:r>
            <w:rPr>
              <w:b/>
              <w:color w:val="auto"/>
              <w:sz w:val="24"/>
              <w:szCs w:val="24"/>
            </w:rPr>
            <w:fldChar w:fldCharType="begin"/>
          </w:r>
          <w:r>
            <w:rPr>
              <w:b/>
              <w:color w:val="auto"/>
              <w:sz w:val="24"/>
              <w:szCs w:val="24"/>
            </w:rPr>
            <w:instrText xml:space="preserve"> PAGEREF _Toc643 \h </w:instrText>
          </w:r>
          <w:r>
            <w:rPr>
              <w:b/>
              <w:color w:val="auto"/>
              <w:sz w:val="24"/>
              <w:szCs w:val="24"/>
            </w:rPr>
            <w:fldChar w:fldCharType="separate"/>
          </w:r>
          <w:r>
            <w:rPr>
              <w:b/>
              <w:color w:val="auto"/>
              <w:sz w:val="24"/>
              <w:szCs w:val="24"/>
            </w:rPr>
            <w:t>25</w:t>
          </w:r>
          <w:r>
            <w:rPr>
              <w:b/>
              <w:color w:val="auto"/>
              <w:sz w:val="24"/>
              <w:szCs w:val="24"/>
            </w:rPr>
            <w:fldChar w:fldCharType="end"/>
          </w:r>
          <w:r>
            <w:rPr>
              <w:rFonts w:hint="default" w:ascii="Times New Roman" w:hAnsi="Times New Roman" w:eastAsia="宋体" w:cs="Times New Roman"/>
              <w:b/>
              <w:bCs/>
              <w:snapToGrid w:val="0"/>
              <w:color w:val="auto"/>
              <w:sz w:val="24"/>
              <w:szCs w:val="24"/>
            </w:rPr>
            <w:fldChar w:fldCharType="end"/>
          </w:r>
        </w:p>
        <w:p>
          <w:pPr>
            <w:pStyle w:val="189"/>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b/>
              <w:color w:val="auto"/>
              <w:sz w:val="24"/>
              <w:szCs w:val="24"/>
            </w:rPr>
          </w:pPr>
          <w:r>
            <w:rPr>
              <w:rFonts w:hint="default" w:ascii="Times New Roman" w:hAnsi="Times New Roman" w:eastAsia="宋体" w:cs="Times New Roman"/>
              <w:b/>
              <w:bCs/>
              <w:snapToGrid w:val="0"/>
              <w:color w:val="auto"/>
              <w:sz w:val="24"/>
              <w:szCs w:val="24"/>
            </w:rPr>
            <w:fldChar w:fldCharType="begin"/>
          </w:r>
          <w:r>
            <w:rPr>
              <w:rFonts w:hint="default" w:ascii="Times New Roman" w:hAnsi="Times New Roman" w:eastAsia="宋体" w:cs="Times New Roman"/>
              <w:b/>
              <w:bCs/>
              <w:snapToGrid w:val="0"/>
              <w:color w:val="auto"/>
              <w:sz w:val="24"/>
              <w:szCs w:val="24"/>
            </w:rPr>
            <w:instrText xml:space="preserve"> HYPERLINK \l _Toc1441 </w:instrText>
          </w:r>
          <w:r>
            <w:rPr>
              <w:rFonts w:hint="default" w:ascii="Times New Roman" w:hAnsi="Times New Roman" w:eastAsia="宋体" w:cs="Times New Roman"/>
              <w:b/>
              <w:bCs/>
              <w:snapToGrid w:val="0"/>
              <w:color w:val="auto"/>
              <w:sz w:val="24"/>
              <w:szCs w:val="24"/>
            </w:rPr>
            <w:fldChar w:fldCharType="separate"/>
          </w:r>
          <w:r>
            <w:rPr>
              <w:rFonts w:hint="default" w:ascii="Times New Roman" w:hAnsi="Times New Roman" w:eastAsia="宋体" w:cs="Times New Roman"/>
              <w:b/>
              <w:bCs/>
              <w:snapToGrid w:val="0"/>
              <w:color w:val="auto"/>
              <w:sz w:val="24"/>
              <w:szCs w:val="24"/>
            </w:rPr>
            <w:t>五、环境保护措施监督检查清单</w:t>
          </w:r>
          <w:r>
            <w:rPr>
              <w:b/>
              <w:color w:val="auto"/>
              <w:sz w:val="24"/>
              <w:szCs w:val="24"/>
            </w:rPr>
            <w:tab/>
          </w:r>
          <w:r>
            <w:rPr>
              <w:b/>
              <w:color w:val="auto"/>
              <w:sz w:val="24"/>
              <w:szCs w:val="24"/>
            </w:rPr>
            <w:fldChar w:fldCharType="begin"/>
          </w:r>
          <w:r>
            <w:rPr>
              <w:b/>
              <w:color w:val="auto"/>
              <w:sz w:val="24"/>
              <w:szCs w:val="24"/>
            </w:rPr>
            <w:instrText xml:space="preserve"> PAGEREF _Toc1441 \h </w:instrText>
          </w:r>
          <w:r>
            <w:rPr>
              <w:b/>
              <w:color w:val="auto"/>
              <w:sz w:val="24"/>
              <w:szCs w:val="24"/>
            </w:rPr>
            <w:fldChar w:fldCharType="separate"/>
          </w:r>
          <w:r>
            <w:rPr>
              <w:b/>
              <w:color w:val="auto"/>
              <w:sz w:val="24"/>
              <w:szCs w:val="24"/>
            </w:rPr>
            <w:t>37</w:t>
          </w:r>
          <w:r>
            <w:rPr>
              <w:b/>
              <w:color w:val="auto"/>
              <w:sz w:val="24"/>
              <w:szCs w:val="24"/>
            </w:rPr>
            <w:fldChar w:fldCharType="end"/>
          </w:r>
          <w:r>
            <w:rPr>
              <w:rFonts w:hint="default" w:ascii="Times New Roman" w:hAnsi="Times New Roman" w:eastAsia="宋体" w:cs="Times New Roman"/>
              <w:b/>
              <w:bCs/>
              <w:snapToGrid w:val="0"/>
              <w:color w:val="auto"/>
              <w:sz w:val="24"/>
              <w:szCs w:val="24"/>
            </w:rPr>
            <w:fldChar w:fldCharType="end"/>
          </w:r>
        </w:p>
        <w:p>
          <w:pPr>
            <w:pStyle w:val="189"/>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rFonts w:hint="eastAsia" w:eastAsia="宋体"/>
              <w:b/>
              <w:color w:val="auto"/>
              <w:sz w:val="24"/>
              <w:szCs w:val="24"/>
              <w:lang w:val="en-US" w:eastAsia="zh-CN"/>
            </w:rPr>
          </w:pPr>
          <w:r>
            <w:rPr>
              <w:rFonts w:hint="default" w:ascii="Times New Roman" w:hAnsi="Times New Roman" w:eastAsia="宋体" w:cs="Times New Roman"/>
              <w:b/>
              <w:bCs/>
              <w:snapToGrid w:val="0"/>
              <w:color w:val="auto"/>
              <w:sz w:val="24"/>
              <w:szCs w:val="24"/>
            </w:rPr>
            <w:fldChar w:fldCharType="begin"/>
          </w:r>
          <w:r>
            <w:rPr>
              <w:rFonts w:hint="default" w:ascii="Times New Roman" w:hAnsi="Times New Roman" w:eastAsia="宋体" w:cs="Times New Roman"/>
              <w:b/>
              <w:bCs/>
              <w:snapToGrid w:val="0"/>
              <w:color w:val="auto"/>
              <w:sz w:val="24"/>
              <w:szCs w:val="24"/>
            </w:rPr>
            <w:instrText xml:space="preserve"> HYPERLINK \l _Toc7696 </w:instrText>
          </w:r>
          <w:r>
            <w:rPr>
              <w:rFonts w:hint="default" w:ascii="Times New Roman" w:hAnsi="Times New Roman" w:eastAsia="宋体" w:cs="Times New Roman"/>
              <w:b/>
              <w:bCs/>
              <w:snapToGrid w:val="0"/>
              <w:color w:val="auto"/>
              <w:sz w:val="24"/>
              <w:szCs w:val="24"/>
            </w:rPr>
            <w:fldChar w:fldCharType="separate"/>
          </w:r>
          <w:r>
            <w:rPr>
              <w:rFonts w:hint="default" w:ascii="Times New Roman" w:hAnsi="Times New Roman" w:eastAsia="宋体" w:cs="Times New Roman"/>
              <w:b/>
              <w:color w:val="auto"/>
              <w:sz w:val="24"/>
              <w:szCs w:val="24"/>
            </w:rPr>
            <w:t>六、结论</w:t>
          </w:r>
          <w:r>
            <w:rPr>
              <w:b/>
              <w:color w:val="auto"/>
              <w:sz w:val="24"/>
              <w:szCs w:val="24"/>
            </w:rPr>
            <w:tab/>
          </w:r>
          <w:r>
            <w:rPr>
              <w:rFonts w:hint="eastAsia"/>
              <w:b/>
              <w:color w:val="auto"/>
              <w:sz w:val="24"/>
              <w:szCs w:val="24"/>
              <w:lang w:val="en-US" w:eastAsia="zh-CN"/>
            </w:rPr>
            <w:t>3</w:t>
          </w:r>
          <w:r>
            <w:rPr>
              <w:rFonts w:hint="default" w:ascii="Times New Roman" w:hAnsi="Times New Roman" w:eastAsia="宋体" w:cs="Times New Roman"/>
              <w:b/>
              <w:bCs/>
              <w:snapToGrid w:val="0"/>
              <w:color w:val="auto"/>
              <w:sz w:val="24"/>
              <w:szCs w:val="24"/>
            </w:rPr>
            <w:fldChar w:fldCharType="end"/>
          </w:r>
          <w:r>
            <w:rPr>
              <w:rFonts w:hint="eastAsia" w:cs="Times New Roman"/>
              <w:b/>
              <w:bCs/>
              <w:snapToGrid w:val="0"/>
              <w:color w:val="auto"/>
              <w:sz w:val="24"/>
              <w:szCs w:val="24"/>
              <w:lang w:val="en-US" w:eastAsia="zh-CN"/>
            </w:rPr>
            <w:t>7</w:t>
          </w:r>
        </w:p>
        <w:p>
          <w:pPr>
            <w:pStyle w:val="189"/>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b/>
              <w:color w:val="auto"/>
              <w:sz w:val="24"/>
              <w:szCs w:val="24"/>
            </w:rPr>
          </w:pPr>
          <w:r>
            <w:rPr>
              <w:rFonts w:hint="default" w:ascii="Times New Roman" w:hAnsi="Times New Roman" w:eastAsia="宋体" w:cs="Times New Roman"/>
              <w:b/>
              <w:bCs/>
              <w:snapToGrid w:val="0"/>
              <w:color w:val="auto"/>
              <w:sz w:val="24"/>
              <w:szCs w:val="24"/>
            </w:rPr>
            <w:fldChar w:fldCharType="begin"/>
          </w:r>
          <w:r>
            <w:rPr>
              <w:rFonts w:hint="default" w:ascii="Times New Roman" w:hAnsi="Times New Roman" w:eastAsia="宋体" w:cs="Times New Roman"/>
              <w:b/>
              <w:bCs/>
              <w:snapToGrid w:val="0"/>
              <w:color w:val="auto"/>
              <w:sz w:val="24"/>
              <w:szCs w:val="24"/>
            </w:rPr>
            <w:instrText xml:space="preserve"> HYPERLINK \l _Toc15322 </w:instrText>
          </w:r>
          <w:r>
            <w:rPr>
              <w:rFonts w:hint="default" w:ascii="Times New Roman" w:hAnsi="Times New Roman" w:eastAsia="宋体" w:cs="Times New Roman"/>
              <w:b/>
              <w:bCs/>
              <w:snapToGrid w:val="0"/>
              <w:color w:val="auto"/>
              <w:sz w:val="24"/>
              <w:szCs w:val="24"/>
            </w:rPr>
            <w:fldChar w:fldCharType="separate"/>
          </w:r>
          <w:r>
            <w:rPr>
              <w:rFonts w:hint="default" w:ascii="Times New Roman" w:hAnsi="Times New Roman" w:eastAsia="宋体" w:cs="Times New Roman"/>
              <w:b/>
              <w:bCs/>
              <w:color w:val="auto"/>
              <w:sz w:val="24"/>
              <w:szCs w:val="24"/>
            </w:rPr>
            <w:t>附表</w:t>
          </w:r>
          <w:r>
            <w:rPr>
              <w:b/>
              <w:color w:val="auto"/>
              <w:sz w:val="24"/>
              <w:szCs w:val="24"/>
            </w:rPr>
            <w:tab/>
          </w:r>
          <w:r>
            <w:rPr>
              <w:b/>
              <w:color w:val="auto"/>
              <w:sz w:val="24"/>
              <w:szCs w:val="24"/>
            </w:rPr>
            <w:fldChar w:fldCharType="begin"/>
          </w:r>
          <w:r>
            <w:rPr>
              <w:b/>
              <w:color w:val="auto"/>
              <w:sz w:val="24"/>
              <w:szCs w:val="24"/>
            </w:rPr>
            <w:instrText xml:space="preserve"> PAGEREF _Toc15322 \h </w:instrText>
          </w:r>
          <w:r>
            <w:rPr>
              <w:b/>
              <w:color w:val="auto"/>
              <w:sz w:val="24"/>
              <w:szCs w:val="24"/>
            </w:rPr>
            <w:fldChar w:fldCharType="separate"/>
          </w:r>
          <w:r>
            <w:rPr>
              <w:b/>
              <w:color w:val="auto"/>
              <w:sz w:val="24"/>
              <w:szCs w:val="24"/>
            </w:rPr>
            <w:t>40</w:t>
          </w:r>
          <w:r>
            <w:rPr>
              <w:b/>
              <w:color w:val="auto"/>
              <w:sz w:val="24"/>
              <w:szCs w:val="24"/>
            </w:rPr>
            <w:fldChar w:fldCharType="end"/>
          </w:r>
          <w:r>
            <w:rPr>
              <w:rFonts w:hint="default" w:ascii="Times New Roman" w:hAnsi="Times New Roman" w:eastAsia="宋体" w:cs="Times New Roman"/>
              <w:b/>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_Toc2025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建设项目污染物排放量汇总表</w:t>
          </w:r>
          <w:r>
            <w:rPr>
              <w:color w:val="auto"/>
              <w:sz w:val="24"/>
              <w:szCs w:val="24"/>
            </w:rPr>
            <w:tab/>
          </w:r>
          <w:r>
            <w:rPr>
              <w:color w:val="auto"/>
              <w:sz w:val="24"/>
              <w:szCs w:val="24"/>
            </w:rPr>
            <w:fldChar w:fldCharType="begin"/>
          </w:r>
          <w:r>
            <w:rPr>
              <w:color w:val="auto"/>
              <w:sz w:val="24"/>
              <w:szCs w:val="24"/>
            </w:rPr>
            <w:instrText xml:space="preserve"> PAGEREF _Toc2025 \h </w:instrText>
          </w:r>
          <w:r>
            <w:rPr>
              <w:color w:val="auto"/>
              <w:sz w:val="24"/>
              <w:szCs w:val="24"/>
            </w:rPr>
            <w:fldChar w:fldCharType="separate"/>
          </w:r>
          <w:r>
            <w:rPr>
              <w:color w:val="auto"/>
              <w:sz w:val="24"/>
              <w:szCs w:val="24"/>
            </w:rPr>
            <w:t>40</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89"/>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b/>
              <w:color w:val="auto"/>
              <w:sz w:val="24"/>
              <w:szCs w:val="24"/>
            </w:rPr>
          </w:pPr>
          <w:r>
            <w:rPr>
              <w:rFonts w:hint="default" w:ascii="Times New Roman" w:hAnsi="Times New Roman" w:eastAsia="宋体" w:cs="Times New Roman"/>
              <w:b/>
              <w:bCs/>
              <w:snapToGrid w:val="0"/>
              <w:color w:val="auto"/>
              <w:sz w:val="24"/>
              <w:szCs w:val="24"/>
            </w:rPr>
            <w:fldChar w:fldCharType="begin"/>
          </w:r>
          <w:r>
            <w:rPr>
              <w:rFonts w:hint="default" w:ascii="Times New Roman" w:hAnsi="Times New Roman" w:eastAsia="宋体" w:cs="Times New Roman"/>
              <w:b/>
              <w:bCs/>
              <w:snapToGrid w:val="0"/>
              <w:color w:val="auto"/>
              <w:sz w:val="24"/>
              <w:szCs w:val="24"/>
            </w:rPr>
            <w:instrText xml:space="preserve"> HYPERLINK \l _Toc25451 </w:instrText>
          </w:r>
          <w:r>
            <w:rPr>
              <w:rFonts w:hint="default" w:ascii="Times New Roman" w:hAnsi="Times New Roman" w:eastAsia="宋体" w:cs="Times New Roman"/>
              <w:b/>
              <w:bCs/>
              <w:snapToGrid w:val="0"/>
              <w:color w:val="auto"/>
              <w:sz w:val="24"/>
              <w:szCs w:val="24"/>
            </w:rPr>
            <w:fldChar w:fldCharType="separate"/>
          </w:r>
          <w:r>
            <w:rPr>
              <w:rFonts w:hint="default" w:ascii="Times New Roman" w:hAnsi="Times New Roman" w:eastAsia="宋体" w:cs="Times New Roman"/>
              <w:b/>
              <w:bCs/>
              <w:color w:val="auto"/>
              <w:sz w:val="24"/>
              <w:szCs w:val="24"/>
            </w:rPr>
            <w:t>附图</w:t>
          </w:r>
          <w:r>
            <w:rPr>
              <w:b/>
              <w:color w:val="auto"/>
              <w:sz w:val="24"/>
              <w:szCs w:val="24"/>
            </w:rPr>
            <w:tab/>
          </w:r>
          <w:r>
            <w:rPr>
              <w:b/>
              <w:color w:val="auto"/>
              <w:sz w:val="24"/>
              <w:szCs w:val="24"/>
            </w:rPr>
            <w:fldChar w:fldCharType="begin"/>
          </w:r>
          <w:r>
            <w:rPr>
              <w:b/>
              <w:color w:val="auto"/>
              <w:sz w:val="24"/>
              <w:szCs w:val="24"/>
            </w:rPr>
            <w:instrText xml:space="preserve"> PAGEREF _Toc25451 \h </w:instrText>
          </w:r>
          <w:r>
            <w:rPr>
              <w:b/>
              <w:color w:val="auto"/>
              <w:sz w:val="24"/>
              <w:szCs w:val="24"/>
            </w:rPr>
            <w:fldChar w:fldCharType="separate"/>
          </w:r>
          <w:r>
            <w:rPr>
              <w:b/>
              <w:color w:val="auto"/>
              <w:sz w:val="24"/>
              <w:szCs w:val="24"/>
            </w:rPr>
            <w:t>41</w:t>
          </w:r>
          <w:r>
            <w:rPr>
              <w:b/>
              <w:color w:val="auto"/>
              <w:sz w:val="24"/>
              <w:szCs w:val="24"/>
            </w:rPr>
            <w:fldChar w:fldCharType="end"/>
          </w:r>
          <w:r>
            <w:rPr>
              <w:rFonts w:hint="default" w:ascii="Times New Roman" w:hAnsi="Times New Roman" w:eastAsia="宋体" w:cs="Times New Roman"/>
              <w:b/>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_Toc16905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附图1 建设项目地理位置图</w:t>
          </w:r>
          <w:r>
            <w:rPr>
              <w:color w:val="auto"/>
              <w:sz w:val="24"/>
              <w:szCs w:val="24"/>
            </w:rPr>
            <w:tab/>
          </w:r>
          <w:r>
            <w:rPr>
              <w:color w:val="auto"/>
              <w:sz w:val="24"/>
              <w:szCs w:val="24"/>
            </w:rPr>
            <w:fldChar w:fldCharType="begin"/>
          </w:r>
          <w:r>
            <w:rPr>
              <w:color w:val="auto"/>
              <w:sz w:val="24"/>
              <w:szCs w:val="24"/>
            </w:rPr>
            <w:instrText xml:space="preserve"> PAGEREF _Toc16905 \h </w:instrText>
          </w:r>
          <w:r>
            <w:rPr>
              <w:color w:val="auto"/>
              <w:sz w:val="24"/>
              <w:szCs w:val="24"/>
            </w:rPr>
            <w:fldChar w:fldCharType="separate"/>
          </w:r>
          <w:r>
            <w:rPr>
              <w:color w:val="auto"/>
              <w:sz w:val="24"/>
              <w:szCs w:val="24"/>
            </w:rPr>
            <w:t>41</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_Toc560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附图2 周边位置关系以及周边环境敏感目标</w:t>
          </w:r>
          <w:r>
            <w:rPr>
              <w:color w:val="auto"/>
              <w:sz w:val="24"/>
              <w:szCs w:val="24"/>
            </w:rPr>
            <w:tab/>
          </w:r>
          <w:r>
            <w:rPr>
              <w:color w:val="auto"/>
              <w:sz w:val="24"/>
              <w:szCs w:val="24"/>
            </w:rPr>
            <w:fldChar w:fldCharType="begin"/>
          </w:r>
          <w:r>
            <w:rPr>
              <w:color w:val="auto"/>
              <w:sz w:val="24"/>
              <w:szCs w:val="24"/>
            </w:rPr>
            <w:instrText xml:space="preserve"> PAGEREF _Toc560 \h </w:instrText>
          </w:r>
          <w:r>
            <w:rPr>
              <w:color w:val="auto"/>
              <w:sz w:val="24"/>
              <w:szCs w:val="24"/>
            </w:rPr>
            <w:fldChar w:fldCharType="separate"/>
          </w:r>
          <w:r>
            <w:rPr>
              <w:color w:val="auto"/>
              <w:sz w:val="24"/>
              <w:szCs w:val="24"/>
            </w:rPr>
            <w:t>42</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_Toc24424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附图3 平面布置图</w:t>
          </w:r>
          <w:r>
            <w:rPr>
              <w:color w:val="auto"/>
              <w:sz w:val="24"/>
              <w:szCs w:val="24"/>
            </w:rPr>
            <w:tab/>
          </w:r>
          <w:r>
            <w:rPr>
              <w:color w:val="auto"/>
              <w:sz w:val="24"/>
              <w:szCs w:val="24"/>
            </w:rPr>
            <w:fldChar w:fldCharType="begin"/>
          </w:r>
          <w:r>
            <w:rPr>
              <w:color w:val="auto"/>
              <w:sz w:val="24"/>
              <w:szCs w:val="24"/>
            </w:rPr>
            <w:instrText xml:space="preserve"> PAGEREF _Toc24424 \h </w:instrText>
          </w:r>
          <w:r>
            <w:rPr>
              <w:color w:val="auto"/>
              <w:sz w:val="24"/>
              <w:szCs w:val="24"/>
            </w:rPr>
            <w:fldChar w:fldCharType="separate"/>
          </w:r>
          <w:r>
            <w:rPr>
              <w:color w:val="auto"/>
              <w:sz w:val="24"/>
              <w:szCs w:val="24"/>
            </w:rPr>
            <w:t>44</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_Toc6565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附图4融侨经济技术开发区总体规划（2018-2035年）土地利用现状图</w:t>
          </w:r>
          <w:r>
            <w:rPr>
              <w:color w:val="auto"/>
              <w:sz w:val="24"/>
              <w:szCs w:val="24"/>
            </w:rPr>
            <w:tab/>
          </w:r>
          <w:r>
            <w:rPr>
              <w:color w:val="auto"/>
              <w:sz w:val="24"/>
              <w:szCs w:val="24"/>
            </w:rPr>
            <w:fldChar w:fldCharType="begin"/>
          </w:r>
          <w:r>
            <w:rPr>
              <w:color w:val="auto"/>
              <w:sz w:val="24"/>
              <w:szCs w:val="24"/>
            </w:rPr>
            <w:instrText xml:space="preserve"> PAGEREF _Toc6565 \h </w:instrText>
          </w:r>
          <w:r>
            <w:rPr>
              <w:color w:val="auto"/>
              <w:sz w:val="24"/>
              <w:szCs w:val="24"/>
            </w:rPr>
            <w:fldChar w:fldCharType="separate"/>
          </w:r>
          <w:r>
            <w:rPr>
              <w:color w:val="auto"/>
              <w:sz w:val="24"/>
              <w:szCs w:val="24"/>
            </w:rPr>
            <w:t>46</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89"/>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b/>
              <w:color w:val="auto"/>
              <w:sz w:val="24"/>
              <w:szCs w:val="24"/>
            </w:rPr>
          </w:pPr>
          <w:r>
            <w:rPr>
              <w:rFonts w:hint="default" w:ascii="Times New Roman" w:hAnsi="Times New Roman" w:eastAsia="宋体" w:cs="Times New Roman"/>
              <w:b/>
              <w:bCs/>
              <w:snapToGrid w:val="0"/>
              <w:color w:val="auto"/>
              <w:sz w:val="24"/>
              <w:szCs w:val="24"/>
            </w:rPr>
            <w:fldChar w:fldCharType="begin"/>
          </w:r>
          <w:r>
            <w:rPr>
              <w:rFonts w:hint="default" w:ascii="Times New Roman" w:hAnsi="Times New Roman" w:eastAsia="宋体" w:cs="Times New Roman"/>
              <w:b/>
              <w:bCs/>
              <w:snapToGrid w:val="0"/>
              <w:color w:val="auto"/>
              <w:sz w:val="24"/>
              <w:szCs w:val="24"/>
            </w:rPr>
            <w:instrText xml:space="preserve"> HYPERLINK \l _Toc13420 </w:instrText>
          </w:r>
          <w:r>
            <w:rPr>
              <w:rFonts w:hint="default" w:ascii="Times New Roman" w:hAnsi="Times New Roman" w:eastAsia="宋体" w:cs="Times New Roman"/>
              <w:b/>
              <w:bCs/>
              <w:snapToGrid w:val="0"/>
              <w:color w:val="auto"/>
              <w:sz w:val="24"/>
              <w:szCs w:val="24"/>
            </w:rPr>
            <w:fldChar w:fldCharType="separate"/>
          </w:r>
          <w:r>
            <w:rPr>
              <w:rFonts w:hint="default" w:ascii="Times New Roman" w:hAnsi="Times New Roman" w:eastAsia="宋体" w:cs="Times New Roman"/>
              <w:b/>
              <w:bCs/>
              <w:color w:val="auto"/>
              <w:sz w:val="24"/>
              <w:szCs w:val="24"/>
            </w:rPr>
            <w:t>附件</w:t>
          </w:r>
          <w:r>
            <w:rPr>
              <w:b/>
              <w:color w:val="auto"/>
              <w:sz w:val="24"/>
              <w:szCs w:val="24"/>
            </w:rPr>
            <w:tab/>
          </w:r>
          <w:r>
            <w:rPr>
              <w:b/>
              <w:color w:val="auto"/>
              <w:sz w:val="24"/>
              <w:szCs w:val="24"/>
            </w:rPr>
            <w:fldChar w:fldCharType="begin"/>
          </w:r>
          <w:r>
            <w:rPr>
              <w:b/>
              <w:color w:val="auto"/>
              <w:sz w:val="24"/>
              <w:szCs w:val="24"/>
            </w:rPr>
            <w:instrText xml:space="preserve"> PAGEREF _Toc13420 \h </w:instrText>
          </w:r>
          <w:r>
            <w:rPr>
              <w:b/>
              <w:color w:val="auto"/>
              <w:sz w:val="24"/>
              <w:szCs w:val="24"/>
            </w:rPr>
            <w:fldChar w:fldCharType="separate"/>
          </w:r>
          <w:r>
            <w:rPr>
              <w:b/>
              <w:color w:val="auto"/>
              <w:sz w:val="24"/>
              <w:szCs w:val="24"/>
            </w:rPr>
            <w:t>48</w:t>
          </w:r>
          <w:r>
            <w:rPr>
              <w:b/>
              <w:color w:val="auto"/>
              <w:sz w:val="24"/>
              <w:szCs w:val="24"/>
            </w:rPr>
            <w:fldChar w:fldCharType="end"/>
          </w:r>
          <w:r>
            <w:rPr>
              <w:rFonts w:hint="default" w:ascii="Times New Roman" w:hAnsi="Times New Roman" w:eastAsia="宋体" w:cs="Times New Roman"/>
              <w:b/>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_Toc2575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附件1委托书</w:t>
          </w:r>
          <w:r>
            <w:rPr>
              <w:color w:val="auto"/>
              <w:sz w:val="24"/>
              <w:szCs w:val="24"/>
            </w:rPr>
            <w:tab/>
          </w:r>
          <w:r>
            <w:rPr>
              <w:color w:val="auto"/>
              <w:sz w:val="24"/>
              <w:szCs w:val="24"/>
            </w:rPr>
            <w:fldChar w:fldCharType="begin"/>
          </w:r>
          <w:r>
            <w:rPr>
              <w:color w:val="auto"/>
              <w:sz w:val="24"/>
              <w:szCs w:val="24"/>
            </w:rPr>
            <w:instrText xml:space="preserve"> PAGEREF _Toc2575 \h </w:instrText>
          </w:r>
          <w:r>
            <w:rPr>
              <w:color w:val="auto"/>
              <w:sz w:val="24"/>
              <w:szCs w:val="24"/>
            </w:rPr>
            <w:fldChar w:fldCharType="separate"/>
          </w:r>
          <w:r>
            <w:rPr>
              <w:color w:val="auto"/>
              <w:sz w:val="24"/>
              <w:szCs w:val="24"/>
            </w:rPr>
            <w:t>48</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_Toc20466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附件2备案表</w:t>
          </w:r>
          <w:r>
            <w:rPr>
              <w:color w:val="auto"/>
              <w:sz w:val="24"/>
              <w:szCs w:val="24"/>
            </w:rPr>
            <w:tab/>
          </w:r>
          <w:r>
            <w:rPr>
              <w:color w:val="auto"/>
              <w:sz w:val="24"/>
              <w:szCs w:val="24"/>
            </w:rPr>
            <w:fldChar w:fldCharType="begin"/>
          </w:r>
          <w:r>
            <w:rPr>
              <w:color w:val="auto"/>
              <w:sz w:val="24"/>
              <w:szCs w:val="24"/>
            </w:rPr>
            <w:instrText xml:space="preserve"> PAGEREF _Toc20466 \h </w:instrText>
          </w:r>
          <w:r>
            <w:rPr>
              <w:color w:val="auto"/>
              <w:sz w:val="24"/>
              <w:szCs w:val="24"/>
            </w:rPr>
            <w:fldChar w:fldCharType="separate"/>
          </w:r>
          <w:r>
            <w:rPr>
              <w:color w:val="auto"/>
              <w:sz w:val="24"/>
              <w:szCs w:val="24"/>
            </w:rPr>
            <w:t>49</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_Toc16340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附件3营业执照</w:t>
          </w:r>
          <w:r>
            <w:rPr>
              <w:color w:val="auto"/>
              <w:sz w:val="24"/>
              <w:szCs w:val="24"/>
            </w:rPr>
            <w:tab/>
          </w:r>
          <w:r>
            <w:rPr>
              <w:color w:val="auto"/>
              <w:sz w:val="24"/>
              <w:szCs w:val="24"/>
            </w:rPr>
            <w:fldChar w:fldCharType="begin"/>
          </w:r>
          <w:r>
            <w:rPr>
              <w:color w:val="auto"/>
              <w:sz w:val="24"/>
              <w:szCs w:val="24"/>
            </w:rPr>
            <w:instrText xml:space="preserve"> PAGEREF _Toc16340 \h </w:instrText>
          </w:r>
          <w:r>
            <w:rPr>
              <w:color w:val="auto"/>
              <w:sz w:val="24"/>
              <w:szCs w:val="24"/>
            </w:rPr>
            <w:fldChar w:fldCharType="separate"/>
          </w:r>
          <w:r>
            <w:rPr>
              <w:color w:val="auto"/>
              <w:sz w:val="24"/>
              <w:szCs w:val="24"/>
            </w:rPr>
            <w:t>50</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_Toc10687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附件4法人身份证</w:t>
          </w:r>
          <w:r>
            <w:rPr>
              <w:color w:val="auto"/>
              <w:sz w:val="24"/>
              <w:szCs w:val="24"/>
            </w:rPr>
            <w:tab/>
          </w:r>
          <w:r>
            <w:rPr>
              <w:color w:val="auto"/>
              <w:sz w:val="24"/>
              <w:szCs w:val="24"/>
            </w:rPr>
            <w:fldChar w:fldCharType="begin"/>
          </w:r>
          <w:r>
            <w:rPr>
              <w:color w:val="auto"/>
              <w:sz w:val="24"/>
              <w:szCs w:val="24"/>
            </w:rPr>
            <w:instrText xml:space="preserve"> PAGEREF _Toc10687 \h </w:instrText>
          </w:r>
          <w:r>
            <w:rPr>
              <w:color w:val="auto"/>
              <w:sz w:val="24"/>
              <w:szCs w:val="24"/>
            </w:rPr>
            <w:fldChar w:fldCharType="separate"/>
          </w:r>
          <w:r>
            <w:rPr>
              <w:color w:val="auto"/>
              <w:sz w:val="24"/>
              <w:szCs w:val="24"/>
            </w:rPr>
            <w:t>51</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_Toc1207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附件5不动产权证及厂房租赁合同</w:t>
          </w:r>
          <w:r>
            <w:rPr>
              <w:color w:val="auto"/>
              <w:sz w:val="24"/>
              <w:szCs w:val="24"/>
            </w:rPr>
            <w:tab/>
          </w:r>
          <w:r>
            <w:rPr>
              <w:color w:val="auto"/>
              <w:sz w:val="24"/>
              <w:szCs w:val="24"/>
            </w:rPr>
            <w:fldChar w:fldCharType="begin"/>
          </w:r>
          <w:r>
            <w:rPr>
              <w:color w:val="auto"/>
              <w:sz w:val="24"/>
              <w:szCs w:val="24"/>
            </w:rPr>
            <w:instrText xml:space="preserve"> PAGEREF _Toc1207 \h </w:instrText>
          </w:r>
          <w:r>
            <w:rPr>
              <w:color w:val="auto"/>
              <w:sz w:val="24"/>
              <w:szCs w:val="24"/>
            </w:rPr>
            <w:fldChar w:fldCharType="separate"/>
          </w:r>
          <w:r>
            <w:rPr>
              <w:color w:val="auto"/>
              <w:sz w:val="24"/>
              <w:szCs w:val="24"/>
            </w:rPr>
            <w:t>52</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_Toc18059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附件6关于印发《福清融侨经济技术开发区总体规划环境影响报告书（2018-2035年）》的审查意见</w:t>
          </w:r>
          <w:r>
            <w:rPr>
              <w:color w:val="auto"/>
              <w:sz w:val="24"/>
              <w:szCs w:val="24"/>
            </w:rPr>
            <w:tab/>
          </w:r>
          <w:r>
            <w:rPr>
              <w:color w:val="auto"/>
              <w:sz w:val="24"/>
              <w:szCs w:val="24"/>
            </w:rPr>
            <w:fldChar w:fldCharType="begin"/>
          </w:r>
          <w:r>
            <w:rPr>
              <w:color w:val="auto"/>
              <w:sz w:val="24"/>
              <w:szCs w:val="24"/>
            </w:rPr>
            <w:instrText xml:space="preserve"> PAGEREF _Toc18059 \h </w:instrText>
          </w:r>
          <w:r>
            <w:rPr>
              <w:color w:val="auto"/>
              <w:sz w:val="24"/>
              <w:szCs w:val="24"/>
            </w:rPr>
            <w:fldChar w:fldCharType="separate"/>
          </w:r>
          <w:r>
            <w:rPr>
              <w:color w:val="auto"/>
              <w:sz w:val="24"/>
              <w:szCs w:val="24"/>
            </w:rPr>
            <w:t>61</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_Toc12028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附件7现有工程环保手续</w:t>
          </w:r>
          <w:r>
            <w:rPr>
              <w:color w:val="auto"/>
              <w:sz w:val="24"/>
              <w:szCs w:val="24"/>
            </w:rPr>
            <w:tab/>
          </w:r>
          <w:r>
            <w:rPr>
              <w:color w:val="auto"/>
              <w:sz w:val="24"/>
              <w:szCs w:val="24"/>
            </w:rPr>
            <w:fldChar w:fldCharType="begin"/>
          </w:r>
          <w:r>
            <w:rPr>
              <w:color w:val="auto"/>
              <w:sz w:val="24"/>
              <w:szCs w:val="24"/>
            </w:rPr>
            <w:instrText xml:space="preserve"> PAGEREF _Toc12028 \h </w:instrText>
          </w:r>
          <w:r>
            <w:rPr>
              <w:color w:val="auto"/>
              <w:sz w:val="24"/>
              <w:szCs w:val="24"/>
            </w:rPr>
            <w:fldChar w:fldCharType="separate"/>
          </w:r>
          <w:r>
            <w:rPr>
              <w:color w:val="auto"/>
              <w:sz w:val="24"/>
              <w:szCs w:val="24"/>
            </w:rPr>
            <w:t>67</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_Toc2773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附件8三线一单查询报告</w:t>
          </w:r>
          <w:r>
            <w:rPr>
              <w:color w:val="auto"/>
              <w:sz w:val="24"/>
              <w:szCs w:val="24"/>
            </w:rPr>
            <w:tab/>
          </w:r>
          <w:r>
            <w:rPr>
              <w:color w:val="auto"/>
              <w:sz w:val="24"/>
              <w:szCs w:val="24"/>
            </w:rPr>
            <w:fldChar w:fldCharType="begin"/>
          </w:r>
          <w:r>
            <w:rPr>
              <w:color w:val="auto"/>
              <w:sz w:val="24"/>
              <w:szCs w:val="24"/>
            </w:rPr>
            <w:instrText xml:space="preserve"> PAGEREF _Toc2773 \h </w:instrText>
          </w:r>
          <w:r>
            <w:rPr>
              <w:color w:val="auto"/>
              <w:sz w:val="24"/>
              <w:szCs w:val="24"/>
            </w:rPr>
            <w:fldChar w:fldCharType="separate"/>
          </w:r>
          <w:r>
            <w:rPr>
              <w:color w:val="auto"/>
              <w:sz w:val="24"/>
              <w:szCs w:val="24"/>
            </w:rPr>
            <w:t>80</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_Toc11025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附件9厂房情况说明</w:t>
          </w:r>
          <w:r>
            <w:rPr>
              <w:color w:val="auto"/>
              <w:sz w:val="24"/>
              <w:szCs w:val="24"/>
            </w:rPr>
            <w:tab/>
          </w:r>
          <w:r>
            <w:rPr>
              <w:color w:val="auto"/>
              <w:sz w:val="24"/>
              <w:szCs w:val="24"/>
            </w:rPr>
            <w:fldChar w:fldCharType="begin"/>
          </w:r>
          <w:r>
            <w:rPr>
              <w:color w:val="auto"/>
              <w:sz w:val="24"/>
              <w:szCs w:val="24"/>
            </w:rPr>
            <w:instrText xml:space="preserve"> PAGEREF _Toc11025 \h </w:instrText>
          </w:r>
          <w:r>
            <w:rPr>
              <w:color w:val="auto"/>
              <w:sz w:val="24"/>
              <w:szCs w:val="24"/>
            </w:rPr>
            <w:fldChar w:fldCharType="separate"/>
          </w:r>
          <w:r>
            <w:rPr>
              <w:color w:val="auto"/>
              <w:sz w:val="24"/>
              <w:szCs w:val="24"/>
            </w:rPr>
            <w:t>81</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_Toc6679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附件10生活污水情况说明</w:t>
          </w:r>
          <w:r>
            <w:rPr>
              <w:color w:val="auto"/>
              <w:sz w:val="24"/>
              <w:szCs w:val="24"/>
            </w:rPr>
            <w:tab/>
          </w:r>
          <w:r>
            <w:rPr>
              <w:color w:val="auto"/>
              <w:sz w:val="24"/>
              <w:szCs w:val="24"/>
            </w:rPr>
            <w:fldChar w:fldCharType="begin"/>
          </w:r>
          <w:r>
            <w:rPr>
              <w:color w:val="auto"/>
              <w:sz w:val="24"/>
              <w:szCs w:val="24"/>
            </w:rPr>
            <w:instrText xml:space="preserve"> PAGEREF _Toc6679 \h </w:instrText>
          </w:r>
          <w:r>
            <w:rPr>
              <w:color w:val="auto"/>
              <w:sz w:val="24"/>
              <w:szCs w:val="24"/>
            </w:rPr>
            <w:fldChar w:fldCharType="separate"/>
          </w:r>
          <w:r>
            <w:rPr>
              <w:color w:val="auto"/>
              <w:sz w:val="24"/>
              <w:szCs w:val="24"/>
            </w:rPr>
            <w:t>82</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_Toc3145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w:t>
          </w:r>
          <w:r>
            <w:rPr>
              <w:rFonts w:hint="eastAsia" w:ascii="Times New Roman" w:hAnsi="Times New Roman" w:eastAsia="宋体" w:cs="Times New Roman"/>
              <w:color w:val="auto"/>
              <w:sz w:val="24"/>
              <w:szCs w:val="24"/>
              <w:lang w:val="en-US" w:eastAsia="zh-CN"/>
            </w:rPr>
            <w:t>11排污权指标承诺书</w:t>
          </w:r>
          <w:r>
            <w:rPr>
              <w:color w:val="auto"/>
              <w:sz w:val="24"/>
              <w:szCs w:val="24"/>
            </w:rPr>
            <w:tab/>
          </w:r>
          <w:r>
            <w:rPr>
              <w:color w:val="auto"/>
              <w:sz w:val="24"/>
              <w:szCs w:val="24"/>
            </w:rPr>
            <w:fldChar w:fldCharType="begin"/>
          </w:r>
          <w:r>
            <w:rPr>
              <w:color w:val="auto"/>
              <w:sz w:val="24"/>
              <w:szCs w:val="24"/>
            </w:rPr>
            <w:instrText xml:space="preserve"> PAGEREF _Toc3145 \h </w:instrText>
          </w:r>
          <w:r>
            <w:rPr>
              <w:color w:val="auto"/>
              <w:sz w:val="24"/>
              <w:szCs w:val="24"/>
            </w:rPr>
            <w:fldChar w:fldCharType="separate"/>
          </w:r>
          <w:r>
            <w:rPr>
              <w:color w:val="auto"/>
              <w:sz w:val="24"/>
              <w:szCs w:val="24"/>
            </w:rPr>
            <w:t>83</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_Toc11410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附件1</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公示说明</w:t>
          </w:r>
          <w:r>
            <w:rPr>
              <w:color w:val="auto"/>
              <w:sz w:val="24"/>
              <w:szCs w:val="24"/>
            </w:rPr>
            <w:tab/>
          </w:r>
          <w:r>
            <w:rPr>
              <w:color w:val="auto"/>
              <w:sz w:val="24"/>
              <w:szCs w:val="24"/>
            </w:rPr>
            <w:fldChar w:fldCharType="begin"/>
          </w:r>
          <w:r>
            <w:rPr>
              <w:color w:val="auto"/>
              <w:sz w:val="24"/>
              <w:szCs w:val="24"/>
            </w:rPr>
            <w:instrText xml:space="preserve"> PAGEREF _Toc11410 \h </w:instrText>
          </w:r>
          <w:r>
            <w:rPr>
              <w:color w:val="auto"/>
              <w:sz w:val="24"/>
              <w:szCs w:val="24"/>
            </w:rPr>
            <w:fldChar w:fldCharType="separate"/>
          </w:r>
          <w:r>
            <w:rPr>
              <w:color w:val="auto"/>
              <w:sz w:val="24"/>
              <w:szCs w:val="24"/>
            </w:rPr>
            <w:t>84</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_Toc2313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附件1</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是否涉密说明</w:t>
          </w:r>
          <w:r>
            <w:rPr>
              <w:color w:val="auto"/>
              <w:sz w:val="24"/>
              <w:szCs w:val="24"/>
            </w:rPr>
            <w:tab/>
          </w:r>
          <w:r>
            <w:rPr>
              <w:color w:val="auto"/>
              <w:sz w:val="24"/>
              <w:szCs w:val="24"/>
            </w:rPr>
            <w:fldChar w:fldCharType="begin"/>
          </w:r>
          <w:r>
            <w:rPr>
              <w:color w:val="auto"/>
              <w:sz w:val="24"/>
              <w:szCs w:val="24"/>
            </w:rPr>
            <w:instrText xml:space="preserve"> PAGEREF _Toc2313 \h </w:instrText>
          </w:r>
          <w:r>
            <w:rPr>
              <w:color w:val="auto"/>
              <w:sz w:val="24"/>
              <w:szCs w:val="24"/>
            </w:rPr>
            <w:fldChar w:fldCharType="separate"/>
          </w:r>
          <w:r>
            <w:rPr>
              <w:color w:val="auto"/>
              <w:sz w:val="24"/>
              <w:szCs w:val="24"/>
            </w:rPr>
            <w:t>85</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color w:val="auto"/>
              <w:sz w:val="24"/>
              <w:szCs w:val="24"/>
            </w:r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_Toc5602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附件1</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批复申请报告</w:t>
          </w:r>
          <w:r>
            <w:rPr>
              <w:color w:val="auto"/>
              <w:sz w:val="24"/>
              <w:szCs w:val="24"/>
            </w:rPr>
            <w:tab/>
          </w:r>
          <w:r>
            <w:rPr>
              <w:color w:val="auto"/>
              <w:sz w:val="24"/>
              <w:szCs w:val="24"/>
            </w:rPr>
            <w:fldChar w:fldCharType="begin"/>
          </w:r>
          <w:r>
            <w:rPr>
              <w:color w:val="auto"/>
              <w:sz w:val="24"/>
              <w:szCs w:val="24"/>
            </w:rPr>
            <w:instrText xml:space="preserve"> PAGEREF _Toc5602 \h </w:instrText>
          </w:r>
          <w:r>
            <w:rPr>
              <w:color w:val="auto"/>
              <w:sz w:val="24"/>
              <w:szCs w:val="24"/>
            </w:rPr>
            <w:fldChar w:fldCharType="separate"/>
          </w:r>
          <w:r>
            <w:rPr>
              <w:color w:val="auto"/>
              <w:sz w:val="24"/>
              <w:szCs w:val="24"/>
            </w:rPr>
            <w:t>87</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p>
        <w:p>
          <w:pPr>
            <w:pStyle w:val="190"/>
            <w:keepNext w:val="0"/>
            <w:keepLines w:val="0"/>
            <w:pageBreakBefore w:val="0"/>
            <w:widowControl/>
            <w:tabs>
              <w:tab w:val="right" w:leader="dot" w:pos="9072"/>
            </w:tabs>
            <w:kinsoku/>
            <w:wordWrap/>
            <w:overflowPunct/>
            <w:topLinePunct w:val="0"/>
            <w:autoSpaceDE/>
            <w:autoSpaceDN/>
            <w:bidi w:val="0"/>
            <w:adjustRightInd/>
            <w:snapToGrid/>
            <w:spacing w:after="0" w:line="440" w:lineRule="exact"/>
            <w:textAlignment w:val="auto"/>
            <w:rPr>
              <w:rFonts w:hint="default" w:ascii="Times New Roman" w:hAnsi="Times New Roman" w:eastAsia="宋体" w:cs="Times New Roman"/>
              <w:b/>
              <w:bCs/>
              <w:snapToGrid w:val="0"/>
              <w:color w:val="auto"/>
              <w:sz w:val="32"/>
              <w:szCs w:val="32"/>
            </w:rPr>
            <w:sectPr>
              <w:headerReference r:id="rId8" w:type="default"/>
              <w:footerReference r:id="rId9" w:type="default"/>
              <w:pgSz w:w="11906" w:h="16838"/>
              <w:pgMar w:top="1417" w:right="1417" w:bottom="1417" w:left="1417" w:header="992" w:footer="992"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宋体" w:cs="Times New Roman"/>
              <w:bCs/>
              <w:snapToGrid w:val="0"/>
              <w:color w:val="auto"/>
              <w:sz w:val="24"/>
              <w:szCs w:val="24"/>
            </w:rPr>
            <w:fldChar w:fldCharType="begin"/>
          </w:r>
          <w:r>
            <w:rPr>
              <w:rFonts w:hint="default" w:ascii="Times New Roman" w:hAnsi="Times New Roman" w:eastAsia="宋体" w:cs="Times New Roman"/>
              <w:bCs/>
              <w:snapToGrid w:val="0"/>
              <w:color w:val="auto"/>
              <w:sz w:val="24"/>
              <w:szCs w:val="24"/>
            </w:rPr>
            <w:instrText xml:space="preserve"> HYPERLINK \l _Toc14862 </w:instrText>
          </w:r>
          <w:r>
            <w:rPr>
              <w:rFonts w:hint="default" w:ascii="Times New Roman" w:hAnsi="Times New Roman" w:eastAsia="宋体" w:cs="Times New Roman"/>
              <w:bCs/>
              <w:snapToGrid w:val="0"/>
              <w:color w:val="auto"/>
              <w:sz w:val="24"/>
              <w:szCs w:val="24"/>
            </w:rPr>
            <w:fldChar w:fldCharType="separate"/>
          </w:r>
          <w:r>
            <w:rPr>
              <w:rFonts w:hint="default" w:ascii="Times New Roman" w:hAnsi="Times New Roman" w:eastAsia="宋体" w:cs="Times New Roman"/>
              <w:color w:val="auto"/>
              <w:sz w:val="24"/>
              <w:szCs w:val="24"/>
            </w:rPr>
            <w:t>附件1</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授权委托书及授权人身份证</w:t>
          </w:r>
          <w:r>
            <w:rPr>
              <w:color w:val="auto"/>
              <w:sz w:val="24"/>
              <w:szCs w:val="24"/>
            </w:rPr>
            <w:tab/>
          </w:r>
          <w:r>
            <w:rPr>
              <w:color w:val="auto"/>
              <w:sz w:val="24"/>
              <w:szCs w:val="24"/>
            </w:rPr>
            <w:fldChar w:fldCharType="begin"/>
          </w:r>
          <w:r>
            <w:rPr>
              <w:color w:val="auto"/>
              <w:sz w:val="24"/>
              <w:szCs w:val="24"/>
            </w:rPr>
            <w:instrText xml:space="preserve"> PAGEREF _Toc14862 \h </w:instrText>
          </w:r>
          <w:r>
            <w:rPr>
              <w:color w:val="auto"/>
              <w:sz w:val="24"/>
              <w:szCs w:val="24"/>
            </w:rPr>
            <w:fldChar w:fldCharType="separate"/>
          </w:r>
          <w:r>
            <w:rPr>
              <w:color w:val="auto"/>
              <w:sz w:val="24"/>
              <w:szCs w:val="24"/>
            </w:rPr>
            <w:t>88</w:t>
          </w:r>
          <w:r>
            <w:rPr>
              <w:color w:val="auto"/>
              <w:sz w:val="24"/>
              <w:szCs w:val="24"/>
            </w:rPr>
            <w:fldChar w:fldCharType="end"/>
          </w:r>
          <w:r>
            <w:rPr>
              <w:rFonts w:hint="default" w:ascii="Times New Roman" w:hAnsi="Times New Roman" w:eastAsia="宋体" w:cs="Times New Roman"/>
              <w:bCs/>
              <w:snapToGrid w:val="0"/>
              <w:color w:val="auto"/>
              <w:sz w:val="24"/>
              <w:szCs w:val="24"/>
            </w:rPr>
            <w:fldChar w:fldCharType="end"/>
          </w:r>
          <w:r>
            <w:rPr>
              <w:rFonts w:hint="default" w:ascii="Times New Roman" w:hAnsi="Times New Roman" w:eastAsia="宋体" w:cs="Times New Roman"/>
              <w:b/>
              <w:bCs/>
              <w:snapToGrid w:val="0"/>
              <w:color w:val="auto"/>
              <w:sz w:val="24"/>
              <w:szCs w:val="24"/>
            </w:rPr>
            <w:fldChar w:fldCharType="end"/>
          </w:r>
        </w:p>
      </w:sdtContent>
    </w:sdt>
    <w:p>
      <w:pPr>
        <w:pStyle w:val="29"/>
        <w:widowControl w:val="0"/>
        <w:topLinePunct/>
        <w:spacing w:before="0" w:beforeAutospacing="0" w:after="0" w:afterAutospacing="0" w:line="240" w:lineRule="auto"/>
        <w:jc w:val="center"/>
        <w:outlineLvl w:val="0"/>
        <w:rPr>
          <w:rFonts w:hint="default" w:ascii="Times New Roman" w:hAnsi="Times New Roman" w:eastAsia="宋体" w:cs="Times New Roman"/>
          <w:b/>
          <w:bCs/>
          <w:snapToGrid w:val="0"/>
          <w:color w:val="auto"/>
          <w:sz w:val="32"/>
          <w:szCs w:val="32"/>
        </w:rPr>
      </w:pPr>
      <w:bookmarkStart w:id="0" w:name="_Toc27258"/>
      <w:r>
        <w:rPr>
          <w:rFonts w:hint="default" w:ascii="Times New Roman" w:hAnsi="Times New Roman" w:eastAsia="宋体" w:cs="Times New Roman"/>
          <w:b/>
          <w:bCs/>
          <w:snapToGrid w:val="0"/>
          <w:color w:val="auto"/>
          <w:sz w:val="32"/>
          <w:szCs w:val="32"/>
        </w:rPr>
        <w:t>一、建设项目基本情况</w:t>
      </w:r>
      <w:bookmarkEnd w:id="0"/>
    </w:p>
    <w:tbl>
      <w:tblPr>
        <w:tblStyle w:val="37"/>
        <w:tblpPr w:leftFromText="180" w:rightFromText="180" w:vertAnchor="text" w:horzAnchor="page" w:tblpX="1469" w:tblpY="212"/>
        <w:tblOverlap w:val="never"/>
        <w:tblW w:w="499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39"/>
        <w:gridCol w:w="2982"/>
        <w:gridCol w:w="1783"/>
        <w:gridCol w:w="31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626" w:type="pct"/>
            <w:tcMar>
              <w:top w:w="16" w:type="dxa"/>
              <w:left w:w="16" w:type="dxa"/>
              <w:right w:w="16"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名称</w:t>
            </w:r>
          </w:p>
        </w:tc>
        <w:tc>
          <w:tcPr>
            <w:tcW w:w="4373" w:type="pct"/>
            <w:gridSpan w:val="3"/>
            <w:vAlign w:val="center"/>
          </w:tcPr>
          <w:p>
            <w:pPr>
              <w:pStyle w:val="95"/>
              <w:widowControl w:val="0"/>
              <w:topLinePunct/>
              <w:spacing w:after="0" w:line="240" w:lineRule="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福清睿辉食品有限公司新增年产糕点、面包食品300吨及披萨饼底30吨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9" w:hRule="atLeast"/>
        </w:trPr>
        <w:tc>
          <w:tcPr>
            <w:tcW w:w="626" w:type="pct"/>
            <w:tcMar>
              <w:top w:w="16" w:type="dxa"/>
              <w:left w:w="16" w:type="dxa"/>
              <w:right w:w="16"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4373" w:type="pct"/>
            <w:gridSpan w:val="3"/>
            <w:vAlign w:val="center"/>
          </w:tcPr>
          <w:p>
            <w:pPr>
              <w:pStyle w:val="95"/>
              <w:widowControl w:val="0"/>
              <w:topLinePunct/>
              <w:spacing w:after="0" w:line="240" w:lineRule="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2402-350181-07-01-361388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626" w:type="pct"/>
            <w:tcMar>
              <w:top w:w="16" w:type="dxa"/>
              <w:left w:w="16" w:type="dxa"/>
              <w:right w:w="16"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联系人</w:t>
            </w:r>
          </w:p>
        </w:tc>
        <w:tc>
          <w:tcPr>
            <w:tcW w:w="1639" w:type="pc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980" w:type="pc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1754" w:type="pc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626" w:type="pct"/>
            <w:tcMar>
              <w:top w:w="16" w:type="dxa"/>
              <w:left w:w="16" w:type="dxa"/>
              <w:right w:w="16"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4373" w:type="pct"/>
            <w:gridSpan w:val="3"/>
            <w:vAlign w:val="center"/>
          </w:tcPr>
          <w:p>
            <w:pPr>
              <w:widowControl w:val="0"/>
              <w:topLinePunct/>
              <w:adjustRightInd w:val="0"/>
              <w:snapToGrid w:val="0"/>
              <w:spacing w:after="0" w:line="240" w:lineRule="auto"/>
              <w:jc w:val="center"/>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福清融侨经济技术开发区（租赁福建茂华投资有限公司2号厂房2层）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626" w:type="pct"/>
            <w:tcMar>
              <w:top w:w="16" w:type="dxa"/>
              <w:left w:w="16" w:type="dxa"/>
              <w:right w:w="16"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4373" w:type="pct"/>
            <w:gridSpan w:val="3"/>
            <w:vAlign w:val="center"/>
          </w:tcPr>
          <w:p>
            <w:pPr>
              <w:widowControl w:val="0"/>
              <w:topLinePunct/>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东经119°19′4.620″，北纬25°43′30.304″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26" w:type="pct"/>
            <w:tcMar>
              <w:top w:w="16" w:type="dxa"/>
              <w:left w:w="16" w:type="dxa"/>
              <w:right w:w="16"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639" w:type="pc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C1432 速冻食品制造</w:t>
            </w:r>
          </w:p>
        </w:tc>
        <w:tc>
          <w:tcPr>
            <w:tcW w:w="980" w:type="pc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bookmarkStart w:id="1" w:name="_Hlk49843745"/>
            <w:r>
              <w:rPr>
                <w:rFonts w:hint="default" w:ascii="Times New Roman" w:hAnsi="Times New Roman" w:eastAsia="宋体" w:cs="Times New Roman"/>
                <w:color w:val="auto"/>
                <w:sz w:val="24"/>
                <w:szCs w:val="24"/>
              </w:rPr>
              <w:t>建设项目</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bookmarkEnd w:id="1"/>
          </w:p>
        </w:tc>
        <w:tc>
          <w:tcPr>
            <w:tcW w:w="1754" w:type="pct"/>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十一、食品制造业 14—21、方便食品制造 143*</w:t>
            </w:r>
            <w:r>
              <w:rPr>
                <w:rStyle w:val="44"/>
                <w:rFonts w:hint="default" w:ascii="Times New Roman" w:hAnsi="Times New Roman" w:eastAsia="宋体" w:cs="Times New Roman"/>
                <w:color w:val="auto"/>
                <w:sz w:val="24"/>
                <w:szCs w:val="24"/>
              </w:rPr>
              <w:t>—除单纯分装外的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626" w:type="pct"/>
            <w:tcMar>
              <w:top w:w="16" w:type="dxa"/>
              <w:left w:w="16" w:type="dxa"/>
              <w:right w:w="16"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639" w:type="pct"/>
            <w:vAlign w:val="center"/>
          </w:tcPr>
          <w:p>
            <w:pPr>
              <w:widowControl w:val="0"/>
              <w:topLinePunct/>
              <w:spacing w:after="0" w:line="240" w:lineRule="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新建（迁建）</w:t>
            </w:r>
          </w:p>
          <w:p>
            <w:pPr>
              <w:widowControl w:val="0"/>
              <w:topLinePunct/>
              <w:spacing w:after="0" w:line="240" w:lineRule="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改建</w:t>
            </w:r>
          </w:p>
          <w:p>
            <w:pPr>
              <w:widowControl w:val="0"/>
              <w:topLinePunct/>
              <w:spacing w:after="0" w:line="240" w:lineRule="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扩建</w:t>
            </w:r>
          </w:p>
          <w:p>
            <w:pPr>
              <w:widowControl w:val="0"/>
              <w:topLinePunct/>
              <w:spacing w:after="0" w:line="240" w:lineRule="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技术改造</w:t>
            </w:r>
          </w:p>
        </w:tc>
        <w:tc>
          <w:tcPr>
            <w:tcW w:w="980" w:type="pc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1754" w:type="pct"/>
            <w:vAlign w:val="center"/>
          </w:tcPr>
          <w:p>
            <w:pPr>
              <w:widowControl w:val="0"/>
              <w:topLinePunct/>
              <w:spacing w:after="0" w:line="240" w:lineRule="auto"/>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 xml:space="preserve">首次申报项目             </w:t>
            </w:r>
          </w:p>
          <w:p>
            <w:pPr>
              <w:widowControl w:val="0"/>
              <w:topLinePunct/>
              <w:spacing w:after="0" w:line="240" w:lineRule="auto"/>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不予批准后再次申报项目</w:t>
            </w:r>
          </w:p>
          <w:p>
            <w:pPr>
              <w:widowControl w:val="0"/>
              <w:topLinePunct/>
              <w:spacing w:after="0" w:line="240" w:lineRule="auto"/>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超五年重新审核项目</w:t>
            </w:r>
          </w:p>
          <w:p>
            <w:pPr>
              <w:widowControl w:val="0"/>
              <w:topLinePunct/>
              <w:spacing w:after="0" w:line="240" w:lineRule="auto"/>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626" w:type="pct"/>
            <w:tcMar>
              <w:top w:w="16" w:type="dxa"/>
              <w:left w:w="16" w:type="dxa"/>
              <w:right w:w="16"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项目审批（核准/备案）部门（选填）</w:t>
            </w:r>
          </w:p>
        </w:tc>
        <w:tc>
          <w:tcPr>
            <w:tcW w:w="1639" w:type="pc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福清市工业和信息化局</w:t>
            </w:r>
          </w:p>
        </w:tc>
        <w:tc>
          <w:tcPr>
            <w:tcW w:w="980" w:type="pc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备案）文号（选填）</w:t>
            </w:r>
          </w:p>
        </w:tc>
        <w:tc>
          <w:tcPr>
            <w:tcW w:w="1754" w:type="pc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闽工信备[2024]A060016号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626" w:type="pct"/>
            <w:tcMar>
              <w:top w:w="16" w:type="dxa"/>
              <w:left w:w="16" w:type="dxa"/>
              <w:right w:w="16"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1639" w:type="pc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400</w:t>
            </w:r>
          </w:p>
        </w:tc>
        <w:tc>
          <w:tcPr>
            <w:tcW w:w="980" w:type="pct"/>
            <w:tcMar>
              <w:top w:w="16" w:type="dxa"/>
              <w:left w:w="16" w:type="dxa"/>
              <w:right w:w="16"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环保投资（万元）</w:t>
            </w:r>
          </w:p>
        </w:tc>
        <w:tc>
          <w:tcPr>
            <w:tcW w:w="1754" w:type="pc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Style w:val="44"/>
                <w:rFonts w:hint="default" w:ascii="Times New Roman" w:hAnsi="Times New Roman" w:eastAsia="宋体" w:cs="Times New Roman"/>
                <w:color w:val="auto"/>
                <w:sz w:val="24"/>
                <w:szCs w:val="24"/>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626" w:type="pct"/>
            <w:tcMar>
              <w:top w:w="16" w:type="dxa"/>
              <w:left w:w="16" w:type="dxa"/>
              <w:right w:w="16"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占比（%）</w:t>
            </w:r>
          </w:p>
        </w:tc>
        <w:tc>
          <w:tcPr>
            <w:tcW w:w="1639" w:type="pc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3.75</w:t>
            </w:r>
          </w:p>
        </w:tc>
        <w:tc>
          <w:tcPr>
            <w:tcW w:w="980" w:type="pct"/>
            <w:tcMar>
              <w:top w:w="16" w:type="dxa"/>
              <w:left w:w="16" w:type="dxa"/>
              <w:right w:w="16"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1754" w:type="pc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626" w:type="pct"/>
            <w:tcMar>
              <w:top w:w="16" w:type="dxa"/>
              <w:left w:w="16" w:type="dxa"/>
              <w:right w:w="16"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w:t>
            </w:r>
          </w:p>
        </w:tc>
        <w:tc>
          <w:tcPr>
            <w:tcW w:w="1639" w:type="pct"/>
            <w:vAlign w:val="center"/>
          </w:tcPr>
          <w:p>
            <w:pPr>
              <w:widowControl w:val="0"/>
              <w:topLinePunct/>
              <w:adjustRightInd w:val="0"/>
              <w:snapToGrid w:val="0"/>
              <w:spacing w:after="0" w:line="240" w:lineRule="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F052"/>
            </w:r>
            <w:r>
              <w:rPr>
                <w:rFonts w:hint="default" w:ascii="Times New Roman" w:hAnsi="Times New Roman" w:eastAsia="宋体" w:cs="Times New Roman"/>
                <w:color w:val="auto"/>
                <w:sz w:val="24"/>
                <w:szCs w:val="24"/>
              </w:rPr>
              <w:t>否</w:t>
            </w:r>
          </w:p>
          <w:p>
            <w:pPr>
              <w:widowControl w:val="0"/>
              <w:topLinePunct/>
              <w:adjustRightInd w:val="0"/>
              <w:snapToGrid w:val="0"/>
              <w:spacing w:after="0" w:line="240" w:lineRule="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u w:val="single"/>
              </w:rPr>
              <w:t xml:space="preserve">           </w:t>
            </w:r>
          </w:p>
        </w:tc>
        <w:tc>
          <w:tcPr>
            <w:tcW w:w="980" w:type="pct"/>
            <w:tcMar>
              <w:top w:w="16" w:type="dxa"/>
              <w:left w:w="16" w:type="dxa"/>
              <w:right w:w="16"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用地</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tc>
        <w:tc>
          <w:tcPr>
            <w:tcW w:w="1754" w:type="pct"/>
            <w:vAlign w:val="center"/>
          </w:tcPr>
          <w:p>
            <w:pPr>
              <w:pStyle w:val="35"/>
              <w:widowControl w:val="0"/>
              <w:topLinePunct/>
              <w:jc w:val="center"/>
              <w:outlineLvl w:val="9"/>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1500m</w:t>
            </w:r>
            <w:r>
              <w:rPr>
                <w:rFonts w:hint="default" w:ascii="Times New Roman" w:hAnsi="Times New Roman" w:eastAsia="宋体" w:cs="Times New Roman"/>
                <w:color w:val="auto"/>
                <w:spacing w:val="0"/>
                <w:sz w:val="24"/>
                <w:szCs w:val="24"/>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26" w:type="pct"/>
            <w:vAlign w:val="center"/>
          </w:tcPr>
          <w:p>
            <w:pPr>
              <w:widowControl w:val="0"/>
              <w:topLinePunct/>
              <w:adjustRightInd w:val="0"/>
              <w:snapToGrid w:val="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专项评价设置情况</w:t>
            </w:r>
          </w:p>
        </w:tc>
        <w:tc>
          <w:tcPr>
            <w:tcW w:w="4373" w:type="pct"/>
            <w:gridSpan w:val="3"/>
            <w:vAlign w:val="center"/>
          </w:tcPr>
          <w:p>
            <w:pPr>
              <w:widowControl w:val="0"/>
              <w:topLinePunct/>
              <w:adjustRightInd w:val="0"/>
              <w:snapToGrid w:val="0"/>
              <w:spacing w:after="0"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对照《建设项目环境影响报告表编制建设指南——污染影响类》专题评价设置原则表，本项目专题评价设置情况判定如表1.1-1，经判定，本项目无需设置专项评价。</w:t>
            </w:r>
          </w:p>
          <w:p>
            <w:pPr>
              <w:widowControl w:val="0"/>
              <w:topLinePunct/>
              <w:adjustRightInd w:val="0"/>
              <w:snapToGrid w:val="0"/>
              <w:spacing w:after="0" w:line="360" w:lineRule="auto"/>
              <w:jc w:val="center"/>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表1.1-1  项目专项评价设置情况一览表</w:t>
            </w:r>
          </w:p>
          <w:tbl>
            <w:tblPr>
              <w:tblStyle w:val="37"/>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3279"/>
              <w:gridCol w:w="2387"/>
              <w:gridCol w:w="1059"/>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专项评价类别</w:t>
                  </w:r>
                </w:p>
              </w:tc>
              <w:tc>
                <w:tcPr>
                  <w:tcW w:w="2118" w:type="pct"/>
                  <w:tcBorders>
                    <w:tl2br w:val="nil"/>
                    <w:tr2bl w:val="nil"/>
                  </w:tcBorders>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设置原则</w:t>
                  </w:r>
                </w:p>
              </w:tc>
              <w:tc>
                <w:tcPr>
                  <w:tcW w:w="1542"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项目情况</w:t>
                  </w:r>
                </w:p>
              </w:tc>
              <w:tc>
                <w:tcPr>
                  <w:tcW w:w="684"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判定结果</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2118" w:type="pct"/>
                  <w:tcBorders>
                    <w:tl2br w:val="nil"/>
                    <w:tr2bl w:val="nil"/>
                  </w:tcBorders>
                  <w:vAlign w:val="center"/>
                </w:tcPr>
                <w:p>
                  <w:pPr>
                    <w:widowControl w:val="0"/>
                    <w:topLinePunct/>
                    <w:adjustRightIn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排放废气含有毒有害污染物、二噁英、苯并芘、氰化物、氯气，且厂界外500米范围内有环境空气保护目标的项目</w:t>
                  </w:r>
                </w:p>
              </w:tc>
              <w:tc>
                <w:tcPr>
                  <w:tcW w:w="1542"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废气排放不含有毒有害污染物、二噁英、苯并芘、氰化物、氯气</w:t>
                  </w:r>
                </w:p>
              </w:tc>
              <w:tc>
                <w:tcPr>
                  <w:tcW w:w="684" w:type="pct"/>
                  <w:tcBorders>
                    <w:tl2br w:val="nil"/>
                    <w:tr2bl w:val="nil"/>
                  </w:tcBorders>
                  <w:vAlign w:val="center"/>
                </w:tcPr>
                <w:p>
                  <w:pPr>
                    <w:widowControl w:val="0"/>
                    <w:topLinePunct/>
                    <w:adjustRightIn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2118" w:type="pct"/>
                  <w:tcBorders>
                    <w:tl2br w:val="nil"/>
                    <w:tr2bl w:val="nil"/>
                  </w:tcBorders>
                  <w:vAlign w:val="center"/>
                </w:tcPr>
                <w:p>
                  <w:pPr>
                    <w:widowControl w:val="0"/>
                    <w:topLinePunct/>
                    <w:adjustRightIn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新增工业废水直排建设项目（槽罐车外送污水处理厂的除外），新增废水直排的污水集中处理厂</w:t>
                  </w:r>
                </w:p>
              </w:tc>
              <w:tc>
                <w:tcPr>
                  <w:tcW w:w="1542"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sz w:val="21"/>
                      <w:szCs w:val="21"/>
                    </w:rPr>
                    <w:t>废水</w:t>
                  </w:r>
                  <w:r>
                    <w:rPr>
                      <w:rFonts w:hint="default" w:ascii="Times New Roman" w:hAnsi="Times New Roman" w:eastAsia="宋体" w:cs="Times New Roman"/>
                      <w:color w:val="auto"/>
                      <w:sz w:val="21"/>
                      <w:szCs w:val="21"/>
                      <w:lang w:val="en-US" w:eastAsia="zh-CN"/>
                    </w:rPr>
                    <w:t>经预处理后排至融元污水处理厂</w:t>
                  </w:r>
                </w:p>
              </w:tc>
              <w:tc>
                <w:tcPr>
                  <w:tcW w:w="68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2118" w:type="pct"/>
                  <w:tcBorders>
                    <w:tl2br w:val="nil"/>
                    <w:tr2bl w:val="nil"/>
                  </w:tcBorders>
                  <w:vAlign w:val="center"/>
                </w:tcPr>
                <w:p>
                  <w:pPr>
                    <w:widowControl w:val="0"/>
                    <w:topLinePunct/>
                    <w:adjustRightIn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有毒有害和易燃易爆危险物质存储量超过临界量的建设项目</w:t>
                  </w:r>
                </w:p>
              </w:tc>
              <w:tc>
                <w:tcPr>
                  <w:tcW w:w="1542" w:type="pct"/>
                  <w:tcBorders>
                    <w:tl2br w:val="nil"/>
                    <w:tr2bl w:val="nil"/>
                  </w:tcBorders>
                  <w:vAlign w:val="center"/>
                </w:tcPr>
                <w:p>
                  <w:pPr>
                    <w:widowControl w:val="0"/>
                    <w:topLinePunct/>
                    <w:adjustRightIn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项目有毒有害危险物质存储量未超过临界量</w:t>
                  </w:r>
                </w:p>
              </w:tc>
              <w:tc>
                <w:tcPr>
                  <w:tcW w:w="68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2118" w:type="pct"/>
                  <w:tcBorders>
                    <w:tl2br w:val="nil"/>
                    <w:tr2bl w:val="nil"/>
                  </w:tcBorders>
                  <w:vAlign w:val="center"/>
                </w:tcPr>
                <w:p>
                  <w:pPr>
                    <w:widowControl w:val="0"/>
                    <w:topLinePunct/>
                    <w:adjustRightIn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取水口下游500米范围内有重要水生生物的自然产卵场、索饵场、越冬场和洄游通道的新增河道取水的污染类建设项目</w:t>
                  </w:r>
                </w:p>
              </w:tc>
              <w:tc>
                <w:tcPr>
                  <w:tcW w:w="1542" w:type="pct"/>
                  <w:tcBorders>
                    <w:tl2br w:val="nil"/>
                    <w:tr2bl w:val="nil"/>
                  </w:tcBorders>
                  <w:vAlign w:val="center"/>
                </w:tcPr>
                <w:p>
                  <w:pPr>
                    <w:widowControl w:val="0"/>
                    <w:topLinePunct/>
                    <w:adjustRightIn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项目使用园区自来水，无设置取水口</w:t>
                  </w:r>
                </w:p>
              </w:tc>
              <w:tc>
                <w:tcPr>
                  <w:tcW w:w="68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海洋</w:t>
                  </w:r>
                </w:p>
              </w:tc>
              <w:tc>
                <w:tcPr>
                  <w:tcW w:w="2118" w:type="pct"/>
                  <w:tcBorders>
                    <w:tl2br w:val="nil"/>
                    <w:tr2bl w:val="nil"/>
                  </w:tcBorders>
                  <w:vAlign w:val="center"/>
                </w:tcPr>
                <w:p>
                  <w:pPr>
                    <w:widowControl w:val="0"/>
                    <w:topLinePunct/>
                    <w:adjustRightIn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直接向海排放污染物的海洋工程建设项目</w:t>
                  </w:r>
                </w:p>
              </w:tc>
              <w:tc>
                <w:tcPr>
                  <w:tcW w:w="1542" w:type="pct"/>
                  <w:tcBorders>
                    <w:tl2br w:val="nil"/>
                    <w:tr2bl w:val="nil"/>
                  </w:tcBorders>
                  <w:vAlign w:val="center"/>
                </w:tcPr>
                <w:p>
                  <w:pPr>
                    <w:widowControl w:val="0"/>
                    <w:topLinePunct/>
                    <w:adjustRightIn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本项目不属于海洋工程建设项目</w:t>
                  </w:r>
                </w:p>
              </w:tc>
              <w:tc>
                <w:tcPr>
                  <w:tcW w:w="68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无需开展</w:t>
                  </w:r>
                </w:p>
              </w:tc>
            </w:tr>
          </w:tbl>
          <w:p>
            <w:pPr>
              <w:pStyle w:val="14"/>
              <w:widowControl w:val="0"/>
              <w:topLinePunct/>
              <w:ind w:firstLine="0" w:firstLineChars="0"/>
              <w:outlineLvl w:val="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626" w:type="pc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规划情况</w:t>
            </w:r>
          </w:p>
        </w:tc>
        <w:tc>
          <w:tcPr>
            <w:tcW w:w="4373" w:type="pct"/>
            <w:gridSpan w:val="3"/>
            <w:vAlign w:val="center"/>
          </w:tcPr>
          <w:p>
            <w:pPr>
              <w:widowControl w:val="0"/>
              <w:topLinePunct/>
              <w:spacing w:after="0" w:line="360" w:lineRule="auto"/>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规划文件名称：《福清融侨经济技术开发区总体规划（2018-2035年）》</w:t>
            </w:r>
          </w:p>
          <w:p>
            <w:pPr>
              <w:widowControl w:val="0"/>
              <w:topLinePunct/>
              <w:spacing w:after="0" w:line="360" w:lineRule="auto"/>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审批机关：福清市人民政府</w:t>
            </w:r>
          </w:p>
          <w:p>
            <w:pPr>
              <w:widowControl w:val="0"/>
              <w:topLinePunct/>
              <w:spacing w:after="0" w:line="360" w:lineRule="auto"/>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审批文件名称及文号：《福清市人民政府关于同意融侨经济技术开发区总体规划（2018-2035年）编制范围的批复》（融政综〔2019〕189号）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26" w:type="pct"/>
            <w:vAlign w:val="center"/>
          </w:tcPr>
          <w:p>
            <w:pPr>
              <w:widowControl w:val="0"/>
              <w:topLinePunct/>
              <w:adjustRightInd w:val="0"/>
              <w:snapToGrid w:val="0"/>
              <w:spacing w:after="0" w:line="36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规划环境影响评价情况</w:t>
            </w:r>
          </w:p>
        </w:tc>
        <w:tc>
          <w:tcPr>
            <w:tcW w:w="4373" w:type="pct"/>
            <w:gridSpan w:val="3"/>
            <w:vAlign w:val="center"/>
          </w:tcPr>
          <w:p>
            <w:pPr>
              <w:widowControl w:val="0"/>
              <w:topLinePunct/>
              <w:spacing w:after="0" w:line="360" w:lineRule="auto"/>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规划环评名称：《福清融侨经济技术开发区总体规划环境影响报告书（2018-2035年）》</w:t>
            </w:r>
          </w:p>
          <w:p>
            <w:pPr>
              <w:widowControl w:val="0"/>
              <w:topLinePunct/>
              <w:spacing w:after="0" w:line="360" w:lineRule="auto"/>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召集审查机关：中华人民共和国生态环境部</w:t>
            </w:r>
          </w:p>
          <w:p>
            <w:pPr>
              <w:widowControl w:val="0"/>
              <w:topLinePunct/>
              <w:spacing w:after="0" w:line="360" w:lineRule="auto"/>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审批文件名称及文号：《关于印发&lt;福清融侨经济技术开发区总体规划环境影响报告书（2018-2035年）&gt;的审查意见》（环审〔2020〕80号，附件6）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626" w:type="pct"/>
            <w:vAlign w:val="center"/>
          </w:tcPr>
          <w:p>
            <w:pPr>
              <w:widowControl w:val="0"/>
              <w:topLinePunct/>
              <w:adjustRightInd w:val="0"/>
              <w:snapToGrid w:val="0"/>
              <w:spacing w:after="0" w:line="36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规划及规划环境影响评价符合性分析</w:t>
            </w:r>
          </w:p>
        </w:tc>
        <w:tc>
          <w:tcPr>
            <w:tcW w:w="4373" w:type="pct"/>
            <w:gridSpan w:val="3"/>
            <w:vAlign w:val="center"/>
          </w:tcPr>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w:t>
            </w:r>
            <w:r>
              <w:rPr>
                <w:rFonts w:hint="eastAsia" w:ascii="Times New Roman" w:hAnsi="Times New Roman" w:eastAsia="宋体" w:cs="Times New Roman"/>
                <w:color w:val="auto"/>
                <w:sz w:val="24"/>
                <w:szCs w:val="24"/>
                <w:lang w:eastAsia="zh-CN"/>
              </w:rPr>
              <w:t>福清融侨经济技术开发区（租赁福建茂华投资有限公司2号厂房2层）</w:t>
            </w:r>
            <w:r>
              <w:rPr>
                <w:rFonts w:hint="default" w:ascii="Times New Roman" w:hAnsi="Times New Roman" w:eastAsia="宋体" w:cs="Times New Roman"/>
                <w:color w:val="auto"/>
                <w:sz w:val="24"/>
                <w:szCs w:val="24"/>
              </w:rPr>
              <w:t>，因此本项目进行与《福清融侨经济技术开发区总体规划（2018-2035年）》相符性分析以及与《关于印发&lt;福清融侨经济技术开发区总体规划环境影响报告书（2018-2035年）&gt;的审查意见》（环审〔2020〕80号，附件6）相符性分析。</w:t>
            </w:r>
          </w:p>
          <w:p>
            <w:pPr>
              <w:widowControl w:val="0"/>
              <w:topLinePunct/>
              <w:spacing w:after="0" w:line="360" w:lineRule="auto"/>
              <w:jc w:val="both"/>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一、与《福清融侨经济技术开发区总体规划（2018-2035年）》</w:t>
            </w:r>
            <w:r>
              <w:rPr>
                <w:rFonts w:hint="eastAsia" w:ascii="Times New Roman" w:hAnsi="Times New Roman" w:eastAsia="宋体" w:cs="Times New Roman"/>
                <w:b/>
                <w:bCs/>
                <w:color w:val="auto"/>
                <w:sz w:val="24"/>
                <w:szCs w:val="24"/>
                <w:lang w:val="en-US" w:eastAsia="zh-CN"/>
              </w:rPr>
              <w:t>及规划环评</w:t>
            </w:r>
            <w:r>
              <w:rPr>
                <w:rFonts w:hint="default" w:ascii="Times New Roman" w:hAnsi="Times New Roman" w:eastAsia="宋体" w:cs="Times New Roman"/>
                <w:b/>
                <w:bCs/>
                <w:color w:val="auto"/>
                <w:sz w:val="24"/>
                <w:szCs w:val="24"/>
              </w:rPr>
              <w:t>相符性分析</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本项目位于福清融侨经济开发区范围内，厂区地块为工业用地，与《福清融侨经济技术开发区总体规划（2018-2035年）》中的土地利用规划相符合，见附图4。</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福清融侨经济技术开发区总体规划环境影响报告书(2018-2035年)》及其审查意见(环审[2020]80号)，融侨经济技术开发区主要以电子信息：显示科技、光电科技、电子元器件、通讯设备、计算机与智能终端设备等。机械电气：数控机床、精密磨具、光机电一体化等。汽车零配件：汽配玻璃、汽车零部件、变速器、汽车轴承等。根据开发区对主要产业发展方向的定位，对照《国民经济行业分类》（GB/T4754-2017），主导行业涉及国民经济类别主要包括C29、C304、C33、C34、C35、C36、C38、C39、C40；“规划区主导产业环境准入原则” 提出“主导产业C29橡胶和塑料制品业应禁止新建：涉及开炼、密炼、硫化工艺；采用煤、油、生物质等非清洁能源；再生橡胶制造、橡胶加工、橡胶制品翻新；废旧塑料再生。现有生产能力允许企业在一定期限内采取措施改造升级”。“规划区非主导产业环境准入原则”提出严禁引入“C17纺织业（含印染精加工）；C22造纸和纸制品业（纸制品制造除外）；C26化学原料和化学制品制造业（工业气体生产除外）；C32有色金属冶炼及压延加工业（压延加工除外）；其他非主导行业：1、禁止新建含电镀工艺、冶炼工艺、电解铝的项目，现有生产能力一定期限内搬迁；2、包装印刷业禁止使用不符合环保要求的油墨、胶黏剂。”</w:t>
            </w:r>
          </w:p>
          <w:p>
            <w:pPr>
              <w:widowControl w:val="0"/>
              <w:topLinePunct/>
              <w:spacing w:after="0" w:line="360" w:lineRule="auto"/>
              <w:ind w:firstLine="480" w:firstLineChars="200"/>
              <w:jc w:val="both"/>
              <w:outlineLvl w:val="9"/>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本本次扩建项目，属于C1432 速冻食品制造，属于该园区其他非主导行业，</w:t>
            </w:r>
            <w:r>
              <w:rPr>
                <w:rFonts w:hint="eastAsia" w:ascii="Times New Roman" w:hAnsi="Times New Roman" w:eastAsia="宋体" w:cs="Times New Roman"/>
                <w:color w:val="auto"/>
                <w:sz w:val="24"/>
                <w:szCs w:val="24"/>
                <w:lang w:val="en-US" w:eastAsia="zh-CN"/>
              </w:rPr>
              <w:t>不在规划区非主导产业禁止建设的范围内，</w:t>
            </w:r>
            <w:r>
              <w:rPr>
                <w:rFonts w:hint="default" w:ascii="Times New Roman" w:hAnsi="Times New Roman" w:eastAsia="宋体" w:cs="Times New Roman"/>
                <w:color w:val="auto"/>
                <w:sz w:val="24"/>
                <w:szCs w:val="24"/>
              </w:rPr>
              <w:t>符合该园区规划环评的产业政策</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rPr>
              <w:t>与规划区配套及其他行业环境准入清单符合性分析见表1.1-2。</w:t>
            </w:r>
          </w:p>
          <w:p>
            <w:pPr>
              <w:widowControl w:val="0"/>
              <w:topLinePunct/>
              <w:adjustRightInd w:val="0"/>
              <w:snapToGrid w:val="0"/>
              <w:spacing w:after="0" w:line="360" w:lineRule="auto"/>
              <w:jc w:val="center"/>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4"/>
                <w:szCs w:val="24"/>
              </w:rPr>
              <w:t>表1.1-2 与规划区配套及其他行业环境准入清单符合性分析表</w:t>
            </w:r>
          </w:p>
          <w:tbl>
            <w:tblPr>
              <w:tblStyle w:val="38"/>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669"/>
              <w:gridCol w:w="3300"/>
              <w:gridCol w:w="2259"/>
              <w:gridCol w:w="689"/>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0" w:type="pct"/>
                  <w:tcBorders>
                    <w:tl2br w:val="nil"/>
                    <w:tr2bl w:val="nil"/>
                  </w:tcBorders>
                  <w:vAlign w:val="center"/>
                </w:tcPr>
                <w:p>
                  <w:pPr>
                    <w:pStyle w:val="192"/>
                    <w:widowControl w:val="0"/>
                    <w:topLinePunct/>
                    <w:spacing w:before="0" w:beforeLines="0" w:after="0" w:afterLines="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类别名称</w:t>
                  </w:r>
                </w:p>
              </w:tc>
              <w:tc>
                <w:tcPr>
                  <w:tcW w:w="432" w:type="pct"/>
                  <w:tcBorders>
                    <w:tl2br w:val="nil"/>
                    <w:tr2bl w:val="nil"/>
                  </w:tcBorders>
                  <w:vAlign w:val="center"/>
                </w:tcPr>
                <w:p>
                  <w:pPr>
                    <w:pStyle w:val="192"/>
                    <w:widowControl w:val="0"/>
                    <w:topLinePunct/>
                    <w:spacing w:before="0" w:beforeLines="0" w:after="0" w:afterLines="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类型</w:t>
                  </w:r>
                </w:p>
              </w:tc>
              <w:tc>
                <w:tcPr>
                  <w:tcW w:w="2131" w:type="pct"/>
                  <w:tcBorders>
                    <w:tl2br w:val="nil"/>
                    <w:tr2bl w:val="nil"/>
                  </w:tcBorders>
                  <w:vAlign w:val="center"/>
                </w:tcPr>
                <w:p>
                  <w:pPr>
                    <w:pStyle w:val="192"/>
                    <w:widowControl w:val="0"/>
                    <w:topLinePunct/>
                    <w:spacing w:before="0" w:beforeLines="0" w:after="0" w:afterLines="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要求</w:t>
                  </w:r>
                </w:p>
              </w:tc>
              <w:tc>
                <w:tcPr>
                  <w:tcW w:w="1459" w:type="pct"/>
                  <w:tcBorders>
                    <w:tl2br w:val="nil"/>
                    <w:tr2bl w:val="nil"/>
                  </w:tcBorders>
                  <w:vAlign w:val="center"/>
                </w:tcPr>
                <w:p>
                  <w:pPr>
                    <w:pStyle w:val="192"/>
                    <w:widowControl w:val="0"/>
                    <w:topLinePunct/>
                    <w:spacing w:before="0" w:beforeLines="0" w:after="0" w:afterLines="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p>
              </w:tc>
              <w:tc>
                <w:tcPr>
                  <w:tcW w:w="445" w:type="pct"/>
                  <w:tcBorders>
                    <w:tl2br w:val="nil"/>
                    <w:tr2bl w:val="nil"/>
                  </w:tcBorders>
                  <w:vAlign w:val="center"/>
                </w:tcPr>
                <w:p>
                  <w:pPr>
                    <w:pStyle w:val="192"/>
                    <w:widowControl w:val="0"/>
                    <w:topLinePunct/>
                    <w:spacing w:before="0" w:beforeLines="0" w:after="0" w:afterLines="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0" w:type="pct"/>
                  <w:vMerge w:val="restart"/>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其他非主导行业</w:t>
                  </w:r>
                </w:p>
              </w:tc>
              <w:tc>
                <w:tcPr>
                  <w:tcW w:w="432" w:type="pct"/>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131" w:type="pct"/>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1、禁止新建，含电镀工艺、冶炼工艺、电解铝的项目，现有生产能力一定期限内搬迁；</w:t>
                  </w:r>
                </w:p>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2、包装印刷业禁止使用不符合环保要求的油墨、胶黏剂。</w:t>
                  </w:r>
                </w:p>
              </w:tc>
              <w:tc>
                <w:tcPr>
                  <w:tcW w:w="1459" w:type="pct"/>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不涉及，本项目属于速冻食品制造行业。</w:t>
                  </w:r>
                </w:p>
              </w:tc>
              <w:tc>
                <w:tcPr>
                  <w:tcW w:w="445" w:type="pct"/>
                  <w:tcBorders>
                    <w:tl2br w:val="nil"/>
                    <w:tr2bl w:val="nil"/>
                  </w:tcBorders>
                  <w:vAlign w:val="center"/>
                </w:tcPr>
                <w:p>
                  <w:pPr>
                    <w:pStyle w:val="192"/>
                    <w:widowControl w:val="0"/>
                    <w:topLinePunct/>
                    <w:spacing w:before="0" w:beforeLines="0" w:after="0" w:afterLines="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0" w:type="pct"/>
                  <w:vMerge w:val="continue"/>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p>
              </w:tc>
              <w:tc>
                <w:tcPr>
                  <w:tcW w:w="432" w:type="pct"/>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131" w:type="pct"/>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1、必须规范配套应急池，建设企业、园区和周边水系三级环境风险防控工程，确保有效拦截、降污和倒流；受园区排污影响的周边水系应建设应急闸门，防止泄漏物和消防水等排入外环境。</w:t>
                  </w:r>
                </w:p>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2、开发区内污水处理设施应采取必要的防渗处理，不得污染地下水环境。</w:t>
                  </w:r>
                </w:p>
              </w:tc>
              <w:tc>
                <w:tcPr>
                  <w:tcW w:w="1459" w:type="pct"/>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租赁福建茂华投资有限公司2号厂房进行生产活动，仅产生少量生产废水，为设备、工作台及车间清洗废水，水质与生活污水接近，经化粪池处理后排入市政污水管网送往融元污水处理厂集中处理，厂内不另设污水处理设施。</w:t>
                  </w:r>
                </w:p>
              </w:tc>
              <w:tc>
                <w:tcPr>
                  <w:tcW w:w="445" w:type="pct"/>
                  <w:tcBorders>
                    <w:tl2br w:val="nil"/>
                    <w:tr2bl w:val="nil"/>
                  </w:tcBorders>
                  <w:vAlign w:val="center"/>
                </w:tcPr>
                <w:p>
                  <w:pPr>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0" w:type="pct"/>
                  <w:vMerge w:val="continue"/>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p>
              </w:tc>
              <w:tc>
                <w:tcPr>
                  <w:tcW w:w="432" w:type="pct"/>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131" w:type="pct"/>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1、新、改、扩建项目新增大气污染物（现阶段指SO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、NOx）排放量实行1.5倍削减替代（不含使用天然气、液化石油气等作为燃料的非火电锅炉和工业炉窑）。</w:t>
                  </w:r>
                </w:p>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2、新、改、扩建项目新增VOCs排放量实行倍量削减替代。</w:t>
                  </w:r>
                </w:p>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3、工业企业废水全部纳管进入污水厂集中处理后达标排放。</w:t>
                  </w:r>
                </w:p>
              </w:tc>
              <w:tc>
                <w:tcPr>
                  <w:tcW w:w="1459" w:type="pct"/>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、NOx、VOCs等污染因子排放，生产废水水质与生活污水接近，经化粪池处理后排入市政污水管网送往融元污水处理厂集中处理。</w:t>
                  </w:r>
                </w:p>
              </w:tc>
              <w:tc>
                <w:tcPr>
                  <w:tcW w:w="445" w:type="pct"/>
                  <w:tcBorders>
                    <w:tl2br w:val="nil"/>
                    <w:tr2bl w:val="nil"/>
                  </w:tcBorders>
                  <w:vAlign w:val="center"/>
                </w:tcPr>
                <w:p>
                  <w:pPr>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0" w:type="pct"/>
                  <w:vMerge w:val="continue"/>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p>
              </w:tc>
              <w:tc>
                <w:tcPr>
                  <w:tcW w:w="432" w:type="pct"/>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资源环境效率管控</w:t>
                  </w:r>
                </w:p>
              </w:tc>
              <w:tc>
                <w:tcPr>
                  <w:tcW w:w="2131" w:type="pct"/>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1、能耗不超过0.23t标煤/万元工业增加值。</w:t>
                  </w:r>
                </w:p>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2、水耗不超过6.90 t/万元工业增加值。</w:t>
                  </w:r>
                </w:p>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3、污水排放量不超过5.43t/万元工业增加值。</w:t>
                  </w:r>
                </w:p>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4、VOCs排放量不超过0.46kg/万元工业增加值。</w:t>
                  </w:r>
                </w:p>
              </w:tc>
              <w:tc>
                <w:tcPr>
                  <w:tcW w:w="1459" w:type="pct"/>
                  <w:tcBorders>
                    <w:tl2br w:val="nil"/>
                    <w:tr2bl w:val="nil"/>
                  </w:tcBorders>
                  <w:vAlign w:val="center"/>
                </w:tcPr>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经建设单位提供信息，工业增加值为100万元/年。</w:t>
                  </w:r>
                </w:p>
                <w:p>
                  <w:pPr>
                    <w:pStyle w:val="192"/>
                    <w:widowControl w:val="0"/>
                    <w:topLinePunct/>
                    <w:spacing w:before="0" w:beforeLines="0" w:after="0" w:afterLines="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1、项目用电量10万kWh/a，折合标煤为12.29t/a，能耗为0.1229t标煤/万元工业增加值。</w:t>
                  </w:r>
                </w:p>
                <w:p>
                  <w:pPr>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2、项目用水量为658.5t/a，水耗为6.585t/万元工业增加值。</w:t>
                  </w:r>
                </w:p>
                <w:p>
                  <w:pPr>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3、项目污水排放量为520t/a，污水排放量5.2t/万元工业增加值。</w:t>
                  </w:r>
                </w:p>
                <w:p>
                  <w:pPr>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4、不涉及</w:t>
                  </w:r>
                  <w:r>
                    <w:rPr>
                      <w:rFonts w:hint="default" w:ascii="Times New Roman" w:hAnsi="Times New Roman" w:eastAsia="宋体" w:cs="Times New Roman"/>
                      <w:color w:val="auto"/>
                      <w:sz w:val="21"/>
                      <w:szCs w:val="21"/>
                      <w:lang w:val="en-US" w:eastAsia="zh-CN"/>
                    </w:rPr>
                    <w:t>该项</w:t>
                  </w:r>
                  <w:r>
                    <w:rPr>
                      <w:rFonts w:hint="default" w:ascii="Times New Roman" w:hAnsi="Times New Roman" w:eastAsia="宋体" w:cs="Times New Roman"/>
                      <w:color w:val="auto"/>
                      <w:sz w:val="21"/>
                      <w:szCs w:val="21"/>
                    </w:rPr>
                    <w:t>。</w:t>
                  </w:r>
                </w:p>
              </w:tc>
              <w:tc>
                <w:tcPr>
                  <w:tcW w:w="445" w:type="pct"/>
                  <w:tcBorders>
                    <w:tl2br w:val="nil"/>
                    <w:tr2bl w:val="nil"/>
                  </w:tcBorders>
                  <w:vAlign w:val="center"/>
                </w:tcPr>
                <w:p>
                  <w:pPr>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widowControl w:val="0"/>
              <w:topLinePunct/>
              <w:spacing w:after="0" w:line="360" w:lineRule="auto"/>
              <w:ind w:firstLine="480" w:firstLineChars="200"/>
              <w:jc w:val="both"/>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本次扩建项目，属于C1432 速冻食品制造，属于该园区其他非主导行业，符合其他行业环境准入清单，因此，符合该园区规划环评的产业政策。</w:t>
            </w:r>
          </w:p>
          <w:p>
            <w:pPr>
              <w:widowControl w:val="0"/>
              <w:topLinePunct/>
              <w:spacing w:after="0" w:line="360" w:lineRule="auto"/>
              <w:jc w:val="both"/>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二、与《关于印发&lt;福清融侨经济技术开发区总体规划环境影响报告书（2018-2035年）&gt;的审查意见》（环审〔2020〕80号，附件6）相符性分析</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关于印发&lt;福清融侨经济技术开发区总体规划环境影响报告书（2018-2035年）&gt;的审查意见》中要求：“严格入区项目生态环境准入，推动高质量发展。落实《报告书》生态环境准入要求，强化现有及入区企业挥发性有机物排放控制，禁止新增排放涉重金属污染物项目入区，禁止与主导产业不相关且污染物排放量大的项目入区。落实《福州市环境总体规划(2013-2030)》关于禁止大气污染型建设项目入区的要求。执行最严格的行业废水、废气排放控制指标。”</w:t>
            </w:r>
          </w:p>
          <w:p>
            <w:pPr>
              <w:pStyle w:val="14"/>
              <w:widowControl w:val="0"/>
              <w:topLinePunct/>
              <w:spacing w:after="0"/>
              <w:ind w:firstLine="480"/>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本项目属于速冻食品制造行业，</w:t>
            </w:r>
            <w:r>
              <w:rPr>
                <w:rFonts w:hint="default" w:ascii="Times New Roman" w:hAnsi="Times New Roman" w:eastAsia="宋体" w:cs="Times New Roman"/>
                <w:color w:val="auto"/>
                <w:sz w:val="24"/>
                <w:szCs w:val="24"/>
                <w:lang w:val="en-US" w:eastAsia="zh-CN"/>
              </w:rPr>
              <w:t>废气</w:t>
            </w:r>
            <w:r>
              <w:rPr>
                <w:rFonts w:hint="default" w:ascii="Times New Roman" w:hAnsi="Times New Roman" w:eastAsia="宋体" w:cs="Times New Roman"/>
                <w:color w:val="auto"/>
                <w:sz w:val="24"/>
                <w:szCs w:val="24"/>
              </w:rPr>
              <w:t>涉及</w:t>
            </w:r>
            <w:r>
              <w:rPr>
                <w:rFonts w:hint="default" w:ascii="Times New Roman" w:hAnsi="Times New Roman" w:eastAsia="宋体" w:cs="Times New Roman"/>
                <w:color w:val="auto"/>
                <w:sz w:val="24"/>
                <w:szCs w:val="24"/>
                <w:lang w:val="en-US" w:eastAsia="zh-CN"/>
              </w:rPr>
              <w:t>颗粒物和油烟</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不涉及</w:t>
            </w:r>
            <w:r>
              <w:rPr>
                <w:rFonts w:hint="default" w:ascii="Times New Roman" w:hAnsi="Times New Roman" w:eastAsia="宋体" w:cs="Times New Roman"/>
                <w:color w:val="auto"/>
                <w:sz w:val="24"/>
                <w:szCs w:val="24"/>
              </w:rPr>
              <w:t>重金属等污染物，不属于主导产业不相关且污染物排放量大的项目，因此，本项目建设符合规划环评及其审查意见。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626" w:type="pct"/>
            <w:vAlign w:val="center"/>
          </w:tcPr>
          <w:p>
            <w:pPr>
              <w:widowControl w:val="0"/>
              <w:topLinePunct/>
              <w:adjustRightInd w:val="0"/>
              <w:snapToGrid w:val="0"/>
              <w:spacing w:after="0" w:line="36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其他符合性分析</w:t>
            </w:r>
          </w:p>
        </w:tc>
        <w:tc>
          <w:tcPr>
            <w:tcW w:w="4373" w:type="pct"/>
            <w:gridSpan w:val="3"/>
            <w:vAlign w:val="center"/>
          </w:tcPr>
          <w:p>
            <w:pPr>
              <w:pStyle w:val="14"/>
              <w:widowControl w:val="0"/>
              <w:topLinePunct/>
              <w:spacing w:after="0"/>
              <w:ind w:firstLine="0" w:firstLineChars="0"/>
              <w:jc w:val="both"/>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1、产业政策符合性分析</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主要从事速冻食品制造，项目不属于《产业结构调整指导目录（2024年本）》中限制和淘汰类的项目，通过了福清市工业和信息化局的备案（闽工信备[2024]A060016号，详见附件2），因此项目的建设内容符合国家和地方相关产业政策要求。</w:t>
            </w:r>
          </w:p>
          <w:p>
            <w:pPr>
              <w:widowControl w:val="0"/>
              <w:topLinePunct/>
              <w:spacing w:after="0" w:line="360" w:lineRule="auto"/>
              <w:ind w:firstLine="482" w:firstLineChars="200"/>
              <w:jc w:val="both"/>
              <w:outlineLvl w:val="9"/>
              <w:rPr>
                <w:rFonts w:hint="default" w:ascii="Times New Roman" w:hAnsi="Times New Roman" w:eastAsia="宋体" w:cs="Times New Roman"/>
                <w:b/>
                <w:bCs/>
                <w:color w:val="auto"/>
                <w:kern w:val="21"/>
                <w:sz w:val="24"/>
                <w:szCs w:val="24"/>
              </w:rPr>
            </w:pPr>
            <w:r>
              <w:rPr>
                <w:rFonts w:hint="default" w:ascii="Times New Roman" w:hAnsi="Times New Roman" w:eastAsia="宋体" w:cs="Times New Roman"/>
                <w:b/>
                <w:bCs/>
                <w:color w:val="auto"/>
                <w:kern w:val="21"/>
                <w:sz w:val="24"/>
                <w:szCs w:val="24"/>
              </w:rPr>
              <w:t>2、土地利用总体规划符合性分析</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本项目租赁福建茂华投资有限公司位于</w:t>
            </w:r>
            <w:r>
              <w:rPr>
                <w:rFonts w:hint="eastAsia" w:ascii="Times New Roman" w:hAnsi="Times New Roman" w:eastAsia="宋体" w:cs="Times New Roman"/>
                <w:color w:val="auto"/>
                <w:sz w:val="24"/>
                <w:szCs w:val="24"/>
                <w:lang w:eastAsia="zh-CN"/>
              </w:rPr>
              <w:t>福清融侨经济技术开发区</w:t>
            </w:r>
            <w:r>
              <w:rPr>
                <w:rFonts w:hint="eastAsia"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rPr>
              <w:t>2号厂房，福建茂华投资有限公司于2022年12月9日取得的不动产登记证（闽（2017）福清市不动产权第0000262号，详见附件5），其用地性质为工业用地。</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因此，建设单位于此地进行生产活动，与土地利用总体规划并不冲突，符合土地利用的总体规划。</w:t>
            </w:r>
          </w:p>
          <w:p>
            <w:pPr>
              <w:pStyle w:val="14"/>
              <w:widowControl w:val="0"/>
              <w:topLinePunct/>
              <w:spacing w:after="0"/>
              <w:ind w:firstLine="482"/>
              <w:jc w:val="both"/>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3、所在地“三线一单”分析</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（1）所在地“三线一单”分析</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①生态保护红线符合性分析</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对照《福建省生态保护红线划定方案》及其调整方案，本项目位于</w:t>
            </w:r>
            <w:r>
              <w:rPr>
                <w:rFonts w:hint="eastAsia" w:ascii="Times New Roman" w:hAnsi="Times New Roman" w:eastAsia="宋体" w:cs="Times New Roman"/>
                <w:color w:val="auto"/>
                <w:sz w:val="24"/>
                <w:szCs w:val="24"/>
                <w:lang w:eastAsia="zh-CN"/>
              </w:rPr>
              <w:t>福清融侨经济技术开发区</w:t>
            </w:r>
            <w:r>
              <w:rPr>
                <w:rFonts w:hint="default" w:ascii="Times New Roman" w:hAnsi="Times New Roman" w:eastAsia="宋体" w:cs="Times New Roman"/>
                <w:color w:val="auto"/>
                <w:sz w:val="24"/>
                <w:szCs w:val="24"/>
              </w:rPr>
              <w:t>。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②环境质量底线符合性分析</w:t>
            </w:r>
          </w:p>
          <w:p>
            <w:pPr>
              <w:widowControl w:val="0"/>
              <w:topLinePunct/>
              <w:spacing w:after="0" w:line="360" w:lineRule="auto"/>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周边水系太城溪属于龙江流域，各因子均符合《地表水环境质量标准》（GB3838-2002）中IV类标准；项目所在区域的环境空气质量现状符合《环境空气质量标准》（GB3095-2012）二级标准，属于达标区；项目所在区域声环境质量现状符合《声环境质量标准》（GB3096-2008）中3类标准。因此，项目所在区域环境现状质量良好。</w:t>
            </w:r>
          </w:p>
          <w:p>
            <w:pPr>
              <w:widowControl w:val="0"/>
              <w:topLinePunct/>
              <w:spacing w:after="0" w:line="360" w:lineRule="auto"/>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扩建项目运营期生产废水、生活污水经厂区现有化粪池处理后排入市政污水管网进入融元污水处理厂；项目废气对周围大气环境影响较小；各生产设备产生的噪声经隔声、减震等降噪措施处理后也不会对周边声环境造成重大影响。综上分析，项目在采取本环评提出的防治措施后，运营期排放的污染物不会对区域环境质量底线造成冲击。</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③资源利用上线符合性分析</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本项目原料均从正规合法单位购得，工业用地为合法租赁，水和电等公共资源由当地相关单位供应，项目所用资源相对较小，不会突破当地资源利用上限。</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（2）与《福州市人民政府关于实施“三线一单”生态分区管控的通知》符合性分析</w:t>
            </w:r>
          </w:p>
          <w:p>
            <w:pPr>
              <w:widowControl w:val="0"/>
              <w:topLinePunct/>
              <w:adjustRightInd w:val="0"/>
              <w:snapToGrid w:val="0"/>
              <w:spacing w:after="0" w:line="360" w:lineRule="auto"/>
              <w:ind w:firstLine="480" w:firstLineChars="200"/>
              <w:contextualSpacing/>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本项目位于福清融侨经济技术开发区，因此本项目对照</w:t>
            </w:r>
            <w:r>
              <w:rPr>
                <w:rFonts w:hint="default" w:ascii="Times New Roman" w:hAnsi="Times New Roman" w:eastAsia="宋体" w:cs="Times New Roman"/>
                <w:color w:val="auto"/>
                <w:sz w:val="24"/>
                <w:szCs w:val="24"/>
                <w:u w:val="none"/>
              </w:rPr>
              <w:t>福州市人民政府办公厅关于印发《福州市生态环境分区管控方案（2023年更新）》的通知</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榕政办规〔2024〕20号</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rPr>
              <w:t>相关要求分析，本项目所在位置属于福州市陆域区域、福清市生态环境准入清单-重点管控单元-ZH3501812000</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（详见附件8）。因此，具体见表1.1-3。</w:t>
            </w:r>
          </w:p>
          <w:p>
            <w:pPr>
              <w:widowControl w:val="0"/>
              <w:topLinePunct/>
              <w:spacing w:after="0" w:line="360" w:lineRule="auto"/>
              <w:jc w:val="center"/>
              <w:outlineLvl w:val="9"/>
              <w:rPr>
                <w:rFonts w:hint="default" w:ascii="Times New Roman" w:hAnsi="Times New Roman" w:eastAsia="宋体" w:cs="Times New Roman"/>
                <w:b/>
                <w:bCs/>
                <w:color w:val="auto"/>
                <w:sz w:val="24"/>
                <w:szCs w:val="24"/>
                <w:shd w:val="clear" w:color="auto" w:fill="FFFFFF"/>
              </w:rPr>
            </w:pPr>
            <w:r>
              <w:rPr>
                <w:rFonts w:hint="default" w:ascii="Times New Roman" w:hAnsi="Times New Roman" w:eastAsia="宋体" w:cs="Times New Roman"/>
                <w:b/>
                <w:bCs/>
                <w:color w:val="auto"/>
                <w:sz w:val="24"/>
                <w:szCs w:val="24"/>
                <w:shd w:val="clear" w:color="auto" w:fill="FFFFFF"/>
              </w:rPr>
              <w:t>表1.1-3  福州市生态环境准入要求一览表</w:t>
            </w:r>
          </w:p>
          <w:tbl>
            <w:tblPr>
              <w:tblStyle w:val="37"/>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304"/>
              <w:gridCol w:w="775"/>
              <w:gridCol w:w="3467"/>
              <w:gridCol w:w="1634"/>
              <w:gridCol w:w="55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tcBorders>
                    <w:tl2br w:val="nil"/>
                    <w:tr2bl w:val="nil"/>
                  </w:tcBorders>
                  <w:vAlign w:val="center"/>
                </w:tcPr>
                <w:p>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适用范围</w:t>
                  </w:r>
                </w:p>
              </w:tc>
              <w:tc>
                <w:tcPr>
                  <w:tcW w:w="2809" w:type="pct"/>
                  <w:gridSpan w:val="2"/>
                  <w:tcBorders>
                    <w:tl2br w:val="nil"/>
                    <w:tr2bl w:val="nil"/>
                  </w:tcBorders>
                  <w:vAlign w:val="center"/>
                </w:tcPr>
                <w:p>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准入要求</w:t>
                  </w:r>
                </w:p>
              </w:tc>
              <w:tc>
                <w:tcPr>
                  <w:tcW w:w="1090" w:type="pct"/>
                  <w:tcBorders>
                    <w:tl2br w:val="nil"/>
                    <w:tr2bl w:val="nil"/>
                  </w:tcBorders>
                  <w:vAlign w:val="center"/>
                </w:tcPr>
                <w:p>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394" w:type="pct"/>
                  <w:tcBorders>
                    <w:tl2br w:val="nil"/>
                    <w:tr2bl w:val="nil"/>
                  </w:tcBorders>
                  <w:vAlign w:val="center"/>
                </w:tcPr>
                <w:p>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restart"/>
                  <w:tcBorders>
                    <w:tl2br w:val="nil"/>
                    <w:tr2bl w:val="nil"/>
                  </w:tcBorders>
                  <w:vAlign w:val="center"/>
                </w:tcPr>
                <w:p>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福州市陆域</w:t>
                  </w:r>
                </w:p>
              </w:tc>
              <w:tc>
                <w:tcPr>
                  <w:tcW w:w="535" w:type="pct"/>
                  <w:tcBorders>
                    <w:tl2br w:val="nil"/>
                    <w:tr2bl w:val="nil"/>
                  </w:tcBorders>
                  <w:vAlign w:val="center"/>
                </w:tcPr>
                <w:p>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27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三、其它要求</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1.福州市石化中上游项目重点在福州江阴港城经济区、可门港经济区化工新材料产业园布局。</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2.禁止在闽江马尾罗星塔以上流域范围新、扩建制革项目，严控新（扩）建植物制浆、印染、合成革及人造革、电镀项目。</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3.禁止在通风廊道和主导风向的上风向布局大气重污染企业，推进建成区大气重污染企业搬迁或升级改造、环境风险企业搬迁或关闭退出。</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4.禁止新、改、扩建生产高 VOCs 含量有机溶剂型涂料、油墨和胶黏剂的项目。</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5.持续加强闽清等地建陶产业的环境综合治理，充分衔接国土空间规划和生态环境分区管控，并对照产业政策、城市总体发展规划等要求，进一步明确发展定位，优化产业布局和规模。</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6.新建、扩建的涉及重点重金属污染物</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 年底专业电镀企业入园率达到90%以上。</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7.禁止在流域上游新建、扩建重污染企业和项目。</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8.重要敏感水体及富营养化湖库生态缓冲带除相关政府部门批准的科学研究活动外，禁止其它可能对保护区构成危害或不良影响的大规模生产、建设活动。</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9.新、改、扩建煤电、钢铁、建材、石化、化工等“两高”项目，严格落实国家、省、市产业规划、产业政策、“三线一单”、规划环评，以及产能置换、煤炭消费减量替代、区域污染削减等相关要求。</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10.单元内涉及永久基本农田的，应按照《福建省基本农田保护条例》（2010 年修正本）、《国土资源部关于全面实行永久共本农田特殊保护的通知》（国土资规〔2018〕1号）、《中共中央国务院关于加强耕地保护和改进占补平衡的意见》（2017年1月9日）等相关文件要求进行格管理，一般建设项目不得占用永久基本农田，重大建设项目选址确实难以避让永久基本农田的，必须依法依规办理。严禁</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090" w:type="pct"/>
                  <w:tcBorders>
                    <w:tl2br w:val="nil"/>
                    <w:tr2bl w:val="nil"/>
                  </w:tcBorders>
                  <w:vAlign w:val="center"/>
                </w:tcPr>
                <w:p>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本项目主要从事速冻食品制造，位于福清融侨经济技术开发区，项目建设与空间布局约束要求不相冲突。</w:t>
                  </w:r>
                </w:p>
              </w:tc>
              <w:tc>
                <w:tcPr>
                  <w:tcW w:w="394" w:type="pct"/>
                  <w:tcBorders>
                    <w:tl2br w:val="nil"/>
                    <w:tr2bl w:val="nil"/>
                  </w:tcBorders>
                  <w:vAlign w:val="center"/>
                </w:tcPr>
                <w:p>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p>
              </w:tc>
              <w:tc>
                <w:tcPr>
                  <w:tcW w:w="535"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27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 号”等相关文件执行。</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2.新、改、扩建涉 VOCs 排放项目污染物排放量应满足《福州市“十四五”空气质量持续改善计划》（榕环保综〔2023〕40号），应从源头加强控制，使用低（无）VOCs 含量的原辅材料。</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4.氟化工、印染、电镀等行业企业实行水污染物特别排放限值。</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5.新、改、扩建重点行业</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建设项目要遵循重点重金属污染物排放“等量替代”原则，总量来源原则上应是同一重点行业内的削减量，当同一重点行业无法满足时可从其他重点行业调剂。</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6.每小时 35（含）—65 蒸吨燃煤锅炉和位于县级及以上城市建成区内保留的燃煤、燃油、燃生物质锅炉，原则上 2024 年底前必须全面实现超低排放。</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7.水泥行业新改扩建项目严格对照超低排放、能效标杆水平建设实施；现有项目超低排放改造应按文件（闽环规〔2023〕2 号）的时限要求分步推进，2025 年底前全面完成</w:t>
                  </w:r>
                  <w:r>
                    <w:rPr>
                      <w:rFonts w:hint="default" w:ascii="Times New Roman" w:hAnsi="Times New Roman" w:eastAsia="宋体" w:cs="Times New Roman"/>
                      <w:color w:val="auto"/>
                      <w:sz w:val="21"/>
                      <w:szCs w:val="21"/>
                      <w:vertAlign w:val="superscript"/>
                    </w:rPr>
                    <w:t>［3］［4］</w:t>
                  </w:r>
                  <w:r>
                    <w:rPr>
                      <w:rFonts w:hint="default" w:ascii="Times New Roman" w:hAnsi="Times New Roman" w:eastAsia="宋体" w:cs="Times New Roman"/>
                      <w:color w:val="auto"/>
                      <w:sz w:val="21"/>
                      <w:szCs w:val="21"/>
                    </w:rPr>
                    <w:t>。</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090" w:type="pct"/>
                  <w:tcBorders>
                    <w:tl2br w:val="nil"/>
                    <w:tr2bl w:val="nil"/>
                  </w:tcBorders>
                  <w:vAlign w:val="center"/>
                </w:tcPr>
                <w:p>
                  <w:pPr>
                    <w:widowControl w:val="0"/>
                    <w:pBdr>
                      <w:top w:val="none" w:color="auto" w:sz="0" w:space="1"/>
                      <w:left w:val="none" w:color="auto" w:sz="0" w:space="4"/>
                      <w:bottom w:val="none" w:color="auto" w:sz="0" w:space="1"/>
                      <w:right w:val="none" w:color="auto" w:sz="0" w:space="4"/>
                    </w:pBdr>
                    <w:topLinePunct/>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1、本项目</w:t>
                  </w:r>
                  <w:r>
                    <w:rPr>
                      <w:rFonts w:hint="default" w:ascii="Times New Roman" w:hAnsi="Times New Roman" w:eastAsia="宋体" w:cs="Times New Roman"/>
                      <w:color w:val="auto"/>
                      <w:sz w:val="21"/>
                      <w:szCs w:val="21"/>
                      <w:lang w:val="en-US" w:eastAsia="zh-CN"/>
                    </w:rPr>
                    <w:t>废气涉及颗粒物和油烟，</w:t>
                  </w:r>
                  <w:r>
                    <w:rPr>
                      <w:rFonts w:hint="default" w:ascii="Times New Roman" w:hAnsi="Times New Roman" w:eastAsia="宋体" w:cs="Times New Roman"/>
                      <w:color w:val="auto"/>
                      <w:sz w:val="21"/>
                      <w:szCs w:val="21"/>
                    </w:rPr>
                    <w:t>不涉及二氧化硫、氮氧化物等污染物排放。</w:t>
                  </w:r>
                </w:p>
                <w:p>
                  <w:pPr>
                    <w:widowControl w:val="0"/>
                    <w:pBdr>
                      <w:top w:val="none" w:color="auto" w:sz="0" w:space="1"/>
                      <w:left w:val="none" w:color="auto" w:sz="0" w:space="4"/>
                      <w:bottom w:val="none" w:color="auto" w:sz="0" w:space="1"/>
                      <w:right w:val="none" w:color="auto" w:sz="0" w:space="4"/>
                    </w:pBdr>
                    <w:topLinePunct/>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2、项目位于福清融侨经济技术开发区，不属于其规定的污染物管控区域。</w:t>
                  </w:r>
                </w:p>
                <w:p>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3、本项目为扩建项目，主要从事速冻食品制造，</w:t>
                  </w:r>
                  <w:r>
                    <w:rPr>
                      <w:rFonts w:hint="default" w:ascii="Times New Roman" w:hAnsi="Times New Roman" w:eastAsia="宋体" w:cs="Times New Roman"/>
                      <w:color w:val="auto"/>
                      <w:sz w:val="21"/>
                      <w:szCs w:val="21"/>
                      <w:lang w:val="en-US" w:eastAsia="zh-CN"/>
                    </w:rPr>
                    <w:t>不涉及锅炉及化学物质</w:t>
                  </w:r>
                  <w:r>
                    <w:rPr>
                      <w:rFonts w:hint="default" w:ascii="Times New Roman" w:hAnsi="Times New Roman" w:eastAsia="宋体" w:cs="Times New Roman"/>
                      <w:color w:val="auto"/>
                      <w:sz w:val="21"/>
                      <w:szCs w:val="21"/>
                    </w:rPr>
                    <w:t>。</w:t>
                  </w:r>
                </w:p>
              </w:tc>
              <w:tc>
                <w:tcPr>
                  <w:tcW w:w="394" w:type="pct"/>
                  <w:tcBorders>
                    <w:tl2br w:val="nil"/>
                    <w:tr2bl w:val="nil"/>
                  </w:tcBorders>
                  <w:vAlign w:val="center"/>
                </w:tcPr>
                <w:p>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tcBorders>
                    <w:tl2br w:val="nil"/>
                    <w:tr2bl w:val="nil"/>
                  </w:tcBorders>
                  <w:vAlign w:val="center"/>
                </w:tcPr>
                <w:p>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p>
              </w:tc>
              <w:tc>
                <w:tcPr>
                  <w:tcW w:w="535"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资源开发效率要求</w:t>
                  </w:r>
                </w:p>
              </w:tc>
              <w:tc>
                <w:tcPr>
                  <w:tcW w:w="227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1.到 2024 年底，全市范围内每小时 10 蒸吨及以下燃煤锅炉全面淘汰；到 2025 年底，全市范围内每小时 35 蒸吨以下燃煤锅炉通过集中供热、清洁能源替代、深度治理等方式全面实现转型、升级、退出，县级及以上城市建成区在用锅炉（燃煤、燃油、燃生物质）全面改用电能等清洁能源或治理达到超低排放水平；禁止新建每小时 35 蒸吨以下燃煤锅炉，以及每小时 10 蒸吨及以下燃生物质和其他使用高污染燃料的锅炉。集中供热管网覆盖范围内禁止新建、扩建分散燃煤、燃油等供热锅炉。</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2.按照“提气、转电、控煤”的发展思路，推动陶瓷行业进一步优化用能结构，实现能源消费清洁低碳化。</w:t>
                  </w:r>
                </w:p>
              </w:tc>
              <w:tc>
                <w:tcPr>
                  <w:tcW w:w="1090" w:type="pct"/>
                  <w:tcBorders>
                    <w:tl2br w:val="nil"/>
                    <w:tr2bl w:val="nil"/>
                  </w:tcBorders>
                  <w:vAlign w:val="center"/>
                </w:tcPr>
                <w:p>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both"/>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本项目不涉及该项。</w:t>
                  </w:r>
                </w:p>
              </w:tc>
              <w:tc>
                <w:tcPr>
                  <w:tcW w:w="394" w:type="pct"/>
                  <w:tcBorders>
                    <w:tl2br w:val="nil"/>
                    <w:tr2bl w:val="nil"/>
                  </w:tcBorders>
                  <w:vAlign w:val="center"/>
                </w:tcPr>
                <w:p>
                  <w:pPr>
                    <w:widowControl w:val="0"/>
                    <w:pBdr>
                      <w:top w:val="none" w:color="auto" w:sz="0" w:space="1"/>
                      <w:left w:val="none" w:color="auto" w:sz="0" w:space="4"/>
                      <w:bottom w:val="none" w:color="auto" w:sz="0" w:space="1"/>
                      <w:right w:val="none" w:color="auto" w:sz="0" w:space="4"/>
                    </w:pBdr>
                    <w:topLinePunct/>
                    <w:adjustRightInd w:val="0"/>
                    <w:snapToGrid w:val="0"/>
                    <w:spacing w:after="0" w:line="240" w:lineRule="auto"/>
                    <w:jc w:val="both"/>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restar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福清融侨经济技术开发区-重点管控单元-ZH35018120</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w:t>
                  </w:r>
                </w:p>
              </w:tc>
              <w:tc>
                <w:tcPr>
                  <w:tcW w:w="535"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27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引进纺织业（含印染精加工）、造纸和纸制品业（纸制品制造除外）、化学原料和化学制品制造业（工业气体生产除外）和有色金属冶炼及压延加工业（压延加工除外）；禁止引入含电镀工艺（紧密配套型电镀工艺除外）、冶炼工艺、电解铝的项目；主导产业电气机械和器材制造业禁止类</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铅酸蓄电池制造。</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2.加强京东方一期、二期工程周边用地规划控制。</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3.积极推进区内高耗水的印染、造纸等重污染企业的搬迁工作。</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4.居住用地周边禁止布局潜在废气扰民的建设项目。</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5.新局调节库周边200米范围内禁止工业企业生产过程中使用危化品，禁止新建排放烟粉尘、VOCs废气的工业项目。</w:t>
                  </w:r>
                </w:p>
              </w:tc>
              <w:tc>
                <w:tcPr>
                  <w:tcW w:w="1090"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属于</w:t>
                  </w:r>
                  <w:r>
                    <w:rPr>
                      <w:rFonts w:hint="default" w:ascii="Times New Roman" w:hAnsi="Times New Roman" w:eastAsia="宋体" w:cs="Times New Roman"/>
                      <w:color w:val="auto"/>
                      <w:sz w:val="21"/>
                      <w:szCs w:val="21"/>
                    </w:rPr>
                    <w:t>速冻食品制造，</w:t>
                  </w:r>
                  <w:r>
                    <w:rPr>
                      <w:rFonts w:hint="default" w:ascii="Times New Roman" w:hAnsi="Times New Roman" w:eastAsia="宋体" w:cs="Times New Roman"/>
                      <w:color w:val="auto"/>
                      <w:sz w:val="21"/>
                      <w:szCs w:val="21"/>
                      <w:lang w:val="en-US" w:eastAsia="zh-CN"/>
                    </w:rPr>
                    <w:t>位于</w:t>
                  </w:r>
                  <w:r>
                    <w:rPr>
                      <w:rFonts w:hint="eastAsia" w:ascii="Times New Roman" w:hAnsi="Times New Roman" w:eastAsia="宋体" w:cs="Times New Roman"/>
                      <w:color w:val="auto"/>
                      <w:sz w:val="21"/>
                      <w:szCs w:val="21"/>
                      <w:lang w:eastAsia="zh-CN"/>
                    </w:rPr>
                    <w:t>福清融侨经济技术开发区</w:t>
                  </w:r>
                  <w:r>
                    <w:rPr>
                      <w:rFonts w:hint="default" w:ascii="Times New Roman" w:hAnsi="Times New Roman" w:eastAsia="宋体" w:cs="Times New Roman"/>
                      <w:color w:val="auto"/>
                      <w:sz w:val="21"/>
                      <w:szCs w:val="21"/>
                    </w:rPr>
                    <w:t>福政路38号2号厂房</w:t>
                  </w:r>
                  <w:r>
                    <w:rPr>
                      <w:rFonts w:hint="default" w:ascii="Times New Roman" w:hAnsi="Times New Roman" w:eastAsia="宋体" w:cs="Times New Roman"/>
                      <w:color w:val="auto"/>
                      <w:sz w:val="21"/>
                      <w:szCs w:val="21"/>
                      <w:lang w:val="en-US" w:eastAsia="zh-CN"/>
                    </w:rPr>
                    <w:t>，不属于高耗水项目，项目厂界500米范围内仅有园区管委会，无其它环境敏感目标，且不属于新局调节库200米范围内。</w:t>
                  </w:r>
                  <w:r>
                    <w:rPr>
                      <w:rFonts w:hint="default" w:ascii="Times New Roman" w:hAnsi="Times New Roman" w:eastAsia="宋体" w:cs="Times New Roman"/>
                      <w:color w:val="auto"/>
                      <w:sz w:val="21"/>
                      <w:szCs w:val="21"/>
                    </w:rPr>
                    <w:t>项目建设与空间布局约束要求不相冲突。</w:t>
                  </w:r>
                </w:p>
              </w:tc>
              <w:tc>
                <w:tcPr>
                  <w:tcW w:w="39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p>
              </w:tc>
              <w:tc>
                <w:tcPr>
                  <w:tcW w:w="535"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27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1.完善建设污水收集管网，确保园区内所有工业废水、生活污水纳入污水处理厂处理并达标排放。</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2.包装印刷业有机废气排放及控制应符合国家和地方相关标准和规范要求。</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3.落实新增二氧化硫、氮氧化物和 VOCs 排放总量控制要求。</w:t>
                  </w:r>
                </w:p>
              </w:tc>
              <w:tc>
                <w:tcPr>
                  <w:tcW w:w="1090"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1.本项目生产废水、生活废水经处理达标后纳入污水处理厂处理。</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2.本项目</w:t>
                  </w:r>
                  <w:r>
                    <w:rPr>
                      <w:rFonts w:hint="default" w:ascii="Times New Roman" w:hAnsi="Times New Roman" w:eastAsia="宋体" w:cs="Times New Roman"/>
                      <w:color w:val="auto"/>
                      <w:sz w:val="21"/>
                      <w:szCs w:val="21"/>
                      <w:lang w:val="en-US" w:eastAsia="zh-CN"/>
                    </w:rPr>
                    <w:t>废气涉及颗粒物和油烟，</w:t>
                  </w:r>
                  <w:r>
                    <w:rPr>
                      <w:rFonts w:hint="default" w:ascii="Times New Roman" w:hAnsi="Times New Roman" w:eastAsia="宋体" w:cs="Times New Roman"/>
                      <w:color w:val="auto"/>
                      <w:sz w:val="21"/>
                      <w:szCs w:val="21"/>
                    </w:rPr>
                    <w:t>不涉及</w:t>
                  </w:r>
                  <w:r>
                    <w:rPr>
                      <w:rFonts w:hint="default" w:ascii="Times New Roman" w:hAnsi="Times New Roman" w:eastAsia="宋体" w:cs="Times New Roman"/>
                      <w:color w:val="auto"/>
                      <w:sz w:val="21"/>
                      <w:szCs w:val="21"/>
                      <w:lang w:val="en-US" w:eastAsia="zh-CN"/>
                    </w:rPr>
                    <w:t>二氧化硫、氮氧化物</w:t>
                  </w:r>
                  <w:r>
                    <w:rPr>
                      <w:rFonts w:hint="default" w:ascii="Times New Roman" w:hAnsi="Times New Roman" w:eastAsia="宋体" w:cs="Times New Roman"/>
                      <w:color w:val="auto"/>
                      <w:sz w:val="21"/>
                      <w:szCs w:val="21"/>
                    </w:rPr>
                    <w:t>排放。</w:t>
                  </w:r>
                </w:p>
              </w:tc>
              <w:tc>
                <w:tcPr>
                  <w:tcW w:w="39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p>
              </w:tc>
              <w:tc>
                <w:tcPr>
                  <w:tcW w:w="535"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环境风险防控</w:t>
                  </w:r>
                </w:p>
              </w:tc>
              <w:tc>
                <w:tcPr>
                  <w:tcW w:w="227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1.建立健全环境风险防控体系，制定环境风险应急预案，建设事故应急池，成立应急组织机构，防止在处理安全生产事故过程中产生的可能严重污染水体的消防废水、废液直接排入水体。</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2.应采取有效措施防止园区建设对区域地下水、土壤造成污染。</w:t>
                  </w:r>
                </w:p>
              </w:tc>
              <w:tc>
                <w:tcPr>
                  <w:tcW w:w="1090"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项目生产车间已做好防渗，</w:t>
                  </w:r>
                  <w:r>
                    <w:rPr>
                      <w:rFonts w:hint="eastAsia" w:ascii="Times New Roman" w:hAnsi="Times New Roman" w:eastAsia="宋体" w:cs="Times New Roman"/>
                      <w:color w:val="auto"/>
                      <w:sz w:val="21"/>
                      <w:szCs w:val="21"/>
                      <w:lang w:val="en-US" w:eastAsia="zh-CN"/>
                    </w:rPr>
                    <w:t>不会对地下水及土壤造成污染，且项目不涉及风险物质</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生产废水和</w:t>
                  </w:r>
                  <w:r>
                    <w:rPr>
                      <w:rFonts w:hint="default" w:ascii="Times New Roman" w:hAnsi="Times New Roman" w:eastAsia="宋体" w:cs="Times New Roman"/>
                      <w:color w:val="auto"/>
                      <w:sz w:val="21"/>
                      <w:szCs w:val="21"/>
                    </w:rPr>
                    <w:t>生活污水</w:t>
                  </w:r>
                  <w:r>
                    <w:rPr>
                      <w:rFonts w:hint="eastAsia" w:ascii="Times New Roman" w:hAnsi="Times New Roman" w:eastAsia="宋体" w:cs="Times New Roman"/>
                      <w:color w:val="auto"/>
                      <w:sz w:val="21"/>
                      <w:szCs w:val="21"/>
                      <w:lang w:val="en-US" w:eastAsia="zh-CN"/>
                    </w:rPr>
                    <w:t>经处理后排至融元污水处理厂</w:t>
                  </w:r>
                  <w:r>
                    <w:rPr>
                      <w:rFonts w:hint="default" w:ascii="Times New Roman" w:hAnsi="Times New Roman" w:eastAsia="宋体" w:cs="Times New Roman"/>
                      <w:color w:val="auto"/>
                      <w:sz w:val="21"/>
                      <w:szCs w:val="21"/>
                    </w:rPr>
                    <w:t>，符合园区环境风险防控要求。</w:t>
                  </w:r>
                </w:p>
              </w:tc>
              <w:tc>
                <w:tcPr>
                  <w:tcW w:w="39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p>
              </w:tc>
              <w:tc>
                <w:tcPr>
                  <w:tcW w:w="535"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资源开发效率要求</w:t>
                  </w:r>
                </w:p>
              </w:tc>
              <w:tc>
                <w:tcPr>
                  <w:tcW w:w="227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高污染燃料禁燃区内禁止燃用高污染燃料，禁止新建、扩建燃用高污染燃料的设施。已建的燃用高污染燃料设施，限期改用电、天然气、液化石油气等清洁能源。</w:t>
                  </w:r>
                </w:p>
              </w:tc>
              <w:tc>
                <w:tcPr>
                  <w:tcW w:w="1090"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项目用电作为能源，未使用高污染燃料，本项目符合资源环境效率管控要求。</w:t>
                  </w:r>
                </w:p>
              </w:tc>
              <w:tc>
                <w:tcPr>
                  <w:tcW w:w="394" w:type="pct"/>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widowControl w:val="0"/>
              <w:topLinePunct/>
              <w:adjustRightInd w:val="0"/>
              <w:snapToGrid w:val="0"/>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根据上述分析，本项目与福州市人民政府办公厅关于印发《福州市生态环境分区管控方案（2023年更新）》的通知（榕政办规〔2024〕20号）中的相关规定是符合的。</w:t>
            </w:r>
          </w:p>
          <w:p>
            <w:pPr>
              <w:widowControl w:val="0"/>
              <w:topLinePunct/>
              <w:spacing w:after="0" w:line="360" w:lineRule="auto"/>
              <w:ind w:firstLine="482" w:firstLineChars="200"/>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4、项目选址合理性分析</w:t>
            </w:r>
          </w:p>
          <w:p>
            <w:pPr>
              <w:pStyle w:val="141"/>
              <w:widowControl w:val="0"/>
              <w:topLinePunct/>
              <w:spacing w:after="0"/>
              <w:ind w:firstLine="480"/>
              <w:outlineLvl w:val="9"/>
              <w:rPr>
                <w:rFonts w:hint="default" w:ascii="Times New Roman" w:hAnsi="Times New Roman" w:cs="Times New Roman"/>
                <w:color w:val="auto"/>
                <w:szCs w:val="24"/>
              </w:rPr>
            </w:pPr>
            <w:r>
              <w:rPr>
                <w:rFonts w:hint="default" w:ascii="Times New Roman" w:hAnsi="Times New Roman" w:cs="Times New Roman"/>
                <w:color w:val="auto"/>
                <w:szCs w:val="24"/>
              </w:rPr>
              <w:t>本项目位于</w:t>
            </w:r>
            <w:r>
              <w:rPr>
                <w:rFonts w:hint="eastAsia" w:cs="Times New Roman"/>
                <w:color w:val="auto"/>
                <w:szCs w:val="24"/>
                <w:lang w:eastAsia="zh-CN"/>
              </w:rPr>
              <w:t>福清融侨经济技术开发区（租赁福建茂华投资有限公司2号厂房2层）</w:t>
            </w:r>
            <w:r>
              <w:rPr>
                <w:rFonts w:hint="default" w:ascii="Times New Roman" w:hAnsi="Times New Roman" w:cs="Times New Roman"/>
                <w:color w:val="auto"/>
                <w:szCs w:val="24"/>
              </w:rPr>
              <w:t>，3层为现有工程，1层为物流仓库，项目北侧为</w:t>
            </w:r>
            <w:r>
              <w:rPr>
                <w:rFonts w:hint="default" w:ascii="Times New Roman" w:hAnsi="Times New Roman" w:cs="Times New Roman"/>
                <w:bCs w:val="0"/>
                <w:color w:val="auto"/>
                <w:kern w:val="28"/>
                <w:szCs w:val="24"/>
              </w:rPr>
              <w:t>茂华门卫及办公楼</w:t>
            </w:r>
            <w:r>
              <w:rPr>
                <w:rFonts w:hint="default" w:ascii="Times New Roman" w:hAnsi="Times New Roman" w:cs="Times New Roman"/>
                <w:color w:val="auto"/>
                <w:szCs w:val="24"/>
              </w:rPr>
              <w:t>，东侧为</w:t>
            </w:r>
            <w:r>
              <w:rPr>
                <w:rFonts w:hint="default" w:ascii="Times New Roman" w:hAnsi="Times New Roman" w:cs="Times New Roman"/>
                <w:bCs w:val="0"/>
                <w:color w:val="auto"/>
                <w:kern w:val="28"/>
                <w:szCs w:val="24"/>
              </w:rPr>
              <w:t>富鸿齐电子</w:t>
            </w:r>
            <w:r>
              <w:rPr>
                <w:rFonts w:hint="default" w:ascii="Times New Roman" w:hAnsi="Times New Roman" w:cs="Times New Roman"/>
                <w:bCs w:val="0"/>
                <w:color w:val="auto"/>
                <w:szCs w:val="24"/>
              </w:rPr>
              <w:t>，</w:t>
            </w:r>
            <w:r>
              <w:rPr>
                <w:rFonts w:hint="default" w:ascii="Times New Roman" w:hAnsi="Times New Roman" w:cs="Times New Roman"/>
                <w:color w:val="auto"/>
                <w:szCs w:val="24"/>
              </w:rPr>
              <w:t>南侧为空地，西侧为茂华厂房。</w:t>
            </w:r>
          </w:p>
          <w:p>
            <w:pPr>
              <w:pStyle w:val="14"/>
              <w:widowControl w:val="0"/>
              <w:topLinePunct/>
              <w:spacing w:after="0"/>
              <w:ind w:firstLine="48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根据福清市人民政府颁发的土地证（闽(2017)福清不动产权第0000262号，见附件5），本项目用地性质为工业用地，符合土地利用总体规划，与周边环境相容性较好。因此，本项目选址合理。</w:t>
            </w:r>
          </w:p>
        </w:tc>
      </w:tr>
    </w:tbl>
    <w:p>
      <w:pPr>
        <w:widowControl w:val="0"/>
        <w:topLinePunct/>
        <w:spacing w:line="360" w:lineRule="auto"/>
        <w:outlineLvl w:val="9"/>
        <w:rPr>
          <w:rFonts w:hint="default" w:ascii="Times New Roman" w:hAnsi="Times New Roman" w:eastAsia="宋体" w:cs="Times New Roman"/>
          <w:color w:val="auto"/>
          <w:sz w:val="30"/>
        </w:rPr>
        <w:sectPr>
          <w:footerReference r:id="rId10" w:type="default"/>
          <w:pgSz w:w="11906" w:h="16838"/>
          <w:pgMar w:top="1417" w:right="1417" w:bottom="1417" w:left="1417" w:header="992" w:footer="992" w:gutter="0"/>
          <w:pgBorders>
            <w:top w:val="none" w:sz="0" w:space="0"/>
            <w:left w:val="none" w:sz="0" w:space="0"/>
            <w:bottom w:val="none" w:sz="0" w:space="0"/>
            <w:right w:val="none" w:sz="0" w:space="0"/>
          </w:pgBorders>
          <w:pgNumType w:fmt="decimal" w:start="1"/>
          <w:cols w:space="720" w:num="1"/>
          <w:docGrid w:linePitch="312" w:charSpace="0"/>
        </w:sectPr>
      </w:pPr>
    </w:p>
    <w:p>
      <w:pPr>
        <w:pStyle w:val="29"/>
        <w:widowControl w:val="0"/>
        <w:topLinePunct/>
        <w:spacing w:line="240" w:lineRule="auto"/>
        <w:jc w:val="center"/>
        <w:outlineLvl w:val="0"/>
        <w:rPr>
          <w:rFonts w:hint="default" w:ascii="Times New Roman" w:hAnsi="Times New Roman" w:eastAsia="宋体" w:cs="Times New Roman"/>
          <w:b/>
          <w:bCs/>
          <w:snapToGrid w:val="0"/>
          <w:color w:val="auto"/>
          <w:sz w:val="32"/>
          <w:szCs w:val="32"/>
        </w:rPr>
      </w:pPr>
      <w:bookmarkStart w:id="2" w:name="_Toc32681"/>
      <w:bookmarkStart w:id="3" w:name="_Toc29661"/>
      <w:r>
        <w:rPr>
          <w:rFonts w:hint="default" w:ascii="Times New Roman" w:hAnsi="Times New Roman" w:eastAsia="宋体" w:cs="Times New Roman"/>
          <w:b/>
          <w:bCs/>
          <w:snapToGrid w:val="0"/>
          <w:color w:val="auto"/>
          <w:sz w:val="32"/>
          <w:szCs w:val="32"/>
        </w:rPr>
        <w:t>二、建设项目工程分析</w:t>
      </w:r>
      <w:bookmarkEnd w:id="2"/>
      <w:bookmarkEnd w:id="3"/>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8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456" w:type="dxa"/>
            <w:vAlign w:val="center"/>
          </w:tcPr>
          <w:p>
            <w:pPr>
              <w:pStyle w:val="29"/>
              <w:widowControl w:val="0"/>
              <w:topLinePunct/>
              <w:adjustRightInd w:val="0"/>
              <w:snapToGrid w:val="0"/>
              <w:spacing w:before="0" w:beforeAutospacing="0" w:after="0" w:afterAutospacing="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建设内容</w:t>
            </w:r>
          </w:p>
        </w:tc>
        <w:tc>
          <w:tcPr>
            <w:tcW w:w="8833" w:type="dxa"/>
          </w:tcPr>
          <w:p>
            <w:pPr>
              <w:widowControl w:val="0"/>
              <w:topLinePunct/>
              <w:spacing w:after="0" w:line="360" w:lineRule="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2.1 建设内容</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2.1.1 项目由来</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福清睿辉食品有限公司租赁位于</w:t>
            </w:r>
            <w:r>
              <w:rPr>
                <w:rFonts w:hint="eastAsia" w:ascii="Times New Roman" w:hAnsi="Times New Roman" w:eastAsia="宋体" w:cs="Times New Roman"/>
                <w:color w:val="auto"/>
                <w:sz w:val="24"/>
                <w:szCs w:val="24"/>
                <w:lang w:eastAsia="zh-CN"/>
              </w:rPr>
              <w:t>福清融侨经济技术开发区</w:t>
            </w:r>
            <w:r>
              <w:rPr>
                <w:rFonts w:hint="default" w:ascii="Times New Roman" w:hAnsi="Times New Roman" w:eastAsia="宋体" w:cs="Times New Roman"/>
                <w:color w:val="auto"/>
                <w:sz w:val="24"/>
                <w:szCs w:val="24"/>
              </w:rPr>
              <w:t>的福建茂华投资有限公司2号厂房3层，建筑面积为1500m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。2020年4月，福清睿辉食品有限公司委托编制了《福清睿辉食品有限公司年产速冻食品300吨项目环境影响报告表》，并取得了批文（融环评表[2020]29号）。建成投产后</w:t>
            </w:r>
            <w:r>
              <w:rPr>
                <w:rFonts w:hint="eastAsia" w:ascii="Times New Roman" w:hAnsi="Times New Roman" w:eastAsia="宋体" w:cs="Times New Roman"/>
                <w:color w:val="auto"/>
                <w:sz w:val="24"/>
                <w:szCs w:val="24"/>
                <w:lang w:val="en-US" w:eastAsia="zh-CN"/>
              </w:rPr>
              <w:t>于</w:t>
            </w:r>
            <w:r>
              <w:rPr>
                <w:rFonts w:hint="default" w:ascii="Times New Roman" w:hAnsi="Times New Roman" w:eastAsia="宋体" w:cs="Times New Roman"/>
                <w:color w:val="auto"/>
                <w:sz w:val="24"/>
                <w:szCs w:val="24"/>
              </w:rPr>
              <w:t>取得了排污许可证（编号：91350181MA346YPG19001Q），且于2020年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1日</w:t>
            </w:r>
            <w:r>
              <w:rPr>
                <w:rFonts w:hint="default" w:ascii="Times New Roman" w:hAnsi="Times New Roman" w:eastAsia="宋体" w:cs="Times New Roman"/>
                <w:color w:val="auto"/>
                <w:sz w:val="24"/>
                <w:szCs w:val="24"/>
              </w:rPr>
              <w:t>开展并通过了自主竣工环境保护验收</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年产速冻食品300吨。</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随着人们生活节奏的加快和消费习惯的西化，</w:t>
            </w:r>
            <w:r>
              <w:rPr>
                <w:rFonts w:hint="eastAsia" w:ascii="Times New Roman" w:hAnsi="Times New Roman" w:eastAsia="宋体" w:cs="Times New Roman"/>
                <w:color w:val="auto"/>
                <w:sz w:val="24"/>
                <w:szCs w:val="24"/>
                <w:lang w:val="en-US" w:eastAsia="zh-CN"/>
              </w:rPr>
              <w:t>糕点、</w:t>
            </w:r>
            <w:r>
              <w:rPr>
                <w:rFonts w:hint="default" w:ascii="Times New Roman" w:hAnsi="Times New Roman" w:eastAsia="宋体" w:cs="Times New Roman"/>
                <w:color w:val="auto"/>
                <w:sz w:val="24"/>
                <w:szCs w:val="24"/>
              </w:rPr>
              <w:t>面包</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披萨等</w:t>
            </w:r>
            <w:r>
              <w:rPr>
                <w:rFonts w:hint="default" w:ascii="Times New Roman" w:hAnsi="Times New Roman" w:eastAsia="宋体" w:cs="Times New Roman"/>
                <w:color w:val="auto"/>
                <w:sz w:val="24"/>
                <w:szCs w:val="24"/>
              </w:rPr>
              <w:t>作为便捷、营养的食品，逐渐成为日常饮食的一部分。市场对新鲜、健康、美味的</w:t>
            </w:r>
            <w:r>
              <w:rPr>
                <w:rFonts w:hint="eastAsia" w:ascii="Times New Roman" w:hAnsi="Times New Roman" w:eastAsia="宋体" w:cs="Times New Roman"/>
                <w:color w:val="auto"/>
                <w:sz w:val="24"/>
                <w:szCs w:val="24"/>
                <w:lang w:val="en-US" w:eastAsia="zh-CN"/>
              </w:rPr>
              <w:t>食品</w:t>
            </w:r>
            <w:r>
              <w:rPr>
                <w:rFonts w:hint="default" w:ascii="Times New Roman" w:hAnsi="Times New Roman" w:eastAsia="宋体" w:cs="Times New Roman"/>
                <w:color w:val="auto"/>
                <w:sz w:val="24"/>
                <w:szCs w:val="24"/>
              </w:rPr>
              <w:t>需求不断增长，</w:t>
            </w:r>
            <w:r>
              <w:rPr>
                <w:rFonts w:hint="eastAsia" w:ascii="Times New Roman" w:hAnsi="Times New Roman" w:eastAsia="宋体" w:cs="Times New Roman"/>
                <w:color w:val="auto"/>
                <w:sz w:val="24"/>
                <w:szCs w:val="24"/>
                <w:lang w:val="en-US" w:eastAsia="zh-CN"/>
              </w:rPr>
              <w:t>因此</w:t>
            </w:r>
            <w:r>
              <w:rPr>
                <w:rFonts w:hint="default" w:ascii="Times New Roman" w:hAnsi="Times New Roman" w:eastAsia="宋体" w:cs="Times New Roman"/>
                <w:color w:val="auto"/>
                <w:sz w:val="24"/>
                <w:szCs w:val="24"/>
              </w:rPr>
              <w:t>，福清睿辉食品有限公司拟进行扩建，新增租赁位于福清融侨经济技术开发区的福建茂华投资有限公司2号厂房</w:t>
            </w:r>
            <w:r>
              <w:rPr>
                <w:rFonts w:hint="eastAsia" w:ascii="Times New Roman" w:hAnsi="Times New Roman" w:eastAsia="宋体" w:cs="Times New Roman"/>
                <w:color w:val="auto"/>
                <w:sz w:val="24"/>
                <w:szCs w:val="24"/>
                <w:lang w:val="en-US" w:eastAsia="zh-CN"/>
              </w:rPr>
              <w:t>2层</w:t>
            </w:r>
            <w:r>
              <w:rPr>
                <w:rFonts w:hint="default" w:ascii="Times New Roman" w:hAnsi="Times New Roman" w:eastAsia="宋体" w:cs="Times New Roman"/>
                <w:color w:val="auto"/>
                <w:sz w:val="24"/>
                <w:szCs w:val="24"/>
              </w:rPr>
              <w:t>（厂房情况说明见附件9），建筑面积1500m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。拟建设1条食品生产线，增设1间冻库，可年产糕点、面包食品300吨及披萨饼底30吨。具体平面布置图见附图3。</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国民经济行业分类</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GB/T 4754-2014</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设项目环境影响评价分类管理名录》（2021年版），本项目生产的糕点、面包属于C1411糕点、面包制造，不在环评分类名录范围，披萨饼底为半成品（主要为成分为面粉），且涉及速冻，根据C1432速冻食品制造中的释义：指以米、小麦粉、杂粮等为主要原料，以肉类、蔬菜等为辅料，经加工制成各类烹制或未烹制的主食食品后，立即采用速冻工艺制成的，并可以在冻结条件下运输储存及销售的各类主食食品的生产活动</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包括无馅的速冻馒头、窝头等。本项目的披萨饼底与速冻馒头相似，故属于该类，因此环评分类属于“十一、食品制造业 14—21、方便食品制造 143*—除单纯分装外的”，按规定属于需编制报告表的类别。</w:t>
            </w:r>
            <w:r>
              <w:rPr>
                <w:rFonts w:hint="eastAsia" w:ascii="Times New Roman" w:hAnsi="Times New Roman" w:eastAsia="宋体" w:cs="Times New Roman"/>
                <w:color w:val="auto"/>
                <w:sz w:val="24"/>
                <w:szCs w:val="24"/>
                <w:lang w:val="en-US" w:eastAsia="zh-CN"/>
              </w:rPr>
              <w:t>详见图2.1-1、2.1-2。</w:t>
            </w:r>
          </w:p>
          <w:p>
            <w:pPr>
              <w:widowControl w:val="0"/>
              <w:topLinePunct/>
              <w:spacing w:after="0" w:line="360" w:lineRule="auto"/>
              <w:ind w:firstLine="480" w:firstLineChars="200"/>
              <w:jc w:val="both"/>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糕点、面包</w:t>
            </w:r>
            <w:r>
              <w:rPr>
                <w:rFonts w:hint="default" w:ascii="Times New Roman" w:hAnsi="Times New Roman" w:eastAsia="宋体" w:cs="Times New Roman"/>
                <w:color w:val="auto"/>
                <w:sz w:val="24"/>
                <w:szCs w:val="24"/>
              </w:rPr>
              <w:t>制造不在环评分类名录范围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无需编制报告表，但本项目糕点、面包和披萨饼底共用生产线，</w:t>
            </w:r>
            <w:bookmarkStart w:id="4" w:name="OLE_LINK1"/>
            <w:r>
              <w:rPr>
                <w:rFonts w:hint="eastAsia" w:ascii="Times New Roman" w:hAnsi="Times New Roman" w:eastAsia="宋体" w:cs="Times New Roman"/>
                <w:color w:val="auto"/>
                <w:sz w:val="24"/>
                <w:szCs w:val="24"/>
                <w:lang w:val="en-US" w:eastAsia="zh-CN"/>
              </w:rPr>
              <w:t>其产生的废水废气噪声固废等污染物无法明确区分，</w:t>
            </w:r>
            <w:bookmarkEnd w:id="4"/>
            <w:r>
              <w:rPr>
                <w:rFonts w:hint="eastAsia" w:ascii="Times New Roman" w:hAnsi="Times New Roman" w:eastAsia="宋体" w:cs="Times New Roman"/>
                <w:color w:val="auto"/>
                <w:sz w:val="24"/>
                <w:szCs w:val="24"/>
                <w:lang w:val="en-US" w:eastAsia="zh-CN"/>
              </w:rPr>
              <w:t>因此纳入本次环评内容。</w:t>
            </w:r>
          </w:p>
          <w:p>
            <w:pPr>
              <w:widowControl w:val="0"/>
              <w:topLinePunct/>
              <w:spacing w:after="0" w:line="360" w:lineRule="auto"/>
              <w:jc w:val="both"/>
              <w:outlineLvl w:val="9"/>
              <w:rPr>
                <w:rFonts w:hint="eastAsia" w:ascii="Times New Roman" w:hAnsi="Times New Roman" w:eastAsia="宋体" w:cs="Times New Roman"/>
                <w:color w:val="auto"/>
                <w:sz w:val="24"/>
                <w:szCs w:val="24"/>
                <w:lang w:val="en-US" w:eastAsia="zh-CN"/>
              </w:rPr>
            </w:pPr>
            <w:r>
              <w:rPr>
                <w:color w:val="auto"/>
                <w:sz w:val="22"/>
              </w:rPr>
              <mc:AlternateContent>
                <mc:Choice Requires="wps">
                  <w:drawing>
                    <wp:anchor distT="0" distB="0" distL="114300" distR="114300" simplePos="0" relativeHeight="251665408" behindDoc="0" locked="0" layoutInCell="1" allowOverlap="1">
                      <wp:simplePos x="0" y="0"/>
                      <wp:positionH relativeFrom="column">
                        <wp:posOffset>1149350</wp:posOffset>
                      </wp:positionH>
                      <wp:positionV relativeFrom="paragraph">
                        <wp:posOffset>1950085</wp:posOffset>
                      </wp:positionV>
                      <wp:extent cx="3977005" cy="440690"/>
                      <wp:effectExtent l="12700" t="12700" r="29845" b="22860"/>
                      <wp:wrapNone/>
                      <wp:docPr id="79" name="矩形 79"/>
                      <wp:cNvGraphicFramePr/>
                      <a:graphic xmlns:a="http://schemas.openxmlformats.org/drawingml/2006/main">
                        <a:graphicData uri="http://schemas.microsoft.com/office/word/2010/wordprocessingShape">
                          <wps:wsp>
                            <wps:cNvSpPr/>
                            <wps:spPr>
                              <a:xfrm>
                                <a:off x="0" y="0"/>
                                <a:ext cx="3977005" cy="44069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5pt;margin-top:153.55pt;height:34.7pt;width:313.15pt;z-index:251665408;v-text-anchor:middle;mso-width-relative:page;mso-height-relative:page;" filled="f" stroked="t" coordsize="21600,21600" o:gfxdata="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EnkAbZAAAACwEAAA8AAAAAAAAAAQAgAAAAIgAAAGRycy9kb3ducmV2LnhtbFBLAQIUABQA&#10;AAAIAIdO4kAeCFtpYQIAALYEAAAOAAAAAAAAAAEAIAAAACgBAABkcnMvZTJvRG9jLnhtbFBLBQYA&#10;AAAABgAGAFkBAAD7BQAAAAA=&#10;">
                      <v:fill on="f" focussize="0,0"/>
                      <v:stroke weight="2pt" color="#FF0000 [2404]" joinstyle="round"/>
                      <v:imagedata o:title=""/>
                      <o:lock v:ext="edit" aspectratio="f"/>
                    </v:rect>
                  </w:pict>
                </mc:Fallback>
              </mc:AlternateContent>
            </w:r>
            <w:r>
              <w:rPr>
                <w:color w:val="auto"/>
                <w:sz w:val="22"/>
              </w:rPr>
              <mc:AlternateContent>
                <mc:Choice Requires="wps">
                  <w:drawing>
                    <wp:anchor distT="0" distB="0" distL="114300" distR="114300" simplePos="0" relativeHeight="251664384" behindDoc="0" locked="0" layoutInCell="1" allowOverlap="1">
                      <wp:simplePos x="0" y="0"/>
                      <wp:positionH relativeFrom="column">
                        <wp:posOffset>1156970</wp:posOffset>
                      </wp:positionH>
                      <wp:positionV relativeFrom="paragraph">
                        <wp:posOffset>5523865</wp:posOffset>
                      </wp:positionV>
                      <wp:extent cx="3977005" cy="791845"/>
                      <wp:effectExtent l="12700" t="12700" r="29845" b="14605"/>
                      <wp:wrapNone/>
                      <wp:docPr id="78" name="矩形 78"/>
                      <wp:cNvGraphicFramePr/>
                      <a:graphic xmlns:a="http://schemas.openxmlformats.org/drawingml/2006/main">
                        <a:graphicData uri="http://schemas.microsoft.com/office/word/2010/wordprocessingShape">
                          <wps:wsp>
                            <wps:cNvSpPr/>
                            <wps:spPr>
                              <a:xfrm>
                                <a:off x="2320925" y="2864485"/>
                                <a:ext cx="3977005" cy="79184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1pt;margin-top:434.95pt;height:62.35pt;width:313.15pt;z-index:251664384;v-text-anchor:middle;mso-width-relative:page;mso-height-relative:page;" filled="f" stroked="t" coordsize="21600,21600" o:gfxdata="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WoVV6tkAAAALAQAADwAAAAAAAAABACAAAAAiAAAAZHJzL2Rvd25yZXYu&#10;eG1sUEsBAhQAFAAAAAgAh07iQJjAOXtsAgAAwgQAAA4AAAAAAAAAAQAgAAAAKAEAAGRycy9lMm9E&#10;b2MueG1sUEsFBgAAAAAGAAYAWQEAAAYGAAAAAA==&#10;">
                      <v:fill on="f" focussize="0,0"/>
                      <v:stroke weight="2pt" color="#FF0000 [2404]" joinstyle="round"/>
                      <v:imagedata o:title=""/>
                      <o:lock v:ext="edit" aspectratio="f"/>
                    </v:rect>
                  </w:pict>
                </mc:Fallback>
              </mc:AlternateContent>
            </w:r>
            <w:r>
              <w:rPr>
                <w:color w:val="auto"/>
              </w:rPr>
              <w:drawing>
                <wp:inline distT="0" distB="0" distL="114300" distR="114300">
                  <wp:extent cx="5286375" cy="7677150"/>
                  <wp:effectExtent l="0" t="0" r="9525" b="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6"/>
                          <a:stretch>
                            <a:fillRect/>
                          </a:stretch>
                        </pic:blipFill>
                        <pic:spPr>
                          <a:xfrm>
                            <a:off x="0" y="0"/>
                            <a:ext cx="5286375" cy="7677150"/>
                          </a:xfrm>
                          <a:prstGeom prst="rect">
                            <a:avLst/>
                          </a:prstGeom>
                          <a:noFill/>
                          <a:ln>
                            <a:noFill/>
                          </a:ln>
                        </pic:spPr>
                      </pic:pic>
                    </a:graphicData>
                  </a:graphic>
                </wp:inline>
              </w:drawing>
            </w:r>
          </w:p>
          <w:p>
            <w:pPr>
              <w:widowControl w:val="0"/>
              <w:topLinePunct/>
              <w:spacing w:after="0" w:line="360" w:lineRule="auto"/>
              <w:jc w:val="center"/>
              <w:outlineLvl w:val="9"/>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图2.1-1 《国民经济行业分类》（GB/T 4754-2014）摘录</w:t>
            </w:r>
          </w:p>
          <w:p>
            <w:pPr>
              <w:widowControl w:val="0"/>
              <w:topLinePunct/>
              <w:spacing w:after="0" w:line="360" w:lineRule="auto"/>
              <w:jc w:val="both"/>
              <w:outlineLvl w:val="9"/>
              <w:rPr>
                <w:rFonts w:hint="eastAsia" w:ascii="Times New Roman" w:hAnsi="Times New Roman" w:eastAsia="宋体" w:cs="Times New Roman"/>
                <w:color w:val="auto"/>
                <w:sz w:val="24"/>
                <w:szCs w:val="24"/>
                <w:lang w:val="en-US" w:eastAsia="zh-CN"/>
              </w:rPr>
            </w:pPr>
            <w:r>
              <w:rPr>
                <w:color w:val="auto"/>
                <w:sz w:val="22"/>
              </w:rPr>
              <mc:AlternateContent>
                <mc:Choice Requires="wps">
                  <w:drawing>
                    <wp:anchor distT="0" distB="0" distL="114300" distR="114300" simplePos="0" relativeHeight="251663360" behindDoc="0" locked="0" layoutInCell="1" allowOverlap="1">
                      <wp:simplePos x="0" y="0"/>
                      <wp:positionH relativeFrom="column">
                        <wp:posOffset>233045</wp:posOffset>
                      </wp:positionH>
                      <wp:positionV relativeFrom="paragraph">
                        <wp:posOffset>1350645</wp:posOffset>
                      </wp:positionV>
                      <wp:extent cx="5203190" cy="452120"/>
                      <wp:effectExtent l="12700" t="12700" r="22860" b="30480"/>
                      <wp:wrapNone/>
                      <wp:docPr id="63" name="矩形 63"/>
                      <wp:cNvGraphicFramePr/>
                      <a:graphic xmlns:a="http://schemas.openxmlformats.org/drawingml/2006/main">
                        <a:graphicData uri="http://schemas.microsoft.com/office/word/2010/wordprocessingShape">
                          <wps:wsp>
                            <wps:cNvSpPr/>
                            <wps:spPr>
                              <a:xfrm>
                                <a:off x="1433830" y="2268220"/>
                                <a:ext cx="5203190" cy="45212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5pt;margin-top:106.35pt;height:35.6pt;width:409.7pt;z-index:251663360;v-text-anchor:middle;mso-width-relative:page;mso-height-relative:page;" filled="f" stroked="t" coordsize="21600,21600" o:gfxdata="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z+b0dgAAAAKAQAADwAAAAAAAAABACAAAAAiAAAAZHJzL2Rvd25yZXYueG1s&#10;UEsBAhQAFAAAAAgAh07iQMF+DmhqAgAAwgQAAA4AAAAAAAAAAQAgAAAAJwEAAGRycy9lMm9Eb2Mu&#10;eG1sUEsFBgAAAAAGAAYAWQEAAAMGAAAAAA==&#10;">
                      <v:fill on="f" focussize="0,0"/>
                      <v:stroke weight="2pt" color="#FF0000 [2404]" joinstyle="round"/>
                      <v:imagedata o:title=""/>
                      <o:lock v:ext="edit" aspectratio="f"/>
                    </v:rect>
                  </w:pict>
                </mc:Fallback>
              </mc:AlternateContent>
            </w:r>
            <w:r>
              <w:rPr>
                <w:color w:val="auto"/>
              </w:rPr>
              <w:drawing>
                <wp:inline distT="0" distB="0" distL="114300" distR="114300">
                  <wp:extent cx="5541645" cy="3256280"/>
                  <wp:effectExtent l="0" t="0" r="1905" b="127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7"/>
                          <a:stretch>
                            <a:fillRect/>
                          </a:stretch>
                        </pic:blipFill>
                        <pic:spPr>
                          <a:xfrm>
                            <a:off x="0" y="0"/>
                            <a:ext cx="5541645" cy="3256280"/>
                          </a:xfrm>
                          <a:prstGeom prst="rect">
                            <a:avLst/>
                          </a:prstGeom>
                          <a:noFill/>
                          <a:ln>
                            <a:noFill/>
                          </a:ln>
                        </pic:spPr>
                      </pic:pic>
                    </a:graphicData>
                  </a:graphic>
                </wp:inline>
              </w:drawing>
            </w:r>
          </w:p>
          <w:p>
            <w:pPr>
              <w:widowControl w:val="0"/>
              <w:topLinePunct/>
              <w:spacing w:after="0" w:line="360" w:lineRule="auto"/>
              <w:jc w:val="center"/>
              <w:outlineLvl w:val="9"/>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图2.1-2 《建设项目环境影响评价分类管理名录》（2021年版）摘录</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2.1.2 项目基本情况</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项目名称：福清睿辉食品有限公司新增年产糕点、面包食品300吨及披萨饼底30吨</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建设单位：福清睿辉食品有限公司</w:t>
            </w:r>
          </w:p>
          <w:p>
            <w:pPr>
              <w:pStyle w:val="14"/>
              <w:widowControl w:val="0"/>
              <w:topLinePunct/>
              <w:spacing w:after="0"/>
              <w:ind w:firstLine="480"/>
              <w:jc w:val="both"/>
              <w:outlineLvl w:val="9"/>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建设地点：</w:t>
            </w:r>
            <w:r>
              <w:rPr>
                <w:rFonts w:hint="eastAsia" w:ascii="Times New Roman" w:hAnsi="Times New Roman" w:eastAsia="宋体" w:cs="Times New Roman"/>
                <w:color w:val="auto"/>
                <w:sz w:val="24"/>
                <w:szCs w:val="24"/>
                <w:lang w:eastAsia="zh-CN"/>
              </w:rPr>
              <w:t>福清融侨经济技术开发区（租赁福建茂华投资有限公司2号厂房2层）</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项目性质：扩建</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总投资：400万元，其中环保投资15万元</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生产规模：年产糕点、面包食品300吨及披萨饼底30吨</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劳动定员：劳动定员20人，职工均不住厂</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工作制度：年工作日200天，日生产6h，白天单班制</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施工期：3个月</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2.1.3 项目建设内容及组成</w:t>
            </w:r>
          </w:p>
          <w:p>
            <w:pPr>
              <w:pStyle w:val="14"/>
              <w:widowControl w:val="0"/>
              <w:topLinePunct/>
              <w:spacing w:after="0"/>
              <w:ind w:firstLine="48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本项目组成及主要建设内容见表2.1-1。</w:t>
            </w:r>
          </w:p>
          <w:p>
            <w:pPr>
              <w:widowControl w:val="0"/>
              <w:topLinePunct/>
              <w:spacing w:after="0" w:line="36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表2.1-1 项目组成与工程建设内容</w:t>
            </w:r>
          </w:p>
          <w:tbl>
            <w:tblPr>
              <w:tblStyle w:val="37"/>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15"/>
              <w:gridCol w:w="831"/>
              <w:gridCol w:w="821"/>
              <w:gridCol w:w="645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167" w:type="dxa"/>
                  <w:gridSpan w:val="3"/>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主要项目名称</w:t>
                  </w:r>
                </w:p>
              </w:tc>
              <w:tc>
                <w:tcPr>
                  <w:tcW w:w="6450" w:type="dxa"/>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主要内容及建设规模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restar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652" w:type="dxa"/>
                  <w:gridSpan w:val="2"/>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生产车间（2号厂房2层）</w:t>
                  </w:r>
                </w:p>
              </w:tc>
              <w:tc>
                <w:tcPr>
                  <w:tcW w:w="6450" w:type="dxa"/>
                  <w:tcBorders>
                    <w:tl2br w:val="nil"/>
                    <w:tr2bl w:val="nil"/>
                  </w:tcBorders>
                  <w:vAlign w:val="center"/>
                </w:tcPr>
                <w:p>
                  <w:pPr>
                    <w:pStyle w:val="155"/>
                    <w:widowControl w:val="0"/>
                    <w:topLinePunct/>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建筑面积1500m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；车间内设置为生产区、原料区、成品区。生产区设置1条食品加工生产线，生产规模为年产糕点、面包食品300吨及披萨饼底30吨。</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18"/>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供电</w:t>
                  </w:r>
                </w:p>
              </w:tc>
              <w:tc>
                <w:tcPr>
                  <w:tcW w:w="6450" w:type="dxa"/>
                  <w:tcBorders>
                    <w:tl2br w:val="nil"/>
                    <w:tr2bl w:val="nil"/>
                  </w:tcBorders>
                  <w:vAlign w:val="center"/>
                </w:tcPr>
                <w:p>
                  <w:pPr>
                    <w:pStyle w:val="118"/>
                    <w:widowControl w:val="0"/>
                    <w:topLinePunct/>
                    <w:spacing w:after="0" w:line="240" w:lineRule="auto"/>
                    <w:jc w:val="both"/>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由市政电力系统提供。</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18"/>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给水</w:t>
                  </w:r>
                </w:p>
              </w:tc>
              <w:tc>
                <w:tcPr>
                  <w:tcW w:w="6450" w:type="dxa"/>
                  <w:tcBorders>
                    <w:tl2br w:val="nil"/>
                    <w:tr2bl w:val="nil"/>
                  </w:tcBorders>
                  <w:vAlign w:val="center"/>
                </w:tcPr>
                <w:p>
                  <w:pPr>
                    <w:pStyle w:val="118"/>
                    <w:widowControl w:val="0"/>
                    <w:topLinePunct/>
                    <w:spacing w:after="0" w:line="240" w:lineRule="auto"/>
                    <w:jc w:val="both"/>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由市政供水系统提供。</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2" w:hRule="atLeast"/>
                <w:jc w:val="center"/>
              </w:trPr>
              <w:tc>
                <w:tcPr>
                  <w:tcW w:w="515" w:type="dxa"/>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18"/>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排水</w:t>
                  </w:r>
                </w:p>
              </w:tc>
              <w:tc>
                <w:tcPr>
                  <w:tcW w:w="6450" w:type="dxa"/>
                  <w:tcBorders>
                    <w:tl2br w:val="nil"/>
                    <w:tr2bl w:val="nil"/>
                  </w:tcBorders>
                  <w:vAlign w:val="center"/>
                </w:tcPr>
                <w:p>
                  <w:pPr>
                    <w:pStyle w:val="118"/>
                    <w:widowControl w:val="0"/>
                    <w:topLinePunct/>
                    <w:spacing w:after="0" w:line="240" w:lineRule="auto"/>
                    <w:jc w:val="both"/>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厂区实行“雨污分流”，生活污水经化粪池处理后通过污水接管纳入融元污水处理厂；雨水经厂区</w:t>
                  </w:r>
                  <w:r>
                    <w:rPr>
                      <w:rFonts w:hint="default" w:ascii="Times New Roman" w:hAnsi="Times New Roman" w:eastAsia="宋体" w:cs="Times New Roman"/>
                      <w:color w:val="auto"/>
                    </w:rPr>
                    <w:t>雨</w:t>
                  </w:r>
                  <w:r>
                    <w:rPr>
                      <w:rFonts w:hint="default" w:ascii="Times New Roman" w:hAnsi="Times New Roman" w:eastAsia="宋体" w:cs="Times New Roman"/>
                      <w:color w:val="auto"/>
                      <w:sz w:val="21"/>
                    </w:rPr>
                    <w:t>水管网收集后接入市政雨水管网。</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restar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1652" w:type="dxa"/>
                  <w:gridSpan w:val="2"/>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废水工程</w:t>
                  </w:r>
                </w:p>
              </w:tc>
              <w:tc>
                <w:tcPr>
                  <w:tcW w:w="6450" w:type="dxa"/>
                  <w:tcBorders>
                    <w:tl2br w:val="nil"/>
                    <w:tr2bl w:val="nil"/>
                  </w:tcBorders>
                  <w:vAlign w:val="center"/>
                </w:tcPr>
                <w:p>
                  <w:pPr>
                    <w:pStyle w:val="155"/>
                    <w:widowControl w:val="0"/>
                    <w:topLinePunct/>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生活污水通过厂区化粪池处理后接入污水管网纳入融元污水处理厂统一处理；设备、工作台及车间清洗产生的生产废水水质与生活污水接近，并入厂区化粪池处理后接入污水管网纳入融元污水处理厂统一处理。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1652" w:type="dxa"/>
                  <w:gridSpan w:val="2"/>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废气工程</w:t>
                  </w:r>
                </w:p>
              </w:tc>
              <w:tc>
                <w:tcPr>
                  <w:tcW w:w="6450" w:type="dxa"/>
                  <w:tcBorders>
                    <w:tl2br w:val="nil"/>
                    <w:tr2bl w:val="nil"/>
                  </w:tcBorders>
                  <w:vAlign w:val="center"/>
                </w:tcPr>
                <w:p>
                  <w:pPr>
                    <w:pStyle w:val="171"/>
                    <w:widowControl w:val="0"/>
                    <w:topLinePunct/>
                    <w:spacing w:before="33" w:after="0" w:line="240" w:lineRule="auto"/>
                    <w:ind w:left="63"/>
                    <w:jc w:val="both"/>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配料、和面工序产生的粉尘经车间沉降后由吸尘器收集，</w:t>
                  </w:r>
                  <w:r>
                    <w:rPr>
                      <w:rFonts w:hint="default" w:ascii="Times New Roman" w:hAnsi="Times New Roman" w:eastAsia="宋体" w:cs="Times New Roman"/>
                      <w:color w:val="auto"/>
                      <w:sz w:val="21"/>
                      <w:szCs w:val="21"/>
                      <w:lang w:eastAsia="zh-CN"/>
                    </w:rPr>
                    <w:t>烘烤工序废气收集</w:t>
                  </w:r>
                  <w:r>
                    <w:rPr>
                      <w:rFonts w:hint="eastAsia" w:ascii="Times New Roman" w:hAnsi="Times New Roman" w:eastAsia="宋体" w:cs="Times New Roman"/>
                      <w:color w:val="auto"/>
                      <w:sz w:val="21"/>
                      <w:szCs w:val="21"/>
                      <w:lang w:val="en-US" w:eastAsia="zh-CN"/>
                    </w:rPr>
                    <w:t>经油烟净化器处理后</w:t>
                  </w:r>
                  <w:r>
                    <w:rPr>
                      <w:rFonts w:hint="default" w:ascii="Times New Roman" w:hAnsi="Times New Roman" w:eastAsia="宋体" w:cs="Times New Roman"/>
                      <w:color w:val="auto"/>
                      <w:sz w:val="21"/>
                      <w:szCs w:val="21"/>
                      <w:lang w:eastAsia="zh-CN"/>
                    </w:rPr>
                    <w:t>通过1根15m高排气筒（DA003）排放。</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噪声工程</w:t>
                  </w:r>
                </w:p>
              </w:tc>
              <w:tc>
                <w:tcPr>
                  <w:tcW w:w="6450" w:type="dxa"/>
                  <w:tcBorders>
                    <w:tl2br w:val="nil"/>
                    <w:tr2bl w:val="nil"/>
                  </w:tcBorders>
                  <w:vAlign w:val="center"/>
                </w:tcPr>
                <w:p>
                  <w:pPr>
                    <w:pStyle w:val="155"/>
                    <w:widowControl w:val="0"/>
                    <w:topLinePunct/>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采取基础减振、厂房隔声等降噪措施。</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831" w:type="dxa"/>
                  <w:vMerge w:val="restar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821" w:type="dxa"/>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w:t>
                  </w:r>
                </w:p>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6450" w:type="dxa"/>
                  <w:tcBorders>
                    <w:tl2br w:val="nil"/>
                    <w:tr2bl w:val="nil"/>
                  </w:tcBorders>
                  <w:vAlign w:val="center"/>
                </w:tcPr>
                <w:p>
                  <w:pPr>
                    <w:pStyle w:val="155"/>
                    <w:widowControl w:val="0"/>
                    <w:topLinePunct/>
                    <w:spacing w:after="0" w:line="240" w:lineRule="auto"/>
                    <w:jc w:val="both"/>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吸尘器收集的粉尘、残次品收集后作为饲料外售</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废包装</w:t>
                  </w:r>
                  <w:r>
                    <w:rPr>
                      <w:rFonts w:hint="eastAsia" w:ascii="Times New Roman" w:hAnsi="Times New Roman" w:eastAsia="宋体" w:cs="Times New Roman"/>
                      <w:color w:val="auto"/>
                      <w:sz w:val="21"/>
                      <w:szCs w:val="21"/>
                      <w:lang w:val="en-US" w:eastAsia="zh-CN"/>
                    </w:rPr>
                    <w:t>材料</w:t>
                  </w:r>
                  <w:r>
                    <w:rPr>
                      <w:rFonts w:hint="default" w:ascii="Times New Roman" w:hAnsi="Times New Roman" w:eastAsia="宋体" w:cs="Times New Roman"/>
                      <w:color w:val="auto"/>
                      <w:sz w:val="21"/>
                      <w:szCs w:val="21"/>
                    </w:rPr>
                    <w:t>收集后</w:t>
                  </w:r>
                  <w:r>
                    <w:rPr>
                      <w:rFonts w:hint="eastAsia" w:ascii="Times New Roman" w:hAnsi="Times New Roman" w:eastAsia="宋体" w:cs="Times New Roman"/>
                      <w:color w:val="auto"/>
                      <w:sz w:val="21"/>
                      <w:szCs w:val="21"/>
                      <w:lang w:val="en-US" w:eastAsia="zh-CN"/>
                    </w:rPr>
                    <w:t>定期</w:t>
                  </w:r>
                  <w:r>
                    <w:rPr>
                      <w:rFonts w:hint="default" w:ascii="Times New Roman" w:hAnsi="Times New Roman" w:eastAsia="宋体" w:cs="Times New Roman"/>
                      <w:color w:val="auto"/>
                      <w:sz w:val="21"/>
                      <w:szCs w:val="21"/>
                    </w:rPr>
                    <w:t>外售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废抹布、拖布</w:t>
                  </w:r>
                  <w:r>
                    <w:rPr>
                      <w:rFonts w:hint="default" w:ascii="Times New Roman" w:hAnsi="Times New Roman" w:eastAsia="宋体" w:cs="Times New Roman"/>
                      <w:color w:val="auto"/>
                      <w:sz w:val="21"/>
                      <w:szCs w:val="21"/>
                    </w:rPr>
                    <w:t>收集后交由环卫部门统一清运。</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831" w:type="dxa"/>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821" w:type="dxa"/>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w:t>
                  </w:r>
                </w:p>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垃圾</w:t>
                  </w:r>
                </w:p>
              </w:tc>
              <w:tc>
                <w:tcPr>
                  <w:tcW w:w="6450" w:type="dxa"/>
                  <w:tcBorders>
                    <w:tl2br w:val="nil"/>
                    <w:tr2bl w:val="nil"/>
                  </w:tcBorders>
                  <w:vAlign w:val="center"/>
                </w:tcPr>
                <w:p>
                  <w:pPr>
                    <w:pStyle w:val="155"/>
                    <w:widowControl w:val="0"/>
                    <w:topLinePunct/>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生活垃圾收集后交由环卫部门统一清运，设置厂区生活垃圾投放点。</w:t>
                  </w:r>
                </w:p>
              </w:tc>
            </w:tr>
          </w:tbl>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2.1.4 主要产品及产能</w:t>
            </w:r>
          </w:p>
          <w:p>
            <w:pPr>
              <w:pStyle w:val="14"/>
              <w:widowControl w:val="0"/>
              <w:topLinePunct/>
              <w:spacing w:after="0"/>
              <w:ind w:firstLine="48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本项目产品方案见表2.1-2。 </w:t>
            </w:r>
          </w:p>
          <w:p>
            <w:pPr>
              <w:widowControl w:val="0"/>
              <w:topLinePunct/>
              <w:spacing w:after="0" w:line="36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表2.1-2 项目产品方案</w:t>
            </w:r>
          </w:p>
          <w:tbl>
            <w:tblPr>
              <w:tblStyle w:val="37"/>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2200"/>
              <w:gridCol w:w="1707"/>
              <w:gridCol w:w="1707"/>
              <w:gridCol w:w="178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pct"/>
                  <w:tcBorders>
                    <w:tl2br w:val="nil"/>
                    <w:tr2bl w:val="nil"/>
                  </w:tcBorders>
                  <w:vAlign w:val="center"/>
                </w:tcPr>
                <w:p>
                  <w:pPr>
                    <w:pStyle w:val="118"/>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1276" w:type="pct"/>
                  <w:tcBorders>
                    <w:tl2br w:val="nil"/>
                    <w:tr2bl w:val="nil"/>
                  </w:tcBorders>
                  <w:vAlign w:val="center"/>
                </w:tcPr>
                <w:p>
                  <w:pPr>
                    <w:pStyle w:val="118"/>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产品名称</w:t>
                  </w:r>
                </w:p>
              </w:tc>
              <w:tc>
                <w:tcPr>
                  <w:tcW w:w="990" w:type="pct"/>
                  <w:tcBorders>
                    <w:tl2br w:val="nil"/>
                    <w:tr2bl w:val="nil"/>
                  </w:tcBorders>
                  <w:vAlign w:val="center"/>
                </w:tcPr>
                <w:p>
                  <w:pPr>
                    <w:pStyle w:val="118"/>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规格</w:t>
                  </w:r>
                </w:p>
              </w:tc>
              <w:tc>
                <w:tcPr>
                  <w:tcW w:w="990" w:type="pct"/>
                  <w:tcBorders>
                    <w:tl2br w:val="nil"/>
                    <w:tr2bl w:val="nil"/>
                  </w:tcBorders>
                  <w:vAlign w:val="center"/>
                </w:tcPr>
                <w:p>
                  <w:pPr>
                    <w:pStyle w:val="118"/>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生产规模</w:t>
                  </w:r>
                </w:p>
              </w:tc>
              <w:tc>
                <w:tcPr>
                  <w:tcW w:w="1037" w:type="pct"/>
                  <w:tcBorders>
                    <w:tl2br w:val="nil"/>
                    <w:tr2bl w:val="nil"/>
                  </w:tcBorders>
                  <w:vAlign w:val="center"/>
                </w:tcPr>
                <w:p>
                  <w:pPr>
                    <w:pStyle w:val="118"/>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储存位置</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7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糕点、面包</w:t>
                  </w:r>
                </w:p>
              </w:tc>
              <w:tc>
                <w:tcPr>
                  <w:tcW w:w="990"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7.92kg/件</w:t>
                  </w:r>
                </w:p>
              </w:tc>
              <w:tc>
                <w:tcPr>
                  <w:tcW w:w="990"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300t</w:t>
                  </w:r>
                </w:p>
              </w:tc>
              <w:tc>
                <w:tcPr>
                  <w:tcW w:w="1037" w:type="pct"/>
                  <w:vMerge w:val="restar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成品区</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7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披萨饼底</w:t>
                  </w:r>
                </w:p>
              </w:tc>
              <w:tc>
                <w:tcPr>
                  <w:tcW w:w="990"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4kg/件</w:t>
                  </w:r>
                </w:p>
              </w:tc>
              <w:tc>
                <w:tcPr>
                  <w:tcW w:w="990"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30t</w:t>
                  </w:r>
                </w:p>
              </w:tc>
              <w:tc>
                <w:tcPr>
                  <w:tcW w:w="1037"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r>
          </w:tbl>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2.1.5 平面布置</w:t>
            </w:r>
          </w:p>
          <w:p>
            <w:pPr>
              <w:pStyle w:val="14"/>
              <w:widowControl w:val="0"/>
              <w:topLinePunct/>
              <w:spacing w:after="0"/>
              <w:ind w:firstLine="48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项目平面布置图与每个厂房内生产线布局示意图详见附图3。</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2.1.6 主要生产单元及主要生产设备</w:t>
            </w:r>
          </w:p>
          <w:p>
            <w:pPr>
              <w:pStyle w:val="14"/>
              <w:widowControl w:val="0"/>
              <w:topLinePunct/>
              <w:spacing w:after="0"/>
              <w:ind w:firstLine="48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项目主要生产设备见表2.1-3。</w:t>
            </w:r>
          </w:p>
          <w:p>
            <w:pPr>
              <w:widowControl w:val="0"/>
              <w:topLinePunct/>
              <w:spacing w:after="0" w:line="360" w:lineRule="auto"/>
              <w:jc w:val="center"/>
              <w:outlineLvl w:val="9"/>
              <w:rPr>
                <w:rFonts w:hint="default" w:ascii="Times New Roman" w:hAnsi="Times New Roman" w:eastAsia="宋体" w:cs="Times New Roman"/>
                <w:color w:val="auto"/>
              </w:rPr>
            </w:pPr>
            <w:r>
              <w:rPr>
                <w:rFonts w:hint="default" w:ascii="Times New Roman" w:hAnsi="Times New Roman" w:eastAsia="宋体" w:cs="Times New Roman"/>
                <w:b/>
                <w:bCs/>
                <w:color w:val="auto"/>
                <w:sz w:val="24"/>
                <w:szCs w:val="24"/>
              </w:rPr>
              <w:t>表2.1-3 主要生产设备清单</w:t>
            </w:r>
          </w:p>
          <w:tbl>
            <w:tblPr>
              <w:tblStyle w:val="37"/>
              <w:tblW w:w="4998" w:type="pct"/>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12"/>
              <w:gridCol w:w="1718"/>
              <w:gridCol w:w="1966"/>
              <w:gridCol w:w="1958"/>
              <w:gridCol w:w="1963"/>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trPr>
              <w:tc>
                <w:tcPr>
                  <w:tcW w:w="587"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w:t>
                  </w:r>
                </w:p>
              </w:tc>
              <w:tc>
                <w:tcPr>
                  <w:tcW w:w="997"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114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规格型号/功率</w:t>
                  </w:r>
                </w:p>
              </w:tc>
              <w:tc>
                <w:tcPr>
                  <w:tcW w:w="113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台数（台/套）</w:t>
                  </w:r>
                </w:p>
              </w:tc>
              <w:tc>
                <w:tcPr>
                  <w:tcW w:w="1137"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cantSplit/>
                <w:trHeight w:val="340" w:hRule="atLeast"/>
                <w:tblHeader/>
              </w:trPr>
              <w:tc>
                <w:tcPr>
                  <w:tcW w:w="58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997"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rPr>
                  </w:pPr>
                  <w:r>
                    <w:rPr>
                      <w:rStyle w:val="63"/>
                      <w:rFonts w:hint="default" w:ascii="Times New Roman" w:hAnsi="Times New Roman" w:cs="Times New Roman"/>
                      <w:color w:val="auto"/>
                      <w:sz w:val="21"/>
                      <w:szCs w:val="21"/>
                    </w:rPr>
                    <w:t>和成机</w:t>
                  </w:r>
                </w:p>
              </w:tc>
              <w:tc>
                <w:tcPr>
                  <w:tcW w:w="1141"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GH-J125/19.5kW</w:t>
                  </w:r>
                </w:p>
              </w:tc>
              <w:tc>
                <w:tcPr>
                  <w:tcW w:w="1136" w:type="pct"/>
                  <w:tcBorders>
                    <w:tl2br w:val="nil"/>
                    <w:tr2bl w:val="nil"/>
                  </w:tcBorders>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1137" w:type="pct"/>
                  <w:tcBorders>
                    <w:tl2br w:val="nil"/>
                    <w:tr2bl w:val="nil"/>
                  </w:tcBorders>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trPr>
              <w:tc>
                <w:tcPr>
                  <w:tcW w:w="58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997"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rPr>
                  </w:pPr>
                  <w:r>
                    <w:rPr>
                      <w:rStyle w:val="63"/>
                      <w:rFonts w:hint="default" w:ascii="Times New Roman" w:hAnsi="Times New Roman" w:cs="Times New Roman"/>
                      <w:color w:val="auto"/>
                      <w:sz w:val="21"/>
                      <w:szCs w:val="21"/>
                    </w:rPr>
                    <w:t>成型机</w:t>
                  </w:r>
                </w:p>
              </w:tc>
              <w:tc>
                <w:tcPr>
                  <w:tcW w:w="1141"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UT-CXJ/3kW</w:t>
                  </w:r>
                </w:p>
              </w:tc>
              <w:tc>
                <w:tcPr>
                  <w:tcW w:w="1136" w:type="pct"/>
                  <w:tcBorders>
                    <w:tl2br w:val="nil"/>
                    <w:tr2bl w:val="nil"/>
                  </w:tcBorders>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137" w:type="pct"/>
                  <w:tcBorders>
                    <w:tl2br w:val="nil"/>
                    <w:tr2bl w:val="nil"/>
                  </w:tcBorders>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trPr>
              <w:tc>
                <w:tcPr>
                  <w:tcW w:w="58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997"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rPr>
                  </w:pPr>
                  <w:r>
                    <w:rPr>
                      <w:rStyle w:val="63"/>
                      <w:rFonts w:hint="eastAsia" w:ascii="Times New Roman" w:hAnsi="Times New Roman" w:eastAsia="宋体" w:cs="Times New Roman"/>
                      <w:color w:val="auto"/>
                      <w:sz w:val="21"/>
                      <w:szCs w:val="21"/>
                      <w:lang w:val="en-US" w:eastAsia="zh-CN"/>
                    </w:rPr>
                    <w:t>电</w:t>
                  </w:r>
                  <w:r>
                    <w:rPr>
                      <w:rStyle w:val="63"/>
                      <w:rFonts w:hint="default" w:ascii="Times New Roman" w:hAnsi="Times New Roman" w:cs="Times New Roman"/>
                      <w:color w:val="auto"/>
                      <w:sz w:val="21"/>
                      <w:szCs w:val="21"/>
                    </w:rPr>
                    <w:t>烤炉</w:t>
                  </w:r>
                </w:p>
              </w:tc>
              <w:tc>
                <w:tcPr>
                  <w:tcW w:w="1141"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UT-DLXSDL/50kW</w:t>
                  </w:r>
                </w:p>
              </w:tc>
              <w:tc>
                <w:tcPr>
                  <w:tcW w:w="1136" w:type="pct"/>
                  <w:tcBorders>
                    <w:tl2br w:val="nil"/>
                    <w:tr2bl w:val="nil"/>
                  </w:tcBorders>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137" w:type="pct"/>
                  <w:tcBorders>
                    <w:tl2br w:val="nil"/>
                    <w:tr2bl w:val="nil"/>
                  </w:tcBorders>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trPr>
              <w:tc>
                <w:tcPr>
                  <w:tcW w:w="58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997"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rPr>
                  </w:pPr>
                  <w:r>
                    <w:rPr>
                      <w:rStyle w:val="63"/>
                      <w:rFonts w:hint="default" w:ascii="Times New Roman" w:hAnsi="Times New Roman" w:cs="Times New Roman"/>
                      <w:color w:val="auto"/>
                      <w:sz w:val="21"/>
                      <w:szCs w:val="21"/>
                    </w:rPr>
                    <w:t>包装机</w:t>
                  </w:r>
                </w:p>
              </w:tc>
              <w:tc>
                <w:tcPr>
                  <w:tcW w:w="1141"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BOS-590/ 5.5kW</w:t>
                  </w:r>
                </w:p>
              </w:tc>
              <w:tc>
                <w:tcPr>
                  <w:tcW w:w="1136" w:type="pct"/>
                  <w:tcBorders>
                    <w:tl2br w:val="nil"/>
                    <w:tr2bl w:val="nil"/>
                  </w:tcBorders>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137" w:type="pct"/>
                  <w:tcBorders>
                    <w:tl2br w:val="nil"/>
                    <w:tr2bl w:val="nil"/>
                  </w:tcBorders>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trPr>
              <w:tc>
                <w:tcPr>
                  <w:tcW w:w="58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997"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lang w:bidi="ar"/>
                    </w:rPr>
                  </w:pPr>
                  <w:r>
                    <w:rPr>
                      <w:rStyle w:val="63"/>
                      <w:rFonts w:hint="default" w:ascii="Times New Roman" w:hAnsi="Times New Roman" w:cs="Times New Roman"/>
                      <w:color w:val="auto"/>
                      <w:sz w:val="21"/>
                      <w:szCs w:val="21"/>
                    </w:rPr>
                    <w:t>冻库</w:t>
                  </w:r>
                </w:p>
              </w:tc>
              <w:tc>
                <w:tcPr>
                  <w:tcW w:w="1141"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 15kW</w:t>
                  </w:r>
                </w:p>
              </w:tc>
              <w:tc>
                <w:tcPr>
                  <w:tcW w:w="1136" w:type="pct"/>
                  <w:tcBorders>
                    <w:tl2br w:val="nil"/>
                    <w:tr2bl w:val="nil"/>
                  </w:tcBorders>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lang w:bidi="ar"/>
                    </w:rPr>
                  </w:pPr>
                  <w:r>
                    <w:rPr>
                      <w:rFonts w:hint="default" w:ascii="Times New Roman" w:hAnsi="Times New Roman" w:eastAsia="宋体" w:cs="Times New Roman"/>
                      <w:color w:val="auto"/>
                      <w:sz w:val="21"/>
                    </w:rPr>
                    <w:t>1</w:t>
                  </w:r>
                </w:p>
              </w:tc>
              <w:tc>
                <w:tcPr>
                  <w:tcW w:w="1137" w:type="pct"/>
                  <w:tcBorders>
                    <w:tl2br w:val="nil"/>
                    <w:tr2bl w:val="nil"/>
                  </w:tcBorders>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R32制冷</w:t>
                  </w:r>
                  <w:r>
                    <w:rPr>
                      <w:rStyle w:val="44"/>
                      <w:rFonts w:hint="default" w:ascii="Times New Roman" w:hAnsi="Times New Roman" w:eastAsia="宋体" w:cs="Times New Roman"/>
                      <w:color w:val="auto"/>
                      <w:szCs w:val="20"/>
                      <w:vertAlign w:val="superscript"/>
                    </w:rPr>
                    <w:t>①</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trPr>
              <w:tc>
                <w:tcPr>
                  <w:tcW w:w="58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997" w:type="pct"/>
                  <w:tcBorders>
                    <w:tl2br w:val="nil"/>
                    <w:tr2bl w:val="nil"/>
                  </w:tcBorders>
                  <w:vAlign w:val="center"/>
                </w:tcPr>
                <w:p>
                  <w:pPr>
                    <w:pStyle w:val="158"/>
                    <w:spacing w:after="0" w:line="240" w:lineRule="auto"/>
                    <w:jc w:val="center"/>
                    <w:outlineLvl w:val="9"/>
                    <w:rPr>
                      <w:rFonts w:hint="eastAsia" w:ascii="Times New Roman" w:hAnsi="Times New Roman" w:eastAsia="宋体" w:cs="Times New Roman"/>
                      <w:color w:val="auto"/>
                      <w:sz w:val="21"/>
                      <w:szCs w:val="21"/>
                      <w:lang w:val="en-US" w:eastAsia="zh-CN" w:bidi="ar"/>
                    </w:rPr>
                  </w:pPr>
                  <w:r>
                    <w:rPr>
                      <w:rStyle w:val="63"/>
                      <w:rFonts w:hint="default" w:ascii="Times New Roman" w:hAnsi="Times New Roman" w:cs="Times New Roman"/>
                      <w:color w:val="auto"/>
                      <w:sz w:val="21"/>
                      <w:szCs w:val="21"/>
                    </w:rPr>
                    <w:t>冷却</w:t>
                  </w:r>
                  <w:r>
                    <w:rPr>
                      <w:rStyle w:val="63"/>
                      <w:rFonts w:hint="eastAsia" w:ascii="Times New Roman" w:hAnsi="Times New Roman" w:eastAsia="宋体" w:cs="Times New Roman"/>
                      <w:color w:val="auto"/>
                      <w:sz w:val="21"/>
                      <w:szCs w:val="21"/>
                      <w:lang w:val="en-US" w:eastAsia="zh-CN"/>
                    </w:rPr>
                    <w:t>置物架</w:t>
                  </w:r>
                </w:p>
              </w:tc>
              <w:tc>
                <w:tcPr>
                  <w:tcW w:w="1141"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UT-LQT/3.5kW</w:t>
                  </w:r>
                </w:p>
              </w:tc>
              <w:tc>
                <w:tcPr>
                  <w:tcW w:w="1136" w:type="pct"/>
                  <w:tcBorders>
                    <w:tl2br w:val="nil"/>
                    <w:tr2bl w:val="nil"/>
                  </w:tcBorders>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lang w:bidi="ar"/>
                    </w:rPr>
                  </w:pPr>
                  <w:r>
                    <w:rPr>
                      <w:rFonts w:hint="default" w:ascii="Times New Roman" w:hAnsi="Times New Roman" w:eastAsia="宋体" w:cs="Times New Roman"/>
                      <w:color w:val="auto"/>
                      <w:sz w:val="21"/>
                    </w:rPr>
                    <w:t>1</w:t>
                  </w:r>
                </w:p>
              </w:tc>
              <w:tc>
                <w:tcPr>
                  <w:tcW w:w="1137" w:type="pct"/>
                  <w:tcBorders>
                    <w:tl2br w:val="nil"/>
                    <w:tr2bl w:val="nil"/>
                  </w:tcBorders>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物料放在置物架上，用空调进行降温</w:t>
                  </w:r>
                  <w:r>
                    <w:rPr>
                      <w:rFonts w:hint="eastAsia" w:ascii="Times New Roman" w:hAnsi="Times New Roman" w:eastAsia="宋体" w:cs="Times New Roman"/>
                      <w:color w:val="auto"/>
                      <w:sz w:val="21"/>
                      <w:lang w:eastAsia="zh-CN"/>
                    </w:rPr>
                    <w:t>，</w:t>
                  </w:r>
                  <w:r>
                    <w:rPr>
                      <w:rFonts w:hint="eastAsia" w:ascii="Times New Roman" w:hAnsi="Times New Roman" w:eastAsia="宋体" w:cs="Times New Roman"/>
                      <w:color w:val="auto"/>
                      <w:sz w:val="21"/>
                      <w:lang w:val="en-US" w:eastAsia="zh-CN"/>
                    </w:rPr>
                    <w:t>无废水产生</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trPr>
              <w:tc>
                <w:tcPr>
                  <w:tcW w:w="5000" w:type="pct"/>
                  <w:gridSpan w:val="5"/>
                  <w:tcBorders>
                    <w:tl2br w:val="nil"/>
                    <w:tr2bl w:val="nil"/>
                  </w:tcBorders>
                  <w:vAlign w:val="center"/>
                </w:tcPr>
                <w:p>
                  <w:pPr>
                    <w:pStyle w:val="158"/>
                    <w:widowControl w:val="0"/>
                    <w:topLinePunct/>
                    <w:spacing w:after="0" w:line="240" w:lineRule="auto"/>
                    <w:jc w:val="left"/>
                    <w:outlineLvl w:val="9"/>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备注：①</w:t>
                  </w:r>
                  <w:r>
                    <w:rPr>
                      <w:rFonts w:hint="default" w:ascii="Times New Roman" w:hAnsi="Times New Roman" w:eastAsia="宋体" w:cs="Times New Roman"/>
                      <w:color w:val="auto"/>
                      <w:sz w:val="21"/>
                    </w:rPr>
                    <w:t>R32，学名二氟甲烷（Difluoromethane），是一种新型环保制冷剂，具有零臭氧损耗潜势（ODP值为0），并且全球变暖潜能值（GWP值）相对较低，大约是R410A的1/3，对环境影响较小</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不属于《中国受控消耗臭氧层物质清单》禁止使用或淘汰的制冷剂类型。本项目不储存R32制冷剂，定期由专业冷库维修公司上门更换</w:t>
                  </w:r>
                  <w:r>
                    <w:rPr>
                      <w:rFonts w:hint="default" w:ascii="Times New Roman" w:hAnsi="Times New Roman" w:eastAsia="宋体" w:cs="Times New Roman"/>
                      <w:color w:val="auto"/>
                      <w:sz w:val="21"/>
                      <w:lang w:eastAsia="zh-CN"/>
                    </w:rPr>
                    <w:t>。</w:t>
                  </w:r>
                </w:p>
              </w:tc>
            </w:tr>
          </w:tbl>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2.1.7 主要原辅材料及燃料种类和用量</w:t>
            </w:r>
          </w:p>
          <w:p>
            <w:pPr>
              <w:pStyle w:val="14"/>
              <w:widowControl w:val="0"/>
              <w:topLinePunct/>
              <w:spacing w:after="0"/>
              <w:ind w:firstLine="48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项目主要原辅材料及能源消耗情况见表2.1-4，主要原辅材料性质详见表2.1-5。</w:t>
            </w:r>
          </w:p>
          <w:p>
            <w:pPr>
              <w:widowControl w:val="0"/>
              <w:topLinePunct/>
              <w:spacing w:after="0" w:line="36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表2.1-4 项目主要原辅材料及能源消耗情况</w:t>
            </w:r>
          </w:p>
          <w:tbl>
            <w:tblPr>
              <w:tblStyle w:val="37"/>
              <w:tblW w:w="4997" w:type="pct"/>
              <w:tblInd w:w="0" w:type="dxa"/>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777"/>
              <w:gridCol w:w="1060"/>
              <w:gridCol w:w="1165"/>
              <w:gridCol w:w="1169"/>
              <w:gridCol w:w="1207"/>
              <w:gridCol w:w="1089"/>
              <w:gridCol w:w="1070"/>
              <w:gridCol w:w="1078"/>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1" w:type="pc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615" w:type="pct"/>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产品名称</w:t>
                  </w:r>
                </w:p>
              </w:tc>
              <w:tc>
                <w:tcPr>
                  <w:tcW w:w="676" w:type="pct"/>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原料名称</w:t>
                  </w:r>
                </w:p>
              </w:tc>
              <w:tc>
                <w:tcPr>
                  <w:tcW w:w="678" w:type="pct"/>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年用量（t/a）</w:t>
                  </w:r>
                </w:p>
              </w:tc>
              <w:tc>
                <w:tcPr>
                  <w:tcW w:w="700" w:type="pc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形态</w:t>
                  </w:r>
                </w:p>
              </w:tc>
              <w:tc>
                <w:tcPr>
                  <w:tcW w:w="632" w:type="pc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规格</w:t>
                  </w:r>
                </w:p>
              </w:tc>
              <w:tc>
                <w:tcPr>
                  <w:tcW w:w="621" w:type="pc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储存地</w:t>
                  </w:r>
                </w:p>
              </w:tc>
              <w:tc>
                <w:tcPr>
                  <w:tcW w:w="625" w:type="pc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来源</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451" w:type="pct"/>
                  <w:vMerge w:val="restar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原辅料</w:t>
                  </w:r>
                </w:p>
              </w:tc>
              <w:tc>
                <w:tcPr>
                  <w:tcW w:w="615" w:type="pct"/>
                  <w:vMerge w:val="restart"/>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糕点、面包</w:t>
                  </w:r>
                </w:p>
              </w:tc>
              <w:tc>
                <w:tcPr>
                  <w:tcW w:w="676" w:type="pct"/>
                  <w:tcBorders>
                    <w:tl2br w:val="nil"/>
                    <w:tr2bl w:val="nil"/>
                  </w:tcBorders>
                  <w:tcMar>
                    <w:top w:w="0" w:type="dxa"/>
                    <w:left w:w="57" w:type="dxa"/>
                    <w:bottom w:w="0" w:type="dxa"/>
                    <w:right w:w="57"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面粉</w:t>
                  </w:r>
                </w:p>
              </w:tc>
              <w:tc>
                <w:tcPr>
                  <w:tcW w:w="678" w:type="pct"/>
                  <w:tcBorders>
                    <w:tl2br w:val="nil"/>
                    <w:tr2bl w:val="nil"/>
                  </w:tcBorders>
                  <w:tcMar>
                    <w:top w:w="0" w:type="dxa"/>
                    <w:left w:w="57" w:type="dxa"/>
                    <w:bottom w:w="0" w:type="dxa"/>
                    <w:right w:w="57" w:type="dxa"/>
                  </w:tcMar>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rPr>
                  </w:pPr>
                  <w:r>
                    <w:rPr>
                      <w:rStyle w:val="63"/>
                      <w:rFonts w:hint="default" w:ascii="Times New Roman" w:hAnsi="Times New Roman" w:cs="Times New Roman"/>
                      <w:color w:val="auto"/>
                      <w:spacing w:val="0"/>
                      <w:sz w:val="21"/>
                      <w:szCs w:val="21"/>
                    </w:rPr>
                    <w:t>200</w:t>
                  </w:r>
                </w:p>
              </w:tc>
              <w:tc>
                <w:tcPr>
                  <w:tcW w:w="700"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粉状</w:t>
                  </w:r>
                </w:p>
              </w:tc>
              <w:tc>
                <w:tcPr>
                  <w:tcW w:w="632"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袋装 25kg</w:t>
                  </w:r>
                </w:p>
              </w:tc>
              <w:tc>
                <w:tcPr>
                  <w:tcW w:w="621" w:type="pct"/>
                  <w:vMerge w:val="restar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原料区</w:t>
                  </w:r>
                </w:p>
              </w:tc>
              <w:tc>
                <w:tcPr>
                  <w:tcW w:w="625" w:type="pc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6" w:hRule="atLeast"/>
              </w:trPr>
              <w:tc>
                <w:tcPr>
                  <w:tcW w:w="45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15" w:type="pct"/>
                  <w:vMerge w:val="continue"/>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6" w:type="pct"/>
                  <w:tcBorders>
                    <w:tl2br w:val="nil"/>
                    <w:tr2bl w:val="nil"/>
                  </w:tcBorders>
                  <w:tcMar>
                    <w:top w:w="0" w:type="dxa"/>
                    <w:left w:w="57" w:type="dxa"/>
                    <w:bottom w:w="0" w:type="dxa"/>
                    <w:right w:w="57"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食用油</w:t>
                  </w:r>
                </w:p>
              </w:tc>
              <w:tc>
                <w:tcPr>
                  <w:tcW w:w="678" w:type="pct"/>
                  <w:tcBorders>
                    <w:tl2br w:val="nil"/>
                    <w:tr2bl w:val="nil"/>
                  </w:tcBorders>
                  <w:tcMar>
                    <w:top w:w="0" w:type="dxa"/>
                    <w:left w:w="57" w:type="dxa"/>
                    <w:bottom w:w="0" w:type="dxa"/>
                    <w:right w:w="57" w:type="dxa"/>
                  </w:tcMar>
                  <w:vAlign w:val="center"/>
                </w:tcPr>
                <w:p>
                  <w:pPr>
                    <w:pStyle w:val="158"/>
                    <w:widowControl w:val="0"/>
                    <w:topLinePunct/>
                    <w:spacing w:after="0" w:line="240" w:lineRule="auto"/>
                    <w:jc w:val="center"/>
                    <w:outlineLvl w:val="9"/>
                    <w:rPr>
                      <w:rStyle w:val="63"/>
                      <w:rFonts w:hint="default" w:ascii="Times New Roman" w:hAnsi="Times New Roman" w:cs="Times New Roman"/>
                      <w:color w:val="auto"/>
                      <w:spacing w:val="0"/>
                      <w:sz w:val="21"/>
                      <w:szCs w:val="21"/>
                    </w:rPr>
                  </w:pPr>
                  <w:r>
                    <w:rPr>
                      <w:rStyle w:val="63"/>
                      <w:rFonts w:hint="default" w:ascii="Times New Roman" w:hAnsi="Times New Roman" w:cs="Times New Roman"/>
                      <w:color w:val="auto"/>
                      <w:spacing w:val="0"/>
                      <w:sz w:val="21"/>
                      <w:szCs w:val="21"/>
                    </w:rPr>
                    <w:t>8</w:t>
                  </w:r>
                </w:p>
              </w:tc>
              <w:tc>
                <w:tcPr>
                  <w:tcW w:w="700"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液态</w:t>
                  </w:r>
                </w:p>
              </w:tc>
              <w:tc>
                <w:tcPr>
                  <w:tcW w:w="632"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桶装 10L</w:t>
                  </w:r>
                </w:p>
              </w:tc>
              <w:tc>
                <w:tcPr>
                  <w:tcW w:w="62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2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45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15" w:type="pct"/>
                  <w:vMerge w:val="continue"/>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6" w:type="pct"/>
                  <w:tcBorders>
                    <w:tl2br w:val="nil"/>
                    <w:tr2bl w:val="nil"/>
                  </w:tcBorders>
                  <w:tcMar>
                    <w:top w:w="0" w:type="dxa"/>
                    <w:left w:w="57" w:type="dxa"/>
                    <w:bottom w:w="0" w:type="dxa"/>
                    <w:right w:w="57"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盐</w:t>
                  </w:r>
                </w:p>
              </w:tc>
              <w:tc>
                <w:tcPr>
                  <w:tcW w:w="678" w:type="pct"/>
                  <w:tcBorders>
                    <w:tl2br w:val="nil"/>
                    <w:tr2bl w:val="nil"/>
                  </w:tcBorders>
                  <w:tcMar>
                    <w:top w:w="0" w:type="dxa"/>
                    <w:left w:w="57" w:type="dxa"/>
                    <w:bottom w:w="0" w:type="dxa"/>
                    <w:right w:w="57" w:type="dxa"/>
                  </w:tcMar>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rPr>
                  </w:pPr>
                  <w:r>
                    <w:rPr>
                      <w:rStyle w:val="63"/>
                      <w:rFonts w:hint="default" w:ascii="Times New Roman" w:hAnsi="Times New Roman" w:cs="Times New Roman"/>
                      <w:color w:val="auto"/>
                      <w:spacing w:val="0"/>
                      <w:sz w:val="21"/>
                      <w:szCs w:val="21"/>
                    </w:rPr>
                    <w:t>2</w:t>
                  </w:r>
                </w:p>
              </w:tc>
              <w:tc>
                <w:tcPr>
                  <w:tcW w:w="700"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颗粒状</w:t>
                  </w:r>
                </w:p>
              </w:tc>
              <w:tc>
                <w:tcPr>
                  <w:tcW w:w="632"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袋装 50kg</w:t>
                  </w:r>
                </w:p>
              </w:tc>
              <w:tc>
                <w:tcPr>
                  <w:tcW w:w="62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2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45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15" w:type="pct"/>
                  <w:vMerge w:val="continue"/>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6" w:type="pct"/>
                  <w:tcBorders>
                    <w:tl2br w:val="nil"/>
                    <w:tr2bl w:val="nil"/>
                  </w:tcBorders>
                  <w:tcMar>
                    <w:top w:w="0" w:type="dxa"/>
                    <w:left w:w="57" w:type="dxa"/>
                    <w:bottom w:w="0" w:type="dxa"/>
                    <w:right w:w="57"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糖</w:t>
                  </w:r>
                </w:p>
              </w:tc>
              <w:tc>
                <w:tcPr>
                  <w:tcW w:w="678" w:type="pct"/>
                  <w:tcBorders>
                    <w:tl2br w:val="nil"/>
                    <w:tr2bl w:val="nil"/>
                  </w:tcBorders>
                  <w:tcMar>
                    <w:top w:w="0" w:type="dxa"/>
                    <w:left w:w="57" w:type="dxa"/>
                    <w:bottom w:w="0" w:type="dxa"/>
                    <w:right w:w="57" w:type="dxa"/>
                  </w:tcMar>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rPr>
                  </w:pPr>
                  <w:r>
                    <w:rPr>
                      <w:rStyle w:val="63"/>
                      <w:rFonts w:hint="default" w:ascii="Times New Roman" w:hAnsi="Times New Roman" w:cs="Times New Roman"/>
                      <w:color w:val="auto"/>
                      <w:spacing w:val="0"/>
                      <w:sz w:val="21"/>
                      <w:szCs w:val="21"/>
                    </w:rPr>
                    <w:t>23</w:t>
                  </w:r>
                </w:p>
              </w:tc>
              <w:tc>
                <w:tcPr>
                  <w:tcW w:w="700"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颗粒状</w:t>
                  </w:r>
                </w:p>
              </w:tc>
              <w:tc>
                <w:tcPr>
                  <w:tcW w:w="632"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桶装 50kg</w:t>
                  </w:r>
                </w:p>
              </w:tc>
              <w:tc>
                <w:tcPr>
                  <w:tcW w:w="62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2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45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15" w:type="pct"/>
                  <w:vMerge w:val="continue"/>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6" w:type="pct"/>
                  <w:tcBorders>
                    <w:tl2br w:val="nil"/>
                    <w:tr2bl w:val="nil"/>
                  </w:tcBorders>
                  <w:tcMar>
                    <w:top w:w="0" w:type="dxa"/>
                    <w:left w:w="57" w:type="dxa"/>
                    <w:bottom w:w="0" w:type="dxa"/>
                    <w:right w:w="57"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酵母</w:t>
                  </w:r>
                </w:p>
              </w:tc>
              <w:tc>
                <w:tcPr>
                  <w:tcW w:w="678" w:type="pct"/>
                  <w:tcBorders>
                    <w:tl2br w:val="nil"/>
                    <w:tr2bl w:val="nil"/>
                  </w:tcBorders>
                  <w:tcMar>
                    <w:top w:w="0" w:type="dxa"/>
                    <w:left w:w="57" w:type="dxa"/>
                    <w:bottom w:w="0" w:type="dxa"/>
                    <w:right w:w="57" w:type="dxa"/>
                  </w:tcMar>
                  <w:vAlign w:val="center"/>
                </w:tcPr>
                <w:p>
                  <w:pPr>
                    <w:pStyle w:val="158"/>
                    <w:widowControl w:val="0"/>
                    <w:topLinePunct/>
                    <w:spacing w:after="0" w:line="240" w:lineRule="auto"/>
                    <w:jc w:val="center"/>
                    <w:outlineLvl w:val="9"/>
                    <w:rPr>
                      <w:rStyle w:val="63"/>
                      <w:rFonts w:hint="default" w:ascii="Times New Roman" w:hAnsi="Times New Roman" w:cs="Times New Roman"/>
                      <w:color w:val="auto"/>
                      <w:spacing w:val="0"/>
                      <w:sz w:val="21"/>
                      <w:szCs w:val="21"/>
                    </w:rPr>
                  </w:pPr>
                  <w:r>
                    <w:rPr>
                      <w:rStyle w:val="63"/>
                      <w:rFonts w:hint="default" w:ascii="Times New Roman" w:hAnsi="Times New Roman" w:cs="Times New Roman"/>
                      <w:color w:val="auto"/>
                      <w:spacing w:val="0"/>
                      <w:sz w:val="21"/>
                      <w:szCs w:val="21"/>
                    </w:rPr>
                    <w:t>4</w:t>
                  </w:r>
                </w:p>
              </w:tc>
              <w:tc>
                <w:tcPr>
                  <w:tcW w:w="700"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粉状</w:t>
                  </w:r>
                </w:p>
              </w:tc>
              <w:tc>
                <w:tcPr>
                  <w:tcW w:w="632"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袋装 500g</w:t>
                  </w:r>
                </w:p>
              </w:tc>
              <w:tc>
                <w:tcPr>
                  <w:tcW w:w="62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2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45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15" w:type="pct"/>
                  <w:vMerge w:val="restart"/>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披萨饼底</w:t>
                  </w:r>
                </w:p>
              </w:tc>
              <w:tc>
                <w:tcPr>
                  <w:tcW w:w="676" w:type="pct"/>
                  <w:tcBorders>
                    <w:tl2br w:val="nil"/>
                    <w:tr2bl w:val="nil"/>
                  </w:tcBorders>
                  <w:tcMar>
                    <w:top w:w="0" w:type="dxa"/>
                    <w:left w:w="57" w:type="dxa"/>
                    <w:bottom w:w="0" w:type="dxa"/>
                    <w:right w:w="57"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面粉</w:t>
                  </w:r>
                </w:p>
              </w:tc>
              <w:tc>
                <w:tcPr>
                  <w:tcW w:w="678" w:type="pct"/>
                  <w:tcBorders>
                    <w:tl2br w:val="nil"/>
                    <w:tr2bl w:val="nil"/>
                  </w:tcBorders>
                  <w:tcMar>
                    <w:top w:w="0" w:type="dxa"/>
                    <w:left w:w="57" w:type="dxa"/>
                    <w:bottom w:w="0" w:type="dxa"/>
                    <w:right w:w="57" w:type="dxa"/>
                  </w:tcMar>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25</w:t>
                  </w:r>
                </w:p>
              </w:tc>
              <w:tc>
                <w:tcPr>
                  <w:tcW w:w="700"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粉状</w:t>
                  </w:r>
                </w:p>
              </w:tc>
              <w:tc>
                <w:tcPr>
                  <w:tcW w:w="632"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袋装 25kg</w:t>
                  </w:r>
                </w:p>
              </w:tc>
              <w:tc>
                <w:tcPr>
                  <w:tcW w:w="62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2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45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15" w:type="pct"/>
                  <w:vMerge w:val="continue"/>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6" w:type="pct"/>
                  <w:tcBorders>
                    <w:tl2br w:val="nil"/>
                    <w:tr2bl w:val="nil"/>
                  </w:tcBorders>
                  <w:tcMar>
                    <w:top w:w="0" w:type="dxa"/>
                    <w:left w:w="57" w:type="dxa"/>
                    <w:bottom w:w="0" w:type="dxa"/>
                    <w:right w:w="57"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食用油</w:t>
                  </w:r>
                </w:p>
              </w:tc>
              <w:tc>
                <w:tcPr>
                  <w:tcW w:w="678" w:type="pct"/>
                  <w:tcBorders>
                    <w:tl2br w:val="nil"/>
                    <w:tr2bl w:val="nil"/>
                  </w:tcBorders>
                  <w:tcMar>
                    <w:top w:w="0" w:type="dxa"/>
                    <w:left w:w="57" w:type="dxa"/>
                    <w:bottom w:w="0" w:type="dxa"/>
                    <w:right w:w="57" w:type="dxa"/>
                  </w:tcMar>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00"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液态</w:t>
                  </w:r>
                </w:p>
              </w:tc>
              <w:tc>
                <w:tcPr>
                  <w:tcW w:w="632"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桶装 10L</w:t>
                  </w:r>
                </w:p>
              </w:tc>
              <w:tc>
                <w:tcPr>
                  <w:tcW w:w="62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2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45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15" w:type="pct"/>
                  <w:vMerge w:val="continue"/>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6" w:type="pct"/>
                  <w:tcBorders>
                    <w:tl2br w:val="nil"/>
                    <w:tr2bl w:val="nil"/>
                  </w:tcBorders>
                  <w:tcMar>
                    <w:top w:w="0" w:type="dxa"/>
                    <w:left w:w="57" w:type="dxa"/>
                    <w:bottom w:w="0" w:type="dxa"/>
                    <w:right w:w="57"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盐</w:t>
                  </w:r>
                </w:p>
              </w:tc>
              <w:tc>
                <w:tcPr>
                  <w:tcW w:w="678" w:type="pct"/>
                  <w:tcBorders>
                    <w:tl2br w:val="nil"/>
                    <w:tr2bl w:val="nil"/>
                  </w:tcBorders>
                  <w:tcMar>
                    <w:top w:w="0" w:type="dxa"/>
                    <w:left w:w="57" w:type="dxa"/>
                    <w:bottom w:w="0" w:type="dxa"/>
                    <w:right w:w="57" w:type="dxa"/>
                  </w:tcMar>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700"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颗粒状</w:t>
                  </w:r>
                </w:p>
              </w:tc>
              <w:tc>
                <w:tcPr>
                  <w:tcW w:w="632"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袋装 50kg</w:t>
                  </w:r>
                </w:p>
              </w:tc>
              <w:tc>
                <w:tcPr>
                  <w:tcW w:w="62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2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45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15" w:type="pct"/>
                  <w:vMerge w:val="continue"/>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6" w:type="pct"/>
                  <w:tcBorders>
                    <w:tl2br w:val="nil"/>
                    <w:tr2bl w:val="nil"/>
                  </w:tcBorders>
                  <w:tcMar>
                    <w:top w:w="0" w:type="dxa"/>
                    <w:left w:w="57" w:type="dxa"/>
                    <w:bottom w:w="0" w:type="dxa"/>
                    <w:right w:w="57"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糖</w:t>
                  </w:r>
                </w:p>
              </w:tc>
              <w:tc>
                <w:tcPr>
                  <w:tcW w:w="678" w:type="pct"/>
                  <w:tcBorders>
                    <w:tl2br w:val="nil"/>
                    <w:tr2bl w:val="nil"/>
                  </w:tcBorders>
                  <w:tcMar>
                    <w:top w:w="0" w:type="dxa"/>
                    <w:left w:w="57" w:type="dxa"/>
                    <w:bottom w:w="0" w:type="dxa"/>
                    <w:right w:w="57" w:type="dxa"/>
                  </w:tcMar>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700"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颗粒状</w:t>
                  </w:r>
                </w:p>
              </w:tc>
              <w:tc>
                <w:tcPr>
                  <w:tcW w:w="632"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桶装 50kg</w:t>
                  </w:r>
                </w:p>
              </w:tc>
              <w:tc>
                <w:tcPr>
                  <w:tcW w:w="62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2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45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15" w:type="pct"/>
                  <w:vMerge w:val="continue"/>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6" w:type="pct"/>
                  <w:tcBorders>
                    <w:tl2br w:val="nil"/>
                    <w:tr2bl w:val="nil"/>
                  </w:tcBorders>
                  <w:tcMar>
                    <w:top w:w="0" w:type="dxa"/>
                    <w:left w:w="57" w:type="dxa"/>
                    <w:bottom w:w="0" w:type="dxa"/>
                    <w:right w:w="57"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酵母</w:t>
                  </w:r>
                </w:p>
              </w:tc>
              <w:tc>
                <w:tcPr>
                  <w:tcW w:w="678" w:type="pct"/>
                  <w:tcBorders>
                    <w:tl2br w:val="nil"/>
                    <w:tr2bl w:val="nil"/>
                  </w:tcBorders>
                  <w:tcMar>
                    <w:top w:w="0" w:type="dxa"/>
                    <w:left w:w="57" w:type="dxa"/>
                    <w:bottom w:w="0" w:type="dxa"/>
                    <w:right w:w="57" w:type="dxa"/>
                  </w:tcMar>
                  <w:vAlign w:val="center"/>
                </w:tcPr>
                <w:p>
                  <w:pPr>
                    <w:pStyle w:val="158"/>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700"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粉状</w:t>
                  </w:r>
                </w:p>
              </w:tc>
              <w:tc>
                <w:tcPr>
                  <w:tcW w:w="632"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袋装 500g</w:t>
                  </w:r>
                </w:p>
              </w:tc>
              <w:tc>
                <w:tcPr>
                  <w:tcW w:w="62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2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1" w:type="pct"/>
                  <w:vMerge w:val="restar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资源、能源</w:t>
                  </w:r>
                </w:p>
              </w:tc>
              <w:tc>
                <w:tcPr>
                  <w:tcW w:w="1291" w:type="pct"/>
                  <w:gridSpan w:val="2"/>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678" w:type="pct"/>
                  <w:tcBorders>
                    <w:tl2br w:val="nil"/>
                    <w:tr2bl w:val="nil"/>
                  </w:tcBorders>
                  <w:tcMar>
                    <w:top w:w="0" w:type="dxa"/>
                    <w:left w:w="57" w:type="dxa"/>
                    <w:bottom w:w="0" w:type="dxa"/>
                    <w:right w:w="57"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658.5</w:t>
                  </w:r>
                </w:p>
              </w:tc>
              <w:tc>
                <w:tcPr>
                  <w:tcW w:w="700" w:type="pc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32" w:type="pc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21" w:type="pc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25" w:type="pc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供水管网</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51" w:type="pct"/>
                  <w:vMerge w:val="continue"/>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1291" w:type="pct"/>
                  <w:gridSpan w:val="2"/>
                  <w:tcBorders>
                    <w:tl2br w:val="nil"/>
                    <w:tr2bl w:val="nil"/>
                  </w:tcBorders>
                  <w:tcMar>
                    <w:top w:w="0" w:type="dxa"/>
                    <w:left w:w="57" w:type="dxa"/>
                    <w:bottom w:w="0" w:type="dxa"/>
                    <w:right w:w="57" w:type="dxa"/>
                  </w:tcMar>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电（万kwh）</w:t>
                  </w:r>
                </w:p>
              </w:tc>
              <w:tc>
                <w:tcPr>
                  <w:tcW w:w="678" w:type="pct"/>
                  <w:tcBorders>
                    <w:tl2br w:val="nil"/>
                    <w:tr2bl w:val="nil"/>
                  </w:tcBorders>
                  <w:tcMar>
                    <w:top w:w="0" w:type="dxa"/>
                    <w:left w:w="57" w:type="dxa"/>
                    <w:bottom w:w="0" w:type="dxa"/>
                    <w:right w:w="57"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700" w:type="pc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32" w:type="pc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21" w:type="pc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25" w:type="pct"/>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供电管网</w:t>
                  </w:r>
                </w:p>
              </w:tc>
            </w:tr>
          </w:tbl>
          <w:p>
            <w:pPr>
              <w:widowControl w:val="0"/>
              <w:topLinePunct/>
              <w:spacing w:after="0" w:line="360" w:lineRule="auto"/>
              <w:jc w:val="both"/>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2.1.8 项目水平衡分析</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本项目用水主要为生产添加用水、清洗用水和生活用水。</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（1）生活用水</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本项目新增职工20人，均不住厂。根据《建筑给水排水设计标准》（GB 50015-2019），不住厂职工用水量定额按50L/人·d计算，故本项目生活用水新增1m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/d，即200m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/a（按200天计）。排水系数取0.8，则员工生活污水新增排放量为0.8m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/d，即160m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/a（按200天计）。生活污水通过厂区化粪池处理后纳入市政污水管网进入融元污水处理厂统一处理。</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（2）生产添加用水</w:t>
            </w:r>
          </w:p>
          <w:p>
            <w:pPr>
              <w:pStyle w:val="171"/>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项目原料和面过程需加水进行搅拌，根据建设单位提供的资料，用水量约为面粉质量的1: 0.26，项目面粉用量为225t/a，原料用水量为58.5m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/a（0.3m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/d），该部分水直接进入产品中。</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（3）清洗用水</w:t>
            </w:r>
          </w:p>
          <w:p>
            <w:pPr>
              <w:pStyle w:val="171"/>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项目日常生产中，员工需定期</w:t>
            </w:r>
            <w:r>
              <w:rPr>
                <w:rFonts w:hint="eastAsia" w:ascii="Times New Roman" w:hAnsi="Times New Roman" w:eastAsia="宋体" w:cs="Times New Roman"/>
                <w:color w:val="auto"/>
                <w:sz w:val="24"/>
                <w:szCs w:val="24"/>
                <w:lang w:val="en-US" w:eastAsia="zh-CN"/>
              </w:rPr>
              <w:t>擦</w:t>
            </w:r>
            <w:r>
              <w:rPr>
                <w:rFonts w:hint="default" w:ascii="Times New Roman" w:hAnsi="Times New Roman" w:eastAsia="宋体" w:cs="Times New Roman"/>
                <w:color w:val="auto"/>
                <w:sz w:val="24"/>
                <w:szCs w:val="24"/>
                <w:lang w:eastAsia="zh-CN"/>
              </w:rPr>
              <w:t>洗设备、盛装容器、工作台，生产车间地面日常</w:t>
            </w:r>
            <w:r>
              <w:rPr>
                <w:rFonts w:hint="eastAsia" w:ascii="Times New Roman" w:hAnsi="Times New Roman" w:eastAsia="宋体" w:cs="Times New Roman"/>
                <w:color w:val="auto"/>
                <w:sz w:val="24"/>
                <w:szCs w:val="24"/>
                <w:lang w:val="en-US" w:eastAsia="zh-CN"/>
              </w:rPr>
              <w:t>拖</w:t>
            </w:r>
            <w:r>
              <w:rPr>
                <w:rFonts w:hint="default" w:ascii="Times New Roman" w:hAnsi="Times New Roman" w:eastAsia="宋体" w:cs="Times New Roman"/>
                <w:color w:val="auto"/>
                <w:sz w:val="24"/>
                <w:szCs w:val="24"/>
                <w:lang w:eastAsia="zh-CN"/>
              </w:rPr>
              <w:t>洗，产生的废水主要为抹布和拖布清洗废水，含油部分抹布、拖布不清洗，</w:t>
            </w:r>
            <w:r>
              <w:rPr>
                <w:rFonts w:hint="eastAsia" w:ascii="Times New Roman" w:hAnsi="Times New Roman" w:eastAsia="宋体" w:cs="Times New Roman"/>
                <w:color w:val="auto"/>
                <w:sz w:val="24"/>
                <w:szCs w:val="24"/>
                <w:lang w:val="en-US" w:eastAsia="zh-CN"/>
              </w:rPr>
              <w:t>作为固废委托处理</w:t>
            </w:r>
            <w:r>
              <w:rPr>
                <w:rFonts w:hint="default" w:ascii="Times New Roman" w:hAnsi="Times New Roman" w:eastAsia="宋体" w:cs="Times New Roman"/>
                <w:color w:val="auto"/>
                <w:sz w:val="24"/>
                <w:szCs w:val="24"/>
                <w:lang w:eastAsia="zh-CN"/>
              </w:rPr>
              <w:t>，根据建设单位提供信息（参考现有工程），该部分清洗用水量约为400t/a（2m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/d），排放系数90%，则该部分清洗废水量为360m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/a（1.8m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/d）。清洗废水水质与生活污水接近，经化粪池处理达《污水综合排放标准》（GB8978-1996）表4三级排放标准，排入市政污水管网送往融元污水处理厂集中处理。</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项目冷却置物架采用空调制冷，不涉及用水。</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项目水平衡见图2.1-1。</w:t>
            </w:r>
          </w:p>
          <w:p>
            <w:pPr>
              <w:widowControl w:val="0"/>
              <w:topLinePunct/>
              <w:spacing w:after="0" w:line="240" w:lineRule="auto"/>
              <w:jc w:val="center"/>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4441190" cy="2308860"/>
                  <wp:effectExtent l="0" t="0" r="16510" b="1524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8"/>
                          <a:stretch>
                            <a:fillRect/>
                          </a:stretch>
                        </pic:blipFill>
                        <pic:spPr>
                          <a:xfrm>
                            <a:off x="0" y="0"/>
                            <a:ext cx="4441190" cy="2308860"/>
                          </a:xfrm>
                          <a:prstGeom prst="rect">
                            <a:avLst/>
                          </a:prstGeom>
                          <a:noFill/>
                          <a:ln>
                            <a:noFill/>
                          </a:ln>
                        </pic:spPr>
                      </pic:pic>
                    </a:graphicData>
                  </a:graphic>
                </wp:inline>
              </w:drawing>
            </w:r>
          </w:p>
          <w:p>
            <w:pPr>
              <w:pStyle w:val="21"/>
              <w:widowControl w:val="0"/>
              <w:topLinePunct/>
              <w:spacing w:after="0" w:line="360" w:lineRule="auto"/>
              <w:ind w:firstLine="0" w:firstLineChars="0"/>
              <w:jc w:val="center"/>
              <w:outlineLvl w:val="9"/>
              <w:rPr>
                <w:rFonts w:hint="default" w:ascii="Times New Roman" w:hAnsi="Times New Roman" w:eastAsia="宋体" w:cs="Times New Roman"/>
                <w:color w:val="auto"/>
              </w:rPr>
            </w:pPr>
            <w:r>
              <w:rPr>
                <w:rFonts w:hint="default" w:ascii="Times New Roman" w:hAnsi="Times New Roman" w:eastAsia="宋体" w:cs="Times New Roman"/>
                <w:b/>
                <w:bCs/>
                <w:color w:val="auto"/>
                <w:sz w:val="24"/>
                <w:szCs w:val="24"/>
              </w:rPr>
              <w:t>图2.1-1  项目水平衡图（单位：m</w:t>
            </w:r>
            <w:r>
              <w:rPr>
                <w:rFonts w:hint="default" w:ascii="Times New Roman" w:hAnsi="Times New Roman" w:eastAsia="宋体" w:cs="Times New Roman"/>
                <w:b/>
                <w:bCs/>
                <w:color w:val="auto"/>
                <w:sz w:val="24"/>
                <w:szCs w:val="24"/>
                <w:vertAlign w:val="superscript"/>
              </w:rPr>
              <w:t>3</w:t>
            </w:r>
            <w:r>
              <w:rPr>
                <w:rFonts w:hint="default" w:ascii="Times New Roman" w:hAnsi="Times New Roman" w:eastAsia="宋体" w:cs="Times New Roman"/>
                <w:b/>
                <w:bCs/>
                <w:color w:val="auto"/>
                <w:sz w:val="24"/>
                <w:szCs w:val="24"/>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pPr>
              <w:pStyle w:val="29"/>
              <w:widowControl w:val="0"/>
              <w:topLinePunct/>
              <w:adjustRightInd w:val="0"/>
              <w:snapToGrid w:val="0"/>
              <w:spacing w:before="0" w:beforeAutospacing="0" w:after="0" w:afterAutospacing="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工艺流程和产排污环节</w:t>
            </w:r>
          </w:p>
        </w:tc>
        <w:tc>
          <w:tcPr>
            <w:tcW w:w="8833" w:type="dxa"/>
          </w:tcPr>
          <w:p>
            <w:pPr>
              <w:widowControl w:val="0"/>
              <w:topLinePunct/>
              <w:spacing w:after="0" w:line="360" w:lineRule="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2.2 工艺流程和产排污环节</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2.2.1工艺流程</w:t>
            </w:r>
          </w:p>
          <w:p>
            <w:pPr>
              <w:pStyle w:val="14"/>
              <w:widowControl w:val="0"/>
              <w:topLinePunct/>
              <w:spacing w:after="0"/>
              <w:ind w:left="480" w:firstLine="0" w:firstLineChars="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（1）糕点、面包及披萨饼底生产工艺流程和产排污环节</w:t>
            </w:r>
          </w:p>
          <w:p>
            <w:pPr>
              <w:pStyle w:val="14"/>
              <w:widowControl w:val="0"/>
              <w:topLinePunct/>
              <w:ind w:firstLine="0" w:firstLineChars="0"/>
              <w:jc w:val="center"/>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231130" cy="1452245"/>
                  <wp:effectExtent l="0" t="0" r="0" b="0"/>
                  <wp:docPr id="61" name="ECB019B1-382A-4266-B25C-5B523AA43C14-1" descr="C:/Users/Administrator/AppData/Local/Temp/wps.IlmUn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CB019B1-382A-4266-B25C-5B523AA43C14-1" descr="C:/Users/Administrator/AppData/Local/Temp/wps.IlmUnjwps"/>
                          <pic:cNvPicPr>
                            <a:picLocks noChangeAspect="1"/>
                          </pic:cNvPicPr>
                        </pic:nvPicPr>
                        <pic:blipFill>
                          <a:blip r:embed="rId19"/>
                          <a:stretch>
                            <a:fillRect/>
                          </a:stretch>
                        </pic:blipFill>
                        <pic:spPr>
                          <a:xfrm>
                            <a:off x="0" y="0"/>
                            <a:ext cx="5231130" cy="1452245"/>
                          </a:xfrm>
                          <a:prstGeom prst="rect">
                            <a:avLst/>
                          </a:prstGeom>
                        </pic:spPr>
                      </pic:pic>
                    </a:graphicData>
                  </a:graphic>
                </wp:inline>
              </w:drawing>
            </w:r>
          </w:p>
          <w:p>
            <w:pPr>
              <w:pStyle w:val="14"/>
              <w:widowControl w:val="0"/>
              <w:topLinePunct/>
              <w:spacing w:after="0"/>
              <w:ind w:firstLine="0" w:firstLineChars="0"/>
              <w:jc w:val="center"/>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shd w:val="clear" w:color="auto" w:fill="FFFFFF"/>
              </w:rPr>
              <w:t>图2.2-1  糕点、面包及披萨饼底生产工艺流程图</w:t>
            </w:r>
          </w:p>
          <w:p>
            <w:pPr>
              <w:pStyle w:val="14"/>
              <w:widowControl w:val="0"/>
              <w:topLinePunct/>
              <w:spacing w:after="0"/>
              <w:ind w:firstLine="48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工艺流程说明：</w:t>
            </w:r>
          </w:p>
          <w:p>
            <w:pPr>
              <w:pStyle w:val="17"/>
              <w:widowControl w:val="0"/>
              <w:topLinePunct/>
              <w:spacing w:after="0"/>
              <w:ind w:firstLine="48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面粉、水、食用油、糖浆、酵母等原辅料按一定比例人工倒入和成机，和成机自动搅拌混合揉捏，然后用成型加工成需要形状，进入烘烤炉烘烤，经冷却</w:t>
            </w:r>
            <w:r>
              <w:rPr>
                <w:rFonts w:hint="eastAsia" w:ascii="Times New Roman" w:hAnsi="Times New Roman" w:eastAsia="宋体" w:cs="Times New Roman"/>
                <w:color w:val="auto"/>
                <w:sz w:val="24"/>
                <w:szCs w:val="24"/>
                <w:lang w:val="en-US" w:eastAsia="zh-CN"/>
              </w:rPr>
              <w:t>置物架</w:t>
            </w:r>
            <w:r>
              <w:rPr>
                <w:rFonts w:hint="default" w:ascii="Times New Roman" w:hAnsi="Times New Roman" w:eastAsia="宋体" w:cs="Times New Roman"/>
                <w:color w:val="auto"/>
                <w:sz w:val="24"/>
                <w:szCs w:val="24"/>
              </w:rPr>
              <w:t>冷却后糕点、面包进行包装入库，披萨饼底包装后需进行速冻。</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2.2.2产污环节</w:t>
            </w:r>
          </w:p>
          <w:p>
            <w:pPr>
              <w:widowControl w:val="0"/>
              <w:topLinePunct/>
              <w:spacing w:after="0"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本次项目产污环节见表2.2-1。</w:t>
            </w:r>
          </w:p>
          <w:p>
            <w:pPr>
              <w:widowControl w:val="0"/>
              <w:topLinePunct/>
              <w:spacing w:after="0" w:line="360" w:lineRule="auto"/>
              <w:jc w:val="center"/>
              <w:outlineLvl w:val="9"/>
              <w:rPr>
                <w:rFonts w:hint="default" w:ascii="Times New Roman" w:hAnsi="Times New Roman" w:eastAsia="宋体" w:cs="Times New Roman"/>
                <w:b/>
                <w:bCs/>
                <w:color w:val="auto"/>
                <w:sz w:val="24"/>
                <w:szCs w:val="24"/>
                <w:shd w:val="clear" w:color="auto" w:fill="FFFFFF"/>
              </w:rPr>
            </w:pPr>
            <w:r>
              <w:rPr>
                <w:rFonts w:hint="default" w:ascii="Times New Roman" w:hAnsi="Times New Roman" w:eastAsia="宋体" w:cs="Times New Roman"/>
                <w:b/>
                <w:bCs/>
                <w:color w:val="auto"/>
                <w:sz w:val="24"/>
                <w:szCs w:val="24"/>
                <w:shd w:val="clear" w:color="auto" w:fill="FFFFFF"/>
              </w:rPr>
              <w:t>表2.2-1 本次项目产污环节一览表</w:t>
            </w:r>
          </w:p>
          <w:tbl>
            <w:tblPr>
              <w:tblStyle w:val="172"/>
              <w:tblW w:w="4998"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6" w:space="0"/>
              </w:tblBorders>
              <w:tblLayout w:type="autofit"/>
              <w:tblCellMar>
                <w:top w:w="0" w:type="dxa"/>
                <w:left w:w="0" w:type="dxa"/>
                <w:bottom w:w="0" w:type="dxa"/>
                <w:right w:w="0" w:type="dxa"/>
              </w:tblCellMar>
            </w:tblPr>
            <w:tblGrid>
              <w:gridCol w:w="412"/>
              <w:gridCol w:w="1004"/>
              <w:gridCol w:w="2112"/>
              <w:gridCol w:w="2068"/>
              <w:gridCol w:w="3021"/>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821" w:type="pct"/>
                  <w:gridSpan w:val="2"/>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类别</w:t>
                  </w:r>
                </w:p>
              </w:tc>
              <w:tc>
                <w:tcPr>
                  <w:tcW w:w="1225"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产污环节</w:t>
                  </w:r>
                </w:p>
              </w:tc>
              <w:tc>
                <w:tcPr>
                  <w:tcW w:w="1199"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主要污染物</w:t>
                  </w:r>
                </w:p>
              </w:tc>
              <w:tc>
                <w:tcPr>
                  <w:tcW w:w="1752"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治理措施及排放去向</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821" w:type="pct"/>
                  <w:gridSpan w:val="2"/>
                  <w:vMerge w:val="restar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225"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配料</w:t>
                  </w:r>
                  <w:r>
                    <w:rPr>
                      <w:rFonts w:hint="default" w:ascii="Times New Roman" w:hAnsi="Times New Roman" w:eastAsia="宋体" w:cs="Times New Roman"/>
                      <w:color w:val="auto"/>
                      <w:sz w:val="21"/>
                      <w:szCs w:val="21"/>
                      <w:lang w:eastAsia="zh-CN"/>
                    </w:rPr>
                    <w:t>、和面</w:t>
                  </w:r>
                </w:p>
              </w:tc>
              <w:tc>
                <w:tcPr>
                  <w:tcW w:w="1199"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752" w:type="pct"/>
                  <w:tcBorders>
                    <w:tl2br w:val="nil"/>
                    <w:tr2bl w:val="nil"/>
                  </w:tcBorders>
                  <w:vAlign w:val="center"/>
                </w:tcPr>
                <w:p>
                  <w:pPr>
                    <w:pStyle w:val="171"/>
                    <w:widowControl w:val="0"/>
                    <w:topLinePunct/>
                    <w:spacing w:after="0" w:line="240" w:lineRule="auto"/>
                    <w:jc w:val="both"/>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粉尘经车间沉降后由吸尘器收集</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821" w:type="pct"/>
                  <w:gridSpan w:val="2"/>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1225"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烘烤</w:t>
                  </w:r>
                </w:p>
              </w:tc>
              <w:tc>
                <w:tcPr>
                  <w:tcW w:w="1199"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油烟、</w:t>
                  </w:r>
                  <w:r>
                    <w:rPr>
                      <w:rFonts w:hint="default" w:ascii="Times New Roman" w:hAnsi="Times New Roman" w:eastAsia="宋体" w:cs="Times New Roman"/>
                      <w:color w:val="auto"/>
                      <w:sz w:val="21"/>
                      <w:szCs w:val="21"/>
                      <w:lang w:eastAsia="zh-CN"/>
                    </w:rPr>
                    <w:t>臭气浓度</w:t>
                  </w:r>
                </w:p>
              </w:tc>
              <w:tc>
                <w:tcPr>
                  <w:tcW w:w="1752" w:type="pct"/>
                  <w:tcBorders>
                    <w:tl2br w:val="nil"/>
                    <w:tr2bl w:val="nil"/>
                  </w:tcBorders>
                  <w:vAlign w:val="center"/>
                </w:tcPr>
                <w:p>
                  <w:pPr>
                    <w:pStyle w:val="171"/>
                    <w:widowControl w:val="0"/>
                    <w:topLinePunct/>
                    <w:spacing w:after="0" w:line="240" w:lineRule="auto"/>
                    <w:ind w:firstLine="84"/>
                    <w:jc w:val="both"/>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集气罩收集</w:t>
                  </w:r>
                  <w:r>
                    <w:rPr>
                      <w:rFonts w:hint="eastAsia" w:ascii="Times New Roman" w:hAnsi="Times New Roman" w:eastAsia="宋体" w:cs="Times New Roman"/>
                      <w:color w:val="auto"/>
                      <w:sz w:val="21"/>
                      <w:szCs w:val="21"/>
                      <w:lang w:val="en-US" w:eastAsia="zh-CN"/>
                    </w:rPr>
                    <w:t>经油烟净化器处理后</w:t>
                  </w:r>
                  <w:r>
                    <w:rPr>
                      <w:rFonts w:hint="default" w:ascii="Times New Roman" w:hAnsi="Times New Roman" w:eastAsia="宋体" w:cs="Times New Roman"/>
                      <w:color w:val="auto"/>
                      <w:sz w:val="21"/>
                      <w:szCs w:val="21"/>
                      <w:lang w:eastAsia="zh-CN"/>
                    </w:rPr>
                    <w:t>通过排气筒DA003排放</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39" w:type="pct"/>
                  <w:vMerge w:val="restart"/>
                  <w:tcBorders>
                    <w:tl2br w:val="nil"/>
                    <w:tr2bl w:val="nil"/>
                  </w:tcBorders>
                  <w:textDirection w:val="tbRlV"/>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582"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225"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员工生活</w:t>
                  </w:r>
                </w:p>
              </w:tc>
              <w:tc>
                <w:tcPr>
                  <w:tcW w:w="1199"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SS、</w:t>
                  </w:r>
                  <w:r>
                    <w:rPr>
                      <w:rFonts w:hint="default" w:ascii="Times New Roman" w:hAnsi="Times New Roman" w:eastAsia="宋体" w:cs="Times New Roman"/>
                      <w:color w:val="auto"/>
                      <w:sz w:val="21"/>
                      <w:szCs w:val="21"/>
                    </w:rPr>
                    <w:t>氨氮</w:t>
                  </w:r>
                </w:p>
              </w:tc>
              <w:tc>
                <w:tcPr>
                  <w:tcW w:w="1752" w:type="pct"/>
                  <w:vMerge w:val="restart"/>
                  <w:tcBorders>
                    <w:tl2br w:val="nil"/>
                    <w:tr2bl w:val="nil"/>
                  </w:tcBorders>
                  <w:vAlign w:val="center"/>
                </w:tcPr>
                <w:p>
                  <w:pPr>
                    <w:pStyle w:val="171"/>
                    <w:widowControl w:val="0"/>
                    <w:topLinePunct/>
                    <w:spacing w:after="0" w:line="240" w:lineRule="auto"/>
                    <w:jc w:val="both"/>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经化粪池处理后排入市政污水管网送往融元污水处理厂集中处理</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39" w:type="pct"/>
                  <w:vMerge w:val="continue"/>
                  <w:tcBorders>
                    <w:tl2br w:val="nil"/>
                    <w:tr2bl w:val="nil"/>
                  </w:tcBorders>
                  <w:textDirection w:val="tbRlV"/>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582"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w:t>
                  </w:r>
                </w:p>
              </w:tc>
              <w:tc>
                <w:tcPr>
                  <w:tcW w:w="1225"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清洗</w:t>
                  </w:r>
                  <w:r>
                    <w:rPr>
                      <w:rFonts w:hint="default" w:ascii="Times New Roman" w:hAnsi="Times New Roman" w:eastAsia="宋体" w:cs="Times New Roman"/>
                      <w:color w:val="auto"/>
                      <w:sz w:val="21"/>
                      <w:szCs w:val="21"/>
                    </w:rPr>
                    <w:t>用水</w:t>
                  </w:r>
                </w:p>
              </w:tc>
              <w:tc>
                <w:tcPr>
                  <w:tcW w:w="1199"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、SS、氨氮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动植物油</w:t>
                  </w:r>
                </w:p>
              </w:tc>
              <w:tc>
                <w:tcPr>
                  <w:tcW w:w="1752" w:type="pct"/>
                  <w:vMerge w:val="continue"/>
                  <w:tcBorders>
                    <w:tl2br w:val="nil"/>
                    <w:tr2bl w:val="nil"/>
                  </w:tcBorders>
                  <w:vAlign w:val="center"/>
                </w:tcPr>
                <w:p>
                  <w:pPr>
                    <w:pStyle w:val="171"/>
                    <w:widowControl w:val="0"/>
                    <w:topLinePunct/>
                    <w:spacing w:after="0" w:line="240" w:lineRule="auto"/>
                    <w:jc w:val="both"/>
                    <w:outlineLvl w:val="9"/>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39" w:type="pct"/>
                  <w:vMerge w:val="restart"/>
                  <w:tcBorders>
                    <w:tl2br w:val="nil"/>
                    <w:tr2bl w:val="nil"/>
                  </w:tcBorders>
                  <w:textDirection w:val="tbRlV"/>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582" w:type="pct"/>
                  <w:vMerge w:val="restar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一般工业固废</w:t>
                  </w:r>
                </w:p>
              </w:tc>
              <w:tc>
                <w:tcPr>
                  <w:tcW w:w="1225"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吸尘器收集的粉尘、残次品</w:t>
                  </w:r>
                </w:p>
              </w:tc>
              <w:tc>
                <w:tcPr>
                  <w:tcW w:w="1199"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掉落面粉、不合格产品</w:t>
                  </w:r>
                </w:p>
              </w:tc>
              <w:tc>
                <w:tcPr>
                  <w:tcW w:w="1752" w:type="pct"/>
                  <w:tcBorders>
                    <w:tl2br w:val="nil"/>
                    <w:tr2bl w:val="nil"/>
                  </w:tcBorders>
                  <w:vAlign w:val="center"/>
                </w:tcPr>
                <w:p>
                  <w:pPr>
                    <w:pStyle w:val="171"/>
                    <w:widowControl w:val="0"/>
                    <w:topLinePunct/>
                    <w:spacing w:after="0" w:line="240" w:lineRule="auto"/>
                    <w:jc w:val="both"/>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收集</w:t>
                  </w:r>
                  <w:r>
                    <w:rPr>
                      <w:rFonts w:hint="eastAsia" w:ascii="Times New Roman" w:hAnsi="Times New Roman" w:eastAsia="宋体" w:cs="Times New Roman"/>
                      <w:color w:val="auto"/>
                      <w:sz w:val="21"/>
                      <w:szCs w:val="21"/>
                      <w:lang w:val="en-US" w:eastAsia="zh-CN"/>
                    </w:rPr>
                    <w:t>后</w:t>
                  </w:r>
                  <w:r>
                    <w:rPr>
                      <w:rFonts w:hint="default" w:ascii="Times New Roman" w:hAnsi="Times New Roman" w:eastAsia="宋体" w:cs="Times New Roman"/>
                      <w:color w:val="auto"/>
                      <w:sz w:val="21"/>
                      <w:szCs w:val="21"/>
                      <w:lang w:eastAsia="zh-CN"/>
                    </w:rPr>
                    <w:t>作为饲料</w:t>
                  </w:r>
                  <w:r>
                    <w:rPr>
                      <w:rFonts w:hint="eastAsia" w:ascii="Times New Roman" w:hAnsi="Times New Roman" w:eastAsia="宋体" w:cs="Times New Roman"/>
                      <w:color w:val="auto"/>
                      <w:sz w:val="21"/>
                      <w:szCs w:val="21"/>
                      <w:lang w:val="en-US" w:eastAsia="zh-CN"/>
                    </w:rPr>
                    <w:t>外售</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39" w:type="pct"/>
                  <w:vMerge w:val="continue"/>
                  <w:tcBorders>
                    <w:tl2br w:val="nil"/>
                    <w:tr2bl w:val="nil"/>
                  </w:tcBorders>
                  <w:textDirection w:val="tbRlV"/>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582"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1225"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废包装材料</w:t>
                  </w:r>
                </w:p>
              </w:tc>
              <w:tc>
                <w:tcPr>
                  <w:tcW w:w="1199"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废包装</w:t>
                  </w:r>
                  <w:r>
                    <w:rPr>
                      <w:rFonts w:hint="default" w:ascii="Times New Roman" w:hAnsi="Times New Roman" w:eastAsia="宋体" w:cs="Times New Roman"/>
                      <w:color w:val="auto"/>
                      <w:sz w:val="21"/>
                      <w:szCs w:val="21"/>
                      <w:lang w:eastAsia="zh-CN"/>
                    </w:rPr>
                    <w:t>袋、箱、桶</w:t>
                  </w:r>
                </w:p>
              </w:tc>
              <w:tc>
                <w:tcPr>
                  <w:tcW w:w="1752" w:type="pct"/>
                  <w:tcBorders>
                    <w:tl2br w:val="nil"/>
                    <w:tr2bl w:val="nil"/>
                  </w:tcBorders>
                  <w:vAlign w:val="center"/>
                </w:tcPr>
                <w:p>
                  <w:pPr>
                    <w:widowControl w:val="0"/>
                    <w:topLinePunct/>
                    <w:spacing w:after="0" w:line="240" w:lineRule="auto"/>
                    <w:jc w:val="both"/>
                    <w:outlineLvl w:val="9"/>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rPr>
                    <w:t>收集外售</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39" w:type="pct"/>
                  <w:vMerge w:val="continue"/>
                  <w:tcBorders>
                    <w:tl2br w:val="nil"/>
                    <w:tr2bl w:val="nil"/>
                  </w:tcBorders>
                  <w:textDirection w:val="tbRlV"/>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582"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1225"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废抹布、拖布</w:t>
                  </w:r>
                </w:p>
              </w:tc>
              <w:tc>
                <w:tcPr>
                  <w:tcW w:w="1199"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食油和面粉等（不涉及机油）</w:t>
                  </w:r>
                </w:p>
              </w:tc>
              <w:tc>
                <w:tcPr>
                  <w:tcW w:w="1752" w:type="pct"/>
                  <w:tcBorders>
                    <w:tl2br w:val="nil"/>
                    <w:tr2bl w:val="nil"/>
                  </w:tcBorders>
                  <w:vAlign w:val="center"/>
                </w:tcPr>
                <w:p>
                  <w:pPr>
                    <w:widowControl w:val="0"/>
                    <w:topLinePunct/>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收集后</w:t>
                  </w:r>
                  <w:r>
                    <w:rPr>
                      <w:rFonts w:hint="eastAsia" w:ascii="Times New Roman" w:hAnsi="Times New Roman" w:eastAsia="宋体" w:cs="Times New Roman"/>
                      <w:color w:val="auto"/>
                      <w:sz w:val="21"/>
                      <w:szCs w:val="21"/>
                      <w:lang w:val="en-US" w:eastAsia="zh-CN"/>
                    </w:rPr>
                    <w:t>交由</w:t>
                  </w:r>
                  <w:r>
                    <w:rPr>
                      <w:rFonts w:hint="default" w:ascii="Times New Roman" w:hAnsi="Times New Roman" w:eastAsia="宋体" w:cs="Times New Roman"/>
                      <w:color w:val="auto"/>
                      <w:sz w:val="21"/>
                      <w:szCs w:val="21"/>
                      <w:lang w:eastAsia="zh-CN"/>
                    </w:rPr>
                    <w:t>环卫部门处理</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39" w:type="pct"/>
                  <w:vMerge w:val="continue"/>
                  <w:tcBorders>
                    <w:tl2br w:val="nil"/>
                    <w:tr2bl w:val="nil"/>
                  </w:tcBorders>
                  <w:textDirection w:val="tbRlV"/>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582"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225"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行政办公、生活</w:t>
                  </w:r>
                </w:p>
              </w:tc>
              <w:tc>
                <w:tcPr>
                  <w:tcW w:w="1199"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废纸、果皮</w:t>
                  </w:r>
                </w:p>
              </w:tc>
              <w:tc>
                <w:tcPr>
                  <w:tcW w:w="1752" w:type="pct"/>
                  <w:tcBorders>
                    <w:tl2br w:val="nil"/>
                    <w:tr2bl w:val="nil"/>
                  </w:tcBorders>
                  <w:vAlign w:val="center"/>
                </w:tcPr>
                <w:p>
                  <w:pPr>
                    <w:pStyle w:val="171"/>
                    <w:widowControl w:val="0"/>
                    <w:topLinePunct/>
                    <w:spacing w:after="0" w:line="240" w:lineRule="auto"/>
                    <w:jc w:val="both"/>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收集后</w:t>
                  </w:r>
                  <w:r>
                    <w:rPr>
                      <w:rFonts w:hint="eastAsia" w:ascii="Times New Roman" w:hAnsi="Times New Roman" w:eastAsia="宋体" w:cs="Times New Roman"/>
                      <w:color w:val="auto"/>
                      <w:sz w:val="21"/>
                      <w:szCs w:val="21"/>
                      <w:lang w:val="en-US" w:eastAsia="zh-CN"/>
                    </w:rPr>
                    <w:t>交由</w:t>
                  </w:r>
                  <w:r>
                    <w:rPr>
                      <w:rFonts w:hint="default" w:ascii="Times New Roman" w:hAnsi="Times New Roman" w:eastAsia="宋体" w:cs="Times New Roman"/>
                      <w:color w:val="auto"/>
                      <w:sz w:val="21"/>
                      <w:szCs w:val="21"/>
                      <w:lang w:eastAsia="zh-CN"/>
                    </w:rPr>
                    <w:t>环卫部门处理</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821" w:type="pct"/>
                  <w:gridSpan w:val="2"/>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225"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设备运行</w:t>
                  </w:r>
                </w:p>
              </w:tc>
              <w:tc>
                <w:tcPr>
                  <w:tcW w:w="1199" w:type="pct"/>
                  <w:tcBorders>
                    <w:tl2br w:val="nil"/>
                    <w:tr2bl w:val="nil"/>
                  </w:tcBorders>
                  <w:vAlign w:val="center"/>
                </w:tcPr>
                <w:p>
                  <w:pPr>
                    <w:pStyle w:val="171"/>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752" w:type="pct"/>
                  <w:tcBorders>
                    <w:tl2br w:val="nil"/>
                    <w:tr2bl w:val="nil"/>
                  </w:tcBorders>
                  <w:vAlign w:val="center"/>
                </w:tcPr>
                <w:p>
                  <w:pPr>
                    <w:pStyle w:val="171"/>
                    <w:widowControl w:val="0"/>
                    <w:topLinePunct/>
                    <w:spacing w:after="0" w:line="240" w:lineRule="auto"/>
                    <w:jc w:val="both"/>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设备基础减振、墙体隔声</w:t>
                  </w:r>
                </w:p>
              </w:tc>
            </w:tr>
          </w:tbl>
          <w:p>
            <w:pPr>
              <w:pStyle w:val="30"/>
              <w:widowControl w:val="0"/>
              <w:topLinePunct/>
              <w:outlineLvl w:val="9"/>
              <w:rPr>
                <w:rFonts w:hint="default" w:ascii="Times New Roman" w:hAnsi="Times New Roman" w:eastAsia="宋体" w:cs="Times New Roman"/>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pStyle w:val="29"/>
              <w:widowControl w:val="0"/>
              <w:topLinePunct/>
              <w:adjustRightInd w:val="0"/>
              <w:snapToGrid w:val="0"/>
              <w:spacing w:before="0" w:beforeAutospacing="0" w:after="0" w:afterAutospacing="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2"/>
                <w:sz w:val="24"/>
                <w:szCs w:val="24"/>
              </w:rPr>
              <w:t>与项目有关的原有环境污染问题</w:t>
            </w:r>
          </w:p>
        </w:tc>
        <w:tc>
          <w:tcPr>
            <w:tcW w:w="8833" w:type="dxa"/>
            <w:vAlign w:val="center"/>
          </w:tcPr>
          <w:p>
            <w:pPr>
              <w:widowControl w:val="0"/>
              <w:topLinePunct/>
              <w:spacing w:after="0" w:line="360" w:lineRule="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2.3 现有工程概况</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2.3.1 环保手续履行情况</w:t>
            </w:r>
          </w:p>
          <w:p>
            <w:pPr>
              <w:pStyle w:val="21"/>
              <w:widowControl w:val="0"/>
              <w:topLinePunct/>
              <w:spacing w:after="0" w:line="360" w:lineRule="auto"/>
              <w:ind w:firstLine="48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福清睿辉食品有限公司租赁位于</w:t>
            </w:r>
            <w:r>
              <w:rPr>
                <w:rFonts w:hint="eastAsia" w:ascii="Times New Roman" w:hAnsi="Times New Roman" w:eastAsia="宋体" w:cs="Times New Roman"/>
                <w:color w:val="auto"/>
                <w:sz w:val="24"/>
                <w:szCs w:val="24"/>
                <w:lang w:eastAsia="zh-CN"/>
              </w:rPr>
              <w:t>福清融侨经济技术开发区</w:t>
            </w:r>
            <w:r>
              <w:rPr>
                <w:rFonts w:hint="default" w:ascii="Times New Roman" w:hAnsi="Times New Roman" w:eastAsia="宋体" w:cs="Times New Roman"/>
                <w:color w:val="auto"/>
                <w:sz w:val="24"/>
                <w:szCs w:val="24"/>
              </w:rPr>
              <w:t>的福建茂华投资有限公司2号厂房3层，建筑面积为1500m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。2020年4月，福清睿辉食品有限公司委托编制了《福清睿辉食品有限公司年产速冻食品300吨项目环境影响报告表》，并取得了</w:t>
            </w:r>
            <w:r>
              <w:rPr>
                <w:rFonts w:hint="eastAsia" w:ascii="Times New Roman" w:hAnsi="Times New Roman" w:eastAsia="宋体" w:cs="Times New Roman"/>
                <w:color w:val="auto"/>
                <w:sz w:val="24"/>
                <w:szCs w:val="24"/>
                <w:lang w:val="en-US" w:eastAsia="zh-CN"/>
              </w:rPr>
              <w:t>福州市福清</w:t>
            </w:r>
            <w:r>
              <w:rPr>
                <w:rFonts w:hint="default" w:ascii="Times New Roman" w:hAnsi="Times New Roman" w:eastAsia="宋体" w:cs="Times New Roman"/>
                <w:color w:val="auto"/>
                <w:sz w:val="24"/>
                <w:szCs w:val="24"/>
              </w:rPr>
              <w:t>生态环境局的批复（融环评表[2020]29号）</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建设规模为</w:t>
            </w:r>
            <w:r>
              <w:rPr>
                <w:rFonts w:hint="default" w:ascii="Times New Roman" w:hAnsi="Times New Roman" w:eastAsia="宋体" w:cs="Times New Roman"/>
                <w:color w:val="auto"/>
                <w:sz w:val="24"/>
                <w:szCs w:val="24"/>
              </w:rPr>
              <w:t>年产速冻食品300吨。建成投产后取得了排污许可证（编号：91350181MA346YPG19001Q），且于2020年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1日</w:t>
            </w:r>
            <w:r>
              <w:rPr>
                <w:rFonts w:hint="default" w:ascii="Times New Roman" w:hAnsi="Times New Roman" w:eastAsia="宋体" w:cs="Times New Roman"/>
                <w:color w:val="auto"/>
                <w:sz w:val="24"/>
                <w:szCs w:val="24"/>
              </w:rPr>
              <w:t>通过了企业自主环保竣工验收。</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2.3.2 生产工艺流程及产污环节</w:t>
            </w:r>
          </w:p>
          <w:p>
            <w:pPr>
              <w:pStyle w:val="22"/>
              <w:ind w:firstLine="0" w:firstLineChars="0"/>
              <w:jc w:val="center"/>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4208780" cy="2332355"/>
                  <wp:effectExtent l="0" t="0" r="1270" b="1079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20"/>
                          <a:stretch>
                            <a:fillRect/>
                          </a:stretch>
                        </pic:blipFill>
                        <pic:spPr>
                          <a:xfrm>
                            <a:off x="0" y="0"/>
                            <a:ext cx="4208780" cy="2332355"/>
                          </a:xfrm>
                          <a:prstGeom prst="rect">
                            <a:avLst/>
                          </a:prstGeom>
                          <a:noFill/>
                          <a:ln>
                            <a:noFill/>
                          </a:ln>
                        </pic:spPr>
                      </pic:pic>
                    </a:graphicData>
                  </a:graphic>
                </wp:inline>
              </w:drawing>
            </w:r>
          </w:p>
          <w:p>
            <w:pPr>
              <w:jc w:val="center"/>
              <w:outlineLvl w:val="9"/>
              <w:rPr>
                <w:rFonts w:hint="default" w:ascii="Times New Roman" w:hAnsi="Times New Roman" w:eastAsia="宋体" w:cs="Times New Roman"/>
                <w:b/>
                <w:bCs/>
                <w:color w:val="auto"/>
                <w:sz w:val="24"/>
                <w:szCs w:val="24"/>
                <w:shd w:val="clear" w:color="auto" w:fill="FFFFFF"/>
              </w:rPr>
            </w:pPr>
            <w:r>
              <w:rPr>
                <w:rFonts w:hint="default" w:ascii="Times New Roman" w:hAnsi="Times New Roman" w:eastAsia="宋体" w:cs="Times New Roman"/>
                <w:b/>
                <w:bCs/>
                <w:color w:val="auto"/>
                <w:sz w:val="24"/>
                <w:szCs w:val="24"/>
                <w:shd w:val="clear" w:color="auto" w:fill="FFFFFF"/>
              </w:rPr>
              <w:t>图2.3-1  披萨生产工艺流程及产污环节图</w:t>
            </w:r>
          </w:p>
          <w:p>
            <w:pPr>
              <w:pStyle w:val="22"/>
              <w:ind w:firstLine="0" w:firstLineChars="0"/>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2.3.3 污染物实际排放情况</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（1）废水</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项目生产废水主要为设备、工作台及车间清洗废水，排放量为1.95m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/d，生活污水产生量约为1.5m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/d，生产废水和生活污水组成综合废水经茂华公司厂区内化粪池处理后通过南侧市政管网纳入融元污水处理厂。</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根据《福清睿辉食品有限公司年产速冻食品300吨项目竣工环境保护验收监测报告》，综合废水通过厂区化粪池处理后该公司排放的污水中CODcr浓度为135mg/L、BOD</w:t>
            </w:r>
            <w:r>
              <w:rPr>
                <w:rFonts w:hint="default" w:ascii="Times New Roman" w:hAnsi="Times New Roman" w:eastAsia="宋体" w:cs="Times New Roman"/>
                <w:color w:val="auto"/>
                <w:sz w:val="24"/>
                <w:szCs w:val="24"/>
                <w:shd w:val="clear" w:color="auto" w:fill="FFFFFF"/>
                <w:vertAlign w:val="subscript"/>
              </w:rPr>
              <w:t>5</w:t>
            </w:r>
            <w:r>
              <w:rPr>
                <w:rFonts w:hint="default" w:ascii="Times New Roman" w:hAnsi="Times New Roman" w:eastAsia="宋体" w:cs="Times New Roman"/>
                <w:color w:val="auto"/>
                <w:sz w:val="24"/>
                <w:szCs w:val="24"/>
                <w:shd w:val="clear" w:color="auto" w:fill="FFFFFF"/>
              </w:rPr>
              <w:t>浓度为58.3mg/L、SS浓度为89mg/L、动植物油浓度为4.1mg/L，符合《污水综合排放标准》（GB8978-1996）表4中的三级排放标准；氨氮浓度为41.9mg/L，符合《污水排入城镇下水道水质标准》（GB/T31962-2015）表1中B级标准。</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（2）废气</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项目生产过程中进料工序会产生少量面粉粉尘，项目生产过程中厂房半封闭，大部分粉尘自由降落在车间内，由员工及时清扫车间地面，因此项目加料、使用过程基本无粉尘外排，粉尘进行无组织排放。本项目主要废气为烘烤产生的异味和水蒸气，此类废气经集气设施收集后通过15m高排气筒（DA001、DA002）排放。</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根据《福清睿辉食品有限公司年产速冻食品300吨项目竣工环境保护验收监测报告》，项目厂界无组织颗粒物最大浓度为0.55 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符合《大气污染物综合排放标准》（GB16297-1996）表2无组织排放监控浓度限值，有组织废气臭气浓度的最大浓度为550无量纲符合《恶臭污染物排放标准》（GB14554-1993）中表1二级标准排放限值要求。</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（3）噪声</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项目噪声源主要是生产设备运行时产生的机械噪声。采取合理布局、基础减震等降噪措施。根据《福清睿辉食品有限公司年产速冻食品300吨项目竣工环境保护验收监测报告》，厂界昼间噪声值为49.4~58.5dB，符合《工业企业厂界环境噪声排放标准》（GB12348-2008）3类区标准限值要求。</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（4）固废</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生活垃圾由环卫部门统一收集清运；废包装材料由外单位回收利用；废原料、残次品集中收集后可作为饲料出售。</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（5）总量</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该项目的综合废水经化粪池处理后接入市政管网，根据环保文件项目无总量分配控制要求。故项目无需进行总量核算。</w:t>
            </w:r>
          </w:p>
          <w:p>
            <w:pPr>
              <w:pStyle w:val="22"/>
              <w:spacing w:before="0" w:after="0"/>
              <w:ind w:firstLine="0" w:firstLineChars="0"/>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 xml:space="preserve"> </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p>
        </w:tc>
      </w:tr>
    </w:tbl>
    <w:p>
      <w:pPr>
        <w:pStyle w:val="29"/>
        <w:widowControl w:val="0"/>
        <w:topLinePunct/>
        <w:adjustRightInd w:val="0"/>
        <w:snapToGrid w:val="0"/>
        <w:spacing w:before="0" w:beforeAutospacing="0" w:after="0" w:afterAutospacing="0" w:line="14" w:lineRule="auto"/>
        <w:jc w:val="both"/>
        <w:outlineLvl w:val="9"/>
        <w:rPr>
          <w:rFonts w:hint="default" w:ascii="Times New Roman" w:hAnsi="Times New Roman" w:eastAsia="宋体" w:cs="Times New Roman"/>
          <w:snapToGrid w:val="0"/>
          <w:color w:val="auto"/>
          <w:sz w:val="30"/>
          <w:szCs w:val="30"/>
        </w:rPr>
        <w:sectPr>
          <w:footerReference r:id="rId11" w:type="default"/>
          <w:pgSz w:w="11907" w:h="16840"/>
          <w:pgMar w:top="1417" w:right="1417" w:bottom="1417" w:left="1417" w:header="992" w:footer="992" w:gutter="0"/>
          <w:pgBorders>
            <w:top w:val="none" w:sz="0" w:space="0"/>
            <w:left w:val="none" w:sz="0" w:space="0"/>
            <w:bottom w:val="none" w:sz="0" w:space="0"/>
            <w:right w:val="none" w:sz="0" w:space="0"/>
          </w:pgBorders>
          <w:pgNumType w:fmt="decimal"/>
          <w:cols w:space="720" w:num="1"/>
          <w:docGrid w:linePitch="312" w:charSpace="0"/>
        </w:sectPr>
      </w:pPr>
    </w:p>
    <w:p>
      <w:pPr>
        <w:pStyle w:val="29"/>
        <w:widowControl w:val="0"/>
        <w:topLinePunct/>
        <w:spacing w:before="0" w:beforeAutospacing="0" w:after="0" w:afterAutospacing="0" w:line="360" w:lineRule="auto"/>
        <w:jc w:val="center"/>
        <w:outlineLvl w:val="0"/>
        <w:rPr>
          <w:rFonts w:hint="default" w:ascii="Times New Roman" w:hAnsi="Times New Roman" w:eastAsia="宋体" w:cs="Times New Roman"/>
          <w:b/>
          <w:bCs/>
          <w:snapToGrid w:val="0"/>
          <w:color w:val="auto"/>
          <w:sz w:val="32"/>
          <w:szCs w:val="32"/>
        </w:rPr>
      </w:pPr>
      <w:bookmarkStart w:id="5" w:name="_Toc14125"/>
      <w:bookmarkStart w:id="6" w:name="_Toc10004"/>
      <w:r>
        <w:rPr>
          <w:rFonts w:hint="default" w:ascii="Times New Roman" w:hAnsi="Times New Roman" w:eastAsia="宋体" w:cs="Times New Roman"/>
          <w:b/>
          <w:bCs/>
          <w:snapToGrid w:val="0"/>
          <w:color w:val="auto"/>
          <w:sz w:val="32"/>
          <w:szCs w:val="32"/>
        </w:rPr>
        <w:t>三、区域环境质量现状、环境保护目标及评价标准</w:t>
      </w:r>
      <w:bookmarkEnd w:id="5"/>
      <w:bookmarkEnd w:id="6"/>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424"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区域</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质量</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现状</w:t>
            </w:r>
          </w:p>
        </w:tc>
        <w:tc>
          <w:tcPr>
            <w:tcW w:w="8865" w:type="dxa"/>
            <w:vAlign w:val="center"/>
          </w:tcPr>
          <w:p>
            <w:pPr>
              <w:widowControl w:val="0"/>
              <w:topLinePunct/>
              <w:spacing w:after="0" w:line="360" w:lineRule="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3.1 区域环境质量现状</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3.1.1 大气环境质量现状</w:t>
            </w:r>
          </w:p>
          <w:p>
            <w:pPr>
              <w:pStyle w:val="143"/>
              <w:widowControl w:val="0"/>
              <w:topLinePunct/>
              <w:adjustRightInd w:val="0"/>
              <w:snapToGrid w:val="0"/>
              <w:spacing w:after="0"/>
              <w:ind w:firstLine="48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（1）区域环境空气质量现状</w:t>
            </w:r>
          </w:p>
          <w:p>
            <w:pPr>
              <w:widowControl w:val="0"/>
              <w:topLinePunct/>
              <w:adjustRightInd w:val="0"/>
              <w:snapToGrid w:val="0"/>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2023年福州市环境状况公报》，全省68个城市(9个设区城市、平潭综合实验区和58个县级城市)环境空气中细颗粒物、可吸入颗粒物、二氧化硫和二氧化氮年均浓度分别为16微克/立方米、31微克/立方米、5微克/立方米和12微克/立方米，臭氧和一氧化碳特定百分位数平均值分别为113微克/立方米和0.8毫克/立方米。按照《环境空气质量标准》(CB3095-2012)评价，空气质量优良天数比例99.4%。</w:t>
            </w:r>
          </w:p>
          <w:p>
            <w:pPr>
              <w:widowControl w:val="0"/>
              <w:topLinePunct/>
              <w:adjustRightInd w:val="0"/>
              <w:snapToGrid w:val="0"/>
              <w:spacing w:after="0" w:line="360" w:lineRule="auto"/>
              <w:ind w:firstLine="480" w:firstLineChars="200"/>
              <w:jc w:val="both"/>
              <w:outlineLvl w:val="9"/>
              <w:rPr>
                <w:rStyle w:val="44"/>
                <w:rFonts w:hint="default" w:ascii="Times New Roman" w:hAnsi="Times New Roman" w:eastAsia="宋体" w:cs="Times New Roman"/>
                <w:color w:val="auto"/>
                <w:szCs w:val="20"/>
              </w:rPr>
            </w:pPr>
            <w:r>
              <w:rPr>
                <w:rFonts w:hint="default" w:ascii="Times New Roman" w:hAnsi="Times New Roman" w:eastAsia="宋体" w:cs="Times New Roman"/>
                <w:color w:val="auto"/>
                <w:sz w:val="24"/>
                <w:szCs w:val="24"/>
              </w:rPr>
              <w:t>根据福州市福清生态环境局发布的2023年1月至2023年12月空气质量月报数据，详见表3.1-1，空气环境中SO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和PM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均未超过国家二级标准，CO日均值第95百分数和O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最大8小时值第90百分数未超过国家二级标准。</w:t>
            </w:r>
          </w:p>
          <w:p>
            <w:pPr>
              <w:widowControl w:val="0"/>
              <w:topLinePunct/>
              <w:adjustRightInd w:val="0"/>
              <w:snapToGrid w:val="0"/>
              <w:spacing w:after="0" w:line="360" w:lineRule="auto"/>
              <w:ind w:firstLine="482" w:firstLineChars="200"/>
              <w:jc w:val="center"/>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表3.1-1  2023年福清市空气质量月报数据</w:t>
            </w:r>
          </w:p>
          <w:tbl>
            <w:tblPr>
              <w:tblStyle w:val="37"/>
              <w:tblW w:w="4998" w:type="pct"/>
              <w:jc w:val="center"/>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375"/>
              <w:gridCol w:w="1144"/>
              <w:gridCol w:w="1144"/>
              <w:gridCol w:w="1144"/>
              <w:gridCol w:w="1580"/>
              <w:gridCol w:w="1077"/>
              <w:gridCol w:w="1150"/>
            </w:tblGrid>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时间</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17"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2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6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2023年1月</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0.016</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0.032</w:t>
                  </w:r>
                </w:p>
              </w:tc>
              <w:tc>
                <w:tcPr>
                  <w:tcW w:w="917"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0.017</w:t>
                  </w:r>
                </w:p>
              </w:tc>
              <w:tc>
                <w:tcPr>
                  <w:tcW w:w="62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66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0.100</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2023年2月</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0.033</w:t>
                  </w:r>
                </w:p>
              </w:tc>
              <w:tc>
                <w:tcPr>
                  <w:tcW w:w="917"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0.018</w:t>
                  </w:r>
                </w:p>
              </w:tc>
              <w:tc>
                <w:tcPr>
                  <w:tcW w:w="62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w:t>
                  </w:r>
                </w:p>
              </w:tc>
              <w:tc>
                <w:tcPr>
                  <w:tcW w:w="66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0.105</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2023年3月</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0.024</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0.042</w:t>
                  </w:r>
                </w:p>
              </w:tc>
              <w:tc>
                <w:tcPr>
                  <w:tcW w:w="917"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w:t>
                  </w:r>
                </w:p>
              </w:tc>
              <w:tc>
                <w:tcPr>
                  <w:tcW w:w="62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w:t>
                  </w:r>
                </w:p>
              </w:tc>
              <w:tc>
                <w:tcPr>
                  <w:tcW w:w="66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0.130</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2023年4月</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0.019</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0.047</w:t>
                  </w:r>
                </w:p>
              </w:tc>
              <w:tc>
                <w:tcPr>
                  <w:tcW w:w="917"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w:t>
                  </w:r>
                </w:p>
              </w:tc>
              <w:tc>
                <w:tcPr>
                  <w:tcW w:w="62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66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0.151</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2023年5月</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0.013</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0.037</w:t>
                  </w:r>
                </w:p>
              </w:tc>
              <w:tc>
                <w:tcPr>
                  <w:tcW w:w="917"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0.017</w:t>
                  </w:r>
                </w:p>
              </w:tc>
              <w:tc>
                <w:tcPr>
                  <w:tcW w:w="62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66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0.137</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2023年6月</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0.026</w:t>
                  </w:r>
                </w:p>
              </w:tc>
              <w:tc>
                <w:tcPr>
                  <w:tcW w:w="917"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0.012</w:t>
                  </w:r>
                </w:p>
              </w:tc>
              <w:tc>
                <w:tcPr>
                  <w:tcW w:w="62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66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0.123</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2023年7月</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0.027</w:t>
                  </w:r>
                </w:p>
              </w:tc>
              <w:tc>
                <w:tcPr>
                  <w:tcW w:w="917"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62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66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0.128</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2023年8月</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0.027</w:t>
                  </w:r>
                </w:p>
              </w:tc>
              <w:tc>
                <w:tcPr>
                  <w:tcW w:w="917"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0.012</w:t>
                  </w:r>
                </w:p>
              </w:tc>
              <w:tc>
                <w:tcPr>
                  <w:tcW w:w="62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66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0.124</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2023年9月</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0.022</w:t>
                  </w:r>
                </w:p>
              </w:tc>
              <w:tc>
                <w:tcPr>
                  <w:tcW w:w="917"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w:t>
                  </w:r>
                </w:p>
              </w:tc>
              <w:tc>
                <w:tcPr>
                  <w:tcW w:w="62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66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0.115</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2023年10月</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0.028</w:t>
                  </w:r>
                </w:p>
              </w:tc>
              <w:tc>
                <w:tcPr>
                  <w:tcW w:w="917"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0.014</w:t>
                  </w:r>
                </w:p>
              </w:tc>
              <w:tc>
                <w:tcPr>
                  <w:tcW w:w="62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66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0.137</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2023年11月</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w:t>
                  </w:r>
                </w:p>
              </w:tc>
              <w:tc>
                <w:tcPr>
                  <w:tcW w:w="917"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c>
                <w:tcPr>
                  <w:tcW w:w="62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66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0.120</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2023年12月</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0.019</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w:t>
                  </w:r>
                </w:p>
              </w:tc>
              <w:tc>
                <w:tcPr>
                  <w:tcW w:w="917"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0.018</w:t>
                  </w:r>
                </w:p>
              </w:tc>
              <w:tc>
                <w:tcPr>
                  <w:tcW w:w="62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66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0.112</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国家二级标准</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w:t>
                  </w:r>
                </w:p>
              </w:tc>
              <w:tc>
                <w:tcPr>
                  <w:tcW w:w="664"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c>
                <w:tcPr>
                  <w:tcW w:w="917"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0.035</w:t>
                  </w:r>
                </w:p>
              </w:tc>
              <w:tc>
                <w:tcPr>
                  <w:tcW w:w="62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65"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0.16</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4201" w:type="pct"/>
                  <w:gridSpan w:val="6"/>
                  <w:tcBorders>
                    <w:tl2br w:val="nil"/>
                    <w:tr2bl w:val="nil"/>
                  </w:tcBorders>
                  <w:shd w:val="clear" w:color="auto" w:fill="FFFFFF"/>
                  <w:tcMar>
                    <w:top w:w="15" w:type="dxa"/>
                    <w:left w:w="15" w:type="dxa"/>
                    <w:right w:w="15" w:type="dxa"/>
                  </w:tcMar>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*CO为日均值第95百分位数，O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为日最大8小时值第90百分位数。</w:t>
                  </w:r>
                </w:p>
              </w:tc>
            </w:tr>
          </w:tbl>
          <w:p>
            <w:pPr>
              <w:widowControl w:val="0"/>
              <w:topLinePunct/>
              <w:spacing w:after="0" w:line="360" w:lineRule="auto"/>
              <w:ind w:firstLine="480" w:firstLineChars="200"/>
              <w:contextualSpacing/>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根据以上监测数据，福清市大气环境质量现状符合《环境空气质量标准》（GB3095-2012）的二级标准要求，城市环境空气质量达标，为达标区。</w:t>
            </w:r>
          </w:p>
          <w:p>
            <w:pPr>
              <w:widowControl w:val="0"/>
              <w:topLinePunct/>
              <w:spacing w:after="0" w:line="360" w:lineRule="auto"/>
              <w:jc w:val="both"/>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3.1.2 地表水环境质量现状</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2023年福州市环境状况公报》，纳入福建省地表水环境质量考核的375个断面(含国考断面)，按照评价标准Ⅰ~Ⅲ类水质比例99.5%，同比上升0.8个百分点；其中Ⅰ~Ⅱ类水质比例65.3%，同比上升9.8个百分点；Ⅳ类占0.5%；无V类和劣V类断面。</w:t>
            </w:r>
          </w:p>
          <w:p>
            <w:pPr>
              <w:widowControl w:val="0"/>
              <w:topLinePunct/>
              <w:spacing w:after="0" w:line="360" w:lineRule="auto"/>
              <w:ind w:firstLine="480" w:firstLineChars="200"/>
              <w:jc w:val="both"/>
              <w:outlineLvl w:val="9"/>
              <w:rPr>
                <w:rFonts w:hint="default" w:ascii="Times New Roman" w:hAnsi="Times New Roman" w:eastAsia="宋体" w:cs="Times New Roman"/>
                <w:strike/>
                <w:color w:val="auto"/>
                <w:sz w:val="24"/>
                <w:szCs w:val="24"/>
              </w:rPr>
            </w:pPr>
            <w:r>
              <w:rPr>
                <w:rFonts w:hint="default" w:ascii="Times New Roman" w:hAnsi="Times New Roman" w:eastAsia="宋体" w:cs="Times New Roman"/>
                <w:color w:val="auto"/>
                <w:sz w:val="24"/>
                <w:szCs w:val="24"/>
              </w:rPr>
              <w:t>2023年，全省9个设区城市主要流域水质均为优。除漳州外，其余8个城市Ⅰ~Ⅲ类水质断面比例均为100%。各设区城市主要流域水质按照水质指数从相对较好开始排名，具体为：南平、宁德、泉州、三明、龙岩、莆田、厦门、福州、漳州。</w:t>
            </w:r>
          </w:p>
          <w:p>
            <w:pPr>
              <w:widowControl w:val="0"/>
              <w:topLinePunct/>
              <w:spacing w:after="0" w:line="360" w:lineRule="auto"/>
              <w:jc w:val="both"/>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 xml:space="preserve">3.1.3 声环境质量现状 </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w:t>
            </w:r>
            <w:r>
              <w:rPr>
                <w:rFonts w:hint="eastAsia" w:ascii="Times New Roman" w:hAnsi="Times New Roman" w:eastAsia="宋体" w:cs="Times New Roman"/>
                <w:color w:val="auto"/>
                <w:sz w:val="24"/>
                <w:szCs w:val="24"/>
                <w:lang w:eastAsia="zh-CN"/>
              </w:rPr>
              <w:t>福清融侨经济技术开发区（租赁福建茂华投资有限公司2号厂房2层）</w:t>
            </w:r>
            <w:r>
              <w:rPr>
                <w:rFonts w:hint="default" w:ascii="Times New Roman" w:hAnsi="Times New Roman" w:eastAsia="宋体" w:cs="Times New Roman"/>
                <w:color w:val="auto"/>
                <w:sz w:val="24"/>
                <w:szCs w:val="24"/>
              </w:rPr>
              <w:t>，所在地为居住、商业、工业混合用地，声环境功能区为3类声环境功能区，声环境质量执行《声环境质量标准》（GB 3096-2008）中的3类标准。</w:t>
            </w:r>
          </w:p>
          <w:p>
            <w:pPr>
              <w:pStyle w:val="171"/>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依据《建设项目环境影响评价报告表编制技术指南（污染影响类）（试行）》(环办环评〔2020〕33号)：厂界外周边50米范围内存在声环境保护目标的建设项目，应监测保护目标声环境质量现状并评价达标情况。本项目厂界外50米范围内无声环境保护目标，因此不进行声环境质量监测。</w:t>
            </w:r>
          </w:p>
          <w:p>
            <w:pPr>
              <w:widowControl w:val="0"/>
              <w:topLinePunct/>
              <w:spacing w:after="0" w:line="360" w:lineRule="auto"/>
              <w:jc w:val="both"/>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3.1.4 生态环境质量现状</w:t>
            </w:r>
          </w:p>
          <w:p>
            <w:pPr>
              <w:pStyle w:val="21"/>
              <w:widowControl w:val="0"/>
              <w:topLinePunct/>
              <w:spacing w:after="0" w:line="360" w:lineRule="auto"/>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利用现有厂房进行建设，评价区域内无珍稀濒危物种，无自然保护区、风景名胜区。该项目的生产运营不会造成评价区域内生物量和物种多样性的锐减，不会引起荒漠化、水和土地的理化性质恶化，对生态环境造成的影响很小，故本评价不进行生态环境现状调查。</w:t>
            </w:r>
          </w:p>
          <w:p>
            <w:pPr>
              <w:widowControl w:val="0"/>
              <w:topLinePunct/>
              <w:spacing w:after="0" w:line="360" w:lineRule="auto"/>
              <w:jc w:val="both"/>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3.1.5 电磁辐射质量现状</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本项目未涉及电磁辐射，故不需要开展电磁辐射现状调查。</w:t>
            </w:r>
          </w:p>
          <w:p>
            <w:pPr>
              <w:widowControl w:val="0"/>
              <w:topLinePunct/>
              <w:spacing w:after="0" w:line="360" w:lineRule="auto"/>
              <w:jc w:val="both"/>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3.1.6 地下水、土壤环境质量现状</w:t>
            </w:r>
          </w:p>
          <w:p>
            <w:pPr>
              <w:pStyle w:val="14"/>
              <w:widowControl w:val="0"/>
              <w:topLinePunct/>
              <w:spacing w:after="0"/>
              <w:ind w:firstLine="480"/>
              <w:jc w:val="both"/>
              <w:outlineLvl w:val="9"/>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根据《建设项目环境影响评价报告表编制技术指南（污染影响类）（试行）》（环办环评〔2020〕33号）：原则上不开展地下水、土壤环境质量现状调查。建设项目存在土壤、地下水环境污染途径的，应结合污染源、保护目标分布情况开展现状调查以留作背景值。本项目位于</w:t>
            </w:r>
            <w:r>
              <w:rPr>
                <w:rFonts w:hint="eastAsia" w:ascii="Times New Roman" w:hAnsi="Times New Roman" w:eastAsia="宋体" w:cs="Times New Roman"/>
                <w:color w:val="auto"/>
                <w:sz w:val="24"/>
                <w:szCs w:val="24"/>
                <w:lang w:eastAsia="zh-CN"/>
              </w:rPr>
              <w:t>福清融侨经济技术开发区（租赁福建茂华投资有限公司2号厂房2层）</w:t>
            </w:r>
            <w:r>
              <w:rPr>
                <w:rFonts w:hint="default" w:ascii="Times New Roman" w:hAnsi="Times New Roman" w:eastAsia="宋体" w:cs="Times New Roman"/>
                <w:color w:val="auto"/>
                <w:sz w:val="24"/>
                <w:szCs w:val="24"/>
              </w:rPr>
              <w:t>，对照《环境影响评价技术导则 地下水环境》（HJ610-2016）附录A中“107、其它食品制造”行业，属于“IV类项目”，可不进行地下水环境影响评价。根据《环境影响评价技术导则 土壤环境（试行）》（HJ964-2018）附录A（土壤环境影响评价项目类别表），项目属于“其他行业”，为IV类项目，可不开展土壤环境影响评价工作。且厂房地面均已进行硬化处理，对地下水、土壤环境影响较小，因此本评价不对项目地下水、土壤环境质量进行补充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424"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保护</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目标</w:t>
            </w:r>
          </w:p>
        </w:tc>
        <w:tc>
          <w:tcPr>
            <w:tcW w:w="8865" w:type="dxa"/>
            <w:vAlign w:val="center"/>
          </w:tcPr>
          <w:p>
            <w:pPr>
              <w:widowControl w:val="0"/>
              <w:topLinePunct/>
              <w:spacing w:after="0" w:line="360" w:lineRule="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3.2 环境保护目标</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项目选址周边无文物古迹、风景名胜区，不在水源地保护区、自然保护区等敏感区域内。本项目的周边环境敏感目标详见表3.2-1，项目周边环境敏感目标分布图见附图2。</w:t>
            </w:r>
          </w:p>
          <w:p>
            <w:pPr>
              <w:widowControl w:val="0"/>
              <w:topLinePunct/>
              <w:spacing w:after="0" w:line="360" w:lineRule="auto"/>
              <w:jc w:val="center"/>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表3.2-1 项目周边环境敏感目标</w:t>
            </w:r>
          </w:p>
          <w:tbl>
            <w:tblPr>
              <w:tblStyle w:val="37"/>
              <w:tblW w:w="8623"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1278"/>
              <w:gridCol w:w="1440"/>
              <w:gridCol w:w="1920"/>
              <w:gridCol w:w="859"/>
              <w:gridCol w:w="2111"/>
              <w:gridCol w:w="9"/>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3" w:hRule="atLeast"/>
                <w:jc w:val="center"/>
              </w:trPr>
              <w:tc>
                <w:tcPr>
                  <w:tcW w:w="583"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4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83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敏感目标</w:t>
                  </w:r>
                </w:p>
              </w:tc>
              <w:tc>
                <w:tcPr>
                  <w:tcW w:w="1113"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方位、距离</w:t>
                  </w:r>
                </w:p>
              </w:tc>
              <w:tc>
                <w:tcPr>
                  <w:tcW w:w="497"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w:t>
                  </w:r>
                </w:p>
              </w:tc>
              <w:tc>
                <w:tcPr>
                  <w:tcW w:w="1223"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环境保护要求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583"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4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83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rPr>
                    <w:t>园区管委会</w:t>
                  </w:r>
                </w:p>
              </w:tc>
              <w:tc>
                <w:tcPr>
                  <w:tcW w:w="1113"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西北侧、125m</w:t>
                  </w:r>
                </w:p>
              </w:tc>
              <w:tc>
                <w:tcPr>
                  <w:tcW w:w="49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约</w:t>
                  </w:r>
                  <w:r>
                    <w:rPr>
                      <w:rFonts w:hint="eastAsia" w:ascii="Times New Roman" w:hAnsi="Times New Roman" w:eastAsia="宋体" w:cs="Times New Roman"/>
                      <w:color w:val="auto"/>
                      <w:sz w:val="21"/>
                      <w:lang w:val="en-US" w:eastAsia="zh-CN"/>
                    </w:rPr>
                    <w:t>60</w:t>
                  </w:r>
                  <w:r>
                    <w:rPr>
                      <w:rFonts w:hint="default" w:ascii="Times New Roman" w:hAnsi="Times New Roman" w:eastAsia="宋体" w:cs="Times New Roman"/>
                      <w:color w:val="auto"/>
                      <w:sz w:val="21"/>
                    </w:rPr>
                    <w:t>人</w:t>
                  </w:r>
                </w:p>
              </w:tc>
              <w:tc>
                <w:tcPr>
                  <w:tcW w:w="1227" w:type="pct"/>
                  <w:gridSpan w:val="2"/>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《环境空气质量标准》（GB3095-2012）中的二级标准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3" w:hRule="atLeast"/>
                <w:jc w:val="center"/>
              </w:trPr>
              <w:tc>
                <w:tcPr>
                  <w:tcW w:w="583"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4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83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Style w:val="44"/>
                      <w:rFonts w:hint="default" w:ascii="Times New Roman" w:hAnsi="Times New Roman" w:eastAsia="宋体" w:cs="Times New Roman"/>
                      <w:color w:val="auto"/>
                      <w:szCs w:val="21"/>
                    </w:rPr>
                    <w:t>太城溪</w:t>
                  </w:r>
                </w:p>
              </w:tc>
              <w:tc>
                <w:tcPr>
                  <w:tcW w:w="1113" w:type="pct"/>
                  <w:tcBorders>
                    <w:tl2br w:val="nil"/>
                    <w:tr2bl w:val="nil"/>
                  </w:tcBorders>
                  <w:vAlign w:val="center"/>
                </w:tcPr>
                <w:p>
                  <w:pPr>
                    <w:widowControl w:val="0"/>
                    <w:topLinePunct/>
                    <w:spacing w:after="0" w:line="240" w:lineRule="auto"/>
                    <w:jc w:val="center"/>
                    <w:outlineLvl w:val="9"/>
                    <w:rPr>
                      <w:rStyle w:val="44"/>
                      <w:rFonts w:hint="default" w:ascii="Times New Roman" w:hAnsi="Times New Roman" w:eastAsia="宋体" w:cs="Times New Roman"/>
                      <w:color w:val="auto"/>
                      <w:szCs w:val="21"/>
                    </w:rPr>
                  </w:pPr>
                  <w:r>
                    <w:rPr>
                      <w:rStyle w:val="44"/>
                      <w:rFonts w:hint="default" w:ascii="Times New Roman" w:hAnsi="Times New Roman" w:eastAsia="宋体" w:cs="Times New Roman"/>
                      <w:color w:val="auto"/>
                      <w:szCs w:val="21"/>
                    </w:rPr>
                    <w:t>北侧、160m</w:t>
                  </w:r>
                </w:p>
              </w:tc>
              <w:tc>
                <w:tcPr>
                  <w:tcW w:w="497" w:type="pct"/>
                  <w:tcBorders>
                    <w:tl2br w:val="nil"/>
                    <w:tr2bl w:val="nil"/>
                  </w:tcBorders>
                  <w:vAlign w:val="center"/>
                </w:tcPr>
                <w:p>
                  <w:pPr>
                    <w:widowControl w:val="0"/>
                    <w:topLinePunct/>
                    <w:spacing w:after="0" w:line="240" w:lineRule="auto"/>
                    <w:jc w:val="center"/>
                    <w:outlineLvl w:val="9"/>
                    <w:rPr>
                      <w:rStyle w:val="44"/>
                      <w:rFonts w:hint="default" w:ascii="Times New Roman" w:hAnsi="Times New Roman" w:eastAsia="宋体" w:cs="Times New Roman"/>
                      <w:color w:val="auto"/>
                      <w:szCs w:val="21"/>
                    </w:rPr>
                  </w:pPr>
                  <w:r>
                    <w:rPr>
                      <w:rStyle w:val="44"/>
                      <w:rFonts w:hint="default" w:ascii="Times New Roman" w:hAnsi="Times New Roman" w:eastAsia="宋体" w:cs="Times New Roman"/>
                      <w:color w:val="auto"/>
                      <w:szCs w:val="21"/>
                    </w:rPr>
                    <w:t>-</w:t>
                  </w:r>
                </w:p>
              </w:tc>
              <w:tc>
                <w:tcPr>
                  <w:tcW w:w="1223" w:type="pct"/>
                  <w:tcBorders>
                    <w:tl2br w:val="nil"/>
                    <w:tr2bl w:val="nil"/>
                  </w:tcBorders>
                  <w:vAlign w:val="center"/>
                </w:tcPr>
                <w:p>
                  <w:pPr>
                    <w:widowControl w:val="0"/>
                    <w:topLinePunct/>
                    <w:spacing w:after="0" w:line="240" w:lineRule="auto"/>
                    <w:jc w:val="center"/>
                    <w:outlineLvl w:val="9"/>
                    <w:rPr>
                      <w:rStyle w:val="44"/>
                      <w:rFonts w:hint="default" w:ascii="Times New Roman" w:hAnsi="Times New Roman" w:eastAsia="宋体" w:cs="Times New Roman"/>
                      <w:color w:val="auto"/>
                      <w:szCs w:val="21"/>
                    </w:rPr>
                  </w:pPr>
                  <w:r>
                    <w:rPr>
                      <w:rStyle w:val="44"/>
                      <w:rFonts w:hint="default" w:ascii="Times New Roman" w:hAnsi="Times New Roman" w:eastAsia="宋体" w:cs="Times New Roman"/>
                      <w:color w:val="auto"/>
                      <w:szCs w:val="21"/>
                    </w:rPr>
                    <w:t>《地表水环境质量标准》（GB3838-2002）中IV类标准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3" w:hRule="atLeast"/>
                <w:jc w:val="center"/>
              </w:trPr>
              <w:tc>
                <w:tcPr>
                  <w:tcW w:w="583"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4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446" w:type="pct"/>
                  <w:gridSpan w:val="3"/>
                  <w:tcBorders>
                    <w:tl2br w:val="nil"/>
                    <w:tr2bl w:val="nil"/>
                  </w:tcBorders>
                  <w:vAlign w:val="center"/>
                </w:tcPr>
                <w:p>
                  <w:pPr>
                    <w:widowControl w:val="0"/>
                    <w:topLinePunct/>
                    <w:spacing w:after="0" w:line="240" w:lineRule="auto"/>
                    <w:jc w:val="center"/>
                    <w:outlineLvl w:val="9"/>
                    <w:rPr>
                      <w:rStyle w:val="44"/>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厂界外50m范围内无声环境保护目标</w:t>
                  </w:r>
                </w:p>
              </w:tc>
              <w:tc>
                <w:tcPr>
                  <w:tcW w:w="1223" w:type="pct"/>
                  <w:tcBorders>
                    <w:tl2br w:val="nil"/>
                    <w:tr2bl w:val="nil"/>
                  </w:tcBorders>
                  <w:vAlign w:val="center"/>
                </w:tcPr>
                <w:p>
                  <w:pPr>
                    <w:widowControl w:val="0"/>
                    <w:topLinePunct/>
                    <w:spacing w:after="0" w:line="240" w:lineRule="auto"/>
                    <w:jc w:val="center"/>
                    <w:outlineLvl w:val="9"/>
                    <w:rPr>
                      <w:rStyle w:val="44"/>
                      <w:rFonts w:hint="default" w:ascii="Times New Roman" w:hAnsi="Times New Roman" w:eastAsia="宋体" w:cs="Times New Roman"/>
                      <w:color w:val="auto"/>
                      <w:szCs w:val="21"/>
                    </w:rPr>
                  </w:pPr>
                  <w:r>
                    <w:rPr>
                      <w:rStyle w:val="44"/>
                      <w:rFonts w:hint="default" w:ascii="Times New Roman" w:hAnsi="Times New Roman" w:eastAsia="宋体" w:cs="Times New Roman"/>
                      <w:color w:val="auto"/>
                      <w:szCs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3" w:hRule="atLeast"/>
                <w:jc w:val="center"/>
              </w:trPr>
              <w:tc>
                <w:tcPr>
                  <w:tcW w:w="583"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4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3670" w:type="pct"/>
                  <w:gridSpan w:val="4"/>
                  <w:tcBorders>
                    <w:tl2br w:val="nil"/>
                    <w:tr2bl w:val="nil"/>
                  </w:tcBorders>
                  <w:vAlign w:val="center"/>
                </w:tcPr>
                <w:p>
                  <w:pPr>
                    <w:pStyle w:val="155"/>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本项目位于工业用地，无生态环境保护目标</w:t>
                  </w:r>
                </w:p>
              </w:tc>
            </w:tr>
          </w:tbl>
          <w:p>
            <w:pPr>
              <w:pStyle w:val="14"/>
              <w:widowControl w:val="0"/>
              <w:topLinePunct/>
              <w:ind w:firstLine="0" w:firstLineChars="0"/>
              <w:outlineLvl w:val="9"/>
              <w:rPr>
                <w:rFonts w:hint="default" w:ascii="Times New Roman" w:hAnsi="Times New Roman" w:eastAsia="宋体"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24"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物排</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放控</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制标</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准</w:t>
            </w:r>
          </w:p>
        </w:tc>
        <w:tc>
          <w:tcPr>
            <w:tcW w:w="8865" w:type="dxa"/>
            <w:vAlign w:val="center"/>
          </w:tcPr>
          <w:p>
            <w:pPr>
              <w:widowControl w:val="0"/>
              <w:topLinePunct/>
              <w:spacing w:after="0" w:line="360" w:lineRule="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3.3 污染物排放标准</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3.3.1 水污染物排放标准</w:t>
            </w:r>
          </w:p>
          <w:p>
            <w:pPr>
              <w:pStyle w:val="119"/>
              <w:widowControl w:val="0"/>
              <w:topLinePunct/>
              <w:spacing w:after="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（1）项目水污染物排放标准</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本项目排放的综合废水为生产废水和生活污水，废水排放执行《污水综合排放标准》（GB 8978-1996）表4中三级标准限值，其中氨氮参照执行《污水排入城镇下水道水质标准》（GB/T31962-2015）中B等级标准。见表3.3-1。</w:t>
            </w:r>
          </w:p>
          <w:p>
            <w:pPr>
              <w:pStyle w:val="126"/>
              <w:widowControl w:val="0"/>
              <w:topLinePunct/>
              <w:autoSpaceDE/>
              <w:autoSpaceDN/>
              <w:spacing w:after="0" w:line="360" w:lineRule="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表3.3-1  废水污染物排放标准</w:t>
            </w:r>
          </w:p>
          <w:tbl>
            <w:tblPr>
              <w:tblStyle w:val="37"/>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1542"/>
              <w:gridCol w:w="1309"/>
              <w:gridCol w:w="1308"/>
              <w:gridCol w:w="1161"/>
              <w:gridCol w:w="3297"/>
            </w:tblGrid>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tblHeader/>
                <w:jc w:val="center"/>
              </w:trPr>
              <w:tc>
                <w:tcPr>
                  <w:tcW w:w="1542"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309"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308"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161"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3297"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42"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09"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308"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61"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3297" w:type="dxa"/>
                  <w:vMerge w:val="restart"/>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 8978-1996）表4中三级标准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42"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09"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308"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1"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3297" w:type="dxa"/>
                  <w:vMerge w:val="continue"/>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42"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309"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308"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1"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3297" w:type="dxa"/>
                  <w:vMerge w:val="continue"/>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42"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309"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308"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1"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3297" w:type="dxa"/>
                  <w:vMerge w:val="continue"/>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42"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309"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1308"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1"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3297" w:type="dxa"/>
                  <w:vMerge w:val="continue"/>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42"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309"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308"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1"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3297" w:type="dxa"/>
                  <w:tcBorders>
                    <w:tl2br w:val="nil"/>
                    <w:tr2bl w:val="nil"/>
                  </w:tcBorders>
                  <w:shd w:val="clear" w:color="auto" w:fill="FFFFFF"/>
                  <w:vAlign w:val="center"/>
                </w:tcPr>
                <w:p>
                  <w:pPr>
                    <w:pStyle w:val="120"/>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《污水排入城镇下水道水质标准》（GB/T31962-2015）中B级标准</w:t>
                  </w:r>
                </w:p>
              </w:tc>
            </w:tr>
          </w:tbl>
          <w:p>
            <w:pPr>
              <w:widowControl w:val="0"/>
              <w:topLinePunct/>
              <w:spacing w:after="0" w:line="360" w:lineRule="auto"/>
              <w:jc w:val="both"/>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3.3.2 大气污染物排放标准</w:t>
            </w:r>
          </w:p>
          <w:p>
            <w:pPr>
              <w:pStyle w:val="119"/>
              <w:widowControl w:val="0"/>
              <w:topLinePunct/>
              <w:spacing w:after="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1、有组织废气</w:t>
            </w:r>
          </w:p>
          <w:p>
            <w:pPr>
              <w:pStyle w:val="119"/>
              <w:widowControl w:val="0"/>
              <w:topLinePunct/>
              <w:spacing w:after="0"/>
              <w:jc w:val="both"/>
              <w:outlineLvl w:val="9"/>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烘烤工序产生的异味臭气浓度，排放执行《恶臭污染物排放标准》（GB14554-93）表2标准限值。产生的油烟执行《饮食业油烟排放标准（试行）》（GB18483-2001）表2</w:t>
            </w:r>
            <w:r>
              <w:rPr>
                <w:rFonts w:hint="eastAsia" w:ascii="Times New Roman" w:hAnsi="Times New Roman" w:eastAsia="宋体" w:cs="Times New Roman"/>
                <w:color w:val="auto"/>
                <w:sz w:val="24"/>
                <w:szCs w:val="24"/>
                <w:lang w:val="en-US" w:eastAsia="zh-CN"/>
              </w:rPr>
              <w:t>小</w:t>
            </w:r>
            <w:r>
              <w:rPr>
                <w:rFonts w:hint="default" w:ascii="Times New Roman" w:hAnsi="Times New Roman" w:eastAsia="宋体" w:cs="Times New Roman"/>
                <w:color w:val="auto"/>
                <w:sz w:val="24"/>
                <w:szCs w:val="24"/>
              </w:rPr>
              <w:t>型规模排放限值</w:t>
            </w:r>
            <w:r>
              <w:rPr>
                <w:rFonts w:hint="eastAsia" w:ascii="Times New Roman" w:hAnsi="Times New Roman" w:eastAsia="宋体" w:cs="Times New Roman"/>
                <w:color w:val="auto"/>
                <w:sz w:val="24"/>
                <w:szCs w:val="24"/>
                <w:lang w:eastAsia="zh-CN"/>
              </w:rPr>
              <w:t>。</w:t>
            </w:r>
          </w:p>
          <w:p>
            <w:pPr>
              <w:pStyle w:val="119"/>
              <w:widowControl w:val="0"/>
              <w:topLinePunct/>
              <w:spacing w:after="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2、无组织废气</w:t>
            </w:r>
          </w:p>
          <w:p>
            <w:pPr>
              <w:pStyle w:val="119"/>
              <w:widowControl w:val="0"/>
              <w:topLinePunct/>
              <w:spacing w:after="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配料及和面工序产生的粉尘颗粒物，排放执行《大气污染物综合排放标准》（GB16297-1996）表2无组织排放监控浓度限值，臭气浓度排放执行《恶臭污染物排放标准》（GB14554-93）表1标准限值。</w:t>
            </w:r>
          </w:p>
          <w:p>
            <w:pPr>
              <w:pStyle w:val="119"/>
              <w:widowControl w:val="0"/>
              <w:topLinePunct/>
              <w:spacing w:after="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综上，本项目执行的具体排放标准见表3.3-2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3.3-3</w:t>
            </w:r>
            <w:r>
              <w:rPr>
                <w:rFonts w:hint="eastAsia" w:ascii="Times New Roman" w:hAnsi="Times New Roman" w:eastAsia="宋体" w:cs="Times New Roman"/>
                <w:color w:val="auto"/>
                <w:sz w:val="24"/>
                <w:szCs w:val="24"/>
                <w:lang w:val="en-US" w:eastAsia="zh-CN"/>
              </w:rPr>
              <w:t>和3.3-4</w:t>
            </w:r>
            <w:r>
              <w:rPr>
                <w:rFonts w:hint="default" w:ascii="Times New Roman" w:hAnsi="Times New Roman" w:eastAsia="宋体" w:cs="Times New Roman"/>
                <w:color w:val="auto"/>
                <w:sz w:val="24"/>
                <w:szCs w:val="24"/>
              </w:rPr>
              <w:t>。</w:t>
            </w:r>
          </w:p>
          <w:p>
            <w:pPr>
              <w:widowControl w:val="0"/>
              <w:topLinePunct/>
              <w:spacing w:after="0" w:line="360" w:lineRule="auto"/>
              <w:jc w:val="center"/>
              <w:outlineLvl w:val="9"/>
              <w:rPr>
                <w:rFonts w:hint="default" w:ascii="Times New Roman" w:hAnsi="Times New Roman" w:eastAsia="宋体" w:cs="Times New Roman"/>
                <w:b/>
                <w:bCs/>
                <w:color w:val="auto"/>
                <w:sz w:val="24"/>
                <w:szCs w:val="24"/>
                <w:shd w:val="clear" w:color="auto" w:fill="FFFFFF"/>
              </w:rPr>
            </w:pPr>
            <w:r>
              <w:rPr>
                <w:rFonts w:hint="default" w:ascii="Times New Roman" w:hAnsi="Times New Roman" w:eastAsia="宋体" w:cs="Times New Roman"/>
                <w:b/>
                <w:bCs/>
                <w:color w:val="auto"/>
                <w:sz w:val="24"/>
                <w:szCs w:val="24"/>
                <w:shd w:val="clear" w:color="auto" w:fill="FFFFFF"/>
              </w:rPr>
              <w:t>表3.3-2 本项目大气污染物有组织排放控制要求</w:t>
            </w:r>
          </w:p>
          <w:tbl>
            <w:tblPr>
              <w:tblStyle w:val="37"/>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49"/>
              <w:gridCol w:w="900"/>
              <w:gridCol w:w="1251"/>
              <w:gridCol w:w="1822"/>
              <w:gridCol w:w="1344"/>
              <w:gridCol w:w="194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83" w:type="pct"/>
                  <w:vMerge w:val="restart"/>
                  <w:tcBorders>
                    <w:tl2br w:val="nil"/>
                    <w:tr2bl w:val="nil"/>
                  </w:tcBorders>
                  <w:vAlign w:val="center"/>
                </w:tcPr>
                <w:p>
                  <w:pPr>
                    <w:pStyle w:val="155"/>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收集工序</w:t>
                  </w:r>
                </w:p>
              </w:tc>
              <w:tc>
                <w:tcPr>
                  <w:tcW w:w="522" w:type="pct"/>
                  <w:vMerge w:val="restart"/>
                  <w:tcBorders>
                    <w:tl2br w:val="nil"/>
                    <w:tr2bl w:val="nil"/>
                  </w:tcBorders>
                  <w:vAlign w:val="center"/>
                </w:tcPr>
                <w:p>
                  <w:pPr>
                    <w:pStyle w:val="155"/>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w:t>
                  </w:r>
                </w:p>
              </w:tc>
              <w:tc>
                <w:tcPr>
                  <w:tcW w:w="726" w:type="pct"/>
                  <w:vMerge w:val="restart"/>
                  <w:tcBorders>
                    <w:tl2br w:val="nil"/>
                    <w:tr2bl w:val="nil"/>
                  </w:tcBorders>
                  <w:vAlign w:val="center"/>
                </w:tcPr>
                <w:p>
                  <w:pPr>
                    <w:pStyle w:val="155"/>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p>
                  <w:pPr>
                    <w:pStyle w:val="155"/>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1837" w:type="pct"/>
                  <w:gridSpan w:val="2"/>
                  <w:tcBorders>
                    <w:tl2br w:val="nil"/>
                    <w:tr2bl w:val="nil"/>
                  </w:tcBorders>
                  <w:vAlign w:val="center"/>
                </w:tcPr>
                <w:p>
                  <w:pPr>
                    <w:pStyle w:val="155"/>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排放限值</w:t>
                  </w:r>
                </w:p>
              </w:tc>
              <w:tc>
                <w:tcPr>
                  <w:tcW w:w="1130" w:type="pct"/>
                  <w:vMerge w:val="restart"/>
                  <w:tcBorders>
                    <w:tl2br w:val="nil"/>
                    <w:tr2bl w:val="nil"/>
                  </w:tcBorders>
                  <w:vAlign w:val="center"/>
                </w:tcPr>
                <w:p>
                  <w:pPr>
                    <w:pStyle w:val="155"/>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83" w:type="pct"/>
                  <w:vMerge w:val="continue"/>
                  <w:tcBorders>
                    <w:tl2br w:val="nil"/>
                    <w:tr2bl w:val="nil"/>
                  </w:tcBorders>
                  <w:vAlign w:val="center"/>
                </w:tcPr>
                <w:p>
                  <w:pPr>
                    <w:widowControl w:val="0"/>
                    <w:topLinePunct/>
                    <w:adjustRightInd w:val="0"/>
                    <w:snapToGrid w:val="0"/>
                    <w:spacing w:after="0" w:line="240" w:lineRule="auto"/>
                    <w:outlineLvl w:val="9"/>
                    <w:rPr>
                      <w:rFonts w:hint="default" w:ascii="Times New Roman" w:hAnsi="Times New Roman" w:eastAsia="宋体" w:cs="Times New Roman"/>
                      <w:color w:val="auto"/>
                      <w:sz w:val="21"/>
                      <w:szCs w:val="21"/>
                    </w:rPr>
                  </w:pPr>
                </w:p>
              </w:tc>
              <w:tc>
                <w:tcPr>
                  <w:tcW w:w="522" w:type="pct"/>
                  <w:vMerge w:val="continue"/>
                  <w:tcBorders>
                    <w:tl2br w:val="nil"/>
                    <w:tr2bl w:val="nil"/>
                  </w:tcBorders>
                  <w:vAlign w:val="center"/>
                </w:tcPr>
                <w:p>
                  <w:pPr>
                    <w:widowControl w:val="0"/>
                    <w:topLinePunct/>
                    <w:adjustRightInd w:val="0"/>
                    <w:snapToGrid w:val="0"/>
                    <w:spacing w:after="0" w:line="240" w:lineRule="auto"/>
                    <w:outlineLvl w:val="9"/>
                    <w:rPr>
                      <w:rFonts w:hint="default" w:ascii="Times New Roman" w:hAnsi="Times New Roman" w:eastAsia="宋体" w:cs="Times New Roman"/>
                      <w:color w:val="auto"/>
                      <w:sz w:val="21"/>
                      <w:szCs w:val="21"/>
                    </w:rPr>
                  </w:pPr>
                </w:p>
              </w:tc>
              <w:tc>
                <w:tcPr>
                  <w:tcW w:w="726" w:type="pct"/>
                  <w:vMerge w:val="continue"/>
                  <w:tcBorders>
                    <w:tl2br w:val="nil"/>
                    <w:tr2bl w:val="nil"/>
                  </w:tcBorders>
                  <w:vAlign w:val="center"/>
                </w:tcPr>
                <w:p>
                  <w:pPr>
                    <w:widowControl w:val="0"/>
                    <w:topLinePunct/>
                    <w:adjustRightInd w:val="0"/>
                    <w:snapToGrid w:val="0"/>
                    <w:spacing w:after="0" w:line="240" w:lineRule="auto"/>
                    <w:outlineLvl w:val="9"/>
                    <w:rPr>
                      <w:rFonts w:hint="default" w:ascii="Times New Roman" w:hAnsi="Times New Roman" w:eastAsia="宋体" w:cs="Times New Roman"/>
                      <w:color w:val="auto"/>
                      <w:sz w:val="21"/>
                      <w:szCs w:val="21"/>
                    </w:rPr>
                  </w:pPr>
                </w:p>
              </w:tc>
              <w:tc>
                <w:tcPr>
                  <w:tcW w:w="1057" w:type="pct"/>
                  <w:tcBorders>
                    <w:tl2br w:val="nil"/>
                    <w:tr2bl w:val="nil"/>
                  </w:tcBorders>
                  <w:vAlign w:val="center"/>
                </w:tcPr>
                <w:p>
                  <w:pPr>
                    <w:pStyle w:val="155"/>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w:t>
                  </w:r>
                </w:p>
              </w:tc>
              <w:tc>
                <w:tcPr>
                  <w:tcW w:w="780" w:type="pct"/>
                  <w:tcBorders>
                    <w:tl2br w:val="nil"/>
                    <w:tr2bl w:val="nil"/>
                  </w:tcBorders>
                  <w:vAlign w:val="center"/>
                </w:tcPr>
                <w:p>
                  <w:pPr>
                    <w:pStyle w:val="155"/>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排气筒高度</w:t>
                  </w:r>
                </w:p>
              </w:tc>
              <w:tc>
                <w:tcPr>
                  <w:tcW w:w="1130" w:type="pct"/>
                  <w:vMerge w:val="continue"/>
                  <w:tcBorders>
                    <w:tl2br w:val="nil"/>
                    <w:tr2bl w:val="nil"/>
                  </w:tcBorders>
                  <w:vAlign w:val="center"/>
                </w:tcPr>
                <w:p>
                  <w:pPr>
                    <w:widowControl w:val="0"/>
                    <w:topLinePunct/>
                    <w:adjustRightInd w:val="0"/>
                    <w:snapToGrid w:val="0"/>
                    <w:spacing w:after="0" w:line="240" w:lineRule="auto"/>
                    <w:outlineLvl w:val="9"/>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83" w:type="pct"/>
                  <w:tcBorders>
                    <w:tl2br w:val="nil"/>
                    <w:tr2bl w:val="nil"/>
                  </w:tcBorders>
                  <w:vAlign w:val="center"/>
                </w:tcPr>
                <w:p>
                  <w:pPr>
                    <w:pStyle w:val="155"/>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烘烤</w:t>
                  </w:r>
                </w:p>
              </w:tc>
              <w:tc>
                <w:tcPr>
                  <w:tcW w:w="522" w:type="pct"/>
                  <w:tcBorders>
                    <w:tl2br w:val="nil"/>
                    <w:tr2bl w:val="nil"/>
                  </w:tcBorders>
                  <w:vAlign w:val="center"/>
                </w:tcPr>
                <w:p>
                  <w:pPr>
                    <w:pStyle w:val="155"/>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DA003</w:t>
                  </w:r>
                </w:p>
              </w:tc>
              <w:tc>
                <w:tcPr>
                  <w:tcW w:w="726" w:type="pct"/>
                  <w:tcBorders>
                    <w:tl2br w:val="nil"/>
                    <w:tr2bl w:val="nil"/>
                  </w:tcBorders>
                  <w:vAlign w:val="center"/>
                </w:tcPr>
                <w:p>
                  <w:pPr>
                    <w:pStyle w:val="155"/>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w:t>
                  </w:r>
                </w:p>
              </w:tc>
              <w:tc>
                <w:tcPr>
                  <w:tcW w:w="1057" w:type="pct"/>
                  <w:tcBorders>
                    <w:tl2br w:val="nil"/>
                    <w:tr2bl w:val="nil"/>
                  </w:tcBorders>
                  <w:vAlign w:val="center"/>
                </w:tcPr>
                <w:p>
                  <w:pPr>
                    <w:pStyle w:val="155"/>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2000无量纲</w:t>
                  </w:r>
                </w:p>
              </w:tc>
              <w:tc>
                <w:tcPr>
                  <w:tcW w:w="780" w:type="pct"/>
                  <w:tcBorders>
                    <w:tl2br w:val="nil"/>
                    <w:tr2bl w:val="nil"/>
                  </w:tcBorders>
                  <w:vAlign w:val="center"/>
                </w:tcPr>
                <w:p>
                  <w:pPr>
                    <w:pStyle w:val="155"/>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15m</w:t>
                  </w:r>
                </w:p>
              </w:tc>
              <w:tc>
                <w:tcPr>
                  <w:tcW w:w="1130" w:type="pct"/>
                  <w:tcBorders>
                    <w:tl2br w:val="nil"/>
                    <w:tr2bl w:val="nil"/>
                  </w:tcBorders>
                  <w:vAlign w:val="center"/>
                </w:tcPr>
                <w:p>
                  <w:pPr>
                    <w:pStyle w:val="155"/>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《恶臭污染物排放标准》（GB14554-93）表2标准限值</w:t>
                  </w:r>
                </w:p>
              </w:tc>
            </w:tr>
          </w:tbl>
          <w:p>
            <w:pPr>
              <w:widowControl w:val="0"/>
              <w:topLinePunct/>
              <w:spacing w:after="0" w:line="360" w:lineRule="auto"/>
              <w:jc w:val="center"/>
              <w:outlineLvl w:val="9"/>
              <w:rPr>
                <w:rFonts w:ascii="Times New Roman" w:hAnsi="Times New Roman" w:eastAsia="宋体" w:cs="Times New Roman"/>
                <w:b/>
                <w:bCs/>
                <w:color w:val="auto"/>
                <w:sz w:val="24"/>
                <w:szCs w:val="24"/>
                <w:shd w:val="clear" w:color="auto" w:fill="FFFFFF"/>
              </w:rPr>
            </w:pPr>
            <w:r>
              <w:rPr>
                <w:rFonts w:ascii="Times New Roman" w:hAnsi="Times New Roman" w:eastAsia="宋体" w:cs="Times New Roman"/>
                <w:b/>
                <w:bCs/>
                <w:color w:val="auto"/>
                <w:sz w:val="24"/>
                <w:szCs w:val="24"/>
                <w:shd w:val="clear" w:color="auto" w:fill="FFFFFF"/>
              </w:rPr>
              <w:t>表3</w:t>
            </w:r>
            <w:r>
              <w:rPr>
                <w:rFonts w:hint="eastAsia" w:ascii="Times New Roman" w:hAnsi="Times New Roman" w:eastAsia="宋体" w:cs="Times New Roman"/>
                <w:b/>
                <w:bCs/>
                <w:color w:val="auto"/>
                <w:sz w:val="24"/>
                <w:szCs w:val="24"/>
                <w:shd w:val="clear" w:color="auto" w:fill="FFFFFF"/>
                <w:lang w:eastAsia="zh-CN"/>
              </w:rPr>
              <w:t>.</w:t>
            </w:r>
            <w:r>
              <w:rPr>
                <w:rFonts w:hint="eastAsia" w:ascii="Times New Roman" w:hAnsi="Times New Roman" w:eastAsia="宋体" w:cs="Times New Roman"/>
                <w:b/>
                <w:bCs/>
                <w:color w:val="auto"/>
                <w:sz w:val="24"/>
                <w:szCs w:val="24"/>
                <w:shd w:val="clear" w:color="auto" w:fill="FFFFFF"/>
                <w:lang w:val="en-US" w:eastAsia="zh-CN"/>
              </w:rPr>
              <w:t>3-3</w:t>
            </w:r>
            <w:r>
              <w:rPr>
                <w:rFonts w:ascii="Times New Roman" w:hAnsi="Times New Roman" w:eastAsia="宋体" w:cs="Times New Roman"/>
                <w:b/>
                <w:bCs/>
                <w:color w:val="auto"/>
                <w:sz w:val="24"/>
                <w:szCs w:val="24"/>
                <w:shd w:val="clear" w:color="auto" w:fill="FFFFFF"/>
              </w:rPr>
              <w:t xml:space="preserve"> </w:t>
            </w:r>
            <w:r>
              <w:rPr>
                <w:rFonts w:hint="default" w:ascii="Times New Roman" w:hAnsi="Times New Roman" w:eastAsia="宋体" w:cs="Times New Roman"/>
                <w:b/>
                <w:bCs/>
                <w:color w:val="auto"/>
                <w:sz w:val="24"/>
                <w:szCs w:val="24"/>
                <w:shd w:val="clear" w:color="auto" w:fill="FFFFFF"/>
              </w:rPr>
              <w:t>《饮食业油烟排放标准》（GB18483-2001）（摘录）</w:t>
            </w:r>
          </w:p>
          <w:tbl>
            <w:tblPr>
              <w:tblStyle w:val="37"/>
              <w:tblW w:w="4998" w:type="pct"/>
              <w:jc w:val="center"/>
              <w:tblBorders>
                <w:top w:val="single" w:color="000000" w:sz="18" w:space="0"/>
                <w:left w:val="none" w:color="auto" w:sz="0" w:space="0"/>
                <w:bottom w:val="single" w:color="000000" w:sz="18"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841"/>
              <w:gridCol w:w="1907"/>
              <w:gridCol w:w="2163"/>
              <w:gridCol w:w="1703"/>
            </w:tblGrid>
            <w:tr>
              <w:tblPrEx>
                <w:tblBorders>
                  <w:top w:val="single" w:color="000000" w:sz="18" w:space="0"/>
                  <w:left w:val="none" w:color="auto" w:sz="0" w:space="0"/>
                  <w:bottom w:val="single" w:color="000000" w:sz="18"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164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规模</w:t>
                  </w:r>
                </w:p>
              </w:tc>
              <w:tc>
                <w:tcPr>
                  <w:tcW w:w="1107"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小型</w:t>
                  </w:r>
                </w:p>
              </w:tc>
              <w:tc>
                <w:tcPr>
                  <w:tcW w:w="125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shd w:val="clear" w:color="auto"/>
                      <w:lang w:eastAsia="zh-CN"/>
                    </w:rPr>
                    <w:t>中型</w:t>
                  </w:r>
                </w:p>
              </w:tc>
              <w:tc>
                <w:tcPr>
                  <w:tcW w:w="9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大型</w:t>
                  </w:r>
                </w:p>
              </w:tc>
            </w:tr>
            <w:tr>
              <w:tblPrEx>
                <w:tblBorders>
                  <w:top w:val="single" w:color="000000" w:sz="18" w:space="0"/>
                  <w:left w:val="none" w:color="auto" w:sz="0" w:space="0"/>
                  <w:bottom w:val="single" w:color="000000" w:sz="18"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164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最高允许排放浓度（mg/m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3350" w:type="pct"/>
                  <w:gridSpan w:val="3"/>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shd w:val="clear" w:color="auto" w:fill="A4A4A4"/>
                      <w:lang w:val="en-US" w:eastAsia="zh-CN"/>
                    </w:rPr>
                    <w:t>2.0</w:t>
                  </w:r>
                </w:p>
              </w:tc>
            </w:tr>
            <w:tr>
              <w:tblPrEx>
                <w:tblBorders>
                  <w:top w:val="single" w:color="000000" w:sz="18" w:space="0"/>
                  <w:left w:val="none" w:color="auto" w:sz="0" w:space="0"/>
                  <w:bottom w:val="single" w:color="000000" w:sz="18"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 w:hRule="atLeast"/>
                <w:jc w:val="center"/>
              </w:trPr>
              <w:tc>
                <w:tcPr>
                  <w:tcW w:w="164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净化设施最低去除率</w:t>
                  </w:r>
                </w:p>
              </w:tc>
              <w:tc>
                <w:tcPr>
                  <w:tcW w:w="1107" w:type="pct"/>
                  <w:tcBorders>
                    <w:tl2br w:val="nil"/>
                    <w:tr2bl w:val="nil"/>
                  </w:tcBorders>
                  <w:shd w:val="clear" w:color="auto" w:fill="D7D7D7" w:themeFill="background1" w:themeFillShade="D8"/>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1255"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shd w:val="clear" w:color="auto"/>
                      <w:lang w:val="en-US" w:eastAsia="zh-CN"/>
                    </w:rPr>
                    <w:t>75</w:t>
                  </w:r>
                </w:p>
              </w:tc>
              <w:tc>
                <w:tcPr>
                  <w:tcW w:w="9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r>
          </w:tbl>
          <w:p>
            <w:pPr>
              <w:widowControl w:val="0"/>
              <w:topLinePunct/>
              <w:spacing w:after="0" w:line="360" w:lineRule="auto"/>
              <w:jc w:val="center"/>
              <w:outlineLvl w:val="9"/>
              <w:rPr>
                <w:rFonts w:hint="default" w:ascii="Times New Roman" w:hAnsi="Times New Roman" w:eastAsia="宋体" w:cs="Times New Roman"/>
                <w:b/>
                <w:bCs/>
                <w:color w:val="auto"/>
                <w:sz w:val="24"/>
                <w:szCs w:val="24"/>
                <w:shd w:val="clear" w:color="auto" w:fill="FFFFFF"/>
              </w:rPr>
            </w:pPr>
            <w:r>
              <w:rPr>
                <w:rFonts w:hint="default" w:ascii="Times New Roman" w:hAnsi="Times New Roman" w:eastAsia="宋体" w:cs="Times New Roman"/>
                <w:b/>
                <w:bCs/>
                <w:color w:val="auto"/>
                <w:sz w:val="24"/>
                <w:szCs w:val="24"/>
                <w:shd w:val="clear" w:color="auto" w:fill="FFFFFF"/>
              </w:rPr>
              <w:t>表3.3-</w:t>
            </w:r>
            <w:r>
              <w:rPr>
                <w:rFonts w:hint="eastAsia" w:ascii="Times New Roman" w:hAnsi="Times New Roman" w:eastAsia="宋体" w:cs="Times New Roman"/>
                <w:b/>
                <w:bCs/>
                <w:color w:val="auto"/>
                <w:sz w:val="24"/>
                <w:szCs w:val="24"/>
                <w:shd w:val="clear" w:color="auto" w:fill="FFFFFF"/>
                <w:lang w:val="en-US" w:eastAsia="zh-CN"/>
              </w:rPr>
              <w:t>4</w:t>
            </w:r>
            <w:r>
              <w:rPr>
                <w:rFonts w:hint="default" w:ascii="Times New Roman" w:hAnsi="Times New Roman" w:eastAsia="宋体" w:cs="Times New Roman"/>
                <w:b/>
                <w:bCs/>
                <w:color w:val="auto"/>
                <w:sz w:val="24"/>
                <w:szCs w:val="24"/>
                <w:shd w:val="clear" w:color="auto" w:fill="FFFFFF"/>
              </w:rPr>
              <w:t xml:space="preserve"> 本项目大气污染物无组织排放控制要求</w:t>
            </w:r>
          </w:p>
          <w:tbl>
            <w:tblPr>
              <w:tblStyle w:val="37"/>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1377"/>
              <w:gridCol w:w="1237"/>
              <w:gridCol w:w="1754"/>
              <w:gridCol w:w="1350"/>
              <w:gridCol w:w="2896"/>
            </w:tblGrid>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799" w:type="pct"/>
                  <w:tcBorders>
                    <w:tl2br w:val="nil"/>
                    <w:tr2bl w:val="nil"/>
                  </w:tcBorders>
                  <w:vAlign w:val="center"/>
                </w:tcPr>
                <w:p>
                  <w:pPr>
                    <w:pStyle w:val="118"/>
                    <w:widowControl w:val="0"/>
                    <w:topLinePunct/>
                    <w:adjustRightInd w:val="0"/>
                    <w:snapToGrid w:val="0"/>
                    <w:spacing w:after="0" w:line="240" w:lineRule="auto"/>
                    <w:outlineLvl w:val="9"/>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污染物项目</w:t>
                  </w:r>
                </w:p>
              </w:tc>
              <w:tc>
                <w:tcPr>
                  <w:tcW w:w="718" w:type="pct"/>
                  <w:tcBorders>
                    <w:tl2br w:val="nil"/>
                    <w:tr2bl w:val="nil"/>
                  </w:tcBorders>
                  <w:vAlign w:val="center"/>
                </w:tcPr>
                <w:p>
                  <w:pPr>
                    <w:pStyle w:val="118"/>
                    <w:widowControl w:val="0"/>
                    <w:topLinePunct/>
                    <w:adjustRightInd w:val="0"/>
                    <w:snapToGrid w:val="0"/>
                    <w:spacing w:after="0" w:line="240" w:lineRule="auto"/>
                    <w:outlineLvl w:val="9"/>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控制位置</w:t>
                  </w:r>
                </w:p>
              </w:tc>
              <w:tc>
                <w:tcPr>
                  <w:tcW w:w="1018" w:type="pct"/>
                  <w:tcBorders>
                    <w:tl2br w:val="nil"/>
                    <w:tr2bl w:val="nil"/>
                  </w:tcBorders>
                  <w:vAlign w:val="center"/>
                </w:tcPr>
                <w:p>
                  <w:pPr>
                    <w:pStyle w:val="118"/>
                    <w:widowControl w:val="0"/>
                    <w:topLinePunct/>
                    <w:adjustRightInd w:val="0"/>
                    <w:snapToGrid w:val="0"/>
                    <w:spacing w:after="0" w:line="240" w:lineRule="auto"/>
                    <w:outlineLvl w:val="9"/>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限值含义</w:t>
                  </w:r>
                </w:p>
              </w:tc>
              <w:tc>
                <w:tcPr>
                  <w:tcW w:w="783" w:type="pct"/>
                  <w:tcBorders>
                    <w:tl2br w:val="nil"/>
                    <w:tr2bl w:val="nil"/>
                  </w:tcBorders>
                  <w:vAlign w:val="center"/>
                </w:tcPr>
                <w:p>
                  <w:pPr>
                    <w:pStyle w:val="118"/>
                    <w:widowControl w:val="0"/>
                    <w:topLinePunct/>
                    <w:adjustRightInd w:val="0"/>
                    <w:snapToGrid w:val="0"/>
                    <w:spacing w:after="0" w:line="240" w:lineRule="auto"/>
                    <w:outlineLvl w:val="9"/>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排放限值mg/m</w:t>
                  </w:r>
                  <w:r>
                    <w:rPr>
                      <w:rFonts w:hint="default" w:ascii="Times New Roman" w:hAnsi="Times New Roman" w:eastAsia="宋体" w:cs="Times New Roman"/>
                      <w:bCs/>
                      <w:color w:val="auto"/>
                      <w:sz w:val="21"/>
                      <w:vertAlign w:val="superscript"/>
                    </w:rPr>
                    <w:t>3</w:t>
                  </w:r>
                </w:p>
              </w:tc>
              <w:tc>
                <w:tcPr>
                  <w:tcW w:w="1680" w:type="pct"/>
                  <w:tcBorders>
                    <w:tl2br w:val="nil"/>
                    <w:tr2bl w:val="nil"/>
                  </w:tcBorders>
                  <w:vAlign w:val="center"/>
                </w:tcPr>
                <w:p>
                  <w:pPr>
                    <w:pStyle w:val="118"/>
                    <w:widowControl w:val="0"/>
                    <w:topLinePunct/>
                    <w:adjustRightInd w:val="0"/>
                    <w:snapToGrid w:val="0"/>
                    <w:spacing w:after="0" w:line="240" w:lineRule="auto"/>
                    <w:outlineLvl w:val="9"/>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执行标准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799" w:type="pct"/>
                  <w:tcBorders>
                    <w:tl2br w:val="nil"/>
                    <w:tr2bl w:val="nil"/>
                  </w:tcBorders>
                  <w:vAlign w:val="center"/>
                </w:tcPr>
                <w:p>
                  <w:pPr>
                    <w:pStyle w:val="118"/>
                    <w:widowControl w:val="0"/>
                    <w:topLinePunct/>
                    <w:adjustRightInd w:val="0"/>
                    <w:snapToGrid w:val="0"/>
                    <w:spacing w:after="0" w:line="240" w:lineRule="auto"/>
                    <w:outlineLvl w:val="9"/>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颗粒物</w:t>
                  </w:r>
                </w:p>
              </w:tc>
              <w:tc>
                <w:tcPr>
                  <w:tcW w:w="718" w:type="pct"/>
                  <w:tcBorders>
                    <w:tl2br w:val="nil"/>
                    <w:tr2bl w:val="nil"/>
                  </w:tcBorders>
                  <w:vAlign w:val="center"/>
                </w:tcPr>
                <w:p>
                  <w:pPr>
                    <w:pStyle w:val="118"/>
                    <w:widowControl w:val="0"/>
                    <w:topLinePunct/>
                    <w:adjustRightInd w:val="0"/>
                    <w:snapToGrid w:val="0"/>
                    <w:spacing w:after="0" w:line="240" w:lineRule="auto"/>
                    <w:outlineLvl w:val="9"/>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企业边界</w:t>
                  </w:r>
                </w:p>
              </w:tc>
              <w:tc>
                <w:tcPr>
                  <w:tcW w:w="1018" w:type="pct"/>
                  <w:tcBorders>
                    <w:tl2br w:val="nil"/>
                    <w:tr2bl w:val="nil"/>
                  </w:tcBorders>
                  <w:vAlign w:val="center"/>
                </w:tcPr>
                <w:p>
                  <w:pPr>
                    <w:pStyle w:val="118"/>
                    <w:widowControl w:val="0"/>
                    <w:topLinePunct/>
                    <w:adjustRightInd w:val="0"/>
                    <w:snapToGrid w:val="0"/>
                    <w:spacing w:after="0" w:line="240" w:lineRule="auto"/>
                    <w:outlineLvl w:val="9"/>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1h平均浓度值</w:t>
                  </w:r>
                </w:p>
              </w:tc>
              <w:tc>
                <w:tcPr>
                  <w:tcW w:w="783" w:type="pct"/>
                  <w:tcBorders>
                    <w:tl2br w:val="nil"/>
                    <w:tr2bl w:val="nil"/>
                  </w:tcBorders>
                  <w:vAlign w:val="center"/>
                </w:tcPr>
                <w:p>
                  <w:pPr>
                    <w:pStyle w:val="118"/>
                    <w:widowControl w:val="0"/>
                    <w:topLinePunct/>
                    <w:adjustRightInd w:val="0"/>
                    <w:snapToGrid w:val="0"/>
                    <w:spacing w:after="0" w:line="240" w:lineRule="auto"/>
                    <w:outlineLvl w:val="9"/>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1.0</w:t>
                  </w:r>
                </w:p>
              </w:tc>
              <w:tc>
                <w:tcPr>
                  <w:tcW w:w="1680" w:type="pct"/>
                  <w:tcBorders>
                    <w:tl2br w:val="nil"/>
                    <w:tr2bl w:val="nil"/>
                  </w:tcBorders>
                  <w:vAlign w:val="center"/>
                </w:tcPr>
                <w:p>
                  <w:pPr>
                    <w:pStyle w:val="118"/>
                    <w:widowControl w:val="0"/>
                    <w:topLinePunct/>
                    <w:adjustRightInd w:val="0"/>
                    <w:snapToGrid w:val="0"/>
                    <w:spacing w:after="0" w:line="240" w:lineRule="auto"/>
                    <w:outlineLvl w:val="9"/>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《大气污染物综合排放标准》（GB16297-1996）表2无组织排放监控浓度限值</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799" w:type="pct"/>
                  <w:tcBorders>
                    <w:tl2br w:val="nil"/>
                    <w:tr2bl w:val="nil"/>
                  </w:tcBorders>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臭气浓度</w:t>
                  </w:r>
                </w:p>
              </w:tc>
              <w:tc>
                <w:tcPr>
                  <w:tcW w:w="718" w:type="pct"/>
                  <w:tcBorders>
                    <w:tl2br w:val="nil"/>
                    <w:tr2bl w:val="nil"/>
                  </w:tcBorders>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厂界</w:t>
                  </w:r>
                </w:p>
              </w:tc>
              <w:tc>
                <w:tcPr>
                  <w:tcW w:w="1018" w:type="pct"/>
                  <w:tcBorders>
                    <w:tl2br w:val="nil"/>
                    <w:tr2bl w:val="nil"/>
                  </w:tcBorders>
                  <w:vAlign w:val="center"/>
                </w:tcPr>
                <w:p>
                  <w:pPr>
                    <w:pStyle w:val="118"/>
                    <w:widowControl w:val="0"/>
                    <w:topLinePunct/>
                    <w:adjustRightInd w:val="0"/>
                    <w:snapToGrid w:val="0"/>
                    <w:spacing w:after="0" w:line="240" w:lineRule="auto"/>
                    <w:outlineLvl w:val="9"/>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2h采一次，共采集4次，取其最大测定值</w:t>
                  </w:r>
                </w:p>
              </w:tc>
              <w:tc>
                <w:tcPr>
                  <w:tcW w:w="783" w:type="pct"/>
                  <w:tcBorders>
                    <w:tl2br w:val="nil"/>
                    <w:tr2bl w:val="nil"/>
                  </w:tcBorders>
                  <w:vAlign w:val="center"/>
                </w:tcPr>
                <w:p>
                  <w:pPr>
                    <w:pStyle w:val="118"/>
                    <w:widowControl w:val="0"/>
                    <w:topLinePunct/>
                    <w:adjustRightInd w:val="0"/>
                    <w:snapToGrid w:val="0"/>
                    <w:spacing w:after="0" w:line="240" w:lineRule="auto"/>
                    <w:outlineLvl w:val="9"/>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20（无量纲）</w:t>
                  </w:r>
                </w:p>
              </w:tc>
              <w:tc>
                <w:tcPr>
                  <w:tcW w:w="1680" w:type="pct"/>
                  <w:tcBorders>
                    <w:tl2br w:val="nil"/>
                    <w:tr2bl w:val="nil"/>
                  </w:tcBorders>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《恶臭污染物排放标准》（GB14554-93）表1</w:t>
                  </w:r>
                </w:p>
              </w:tc>
            </w:tr>
          </w:tbl>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3.3.3 噪声污染物排放标准</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本项目厂界外50m范围内无声环境保护目标，厂界的噪声执行《工业企业厂界环境噪声排放标准》（GB 12348-2008）3类标准，具体详见表3.3-4。</w:t>
            </w:r>
          </w:p>
          <w:p>
            <w:pPr>
              <w:widowControl w:val="0"/>
              <w:topLinePunct/>
              <w:spacing w:after="0" w:line="360" w:lineRule="auto"/>
              <w:jc w:val="center"/>
              <w:outlineLvl w:val="9"/>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z w:val="24"/>
                <w:szCs w:val="24"/>
                <w:shd w:val="clear" w:color="auto" w:fill="FFFFFF"/>
              </w:rPr>
              <w:t>表3.3-4 《工业企业厂界环境噪声排放标准》（GB 12348-2008）表1（摘录）</w:t>
            </w:r>
          </w:p>
          <w:tbl>
            <w:tblPr>
              <w:tblStyle w:val="37"/>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01"/>
              <w:gridCol w:w="1918"/>
              <w:gridCol w:w="2047"/>
              <w:gridCol w:w="204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340" w:hRule="atLeast"/>
                <w:jc w:val="center"/>
              </w:trPr>
              <w:tc>
                <w:tcPr>
                  <w:tcW w:w="1509" w:type="pct"/>
                  <w:tcBorders>
                    <w:tl2br w:val="nil"/>
                    <w:tr2bl w:val="nil"/>
                  </w:tcBorders>
                  <w:vAlign w:val="center"/>
                </w:tcPr>
                <w:p>
                  <w:pPr>
                    <w:pStyle w:val="127"/>
                    <w:widowControl w:val="0"/>
                    <w:topLinePunct/>
                    <w:spacing w:beforeLines="0" w:after="0" w:afterLines="0" w:line="240" w:lineRule="auto"/>
                    <w:jc w:val="center"/>
                    <w:outlineLvl w:val="9"/>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项目</w:t>
                  </w:r>
                </w:p>
              </w:tc>
              <w:tc>
                <w:tcPr>
                  <w:tcW w:w="1113" w:type="pct"/>
                  <w:tcBorders>
                    <w:tl2br w:val="nil"/>
                    <w:tr2bl w:val="nil"/>
                  </w:tcBorders>
                  <w:vAlign w:val="center"/>
                </w:tcPr>
                <w:p>
                  <w:pPr>
                    <w:pStyle w:val="127"/>
                    <w:widowControl w:val="0"/>
                    <w:topLinePunct/>
                    <w:snapToGrid w:val="0"/>
                    <w:spacing w:beforeLines="0" w:after="0" w:afterLines="0" w:line="240" w:lineRule="auto"/>
                    <w:jc w:val="center"/>
                    <w:outlineLvl w:val="9"/>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执行标准</w:t>
                  </w:r>
                </w:p>
              </w:tc>
              <w:tc>
                <w:tcPr>
                  <w:tcW w:w="1188" w:type="pct"/>
                  <w:tcBorders>
                    <w:tl2br w:val="nil"/>
                    <w:tr2bl w:val="nil"/>
                  </w:tcBorders>
                  <w:vAlign w:val="center"/>
                </w:tcPr>
                <w:p>
                  <w:pPr>
                    <w:pStyle w:val="127"/>
                    <w:widowControl w:val="0"/>
                    <w:topLinePunct/>
                    <w:spacing w:beforeLines="0" w:after="0" w:afterLines="0" w:line="240" w:lineRule="auto"/>
                    <w:jc w:val="center"/>
                    <w:outlineLvl w:val="9"/>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昼间</w:t>
                  </w:r>
                </w:p>
              </w:tc>
              <w:tc>
                <w:tcPr>
                  <w:tcW w:w="1188" w:type="pct"/>
                  <w:tcBorders>
                    <w:tl2br w:val="nil"/>
                    <w:tr2bl w:val="nil"/>
                  </w:tcBorders>
                  <w:vAlign w:val="center"/>
                </w:tcPr>
                <w:p>
                  <w:pPr>
                    <w:pStyle w:val="127"/>
                    <w:widowControl w:val="0"/>
                    <w:topLinePunct/>
                    <w:spacing w:beforeLines="0" w:after="0" w:afterLines="0" w:line="240" w:lineRule="auto"/>
                    <w:jc w:val="center"/>
                    <w:outlineLvl w:val="9"/>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夜间</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9" w:type="pct"/>
                  <w:tcBorders>
                    <w:tl2br w:val="nil"/>
                    <w:tr2bl w:val="nil"/>
                  </w:tcBorders>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东侧、南侧、西侧、北侧</w:t>
                  </w:r>
                </w:p>
              </w:tc>
              <w:tc>
                <w:tcPr>
                  <w:tcW w:w="1113" w:type="pct"/>
                  <w:tcBorders>
                    <w:tl2br w:val="nil"/>
                    <w:tr2bl w:val="nil"/>
                  </w:tcBorders>
                  <w:vAlign w:val="center"/>
                </w:tcPr>
                <w:p>
                  <w:pPr>
                    <w:pStyle w:val="127"/>
                    <w:widowControl w:val="0"/>
                    <w:topLinePunct/>
                    <w:snapToGrid w:val="0"/>
                    <w:spacing w:beforeLines="0" w:after="0" w:afterLines="0" w:line="240" w:lineRule="auto"/>
                    <w:jc w:val="center"/>
                    <w:outlineLvl w:val="9"/>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3类</w:t>
                  </w:r>
                </w:p>
              </w:tc>
              <w:tc>
                <w:tcPr>
                  <w:tcW w:w="1188" w:type="pct"/>
                  <w:tcBorders>
                    <w:tl2br w:val="nil"/>
                    <w:tr2bl w:val="nil"/>
                  </w:tcBorders>
                  <w:vAlign w:val="center"/>
                </w:tcPr>
                <w:p>
                  <w:pPr>
                    <w:pStyle w:val="127"/>
                    <w:widowControl w:val="0"/>
                    <w:topLinePunct/>
                    <w:spacing w:beforeLines="0" w:after="0" w:afterLines="0" w:line="240" w:lineRule="auto"/>
                    <w:jc w:val="center"/>
                    <w:outlineLvl w:val="9"/>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≤65dB（A）</w:t>
                  </w:r>
                </w:p>
              </w:tc>
              <w:tc>
                <w:tcPr>
                  <w:tcW w:w="1188" w:type="pct"/>
                  <w:tcBorders>
                    <w:tl2br w:val="nil"/>
                    <w:tr2bl w:val="nil"/>
                  </w:tcBorders>
                  <w:vAlign w:val="center"/>
                </w:tcPr>
                <w:p>
                  <w:pPr>
                    <w:pStyle w:val="127"/>
                    <w:widowControl w:val="0"/>
                    <w:topLinePunct/>
                    <w:spacing w:beforeLines="0" w:after="0" w:afterLines="0" w:line="240" w:lineRule="auto"/>
                    <w:jc w:val="center"/>
                    <w:outlineLvl w:val="9"/>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≤55dB（A）</w:t>
                  </w:r>
                </w:p>
              </w:tc>
            </w:tr>
          </w:tbl>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3.3.4 固体废物污染物排放标准</w:t>
            </w:r>
          </w:p>
          <w:p>
            <w:pPr>
              <w:pStyle w:val="14"/>
              <w:widowControl w:val="0"/>
              <w:topLinePunct/>
              <w:spacing w:after="0"/>
              <w:ind w:firstLine="480"/>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 w:val="24"/>
                <w:szCs w:val="24"/>
              </w:rPr>
              <w:t>一般固体废物在厂区内暂时贮存执行《一般工业固体废物贮存和填埋污染控制标准》（GB 18599-2020）相关要求。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424"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总量</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控制</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指标</w:t>
            </w:r>
          </w:p>
        </w:tc>
        <w:tc>
          <w:tcPr>
            <w:tcW w:w="8865" w:type="dxa"/>
            <w:vAlign w:val="center"/>
          </w:tcPr>
          <w:p>
            <w:pPr>
              <w:widowControl w:val="0"/>
              <w:topLinePunct/>
              <w:spacing w:after="0" w:line="360" w:lineRule="auto"/>
              <w:jc w:val="both"/>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3.4 总量控制</w:t>
            </w:r>
          </w:p>
          <w:p>
            <w:pPr>
              <w:pStyle w:val="191"/>
              <w:widowControl w:val="0"/>
              <w:topLinePunct/>
              <w:spacing w:after="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国家“十四五”期间污染物总量控制要求及《福建省人民政府关于推进排污权有偿使用和交易工作的意见(试行)》（闽政[2014]24号）、《福建省环保厅关于贯彻落实&lt;推进排污权有偿使用和交易工作的意见（试行）&gt;的通知》（闽环发[2014]9号）、《福建省环保厅关于环评审批中落实排污权交易工作要求的通知》（闽环保评[2014]43号）等有关文件要求，需进行排放总量控制的污染物为COD、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（1）水污染物排放总量：本项目产生的综合废水主要是生产废水和生活污水，经化粪池处理后接入市政污水管网，引至融元污水处理厂集中处理，</w:t>
            </w:r>
            <w:r>
              <w:rPr>
                <w:rFonts w:hint="default" w:ascii="Times New Roman" w:hAnsi="Times New Roman" w:eastAsia="宋体" w:cs="Times New Roman"/>
                <w:bCs/>
                <w:color w:val="auto"/>
                <w:sz w:val="24"/>
                <w:szCs w:val="24"/>
              </w:rPr>
              <w:t>处理后的污染物达标排放</w:t>
            </w:r>
            <w:r>
              <w:rPr>
                <w:rFonts w:hint="default" w:ascii="Times New Roman" w:hAnsi="Times New Roman" w:eastAsia="宋体" w:cs="Times New Roman"/>
                <w:color w:val="auto"/>
                <w:sz w:val="24"/>
                <w:szCs w:val="24"/>
              </w:rPr>
              <w:t>，COD排放量为0.026t/a，NH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-N排放量为0.003t/a，需向海峡股权交易中心购买获得排污权指标。</w:t>
            </w:r>
          </w:p>
          <w:p>
            <w:pPr>
              <w:pStyle w:val="14"/>
              <w:widowControl w:val="0"/>
              <w:topLinePunct/>
              <w:spacing w:after="0"/>
              <w:ind w:firstLine="480"/>
              <w:jc w:val="both"/>
              <w:outlineLvl w:val="9"/>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（2）大气污染物排放总量：本项目</w:t>
            </w:r>
            <w:r>
              <w:rPr>
                <w:rFonts w:hint="default" w:ascii="Times New Roman" w:hAnsi="Times New Roman" w:eastAsia="宋体" w:cs="Times New Roman"/>
                <w:color w:val="auto"/>
                <w:sz w:val="24"/>
                <w:szCs w:val="24"/>
                <w:lang w:val="en-US" w:eastAsia="zh-CN"/>
              </w:rPr>
              <w:t>废气涉及颗粒物和油烟，</w:t>
            </w:r>
            <w:r>
              <w:rPr>
                <w:rFonts w:hint="default" w:ascii="Times New Roman" w:hAnsi="Times New Roman" w:eastAsia="宋体" w:cs="Times New Roman"/>
                <w:color w:val="auto"/>
                <w:sz w:val="24"/>
                <w:szCs w:val="24"/>
              </w:rPr>
              <w:t>不涉及SO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w:t>
            </w:r>
          </w:p>
        </w:tc>
      </w:tr>
    </w:tbl>
    <w:p>
      <w:pPr>
        <w:pStyle w:val="29"/>
        <w:widowControl w:val="0"/>
        <w:topLinePunct/>
        <w:spacing w:before="0" w:beforeAutospacing="0" w:after="0" w:afterAutospacing="0" w:line="360" w:lineRule="auto"/>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6"/>
          <w:szCs w:val="36"/>
        </w:rPr>
        <w:br w:type="page"/>
      </w:r>
      <w:bookmarkStart w:id="7" w:name="_Toc20477"/>
      <w:bookmarkStart w:id="8" w:name="_Toc643"/>
      <w:r>
        <w:rPr>
          <w:rFonts w:hint="default" w:ascii="Times New Roman" w:hAnsi="Times New Roman" w:eastAsia="宋体" w:cs="Times New Roman"/>
          <w:b/>
          <w:bCs/>
          <w:snapToGrid w:val="0"/>
          <w:color w:val="auto"/>
          <w:sz w:val="32"/>
          <w:szCs w:val="32"/>
        </w:rPr>
        <w:t>四、主要环境影响和保护措施</w:t>
      </w:r>
      <w:bookmarkEnd w:id="7"/>
      <w:bookmarkEnd w:id="8"/>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85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tcMar>
              <w:left w:w="28" w:type="dxa"/>
              <w:right w:w="28" w:type="dxa"/>
            </w:tcMar>
            <w:vAlign w:val="center"/>
          </w:tcPr>
          <w:p>
            <w:pPr>
              <w:pStyle w:val="29"/>
              <w:widowControl w:val="0"/>
              <w:topLinePunct/>
              <w:adjustRightInd w:val="0"/>
              <w:snapToGrid w:val="0"/>
              <w:spacing w:before="0" w:beforeAutospacing="0" w:after="0" w:afterAutospacing="0" w:line="240" w:lineRule="auto"/>
              <w:jc w:val="center"/>
              <w:outlineLvl w:val="9"/>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w:t>
            </w:r>
          </w:p>
          <w:p>
            <w:pPr>
              <w:pStyle w:val="29"/>
              <w:widowControl w:val="0"/>
              <w:topLinePunct/>
              <w:adjustRightInd w:val="0"/>
              <w:snapToGrid w:val="0"/>
              <w:spacing w:before="0" w:beforeAutospacing="0" w:after="0" w:afterAutospacing="0" w:line="240" w:lineRule="auto"/>
              <w:jc w:val="center"/>
              <w:outlineLvl w:val="9"/>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期环</w:t>
            </w:r>
          </w:p>
          <w:p>
            <w:pPr>
              <w:pStyle w:val="29"/>
              <w:widowControl w:val="0"/>
              <w:topLinePunct/>
              <w:adjustRightInd w:val="0"/>
              <w:snapToGrid w:val="0"/>
              <w:spacing w:before="0" w:beforeAutospacing="0" w:after="0" w:afterAutospacing="0" w:line="240" w:lineRule="auto"/>
              <w:jc w:val="center"/>
              <w:outlineLvl w:val="9"/>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境保</w:t>
            </w:r>
          </w:p>
          <w:p>
            <w:pPr>
              <w:pStyle w:val="29"/>
              <w:widowControl w:val="0"/>
              <w:topLinePunct/>
              <w:adjustRightInd w:val="0"/>
              <w:snapToGrid w:val="0"/>
              <w:spacing w:before="0" w:beforeAutospacing="0" w:after="0" w:afterAutospacing="0" w:line="240" w:lineRule="auto"/>
              <w:jc w:val="center"/>
              <w:outlineLvl w:val="9"/>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护措</w:t>
            </w:r>
          </w:p>
          <w:p>
            <w:pPr>
              <w:widowControl w:val="0"/>
              <w:topLinePunct/>
              <w:adjustRightInd w:val="0"/>
              <w:snapToGrid w:val="0"/>
              <w:spacing w:line="240" w:lineRule="auto"/>
              <w:jc w:val="center"/>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4"/>
                <w:szCs w:val="24"/>
              </w:rPr>
              <w:t>施</w:t>
            </w:r>
          </w:p>
        </w:tc>
        <w:tc>
          <w:tcPr>
            <w:tcW w:w="8573" w:type="dxa"/>
            <w:vAlign w:val="center"/>
          </w:tcPr>
          <w:p>
            <w:pPr>
              <w:widowControl w:val="0"/>
              <w:topLinePunct/>
              <w:spacing w:after="0" w:line="360" w:lineRule="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4.1施工期环境保护措施</w:t>
            </w:r>
          </w:p>
          <w:p>
            <w:pPr>
              <w:widowControl w:val="0"/>
              <w:topLinePunct/>
              <w:spacing w:after="0" w:line="360" w:lineRule="auto"/>
              <w:ind w:firstLine="480" w:firstLineChars="200"/>
              <w:jc w:val="both"/>
              <w:outlineLvl w:val="9"/>
              <w:rPr>
                <w:rFonts w:hint="default" w:ascii="Times New Roman" w:hAnsi="Times New Roman" w:eastAsia="宋体" w:cs="Times New Roman"/>
                <w:bCs/>
                <w:color w:val="auto"/>
                <w:szCs w:val="21"/>
              </w:rPr>
            </w:pPr>
            <w:r>
              <w:rPr>
                <w:rFonts w:hint="default" w:ascii="Times New Roman" w:hAnsi="Times New Roman" w:eastAsia="宋体" w:cs="Times New Roman"/>
                <w:color w:val="auto"/>
                <w:sz w:val="24"/>
                <w:szCs w:val="24"/>
              </w:rPr>
              <w:t>本次项目利用现有厂房进行建设，</w:t>
            </w:r>
            <w:r>
              <w:rPr>
                <w:rFonts w:hint="default" w:ascii="Times New Roman" w:hAnsi="Times New Roman" w:eastAsia="宋体" w:cs="Times New Roman"/>
                <w:bCs/>
                <w:color w:val="auto"/>
                <w:sz w:val="24"/>
                <w:szCs w:val="24"/>
              </w:rPr>
              <w:t>施工期主要为设备入驻及安装，不需要再进行土建施工，设备安装过程可能产生间歇性噪声影响及少量的包装废物，均为短期影响，随着安装结束其影响将消失。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tcMar>
              <w:left w:w="28" w:type="dxa"/>
              <w:right w:w="28" w:type="dxa"/>
            </w:tcMar>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pPr>
              <w:widowControl w:val="0"/>
              <w:topLinePunct/>
              <w:adjustRightInd w:val="0"/>
              <w:snapToGrid w:val="0"/>
              <w:spacing w:after="0" w:line="240" w:lineRule="auto"/>
              <w:jc w:val="center"/>
              <w:outlineLvl w:val="9"/>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pPr>
              <w:widowControl w:val="0"/>
              <w:topLinePunct/>
              <w:adjustRightInd w:val="0"/>
              <w:snapToGrid w:val="0"/>
              <w:spacing w:after="0" w:line="240" w:lineRule="auto"/>
              <w:jc w:val="center"/>
              <w:outlineLvl w:val="9"/>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pPr>
              <w:widowControl w:val="0"/>
              <w:topLinePunct/>
              <w:adjustRightInd w:val="0"/>
              <w:snapToGrid w:val="0"/>
              <w:spacing w:after="0" w:line="240" w:lineRule="auto"/>
              <w:jc w:val="center"/>
              <w:outlineLvl w:val="9"/>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pPr>
              <w:widowControl w:val="0"/>
              <w:topLinePunct/>
              <w:adjustRightInd w:val="0"/>
              <w:snapToGrid w:val="0"/>
              <w:spacing w:after="0" w:line="240" w:lineRule="auto"/>
              <w:jc w:val="center"/>
              <w:outlineLvl w:val="9"/>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4"/>
                <w:szCs w:val="24"/>
              </w:rPr>
              <w:t>措施</w:t>
            </w:r>
          </w:p>
        </w:tc>
        <w:tc>
          <w:tcPr>
            <w:tcW w:w="8573" w:type="dxa"/>
            <w:vAlign w:val="center"/>
          </w:tcPr>
          <w:p>
            <w:pPr>
              <w:widowControl w:val="0"/>
              <w:topLinePunct/>
              <w:spacing w:after="0" w:line="360" w:lineRule="auto"/>
              <w:jc w:val="both"/>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4.2 运营期环境影响分析</w:t>
            </w:r>
          </w:p>
          <w:p>
            <w:pPr>
              <w:pStyle w:val="4"/>
              <w:keepNext w:val="0"/>
              <w:keepLines w:val="0"/>
              <w:widowControl w:val="0"/>
              <w:topLinePunct/>
              <w:spacing w:before="0" w:line="360" w:lineRule="auto"/>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4.2.1 大气环境影响和防范措施</w:t>
            </w:r>
          </w:p>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4.2.1.1 废气源强核算</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项目运营期废气来自于生产过程中产生的颗粒物及异味。</w:t>
            </w:r>
          </w:p>
          <w:p>
            <w:pPr>
              <w:pStyle w:val="21"/>
              <w:widowControl w:val="0"/>
              <w:topLinePunct/>
              <w:spacing w:after="0" w:line="360" w:lineRule="auto"/>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（1）配料、和面粉尘</w:t>
            </w:r>
          </w:p>
          <w:p>
            <w:pPr>
              <w:pStyle w:val="21"/>
              <w:widowControl w:val="0"/>
              <w:topLinePunct/>
              <w:spacing w:after="0" w:line="360" w:lineRule="auto"/>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面粉投加及和面过程会产生粉尘，</w:t>
            </w:r>
            <w:r>
              <w:rPr>
                <w:rFonts w:hint="default" w:ascii="Times New Roman" w:hAnsi="Times New Roman" w:eastAsia="宋体" w:cs="Times New Roman"/>
                <w:color w:val="auto"/>
                <w:sz w:val="24"/>
                <w:szCs w:val="24"/>
                <w:lang w:val="en-US" w:eastAsia="zh-CN"/>
              </w:rPr>
              <w:t>由人工少量多次投料</w:t>
            </w:r>
            <w:r>
              <w:rPr>
                <w:rFonts w:hint="eastAsia" w:ascii="Times New Roman" w:hAnsi="Times New Roman" w:eastAsia="宋体" w:cs="Times New Roman"/>
                <w:color w:val="auto"/>
                <w:sz w:val="24"/>
                <w:szCs w:val="24"/>
                <w:lang w:val="en-US" w:eastAsia="zh-CN"/>
              </w:rPr>
              <w:t>，投料口较小</w:t>
            </w:r>
            <w:r>
              <w:rPr>
                <w:rFonts w:hint="default" w:ascii="Times New Roman" w:hAnsi="Times New Roman" w:eastAsia="宋体" w:cs="Times New Roman"/>
                <w:color w:val="auto"/>
                <w:sz w:val="24"/>
                <w:szCs w:val="24"/>
                <w:lang w:val="en-US" w:eastAsia="zh-CN"/>
              </w:rPr>
              <w:t>，和面设备具有一定密闭性，</w:t>
            </w:r>
            <w:r>
              <w:rPr>
                <w:rFonts w:hint="default" w:ascii="Times New Roman" w:hAnsi="Times New Roman" w:eastAsia="宋体" w:cs="Times New Roman"/>
                <w:color w:val="auto"/>
                <w:sz w:val="24"/>
                <w:szCs w:val="24"/>
              </w:rPr>
              <w:t>根据建设单位提供信息（参考现有工程），面粉投加及和面工序粉尘产生量约为0.02‰原料，本项目面粉用量为225t/a，则粉尘产生量为0.005t/a（0.004kg/h），</w:t>
            </w:r>
            <w:r>
              <w:rPr>
                <w:rFonts w:hint="eastAsia" w:ascii="Times New Roman" w:hAnsi="Times New Roman" w:eastAsia="宋体" w:cs="Times New Roman"/>
                <w:color w:val="auto"/>
                <w:sz w:val="24"/>
                <w:szCs w:val="24"/>
                <w:lang w:val="en-US" w:eastAsia="zh-CN"/>
              </w:rPr>
              <w:t>加强车间密闭，在大气沉降作用下，粉尘大部分沉降在车间地面，拟配套吸尘器收集地面粉尘，吸尘器收集的粉尘约0.004t/a，作为饲料外售</w:t>
            </w:r>
            <w:r>
              <w:rPr>
                <w:rFonts w:hint="default" w:ascii="Times New Roman" w:hAnsi="Times New Roman" w:eastAsia="宋体" w:cs="Times New Roman"/>
                <w:color w:val="auto"/>
                <w:sz w:val="24"/>
                <w:szCs w:val="24"/>
              </w:rPr>
              <w:t>。</w:t>
            </w:r>
          </w:p>
          <w:p>
            <w:pPr>
              <w:pStyle w:val="21"/>
              <w:widowControl w:val="0"/>
              <w:topLinePunct/>
              <w:spacing w:after="0" w:line="360" w:lineRule="auto"/>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（2）烘烤废气</w:t>
            </w:r>
          </w:p>
          <w:p>
            <w:pPr>
              <w:topLinePunct/>
              <w:adjustRightInd w:val="0"/>
              <w:snapToGrid w:val="0"/>
              <w:spacing w:after="0" w:line="360" w:lineRule="auto"/>
              <w:ind w:firstLine="480" w:firstLineChars="200"/>
              <w:textAlignment w:val="baseline"/>
              <w:outlineLvl w:val="9"/>
              <w:rPr>
                <w:rFonts w:hint="default" w:ascii="Times New Roman" w:hAnsi="Times New Roman" w:eastAsia="宋体" w:cs="Times New Roman"/>
                <w:color w:val="auto"/>
                <w:sz w:val="24"/>
                <w:szCs w:val="24"/>
                <w:lang w:val="zh-CN" w:eastAsia="zh-CN"/>
              </w:rPr>
            </w:pPr>
            <w:r>
              <w:rPr>
                <w:rFonts w:hint="default" w:ascii="Times New Roman" w:hAnsi="Times New Roman" w:eastAsia="宋体" w:cs="Times New Roman"/>
                <w:color w:val="auto"/>
                <w:sz w:val="24"/>
                <w:szCs w:val="24"/>
                <w:lang w:val="zh-CN" w:eastAsia="zh-CN"/>
              </w:rPr>
              <w:t>项目使用</w:t>
            </w:r>
            <w:r>
              <w:rPr>
                <w:rFonts w:hint="default" w:ascii="Times New Roman" w:hAnsi="Times New Roman" w:eastAsia="宋体" w:cs="Times New Roman"/>
                <w:color w:val="auto"/>
                <w:sz w:val="24"/>
                <w:szCs w:val="24"/>
              </w:rPr>
              <w:t>电烤炉</w:t>
            </w:r>
            <w:r>
              <w:rPr>
                <w:rFonts w:hint="default" w:ascii="Times New Roman" w:hAnsi="Times New Roman" w:eastAsia="宋体" w:cs="Times New Roman"/>
                <w:color w:val="auto"/>
                <w:sz w:val="24"/>
                <w:szCs w:val="24"/>
                <w:lang w:val="zh-CN" w:eastAsia="zh-CN"/>
              </w:rPr>
              <w:t>过程会产生油烟废气，所产生的油烟会由</w:t>
            </w:r>
            <w:r>
              <w:rPr>
                <w:rFonts w:hint="default" w:ascii="Times New Roman" w:hAnsi="Times New Roman" w:eastAsia="宋体" w:cs="Times New Roman"/>
                <w:color w:val="auto"/>
                <w:sz w:val="24"/>
                <w:szCs w:val="24"/>
              </w:rPr>
              <w:t>电烤炉</w:t>
            </w:r>
            <w:r>
              <w:rPr>
                <w:rFonts w:hint="default" w:ascii="Times New Roman" w:hAnsi="Times New Roman" w:eastAsia="宋体" w:cs="Times New Roman"/>
                <w:color w:val="auto"/>
                <w:sz w:val="24"/>
                <w:szCs w:val="24"/>
                <w:lang w:val="zh-CN" w:eastAsia="zh-CN"/>
              </w:rPr>
              <w:t>上方设置的集气罩收集，后通过油烟净化器，最终由</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根</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5m高的排气筒有组织排放，本项目</w:t>
            </w:r>
            <w:r>
              <w:rPr>
                <w:rFonts w:hint="default" w:ascii="Times New Roman" w:hAnsi="Times New Roman" w:eastAsia="宋体" w:cs="Times New Roman"/>
                <w:color w:val="auto"/>
                <w:sz w:val="24"/>
                <w:szCs w:val="24"/>
              </w:rPr>
              <w:t>电烤炉</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台，相当于</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个灶头，根据《饮食业油烟排放标准》（GB18438-2001） 中的相关规定，本项目属于</w:t>
            </w:r>
            <w:r>
              <w:rPr>
                <w:rFonts w:hint="default" w:ascii="Times New Roman" w:hAnsi="Times New Roman" w:eastAsia="宋体" w:cs="Times New Roman"/>
                <w:color w:val="auto"/>
                <w:sz w:val="24"/>
                <w:szCs w:val="24"/>
                <w:lang w:val="en-US" w:eastAsia="zh-CN"/>
              </w:rPr>
              <w:t>小</w:t>
            </w:r>
            <w:r>
              <w:rPr>
                <w:rFonts w:hint="default" w:ascii="Times New Roman" w:hAnsi="Times New Roman" w:eastAsia="宋体" w:cs="Times New Roman"/>
                <w:color w:val="auto"/>
                <w:sz w:val="24"/>
                <w:szCs w:val="24"/>
                <w:lang w:val="zh-CN" w:eastAsia="zh-CN"/>
              </w:rPr>
              <w:t>型规模，油烟净化器效率不得低于</w:t>
            </w:r>
            <w:r>
              <w:rPr>
                <w:rFonts w:hint="default" w:ascii="Times New Roman" w:hAnsi="Times New Roman" w:eastAsia="宋体" w:cs="Times New Roman"/>
                <w:color w:val="auto"/>
                <w:sz w:val="24"/>
                <w:szCs w:val="24"/>
                <w:lang w:val="en-US" w:eastAsia="zh-CN"/>
              </w:rPr>
              <w:t>60</w:t>
            </w:r>
            <w:r>
              <w:rPr>
                <w:rFonts w:hint="default" w:ascii="Times New Roman" w:hAnsi="Times New Roman" w:eastAsia="宋体" w:cs="Times New Roman"/>
                <w:color w:val="auto"/>
                <w:sz w:val="24"/>
                <w:szCs w:val="24"/>
                <w:lang w:val="zh-CN" w:eastAsia="zh-CN"/>
              </w:rPr>
              <w:t>%，现市面油烟净化器净化效率均可达到95%以上，取油烟净化效率为95%。项目</w:t>
            </w:r>
            <w:r>
              <w:rPr>
                <w:rFonts w:hint="default" w:ascii="Times New Roman" w:hAnsi="Times New Roman" w:eastAsia="宋体" w:cs="Times New Roman"/>
                <w:color w:val="auto"/>
                <w:sz w:val="24"/>
                <w:szCs w:val="24"/>
                <w:lang w:val="en-US" w:eastAsia="zh-CN"/>
              </w:rPr>
              <w:t>烘烤</w:t>
            </w:r>
            <w:r>
              <w:rPr>
                <w:rFonts w:hint="default" w:ascii="Times New Roman" w:hAnsi="Times New Roman" w:eastAsia="宋体" w:cs="Times New Roman"/>
                <w:color w:val="auto"/>
                <w:sz w:val="24"/>
                <w:szCs w:val="24"/>
                <w:lang w:val="zh-CN" w:eastAsia="zh-CN"/>
              </w:rPr>
              <w:t>油烟产生量较小，油烟产生量按原料（食用油）的</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%估算，项目使用食用油</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zh-CN" w:eastAsia="zh-CN"/>
              </w:rPr>
              <w:t xml:space="preserve"> t/a，则油烟产生量为</w:t>
            </w:r>
            <w:r>
              <w:rPr>
                <w:rFonts w:hint="default" w:ascii="Times New Roman" w:hAnsi="Times New Roman" w:eastAsia="宋体" w:cs="Times New Roman"/>
                <w:color w:val="auto"/>
                <w:sz w:val="24"/>
                <w:szCs w:val="24"/>
                <w:lang w:val="en-US" w:eastAsia="zh-CN"/>
              </w:rPr>
              <w:t>0.09</w:t>
            </w:r>
            <w:r>
              <w:rPr>
                <w:rFonts w:hint="default" w:ascii="Times New Roman" w:hAnsi="Times New Roman" w:eastAsia="宋体" w:cs="Times New Roman"/>
                <w:color w:val="auto"/>
                <w:sz w:val="24"/>
                <w:szCs w:val="24"/>
                <w:lang w:val="zh-CN" w:eastAsia="zh-CN"/>
              </w:rPr>
              <w:t>t/a。项目设有集气罩收集，</w:t>
            </w:r>
            <w:r>
              <w:rPr>
                <w:rFonts w:hint="default" w:ascii="Times New Roman" w:hAnsi="Times New Roman" w:eastAsia="宋体" w:cs="Times New Roman"/>
                <w:color w:val="auto"/>
                <w:sz w:val="24"/>
                <w:szCs w:val="24"/>
              </w:rPr>
              <w:t>电烤炉</w:t>
            </w:r>
            <w:r>
              <w:rPr>
                <w:rFonts w:hint="default" w:ascii="Times New Roman" w:hAnsi="Times New Roman" w:eastAsia="宋体" w:cs="Times New Roman"/>
                <w:color w:val="auto"/>
                <w:sz w:val="24"/>
                <w:szCs w:val="24"/>
                <w:lang w:val="zh-CN" w:eastAsia="zh-CN"/>
              </w:rPr>
              <w:t>风机设计风量为</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zh-CN" w:eastAsia="zh-CN"/>
              </w:rPr>
              <w:t>000m</w:t>
            </w:r>
            <w:r>
              <w:rPr>
                <w:rFonts w:hint="default" w:ascii="Times New Roman" w:hAnsi="Times New Roman" w:eastAsia="宋体" w:cs="Times New Roman"/>
                <w:color w:val="auto"/>
                <w:sz w:val="24"/>
                <w:szCs w:val="24"/>
                <w:vertAlign w:val="superscript"/>
                <w:lang w:val="zh-CN" w:eastAsia="zh-CN"/>
              </w:rPr>
              <w:t>3</w:t>
            </w:r>
            <w:r>
              <w:rPr>
                <w:rFonts w:hint="default" w:ascii="Times New Roman" w:hAnsi="Times New Roman" w:eastAsia="宋体" w:cs="Times New Roman"/>
                <w:color w:val="auto"/>
                <w:sz w:val="24"/>
                <w:szCs w:val="24"/>
                <w:lang w:val="zh-CN" w:eastAsia="zh-CN"/>
              </w:rPr>
              <w:t>/h，油烟净化装置去除效率按95%计算，年工作</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eastAsia="zh-CN"/>
              </w:rPr>
              <w:t>00d，日工作</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zh-CN" w:eastAsia="zh-CN"/>
              </w:rPr>
              <w:t>h，则本项目油烟产排情况见表4</w:t>
            </w:r>
            <w:r>
              <w:rPr>
                <w:rFonts w:hint="default"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lang w:val="zh-CN" w:eastAsia="zh-CN"/>
              </w:rPr>
              <w:t>。</w:t>
            </w:r>
          </w:p>
          <w:p>
            <w:pPr>
              <w:widowControl w:val="0"/>
              <w:topLinePunct/>
              <w:spacing w:after="0" w:line="360" w:lineRule="auto"/>
              <w:jc w:val="center"/>
              <w:outlineLvl w:val="9"/>
              <w:rPr>
                <w:rFonts w:hint="default" w:ascii="Times New Roman" w:hAnsi="Times New Roman" w:eastAsia="宋体" w:cs="Times New Roman"/>
                <w:b/>
                <w:bCs/>
                <w:color w:val="auto"/>
                <w:sz w:val="24"/>
                <w:szCs w:val="24"/>
                <w:shd w:val="clear" w:color="auto" w:fill="FFFFFF"/>
                <w:lang w:val="zh-CN" w:eastAsia="zh-CN"/>
              </w:rPr>
            </w:pPr>
            <w:r>
              <w:rPr>
                <w:rFonts w:hint="default" w:ascii="Times New Roman" w:hAnsi="Times New Roman" w:eastAsia="宋体" w:cs="Times New Roman"/>
                <w:b/>
                <w:bCs/>
                <w:color w:val="auto"/>
                <w:sz w:val="24"/>
                <w:szCs w:val="24"/>
                <w:shd w:val="clear" w:color="auto" w:fill="FFFFFF"/>
                <w:lang w:val="zh-CN" w:eastAsia="zh-CN"/>
              </w:rPr>
              <w:t>表</w:t>
            </w:r>
            <w:r>
              <w:rPr>
                <w:rFonts w:hint="default" w:ascii="Times New Roman" w:hAnsi="Times New Roman" w:eastAsia="宋体" w:cs="Times New Roman"/>
                <w:b/>
                <w:bCs/>
                <w:color w:val="auto"/>
                <w:sz w:val="24"/>
                <w:szCs w:val="24"/>
                <w:shd w:val="clear" w:color="auto" w:fill="FFFFFF"/>
                <w:lang w:val="en-US" w:eastAsia="zh-CN"/>
              </w:rPr>
              <w:t>4.2-1</w:t>
            </w:r>
            <w:r>
              <w:rPr>
                <w:rFonts w:hint="default" w:ascii="Times New Roman" w:hAnsi="Times New Roman" w:eastAsia="宋体" w:cs="Times New Roman"/>
                <w:b/>
                <w:bCs/>
                <w:color w:val="auto"/>
                <w:sz w:val="24"/>
                <w:szCs w:val="24"/>
                <w:shd w:val="clear" w:color="auto" w:fill="FFFFFF"/>
                <w:lang w:val="zh-CN" w:eastAsia="zh-CN"/>
              </w:rPr>
              <w:t xml:space="preserve"> 项目运营期废气产排情况</w:t>
            </w:r>
          </w:p>
          <w:tbl>
            <w:tblPr>
              <w:tblStyle w:val="37"/>
              <w:tblW w:w="1072372824"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14"/>
              <w:gridCol w:w="1621"/>
              <w:gridCol w:w="920"/>
              <w:gridCol w:w="1398"/>
              <w:gridCol w:w="1645"/>
              <w:gridCol w:w="173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b/>
                      <w:color w:val="auto"/>
                      <w:sz w:val="16"/>
                      <w:szCs w:val="22"/>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color w:val="auto"/>
                      <w:sz w:val="21"/>
                      <w:szCs w:val="22"/>
                      <w:lang w:val="zh-CN" w:eastAsia="zh-CN" w:bidi="zh-CN"/>
                    </w:rPr>
                  </w:pPr>
                  <w:r>
                    <w:rPr>
                      <w:rFonts w:hint="default" w:ascii="Times New Roman" w:hAnsi="Times New Roman" w:eastAsia="宋体" w:cs="Times New Roman"/>
                      <w:color w:val="auto"/>
                      <w:sz w:val="21"/>
                      <w:szCs w:val="22"/>
                      <w:lang w:val="zh-CN" w:eastAsia="zh-CN" w:bidi="zh-CN"/>
                    </w:rPr>
                    <w:t>污染物</w:t>
                  </w:r>
                </w:p>
              </w:tc>
              <w:tc>
                <w:tcPr>
                  <w:tcW w:w="973"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b/>
                      <w:color w:val="auto"/>
                      <w:sz w:val="16"/>
                      <w:szCs w:val="22"/>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color w:val="auto"/>
                      <w:sz w:val="21"/>
                      <w:szCs w:val="22"/>
                      <w:lang w:val="zh-CN" w:eastAsia="zh-CN" w:bidi="zh-CN"/>
                    </w:rPr>
                  </w:pPr>
                  <w:r>
                    <w:rPr>
                      <w:rFonts w:hint="default" w:ascii="Times New Roman" w:hAnsi="Times New Roman" w:eastAsia="宋体" w:cs="Times New Roman"/>
                      <w:color w:val="auto"/>
                      <w:sz w:val="21"/>
                      <w:szCs w:val="22"/>
                      <w:lang w:val="zh-CN" w:eastAsia="zh-CN" w:bidi="zh-CN"/>
                    </w:rPr>
                    <w:t>排气筒</w:t>
                  </w:r>
                </w:p>
              </w:tc>
              <w:tc>
                <w:tcPr>
                  <w:tcW w:w="552"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color w:val="auto"/>
                      <w:sz w:val="21"/>
                      <w:szCs w:val="22"/>
                      <w:lang w:val="zh-CN" w:eastAsia="zh-CN" w:bidi="zh-CN"/>
                    </w:rPr>
                  </w:pPr>
                  <w:r>
                    <w:rPr>
                      <w:rFonts w:hint="default" w:ascii="Times New Roman" w:hAnsi="Times New Roman" w:eastAsia="宋体" w:cs="Times New Roman"/>
                      <w:color w:val="auto"/>
                      <w:sz w:val="21"/>
                      <w:szCs w:val="22"/>
                      <w:lang w:val="zh-CN" w:eastAsia="zh-CN" w:bidi="zh-CN"/>
                    </w:rPr>
                    <w:t>产生量</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color w:val="auto"/>
                      <w:sz w:val="21"/>
                      <w:szCs w:val="22"/>
                      <w:lang w:val="zh-CN" w:eastAsia="zh-CN" w:bidi="zh-CN"/>
                    </w:rPr>
                  </w:pPr>
                  <w:r>
                    <w:rPr>
                      <w:rFonts w:hint="default" w:ascii="Times New Roman" w:hAnsi="Times New Roman" w:eastAsia="宋体" w:cs="Times New Roman"/>
                      <w:color w:val="auto"/>
                      <w:sz w:val="21"/>
                      <w:szCs w:val="22"/>
                      <w:lang w:val="zh-CN" w:eastAsia="zh-CN" w:bidi="zh-CN"/>
                    </w:rPr>
                    <w:t>（t/a）</w:t>
                  </w:r>
                </w:p>
              </w:tc>
              <w:tc>
                <w:tcPr>
                  <w:tcW w:w="2864"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color w:val="auto"/>
                      <w:sz w:val="21"/>
                      <w:szCs w:val="22"/>
                      <w:lang w:val="zh-CN" w:eastAsia="zh-CN" w:bidi="zh-CN"/>
                    </w:rPr>
                  </w:pPr>
                  <w:r>
                    <w:rPr>
                      <w:rFonts w:hint="default" w:ascii="Times New Roman" w:hAnsi="Times New Roman" w:eastAsia="宋体" w:cs="Times New Roman"/>
                      <w:color w:val="auto"/>
                      <w:sz w:val="21"/>
                      <w:szCs w:val="22"/>
                      <w:lang w:val="zh-CN" w:eastAsia="zh-CN" w:bidi="zh-CN"/>
                    </w:rPr>
                    <w:t>有组织排放</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outlineLvl w:val="9"/>
                    <w:rPr>
                      <w:rFonts w:hint="default" w:ascii="Times New Roman" w:hAnsi="Times New Roman" w:eastAsia="宋体" w:cs="Times New Roman"/>
                      <w:color w:val="auto"/>
                      <w:kern w:val="0"/>
                      <w:sz w:val="2"/>
                      <w:szCs w:val="2"/>
                      <w:lang w:val="zh-CN" w:bidi="zh-CN"/>
                    </w:rPr>
                  </w:pPr>
                </w:p>
              </w:tc>
              <w:tc>
                <w:tcPr>
                  <w:tcW w:w="97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outlineLvl w:val="9"/>
                    <w:rPr>
                      <w:rFonts w:hint="default" w:ascii="Times New Roman" w:hAnsi="Times New Roman" w:eastAsia="宋体" w:cs="Times New Roman"/>
                      <w:color w:val="auto"/>
                      <w:kern w:val="0"/>
                      <w:sz w:val="2"/>
                      <w:szCs w:val="2"/>
                      <w:lang w:val="zh-CN" w:bidi="zh-CN"/>
                    </w:rPr>
                  </w:pPr>
                </w:p>
              </w:tc>
              <w:tc>
                <w:tcPr>
                  <w:tcW w:w="55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jc w:val="center"/>
                    <w:textAlignment w:val="auto"/>
                    <w:outlineLvl w:val="9"/>
                    <w:rPr>
                      <w:rFonts w:hint="default" w:ascii="Times New Roman" w:hAnsi="Times New Roman" w:eastAsia="宋体" w:cs="Times New Roman"/>
                      <w:color w:val="auto"/>
                      <w:kern w:val="0"/>
                      <w:sz w:val="2"/>
                      <w:szCs w:val="2"/>
                      <w:lang w:val="zh-CN" w:bidi="zh-CN"/>
                    </w:rPr>
                  </w:pP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color w:val="auto"/>
                      <w:sz w:val="21"/>
                      <w:szCs w:val="22"/>
                      <w:lang w:val="zh-CN" w:eastAsia="zh-CN" w:bidi="zh-CN"/>
                    </w:rPr>
                  </w:pPr>
                  <w:r>
                    <w:rPr>
                      <w:rFonts w:hint="default" w:ascii="Times New Roman" w:hAnsi="Times New Roman" w:eastAsia="宋体" w:cs="Times New Roman"/>
                      <w:color w:val="auto"/>
                      <w:sz w:val="21"/>
                      <w:szCs w:val="22"/>
                      <w:lang w:val="zh-CN" w:eastAsia="zh-CN" w:bidi="zh-CN"/>
                    </w:rPr>
                    <w:t>排放量（t/a）</w:t>
                  </w:r>
                </w:p>
              </w:tc>
              <w:tc>
                <w:tcPr>
                  <w:tcW w:w="98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color w:val="auto"/>
                      <w:sz w:val="21"/>
                      <w:szCs w:val="22"/>
                      <w:lang w:val="zh-CN" w:eastAsia="zh-CN" w:bidi="zh-CN"/>
                    </w:rPr>
                  </w:pPr>
                  <w:r>
                    <w:rPr>
                      <w:rFonts w:hint="default" w:ascii="Times New Roman" w:hAnsi="Times New Roman" w:eastAsia="宋体" w:cs="Times New Roman"/>
                      <w:color w:val="auto"/>
                      <w:sz w:val="21"/>
                      <w:szCs w:val="22"/>
                      <w:lang w:val="zh-CN" w:eastAsia="zh-CN" w:bidi="zh-CN"/>
                    </w:rPr>
                    <w:t>排放速率（kg/h）</w:t>
                  </w:r>
                </w:p>
              </w:tc>
              <w:tc>
                <w:tcPr>
                  <w:tcW w:w="10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color w:val="auto"/>
                      <w:sz w:val="21"/>
                      <w:szCs w:val="22"/>
                      <w:lang w:val="zh-CN" w:eastAsia="zh-CN" w:bidi="zh-CN"/>
                    </w:rPr>
                  </w:pPr>
                  <w:r>
                    <w:rPr>
                      <w:rFonts w:hint="default" w:ascii="Times New Roman" w:hAnsi="Times New Roman" w:eastAsia="宋体" w:cs="Times New Roman"/>
                      <w:color w:val="auto"/>
                      <w:sz w:val="21"/>
                      <w:szCs w:val="22"/>
                      <w:lang w:val="zh-CN" w:eastAsia="zh-CN" w:bidi="zh-CN"/>
                    </w:rPr>
                    <w:t>排放浓度(mg/m</w:t>
                  </w:r>
                  <w:r>
                    <w:rPr>
                      <w:rFonts w:hint="default" w:ascii="Times New Roman" w:hAnsi="Times New Roman" w:eastAsia="宋体" w:cs="Times New Roman"/>
                      <w:color w:val="auto"/>
                      <w:sz w:val="21"/>
                      <w:szCs w:val="22"/>
                      <w:vertAlign w:val="superscript"/>
                      <w:lang w:val="zh-CN" w:eastAsia="zh-CN" w:bidi="zh-CN"/>
                    </w:rPr>
                    <w:t>3</w:t>
                  </w:r>
                  <w:r>
                    <w:rPr>
                      <w:rFonts w:hint="default" w:ascii="Times New Roman" w:hAnsi="Times New Roman" w:eastAsia="宋体" w:cs="Times New Roman"/>
                      <w:color w:val="auto"/>
                      <w:sz w:val="21"/>
                      <w:szCs w:val="22"/>
                      <w:vertAlign w:val="baseline"/>
                      <w:lang w:val="zh-CN" w:eastAsia="zh-CN" w:bidi="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color w:val="auto"/>
                      <w:sz w:val="21"/>
                      <w:szCs w:val="22"/>
                      <w:lang w:val="zh-CN" w:eastAsia="zh-CN" w:bidi="zh-CN"/>
                    </w:rPr>
                  </w:pPr>
                  <w:r>
                    <w:rPr>
                      <w:rFonts w:hint="default" w:ascii="Times New Roman" w:hAnsi="Times New Roman" w:eastAsia="宋体" w:cs="Times New Roman"/>
                      <w:color w:val="auto"/>
                      <w:sz w:val="21"/>
                      <w:szCs w:val="22"/>
                      <w:lang w:val="zh-CN" w:eastAsia="zh-CN" w:bidi="zh-CN"/>
                    </w:rPr>
                    <w:t>油烟</w:t>
                  </w:r>
                </w:p>
              </w:tc>
              <w:tc>
                <w:tcPr>
                  <w:tcW w:w="97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color w:val="auto"/>
                      <w:sz w:val="21"/>
                      <w:szCs w:val="22"/>
                      <w:lang w:val="zh-CN" w:eastAsia="zh-CN" w:bidi="zh-CN"/>
                    </w:rPr>
                  </w:pPr>
                  <w:r>
                    <w:rPr>
                      <w:rFonts w:hint="default" w:ascii="Times New Roman" w:hAnsi="Times New Roman" w:eastAsia="宋体" w:cs="Times New Roman"/>
                      <w:color w:val="auto"/>
                      <w:sz w:val="21"/>
                      <w:szCs w:val="22"/>
                      <w:lang w:val="en-US" w:eastAsia="zh-CN" w:bidi="zh-CN"/>
                    </w:rPr>
                    <w:t>烤炉</w:t>
                  </w:r>
                  <w:r>
                    <w:rPr>
                      <w:rFonts w:hint="default" w:ascii="Times New Roman" w:hAnsi="Times New Roman" w:eastAsia="宋体" w:cs="Times New Roman"/>
                      <w:color w:val="auto"/>
                      <w:sz w:val="21"/>
                      <w:szCs w:val="22"/>
                      <w:lang w:val="zh-CN" w:eastAsia="zh-CN" w:bidi="zh-CN"/>
                    </w:rPr>
                    <w:t>排气筒</w:t>
                  </w: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color w:val="auto"/>
                      <w:sz w:val="21"/>
                      <w:szCs w:val="22"/>
                      <w:lang w:val="en-US" w:eastAsia="zh-CN" w:bidi="zh-CN"/>
                    </w:rPr>
                  </w:pPr>
                  <w:r>
                    <w:rPr>
                      <w:rFonts w:hint="default" w:ascii="Times New Roman" w:hAnsi="Times New Roman" w:eastAsia="宋体" w:cs="Times New Roman"/>
                      <w:color w:val="auto"/>
                      <w:sz w:val="21"/>
                      <w:szCs w:val="22"/>
                      <w:lang w:val="en-US" w:eastAsia="zh-CN" w:bidi="zh-CN"/>
                    </w:rPr>
                    <w:t>0.09</w:t>
                  </w: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color w:val="auto"/>
                      <w:sz w:val="21"/>
                      <w:szCs w:val="22"/>
                      <w:lang w:val="en-US" w:eastAsia="zh-CN" w:bidi="zh-CN"/>
                    </w:rPr>
                  </w:pPr>
                  <w:r>
                    <w:rPr>
                      <w:rFonts w:hint="default" w:ascii="Times New Roman" w:hAnsi="Times New Roman" w:eastAsia="宋体" w:cs="Times New Roman"/>
                      <w:color w:val="auto"/>
                      <w:sz w:val="21"/>
                      <w:szCs w:val="22"/>
                      <w:lang w:val="zh-CN" w:eastAsia="zh-CN" w:bidi="zh-CN"/>
                    </w:rPr>
                    <w:t>0.</w:t>
                  </w:r>
                  <w:r>
                    <w:rPr>
                      <w:rFonts w:hint="default" w:ascii="Times New Roman" w:hAnsi="Times New Roman" w:eastAsia="宋体" w:cs="Times New Roman"/>
                      <w:color w:val="auto"/>
                      <w:sz w:val="21"/>
                      <w:szCs w:val="22"/>
                      <w:lang w:val="en-US" w:eastAsia="zh-CN" w:bidi="zh-CN"/>
                    </w:rPr>
                    <w:t>005</w:t>
                  </w:r>
                </w:p>
              </w:tc>
              <w:tc>
                <w:tcPr>
                  <w:tcW w:w="98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color w:val="auto"/>
                      <w:sz w:val="21"/>
                      <w:szCs w:val="22"/>
                      <w:lang w:val="en-US" w:eastAsia="zh-CN" w:bidi="zh-CN"/>
                    </w:rPr>
                  </w:pPr>
                  <w:r>
                    <w:rPr>
                      <w:rFonts w:hint="default" w:ascii="Times New Roman" w:hAnsi="Times New Roman" w:eastAsia="宋体" w:cs="Times New Roman"/>
                      <w:color w:val="auto"/>
                      <w:sz w:val="21"/>
                      <w:szCs w:val="22"/>
                      <w:lang w:val="zh-CN" w:eastAsia="zh-CN" w:bidi="zh-CN"/>
                    </w:rPr>
                    <w:t>0.</w:t>
                  </w:r>
                  <w:r>
                    <w:rPr>
                      <w:rFonts w:hint="default" w:ascii="Times New Roman" w:hAnsi="Times New Roman" w:eastAsia="宋体" w:cs="Times New Roman"/>
                      <w:color w:val="auto"/>
                      <w:sz w:val="21"/>
                      <w:szCs w:val="22"/>
                      <w:lang w:val="en-US" w:eastAsia="zh-CN" w:bidi="zh-CN"/>
                    </w:rPr>
                    <w:t>004</w:t>
                  </w:r>
                </w:p>
              </w:tc>
              <w:tc>
                <w:tcPr>
                  <w:tcW w:w="10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outlineLvl w:val="9"/>
                    <w:rPr>
                      <w:rFonts w:hint="default" w:ascii="Times New Roman" w:hAnsi="Times New Roman" w:eastAsia="宋体" w:cs="Times New Roman"/>
                      <w:color w:val="auto"/>
                      <w:sz w:val="21"/>
                      <w:szCs w:val="22"/>
                      <w:lang w:val="en-US" w:eastAsia="zh-CN" w:bidi="zh-CN"/>
                    </w:rPr>
                  </w:pPr>
                  <w:r>
                    <w:rPr>
                      <w:rFonts w:hint="eastAsia" w:ascii="Times New Roman" w:hAnsi="Times New Roman" w:eastAsia="宋体" w:cs="Times New Roman"/>
                      <w:color w:val="auto"/>
                      <w:sz w:val="21"/>
                      <w:szCs w:val="22"/>
                      <w:lang w:val="en-US" w:eastAsia="zh-CN" w:bidi="zh-CN"/>
                    </w:rPr>
                    <w:t>1</w:t>
                  </w:r>
                </w:p>
              </w:tc>
            </w:tr>
          </w:tbl>
          <w:p>
            <w:pPr>
              <w:widowControl w:val="0"/>
              <w:tabs>
                <w:tab w:val="left" w:pos="3420"/>
              </w:tabs>
              <w:topLinePunct/>
              <w:spacing w:after="0"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烘烤工序使用电烤炉，烘烤会有烘烤异味（糕点、面包及披萨饼底香味）和水蒸气产生，异味以恶臭表征。一般情况下可接受，但长期接触，会刺激嗅觉器官引起人们不愉快，但该臭气本身并没有毒害性，也没有到令人感到强烈不悦的程度。类比同类企业，该异味源强有限，经收集后通过高于15m高排气筒排入大气即可，不会对周围大气环境造成不良影响。</w:t>
            </w:r>
          </w:p>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4.2.1.2 大气环境影响分析</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根据前文分析，本项目配料、和面过程产生的无组织废气颗粒物排放量小，且不属于有毒有害物质，通过加强车间</w:t>
            </w:r>
            <w:r>
              <w:rPr>
                <w:rFonts w:hint="eastAsia" w:ascii="Times New Roman" w:hAnsi="Times New Roman" w:eastAsia="宋体" w:cs="Times New Roman"/>
                <w:color w:val="auto"/>
                <w:sz w:val="24"/>
                <w:szCs w:val="24"/>
                <w:lang w:val="en-US" w:eastAsia="zh-CN"/>
              </w:rPr>
              <w:t>密闭</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配套地面粉尘吸尘器，</w:t>
            </w:r>
            <w:r>
              <w:rPr>
                <w:rFonts w:hint="default" w:ascii="Times New Roman" w:hAnsi="Times New Roman" w:eastAsia="宋体" w:cs="Times New Roman"/>
                <w:color w:val="auto"/>
                <w:sz w:val="24"/>
                <w:szCs w:val="24"/>
              </w:rPr>
              <w:t>排放浓度能够满足《大气污染物综合排放标准》（GB 16297-1996）表2中无组织排放监控浓度限值。烘烤工序产生的异味经收集后通过高于15m高排气筒排入大气即可，不会对周围大气环境造成不良影响。</w:t>
            </w:r>
          </w:p>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lang w:val="en-GB"/>
              </w:rPr>
            </w:pPr>
            <w:r>
              <w:rPr>
                <w:rFonts w:hint="default" w:ascii="Times New Roman" w:hAnsi="Times New Roman" w:eastAsia="宋体" w:cs="Times New Roman"/>
                <w:color w:val="auto"/>
                <w:sz w:val="24"/>
                <w:szCs w:val="24"/>
                <w:lang w:val="en-GB"/>
              </w:rPr>
              <w:t>4.2.</w:t>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GB"/>
              </w:rPr>
              <w:t>.</w:t>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GB"/>
              </w:rPr>
              <w:t>监测要求</w:t>
            </w:r>
          </w:p>
          <w:p>
            <w:pPr>
              <w:pStyle w:val="174"/>
              <w:widowControl w:val="0"/>
              <w:topLinePunct/>
              <w:spacing w:after="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lang w:val="en-GB"/>
              </w:rPr>
              <w:t>对照</w:t>
            </w:r>
            <w:r>
              <w:rPr>
                <w:rFonts w:hint="default" w:ascii="Times New Roman" w:hAnsi="Times New Roman" w:eastAsia="宋体" w:cs="Times New Roman"/>
                <w:bCs/>
                <w:color w:val="auto"/>
                <w:sz w:val="24"/>
                <w:szCs w:val="24"/>
              </w:rPr>
              <w:t>《排污许可证申请与核发技术规范 食品制造工业—方便食品、食品及饲料添加剂制造工业》（HJ 1030.3-2019）</w:t>
            </w:r>
            <w:r>
              <w:rPr>
                <w:rFonts w:hint="default" w:ascii="Times New Roman" w:hAnsi="Times New Roman" w:eastAsia="宋体" w:cs="Times New Roman"/>
                <w:color w:val="auto"/>
                <w:sz w:val="24"/>
                <w:szCs w:val="24"/>
              </w:rPr>
              <w:t>、《排污单位自行监测技术指南 食品制造》（HJ 1084-2020），项目废气监测要求详见表4.2-1。</w:t>
            </w:r>
          </w:p>
          <w:p>
            <w:pPr>
              <w:pStyle w:val="177"/>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表4.2-1  监测计划内容一览表</w:t>
            </w:r>
          </w:p>
          <w:tbl>
            <w:tblPr>
              <w:tblStyle w:val="37"/>
              <w:tblW w:w="4998"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35"/>
              <w:gridCol w:w="1621"/>
              <w:gridCol w:w="3069"/>
              <w:gridCol w:w="1305"/>
              <w:gridCol w:w="1124"/>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9"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监测内容</w:t>
                  </w:r>
                </w:p>
              </w:tc>
              <w:tc>
                <w:tcPr>
                  <w:tcW w:w="970"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监测位置</w:t>
                  </w:r>
                </w:p>
              </w:tc>
              <w:tc>
                <w:tcPr>
                  <w:tcW w:w="1836"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781"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监测频率</w:t>
                  </w:r>
                </w:p>
              </w:tc>
              <w:tc>
                <w:tcPr>
                  <w:tcW w:w="672"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739" w:type="pct"/>
                  <w:vMerge w:val="restar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970" w:type="pct"/>
                  <w:vMerge w:val="restar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DA003排气筒</w:t>
                  </w:r>
                </w:p>
              </w:tc>
              <w:tc>
                <w:tcPr>
                  <w:tcW w:w="1836"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臭气浓度</w:t>
                  </w:r>
                </w:p>
              </w:tc>
              <w:tc>
                <w:tcPr>
                  <w:tcW w:w="781"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1次/季度</w:t>
                  </w:r>
                </w:p>
              </w:tc>
              <w:tc>
                <w:tcPr>
                  <w:tcW w:w="672" w:type="pct"/>
                  <w:vMerge w:val="restar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4" w:hRule="atLeast"/>
                <w:jc w:val="center"/>
              </w:trPr>
              <w:tc>
                <w:tcPr>
                  <w:tcW w:w="739" w:type="pct"/>
                  <w:vMerge w:val="continue"/>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p>
              </w:tc>
              <w:tc>
                <w:tcPr>
                  <w:tcW w:w="970" w:type="pct"/>
                  <w:vMerge w:val="continue"/>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p>
              </w:tc>
              <w:tc>
                <w:tcPr>
                  <w:tcW w:w="1836"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油烟</w:t>
                  </w:r>
                </w:p>
              </w:tc>
              <w:tc>
                <w:tcPr>
                  <w:tcW w:w="781"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1次/半年</w:t>
                  </w:r>
                </w:p>
              </w:tc>
              <w:tc>
                <w:tcPr>
                  <w:tcW w:w="672" w:type="pct"/>
                  <w:vMerge w:val="continue"/>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9" w:type="pct"/>
                  <w:vMerge w:val="continue"/>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p>
              </w:tc>
              <w:tc>
                <w:tcPr>
                  <w:tcW w:w="970"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1836"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颗粒物、臭气浓度</w:t>
                  </w:r>
                </w:p>
              </w:tc>
              <w:tc>
                <w:tcPr>
                  <w:tcW w:w="781"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1次/半年 </w:t>
                  </w:r>
                </w:p>
              </w:tc>
              <w:tc>
                <w:tcPr>
                  <w:tcW w:w="672" w:type="pct"/>
                  <w:vMerge w:val="continue"/>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p>
              </w:tc>
            </w:tr>
          </w:tbl>
          <w:p>
            <w:pPr>
              <w:pStyle w:val="4"/>
              <w:keepNext w:val="0"/>
              <w:keepLines w:val="0"/>
              <w:widowControl w:val="0"/>
              <w:topLinePunct/>
              <w:spacing w:before="0" w:line="360" w:lineRule="auto"/>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4.2.2 地表水环境影响和防范措施</w:t>
            </w:r>
          </w:p>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4.2.2.1 废水污染源强核算及分析</w:t>
            </w:r>
          </w:p>
          <w:p>
            <w:pPr>
              <w:pStyle w:val="14"/>
              <w:spacing w:after="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本项目外排综合废水为生产废水和生活污水。</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生产废水</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项目日常生产中，员工需定期</w:t>
            </w:r>
            <w:r>
              <w:rPr>
                <w:rFonts w:hint="eastAsia" w:ascii="Times New Roman" w:hAnsi="Times New Roman" w:eastAsia="宋体" w:cs="Times New Roman"/>
                <w:color w:val="auto"/>
                <w:sz w:val="24"/>
                <w:szCs w:val="24"/>
                <w:lang w:val="en-US" w:eastAsia="zh-CN"/>
              </w:rPr>
              <w:t>擦</w:t>
            </w:r>
            <w:r>
              <w:rPr>
                <w:rFonts w:hint="default" w:ascii="Times New Roman" w:hAnsi="Times New Roman" w:eastAsia="宋体" w:cs="Times New Roman"/>
                <w:color w:val="auto"/>
                <w:sz w:val="24"/>
                <w:szCs w:val="24"/>
              </w:rPr>
              <w:t>洗设备、盛装容器、工作台，生产车间地面日常</w:t>
            </w:r>
            <w:r>
              <w:rPr>
                <w:rFonts w:hint="eastAsia" w:ascii="Times New Roman" w:hAnsi="Times New Roman" w:eastAsia="宋体" w:cs="Times New Roman"/>
                <w:color w:val="auto"/>
                <w:sz w:val="24"/>
                <w:szCs w:val="24"/>
                <w:lang w:val="en-US" w:eastAsia="zh-CN"/>
              </w:rPr>
              <w:t>拖</w:t>
            </w:r>
            <w:r>
              <w:rPr>
                <w:rFonts w:hint="default" w:ascii="Times New Roman" w:hAnsi="Times New Roman" w:eastAsia="宋体" w:cs="Times New Roman"/>
                <w:color w:val="auto"/>
                <w:sz w:val="24"/>
                <w:szCs w:val="24"/>
              </w:rPr>
              <w:t>洗，</w:t>
            </w:r>
            <w:r>
              <w:rPr>
                <w:rFonts w:hint="eastAsia" w:ascii="Times New Roman" w:hAnsi="Times New Roman" w:eastAsia="宋体" w:cs="Times New Roman"/>
                <w:color w:val="auto"/>
                <w:sz w:val="24"/>
                <w:szCs w:val="24"/>
                <w:lang w:val="en-US" w:eastAsia="zh-CN"/>
              </w:rPr>
              <w:t>产生的废水主要为抹布和拖布清洗废水，含油部分抹布、拖布不清洗，作为固废委托处理，</w:t>
            </w:r>
            <w:r>
              <w:rPr>
                <w:rFonts w:hint="default" w:ascii="Times New Roman" w:hAnsi="Times New Roman" w:eastAsia="宋体" w:cs="Times New Roman"/>
                <w:color w:val="auto"/>
                <w:sz w:val="24"/>
                <w:szCs w:val="24"/>
              </w:rPr>
              <w:t>根据建设单位提供信息（参考现有工程），该部分清洗用水量约为400t/a（2m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/d），排放系数90%，则该部分清洗废水量为360m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/a（1.8m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/d）。清洗废水水质与生活污水接近，经化粪池处理达标后排入市政污水管网送往融元污水处理厂集中处理。</w:t>
            </w:r>
          </w:p>
          <w:p>
            <w:pPr>
              <w:widowControl w:val="0"/>
              <w:topLinePunct/>
              <w:spacing w:after="0" w:line="360" w:lineRule="auto"/>
              <w:ind w:firstLine="480" w:firstLineChars="200"/>
              <w:jc w:val="both"/>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项目冷却置物架采用空调制冷，不涉及用水。</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）生活污水</w:t>
            </w:r>
          </w:p>
          <w:p>
            <w:pPr>
              <w:pStyle w:val="33"/>
              <w:widowControl w:val="0"/>
              <w:topLinePunct/>
              <w:spacing w:after="0" w:line="360" w:lineRule="auto"/>
              <w:ind w:firstLine="540" w:firstLineChars="200"/>
              <w:jc w:val="both"/>
              <w:outlineLvl w:val="9"/>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z w:val="24"/>
                <w:szCs w:val="24"/>
              </w:rPr>
              <w:t>本项目新增职工20人，均不住厂。根据《建筑给水排水设计标准》（GB 50015-2019），不住厂职工用水量定额按50L/人·d计算，故本项目生活用水新增1m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/d，即200m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/a（按200天计）。排水系数取0.8，则员工生活污水新增排放量为0.8m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/d，即160m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/a（按200天计）</w:t>
            </w:r>
            <w:r>
              <w:rPr>
                <w:rFonts w:hint="default" w:ascii="Times New Roman" w:hAnsi="Times New Roman" w:eastAsia="宋体" w:cs="Times New Roman"/>
                <w:color w:val="auto"/>
                <w:spacing w:val="0"/>
                <w:sz w:val="24"/>
                <w:szCs w:val="24"/>
              </w:rPr>
              <w:t>。参照《给排水设计手册》（第五册城镇排水），本项目生活污水污染指标浓度选取为COD：400mg/L，BOD</w:t>
            </w:r>
            <w:r>
              <w:rPr>
                <w:rFonts w:hint="default" w:ascii="Times New Roman" w:hAnsi="Times New Roman" w:eastAsia="宋体" w:cs="Times New Roman"/>
                <w:color w:val="auto"/>
                <w:spacing w:val="0"/>
                <w:sz w:val="24"/>
                <w:szCs w:val="24"/>
                <w:vertAlign w:val="subscript"/>
              </w:rPr>
              <w:t>5</w:t>
            </w:r>
            <w:r>
              <w:rPr>
                <w:rFonts w:hint="default" w:ascii="Times New Roman" w:hAnsi="Times New Roman" w:eastAsia="宋体" w:cs="Times New Roman"/>
                <w:color w:val="auto"/>
                <w:spacing w:val="0"/>
                <w:sz w:val="24"/>
                <w:szCs w:val="24"/>
              </w:rPr>
              <w:t>：200mg/L，SS：220mg/L，氨氮：35mg/L。经厂区现有化粪池处理后生活污水污染物浓度为COD：280mg/L，BOD</w:t>
            </w:r>
            <w:r>
              <w:rPr>
                <w:rFonts w:hint="default" w:ascii="Times New Roman" w:hAnsi="Times New Roman" w:eastAsia="宋体" w:cs="Times New Roman"/>
                <w:color w:val="auto"/>
                <w:spacing w:val="0"/>
                <w:sz w:val="24"/>
                <w:szCs w:val="24"/>
                <w:vertAlign w:val="subscript"/>
              </w:rPr>
              <w:t>5</w:t>
            </w:r>
            <w:r>
              <w:rPr>
                <w:rFonts w:hint="default" w:ascii="Times New Roman" w:hAnsi="Times New Roman" w:eastAsia="宋体" w:cs="Times New Roman"/>
                <w:color w:val="auto"/>
                <w:spacing w:val="0"/>
                <w:sz w:val="24"/>
                <w:szCs w:val="24"/>
              </w:rPr>
              <w:t>：180mg/L，SS：88mg/L，氨氮：33.25mg/L。</w:t>
            </w:r>
          </w:p>
          <w:p>
            <w:pPr>
              <w:widowControl w:val="0"/>
              <w:tabs>
                <w:tab w:val="left" w:pos="3420"/>
              </w:tabs>
              <w:topLinePunct/>
              <w:spacing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项目生活污水污染源源强核算结果见表4.2-2。</w:t>
            </w:r>
          </w:p>
        </w:tc>
      </w:tr>
    </w:tbl>
    <w:p>
      <w:pPr>
        <w:widowControl w:val="0"/>
        <w:topLinePunct/>
        <w:spacing w:line="360" w:lineRule="auto"/>
        <w:jc w:val="both"/>
        <w:outlineLvl w:val="9"/>
        <w:rPr>
          <w:rFonts w:hint="default" w:ascii="Times New Roman" w:hAnsi="Times New Roman" w:eastAsia="宋体" w:cs="Times New Roman"/>
          <w:b/>
          <w:bCs/>
          <w:color w:val="auto"/>
          <w:shd w:val="clear" w:color="auto" w:fill="FFFFFF"/>
        </w:rPr>
        <w:sectPr>
          <w:pgSz w:w="11907" w:h="16840"/>
          <w:pgMar w:top="1417" w:right="1417" w:bottom="1417" w:left="1417" w:header="992" w:footer="992" w:gutter="0"/>
          <w:pgBorders>
            <w:top w:val="none" w:sz="0" w:space="0"/>
            <w:left w:val="none" w:sz="0" w:space="0"/>
            <w:bottom w:val="none" w:sz="0" w:space="0"/>
            <w:right w:val="none" w:sz="0" w:space="0"/>
          </w:pgBorders>
          <w:pgNumType w:fmt="decimal"/>
          <w:cols w:space="720" w:num="1"/>
          <w:docGrid w:linePitch="312" w:charSpace="0"/>
        </w:sectPr>
      </w:pPr>
    </w:p>
    <w:p>
      <w:pPr>
        <w:widowControl w:val="0"/>
        <w:topLinePunct/>
        <w:spacing w:after="0" w:line="360" w:lineRule="auto"/>
        <w:jc w:val="center"/>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shd w:val="clear" w:color="auto" w:fill="FFFFFF"/>
        </w:rPr>
        <w:t>表4.2-2 项目废水污染源源强核算及相关参数一览表</w:t>
      </w:r>
    </w:p>
    <w:tbl>
      <w:tblPr>
        <w:tblStyle w:val="37"/>
        <w:tblW w:w="5000" w:type="pct"/>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80"/>
        <w:gridCol w:w="298"/>
        <w:gridCol w:w="717"/>
        <w:gridCol w:w="387"/>
        <w:gridCol w:w="649"/>
        <w:gridCol w:w="714"/>
        <w:gridCol w:w="706"/>
        <w:gridCol w:w="537"/>
        <w:gridCol w:w="390"/>
        <w:gridCol w:w="409"/>
        <w:gridCol w:w="407"/>
        <w:gridCol w:w="649"/>
        <w:gridCol w:w="714"/>
        <w:gridCol w:w="706"/>
        <w:gridCol w:w="714"/>
        <w:gridCol w:w="700"/>
        <w:gridCol w:w="557"/>
        <w:gridCol w:w="390"/>
        <w:gridCol w:w="390"/>
        <w:gridCol w:w="390"/>
        <w:gridCol w:w="771"/>
        <w:gridCol w:w="390"/>
        <w:gridCol w:w="390"/>
        <w:gridCol w:w="1323"/>
        <w:gridCol w:w="546"/>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34"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产污环节</w:t>
            </w:r>
          </w:p>
        </w:tc>
        <w:tc>
          <w:tcPr>
            <w:tcW w:w="105"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类别</w:t>
            </w:r>
          </w:p>
        </w:tc>
        <w:tc>
          <w:tcPr>
            <w:tcW w:w="252"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污染物种类</w:t>
            </w:r>
          </w:p>
        </w:tc>
        <w:tc>
          <w:tcPr>
            <w:tcW w:w="863" w:type="pct"/>
            <w:gridSpan w:val="4"/>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污染物产生</w:t>
            </w:r>
          </w:p>
        </w:tc>
        <w:tc>
          <w:tcPr>
            <w:tcW w:w="613" w:type="pct"/>
            <w:gridSpan w:val="4"/>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治理措施</w:t>
            </w:r>
          </w:p>
        </w:tc>
        <w:tc>
          <w:tcPr>
            <w:tcW w:w="1224" w:type="pct"/>
            <w:gridSpan w:val="5"/>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污染物排放</w:t>
            </w:r>
          </w:p>
        </w:tc>
        <w:tc>
          <w:tcPr>
            <w:tcW w:w="196"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排放时间(h)</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排放方式</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排放去向</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排放规律</w:t>
            </w:r>
          </w:p>
        </w:tc>
        <w:tc>
          <w:tcPr>
            <w:tcW w:w="1010" w:type="pct"/>
            <w:gridSpan w:val="4"/>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排放口基本情况</w:t>
            </w:r>
          </w:p>
        </w:tc>
        <w:tc>
          <w:tcPr>
            <w:tcW w:w="192"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排放标准</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34"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05"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52"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6"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核算方法</w:t>
            </w:r>
          </w:p>
        </w:tc>
        <w:tc>
          <w:tcPr>
            <w:tcW w:w="228"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产生废水量(m</w:t>
            </w:r>
            <w:r>
              <w:rPr>
                <w:rFonts w:hint="default" w:ascii="Times New Roman" w:hAnsi="Times New Roman" w:eastAsia="宋体" w:cs="Times New Roman"/>
                <w:color w:val="auto"/>
                <w:sz w:val="18"/>
                <w:szCs w:val="18"/>
                <w:vertAlign w:val="superscript"/>
                <w:lang w:bidi="ar"/>
              </w:rPr>
              <w:t>3</w:t>
            </w:r>
            <w:r>
              <w:rPr>
                <w:rFonts w:hint="default" w:ascii="Times New Roman" w:hAnsi="Times New Roman" w:eastAsia="宋体" w:cs="Times New Roman"/>
                <w:color w:val="auto"/>
                <w:sz w:val="18"/>
                <w:szCs w:val="18"/>
                <w:lang w:bidi="ar"/>
              </w:rPr>
              <w:t>/a)</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产生</w:t>
            </w:r>
          </w:p>
        </w:tc>
        <w:tc>
          <w:tcPr>
            <w:tcW w:w="248"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产生量(t/a)</w:t>
            </w:r>
          </w:p>
        </w:tc>
        <w:tc>
          <w:tcPr>
            <w:tcW w:w="189"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处理能力m</w:t>
            </w:r>
            <w:r>
              <w:rPr>
                <w:rFonts w:hint="default" w:ascii="Times New Roman" w:hAnsi="Times New Roman" w:eastAsia="宋体" w:cs="Times New Roman"/>
                <w:color w:val="auto"/>
                <w:sz w:val="18"/>
                <w:szCs w:val="18"/>
                <w:vertAlign w:val="superscript"/>
                <w:lang w:bidi="ar"/>
              </w:rPr>
              <w:t>3</w:t>
            </w:r>
            <w:r>
              <w:rPr>
                <w:rFonts w:hint="default" w:ascii="Times New Roman" w:hAnsi="Times New Roman" w:eastAsia="宋体" w:cs="Times New Roman"/>
                <w:color w:val="auto"/>
                <w:sz w:val="18"/>
                <w:szCs w:val="18"/>
                <w:lang w:bidi="ar"/>
              </w:rPr>
              <w:t>/d</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治理工艺</w:t>
            </w:r>
          </w:p>
        </w:tc>
        <w:tc>
          <w:tcPr>
            <w:tcW w:w="144"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治理效率/%</w:t>
            </w:r>
          </w:p>
        </w:tc>
        <w:tc>
          <w:tcPr>
            <w:tcW w:w="143"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是否为可行技术</w:t>
            </w:r>
          </w:p>
        </w:tc>
        <w:tc>
          <w:tcPr>
            <w:tcW w:w="727" w:type="pct"/>
            <w:gridSpan w:val="3"/>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纳管排放</w:t>
            </w:r>
          </w:p>
        </w:tc>
        <w:tc>
          <w:tcPr>
            <w:tcW w:w="497" w:type="pct"/>
            <w:gridSpan w:val="2"/>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排外环境</w:t>
            </w:r>
          </w:p>
        </w:tc>
        <w:tc>
          <w:tcPr>
            <w:tcW w:w="19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71"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编号</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名称</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类型</w:t>
            </w:r>
          </w:p>
        </w:tc>
        <w:tc>
          <w:tcPr>
            <w:tcW w:w="464"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地理坐标</w:t>
            </w:r>
          </w:p>
        </w:tc>
        <w:tc>
          <w:tcPr>
            <w:tcW w:w="192"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34"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05"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52"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浓度(mg/L)</w:t>
            </w:r>
          </w:p>
        </w:tc>
        <w:tc>
          <w:tcPr>
            <w:tcW w:w="24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89"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44"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43"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2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排放废水量(m</w:t>
            </w:r>
            <w:r>
              <w:rPr>
                <w:rFonts w:hint="default" w:ascii="Times New Roman" w:hAnsi="Times New Roman" w:eastAsia="宋体" w:cs="Times New Roman"/>
                <w:color w:val="auto"/>
                <w:sz w:val="18"/>
                <w:szCs w:val="18"/>
                <w:vertAlign w:val="superscript"/>
                <w:lang w:bidi="ar"/>
              </w:rPr>
              <w:t>3</w:t>
            </w:r>
            <w:r>
              <w:rPr>
                <w:rFonts w:hint="default" w:ascii="Times New Roman" w:hAnsi="Times New Roman" w:eastAsia="宋体" w:cs="Times New Roman"/>
                <w:color w:val="auto"/>
                <w:sz w:val="18"/>
                <w:szCs w:val="18"/>
                <w:lang w:bidi="ar"/>
              </w:rPr>
              <w:t>/a)</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排放浓度(mg/L)</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排放量(t/a)</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排放浓度(mg/L)</w:t>
            </w:r>
          </w:p>
        </w:tc>
        <w:tc>
          <w:tcPr>
            <w:tcW w:w="24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排放量(t/a)</w:t>
            </w:r>
          </w:p>
        </w:tc>
        <w:tc>
          <w:tcPr>
            <w:tcW w:w="19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464"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92"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34"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生活办公</w:t>
            </w:r>
          </w:p>
        </w:tc>
        <w:tc>
          <w:tcPr>
            <w:tcW w:w="105"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生活污水</w:t>
            </w:r>
          </w:p>
        </w:tc>
        <w:tc>
          <w:tcPr>
            <w:tcW w:w="25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COD</w:t>
            </w:r>
          </w:p>
        </w:tc>
        <w:tc>
          <w:tcPr>
            <w:tcW w:w="136"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类比法</w:t>
            </w:r>
          </w:p>
        </w:tc>
        <w:tc>
          <w:tcPr>
            <w:tcW w:w="228"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160</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400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0.064</w:t>
            </w:r>
          </w:p>
        </w:tc>
        <w:tc>
          <w:tcPr>
            <w:tcW w:w="189"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100</w:t>
            </w:r>
            <w:r>
              <w:rPr>
                <w:rFonts w:hint="default" w:ascii="Times New Roman" w:hAnsi="Times New Roman" w:eastAsia="宋体" w:cs="Times New Roman"/>
                <w:color w:val="auto"/>
                <w:sz w:val="18"/>
                <w:szCs w:val="18"/>
                <w:vertAlign w:val="superscript"/>
                <w:lang w:bidi="ar"/>
              </w:rPr>
              <w:t>a</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化粪池</w:t>
            </w:r>
          </w:p>
        </w:tc>
        <w:tc>
          <w:tcPr>
            <w:tcW w:w="1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30</w:t>
            </w:r>
          </w:p>
        </w:tc>
        <w:tc>
          <w:tcPr>
            <w:tcW w:w="143"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是</w:t>
            </w:r>
          </w:p>
        </w:tc>
        <w:tc>
          <w:tcPr>
            <w:tcW w:w="228"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216</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280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0.045</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50</w:t>
            </w:r>
          </w:p>
        </w:tc>
        <w:tc>
          <w:tcPr>
            <w:tcW w:w="24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0.008</w:t>
            </w:r>
          </w:p>
        </w:tc>
        <w:tc>
          <w:tcPr>
            <w:tcW w:w="196"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c>
          <w:tcPr>
            <w:tcW w:w="271"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c>
          <w:tcPr>
            <w:tcW w:w="464"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9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34"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05"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BOD</w:t>
            </w:r>
            <w:r>
              <w:rPr>
                <w:rFonts w:hint="default" w:ascii="Times New Roman" w:hAnsi="Times New Roman" w:eastAsia="宋体" w:cs="Times New Roman"/>
                <w:color w:val="auto"/>
                <w:sz w:val="18"/>
                <w:szCs w:val="18"/>
                <w:vertAlign w:val="subscript"/>
                <w:lang w:bidi="ar"/>
              </w:rPr>
              <w:t>5</w:t>
            </w:r>
          </w:p>
        </w:tc>
        <w:tc>
          <w:tcPr>
            <w:tcW w:w="13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200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0.032</w:t>
            </w:r>
          </w:p>
        </w:tc>
        <w:tc>
          <w:tcPr>
            <w:tcW w:w="189"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10</w:t>
            </w:r>
          </w:p>
        </w:tc>
        <w:tc>
          <w:tcPr>
            <w:tcW w:w="143"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180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0.029</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10</w:t>
            </w:r>
          </w:p>
        </w:tc>
        <w:tc>
          <w:tcPr>
            <w:tcW w:w="24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0.002</w:t>
            </w:r>
          </w:p>
        </w:tc>
        <w:tc>
          <w:tcPr>
            <w:tcW w:w="19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464"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9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4"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05"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SS</w:t>
            </w:r>
          </w:p>
        </w:tc>
        <w:tc>
          <w:tcPr>
            <w:tcW w:w="13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220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0.035</w:t>
            </w:r>
          </w:p>
        </w:tc>
        <w:tc>
          <w:tcPr>
            <w:tcW w:w="189"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60</w:t>
            </w:r>
          </w:p>
        </w:tc>
        <w:tc>
          <w:tcPr>
            <w:tcW w:w="143"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88</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0.014</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10</w:t>
            </w:r>
          </w:p>
        </w:tc>
        <w:tc>
          <w:tcPr>
            <w:tcW w:w="24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0.002</w:t>
            </w:r>
          </w:p>
        </w:tc>
        <w:tc>
          <w:tcPr>
            <w:tcW w:w="19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464" w:type="pct"/>
            <w:vMerge w:val="continue"/>
            <w:tcBorders>
              <w:tl2br w:val="nil"/>
              <w:tr2bl w:val="nil"/>
            </w:tcBorders>
            <w:noWrap/>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9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4"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05"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氨氮</w:t>
            </w:r>
          </w:p>
        </w:tc>
        <w:tc>
          <w:tcPr>
            <w:tcW w:w="13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35</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0.006</w:t>
            </w:r>
          </w:p>
        </w:tc>
        <w:tc>
          <w:tcPr>
            <w:tcW w:w="189"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5</w:t>
            </w:r>
          </w:p>
        </w:tc>
        <w:tc>
          <w:tcPr>
            <w:tcW w:w="143"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33.25</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0.005</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5</w:t>
            </w:r>
          </w:p>
        </w:tc>
        <w:tc>
          <w:tcPr>
            <w:tcW w:w="24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0.001</w:t>
            </w:r>
          </w:p>
        </w:tc>
        <w:tc>
          <w:tcPr>
            <w:tcW w:w="19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464" w:type="pct"/>
            <w:vMerge w:val="continue"/>
            <w:tcBorders>
              <w:tl2br w:val="nil"/>
              <w:tr2bl w:val="nil"/>
            </w:tcBorders>
            <w:noWrap/>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9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4"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生产过程</w:t>
            </w:r>
          </w:p>
        </w:tc>
        <w:tc>
          <w:tcPr>
            <w:tcW w:w="105"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生产废水</w:t>
            </w:r>
          </w:p>
        </w:tc>
        <w:tc>
          <w:tcPr>
            <w:tcW w:w="25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COD</w:t>
            </w:r>
          </w:p>
        </w:tc>
        <w:tc>
          <w:tcPr>
            <w:tcW w:w="136"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类比法</w:t>
            </w:r>
          </w:p>
        </w:tc>
        <w:tc>
          <w:tcPr>
            <w:tcW w:w="228"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360</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400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0.144</w:t>
            </w:r>
          </w:p>
        </w:tc>
        <w:tc>
          <w:tcPr>
            <w:tcW w:w="189"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30</w:t>
            </w:r>
          </w:p>
        </w:tc>
        <w:tc>
          <w:tcPr>
            <w:tcW w:w="143"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w:t>
            </w:r>
          </w:p>
        </w:tc>
        <w:tc>
          <w:tcPr>
            <w:tcW w:w="228"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360</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280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0.101</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50</w:t>
            </w:r>
          </w:p>
        </w:tc>
        <w:tc>
          <w:tcPr>
            <w:tcW w:w="24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0.018</w:t>
            </w:r>
          </w:p>
        </w:tc>
        <w:tc>
          <w:tcPr>
            <w:tcW w:w="19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464" w:type="pct"/>
            <w:vMerge w:val="continue"/>
            <w:tcBorders>
              <w:tl2br w:val="nil"/>
              <w:tr2bl w:val="nil"/>
            </w:tcBorders>
            <w:noWrap/>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9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4"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05"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BOD</w:t>
            </w:r>
            <w:r>
              <w:rPr>
                <w:rFonts w:hint="default" w:ascii="Times New Roman" w:hAnsi="Times New Roman" w:eastAsia="宋体" w:cs="Times New Roman"/>
                <w:color w:val="auto"/>
                <w:sz w:val="18"/>
                <w:szCs w:val="18"/>
                <w:vertAlign w:val="subscript"/>
                <w:lang w:bidi="ar"/>
              </w:rPr>
              <w:t>5</w:t>
            </w:r>
          </w:p>
        </w:tc>
        <w:tc>
          <w:tcPr>
            <w:tcW w:w="13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200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0.072</w:t>
            </w:r>
          </w:p>
        </w:tc>
        <w:tc>
          <w:tcPr>
            <w:tcW w:w="189"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10</w:t>
            </w:r>
          </w:p>
        </w:tc>
        <w:tc>
          <w:tcPr>
            <w:tcW w:w="143"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180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0.065</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10</w:t>
            </w:r>
          </w:p>
        </w:tc>
        <w:tc>
          <w:tcPr>
            <w:tcW w:w="24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0.004</w:t>
            </w:r>
          </w:p>
        </w:tc>
        <w:tc>
          <w:tcPr>
            <w:tcW w:w="19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464" w:type="pct"/>
            <w:vMerge w:val="continue"/>
            <w:tcBorders>
              <w:tl2br w:val="nil"/>
              <w:tr2bl w:val="nil"/>
            </w:tcBorders>
            <w:noWrap/>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9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4"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05"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SS</w:t>
            </w:r>
          </w:p>
        </w:tc>
        <w:tc>
          <w:tcPr>
            <w:tcW w:w="13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220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0.079</w:t>
            </w:r>
          </w:p>
        </w:tc>
        <w:tc>
          <w:tcPr>
            <w:tcW w:w="189"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60</w:t>
            </w:r>
          </w:p>
        </w:tc>
        <w:tc>
          <w:tcPr>
            <w:tcW w:w="143"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88</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0.032</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10</w:t>
            </w:r>
          </w:p>
        </w:tc>
        <w:tc>
          <w:tcPr>
            <w:tcW w:w="24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0.004</w:t>
            </w:r>
          </w:p>
        </w:tc>
        <w:tc>
          <w:tcPr>
            <w:tcW w:w="19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464" w:type="pct"/>
            <w:vMerge w:val="continue"/>
            <w:tcBorders>
              <w:tl2br w:val="nil"/>
              <w:tr2bl w:val="nil"/>
            </w:tcBorders>
            <w:noWrap/>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9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4"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05"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氨氮</w:t>
            </w:r>
          </w:p>
        </w:tc>
        <w:tc>
          <w:tcPr>
            <w:tcW w:w="13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35</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0.013</w:t>
            </w:r>
          </w:p>
        </w:tc>
        <w:tc>
          <w:tcPr>
            <w:tcW w:w="189"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5</w:t>
            </w:r>
          </w:p>
        </w:tc>
        <w:tc>
          <w:tcPr>
            <w:tcW w:w="143"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33.25</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0.012</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5</w:t>
            </w:r>
          </w:p>
        </w:tc>
        <w:tc>
          <w:tcPr>
            <w:tcW w:w="24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0.002</w:t>
            </w:r>
          </w:p>
        </w:tc>
        <w:tc>
          <w:tcPr>
            <w:tcW w:w="19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464" w:type="pct"/>
            <w:vMerge w:val="continue"/>
            <w:tcBorders>
              <w:tl2br w:val="nil"/>
              <w:tr2bl w:val="nil"/>
            </w:tcBorders>
            <w:noWrap/>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9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4"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综合</w:t>
            </w:r>
          </w:p>
        </w:tc>
        <w:tc>
          <w:tcPr>
            <w:tcW w:w="105"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综合废水</w:t>
            </w:r>
          </w:p>
        </w:tc>
        <w:tc>
          <w:tcPr>
            <w:tcW w:w="25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COD</w:t>
            </w:r>
          </w:p>
        </w:tc>
        <w:tc>
          <w:tcPr>
            <w:tcW w:w="136"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w:t>
            </w:r>
          </w:p>
        </w:tc>
        <w:tc>
          <w:tcPr>
            <w:tcW w:w="228"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520</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400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0.208</w:t>
            </w:r>
          </w:p>
        </w:tc>
        <w:tc>
          <w:tcPr>
            <w:tcW w:w="189"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100</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30</w:t>
            </w:r>
          </w:p>
        </w:tc>
        <w:tc>
          <w:tcPr>
            <w:tcW w:w="143"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w:t>
            </w:r>
          </w:p>
        </w:tc>
        <w:tc>
          <w:tcPr>
            <w:tcW w:w="228"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520</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280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0.146</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50</w:t>
            </w:r>
          </w:p>
        </w:tc>
        <w:tc>
          <w:tcPr>
            <w:tcW w:w="24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0.026</w:t>
            </w:r>
          </w:p>
        </w:tc>
        <w:tc>
          <w:tcPr>
            <w:tcW w:w="196"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1200</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间接排放</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融元污水处理厂</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间歇排放</w:t>
            </w:r>
          </w:p>
        </w:tc>
        <w:tc>
          <w:tcPr>
            <w:tcW w:w="271"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DW001</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污水总排放口</w:t>
            </w:r>
          </w:p>
        </w:tc>
        <w:tc>
          <w:tcPr>
            <w:tcW w:w="137" w:type="pct"/>
            <w:vMerge w:val="restar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一般排放口</w:t>
            </w:r>
          </w:p>
        </w:tc>
        <w:tc>
          <w:tcPr>
            <w:tcW w:w="464" w:type="pct"/>
            <w:vMerge w:val="restart"/>
            <w:tcBorders>
              <w:tl2br w:val="nil"/>
              <w:tr2bl w:val="nil"/>
            </w:tcBorders>
            <w:noWrap/>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E119°19'4.571"</w:t>
            </w:r>
          </w:p>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N25°43'31.644"</w:t>
            </w:r>
          </w:p>
        </w:tc>
        <w:tc>
          <w:tcPr>
            <w:tcW w:w="19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500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4"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05"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BOD</w:t>
            </w:r>
            <w:r>
              <w:rPr>
                <w:rFonts w:hint="default" w:ascii="Times New Roman" w:hAnsi="Times New Roman" w:eastAsia="宋体" w:cs="Times New Roman"/>
                <w:color w:val="auto"/>
                <w:sz w:val="18"/>
                <w:szCs w:val="18"/>
                <w:vertAlign w:val="subscript"/>
                <w:lang w:bidi="ar"/>
              </w:rPr>
              <w:t>5</w:t>
            </w:r>
          </w:p>
        </w:tc>
        <w:tc>
          <w:tcPr>
            <w:tcW w:w="13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200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0.104</w:t>
            </w:r>
          </w:p>
        </w:tc>
        <w:tc>
          <w:tcPr>
            <w:tcW w:w="189"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10</w:t>
            </w:r>
          </w:p>
        </w:tc>
        <w:tc>
          <w:tcPr>
            <w:tcW w:w="143"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180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0.094</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10</w:t>
            </w:r>
          </w:p>
        </w:tc>
        <w:tc>
          <w:tcPr>
            <w:tcW w:w="24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0.006</w:t>
            </w:r>
          </w:p>
        </w:tc>
        <w:tc>
          <w:tcPr>
            <w:tcW w:w="19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464" w:type="pct"/>
            <w:vMerge w:val="continue"/>
            <w:tcBorders>
              <w:tl2br w:val="nil"/>
              <w:tr2bl w:val="nil"/>
            </w:tcBorders>
            <w:noWrap/>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9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300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4"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05"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SS</w:t>
            </w:r>
          </w:p>
        </w:tc>
        <w:tc>
          <w:tcPr>
            <w:tcW w:w="13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220</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0.114</w:t>
            </w:r>
          </w:p>
        </w:tc>
        <w:tc>
          <w:tcPr>
            <w:tcW w:w="189"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60</w:t>
            </w:r>
          </w:p>
        </w:tc>
        <w:tc>
          <w:tcPr>
            <w:tcW w:w="143"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88</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0.046</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10</w:t>
            </w:r>
          </w:p>
        </w:tc>
        <w:tc>
          <w:tcPr>
            <w:tcW w:w="24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0.006</w:t>
            </w:r>
          </w:p>
        </w:tc>
        <w:tc>
          <w:tcPr>
            <w:tcW w:w="19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464" w:type="pct"/>
            <w:vMerge w:val="continue"/>
            <w:tcBorders>
              <w:tl2br w:val="nil"/>
              <w:tr2bl w:val="nil"/>
            </w:tcBorders>
            <w:noWrap/>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9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4"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05"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氨氮</w:t>
            </w:r>
          </w:p>
        </w:tc>
        <w:tc>
          <w:tcPr>
            <w:tcW w:w="13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35</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0.019</w:t>
            </w:r>
          </w:p>
        </w:tc>
        <w:tc>
          <w:tcPr>
            <w:tcW w:w="189"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1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5</w:t>
            </w:r>
          </w:p>
        </w:tc>
        <w:tc>
          <w:tcPr>
            <w:tcW w:w="143"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28"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33.25</w:t>
            </w:r>
          </w:p>
        </w:tc>
        <w:tc>
          <w:tcPr>
            <w:tcW w:w="248"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0.017</w:t>
            </w:r>
          </w:p>
        </w:tc>
        <w:tc>
          <w:tcPr>
            <w:tcW w:w="251"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5</w:t>
            </w:r>
          </w:p>
        </w:tc>
        <w:tc>
          <w:tcPr>
            <w:tcW w:w="246"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0.003</w:t>
            </w:r>
          </w:p>
        </w:tc>
        <w:tc>
          <w:tcPr>
            <w:tcW w:w="19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464" w:type="pct"/>
            <w:vMerge w:val="continue"/>
            <w:tcBorders>
              <w:tl2br w:val="nil"/>
              <w:tr2bl w:val="nil"/>
            </w:tcBorders>
            <w:noWrap/>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p>
        </w:tc>
        <w:tc>
          <w:tcPr>
            <w:tcW w:w="192"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000" w:type="pct"/>
            <w:gridSpan w:val="25"/>
            <w:tcBorders>
              <w:tl2br w:val="nil"/>
              <w:tr2bl w:val="nil"/>
            </w:tcBorders>
            <w:vAlign w:val="center"/>
          </w:tcPr>
          <w:p>
            <w:pPr>
              <w:widowControl w:val="0"/>
              <w:topLinePunct/>
              <w:spacing w:after="0" w:line="240" w:lineRule="auto"/>
              <w:outlineLvl w:val="9"/>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备注：a.根据调查</w:t>
            </w:r>
            <w:r>
              <w:rPr>
                <w:rFonts w:hint="eastAsia" w:ascii="Times New Roman" w:hAnsi="Times New Roman" w:eastAsia="宋体" w:cs="Times New Roman"/>
                <w:color w:val="auto"/>
                <w:sz w:val="18"/>
                <w:szCs w:val="18"/>
                <w:lang w:val="en-US" w:eastAsia="zh-CN" w:bidi="ar"/>
              </w:rPr>
              <w:t>项目厂房南侧</w:t>
            </w:r>
            <w:r>
              <w:rPr>
                <w:rFonts w:hint="default" w:ascii="Times New Roman" w:hAnsi="Times New Roman" w:eastAsia="宋体" w:cs="Times New Roman"/>
                <w:color w:val="auto"/>
                <w:sz w:val="18"/>
                <w:szCs w:val="18"/>
                <w:lang w:bidi="ar"/>
              </w:rPr>
              <w:t>化粪池仅现有工程使用，根据《福清睿辉食品有限公司年产速冻食品300吨项目竣工环境保护验收监测报告》，项目生产废水主要为设备、工作台及车间清洗废水，排放量为1.95m</w:t>
            </w:r>
            <w:r>
              <w:rPr>
                <w:rFonts w:hint="default" w:ascii="Times New Roman" w:hAnsi="Times New Roman" w:eastAsia="宋体" w:cs="Times New Roman"/>
                <w:color w:val="auto"/>
                <w:sz w:val="18"/>
                <w:szCs w:val="18"/>
                <w:vertAlign w:val="superscript"/>
                <w:lang w:bidi="ar"/>
              </w:rPr>
              <w:t>3</w:t>
            </w:r>
            <w:r>
              <w:rPr>
                <w:rFonts w:hint="default" w:ascii="Times New Roman" w:hAnsi="Times New Roman" w:eastAsia="宋体" w:cs="Times New Roman"/>
                <w:color w:val="auto"/>
                <w:sz w:val="18"/>
                <w:szCs w:val="18"/>
                <w:lang w:bidi="ar"/>
              </w:rPr>
              <w:t>/d，生活污水产生量约为1.5m</w:t>
            </w:r>
            <w:r>
              <w:rPr>
                <w:rFonts w:hint="default" w:ascii="Times New Roman" w:hAnsi="Times New Roman" w:eastAsia="宋体" w:cs="Times New Roman"/>
                <w:color w:val="auto"/>
                <w:sz w:val="18"/>
                <w:szCs w:val="18"/>
                <w:vertAlign w:val="superscript"/>
                <w:lang w:bidi="ar"/>
              </w:rPr>
              <w:t>3</w:t>
            </w:r>
            <w:r>
              <w:rPr>
                <w:rFonts w:hint="default" w:ascii="Times New Roman" w:hAnsi="Times New Roman" w:eastAsia="宋体" w:cs="Times New Roman"/>
                <w:color w:val="auto"/>
                <w:sz w:val="18"/>
                <w:szCs w:val="18"/>
                <w:lang w:bidi="ar"/>
              </w:rPr>
              <w:t>/d，现有工程占用3.45m</w:t>
            </w:r>
            <w:r>
              <w:rPr>
                <w:rFonts w:hint="default" w:ascii="Times New Roman" w:hAnsi="Times New Roman" w:eastAsia="宋体" w:cs="Times New Roman"/>
                <w:color w:val="auto"/>
                <w:sz w:val="18"/>
                <w:szCs w:val="18"/>
                <w:vertAlign w:val="superscript"/>
                <w:lang w:bidi="ar"/>
              </w:rPr>
              <w:t>3</w:t>
            </w:r>
            <w:r>
              <w:rPr>
                <w:rFonts w:hint="default" w:ascii="Times New Roman" w:hAnsi="Times New Roman" w:eastAsia="宋体" w:cs="Times New Roman"/>
                <w:color w:val="auto"/>
                <w:sz w:val="18"/>
                <w:szCs w:val="18"/>
                <w:lang w:bidi="ar"/>
              </w:rPr>
              <w:t>/d。本次扩建项目生活污水产生量为2.6m</w:t>
            </w:r>
            <w:r>
              <w:rPr>
                <w:rFonts w:hint="default" w:ascii="Times New Roman" w:hAnsi="Times New Roman" w:eastAsia="宋体" w:cs="Times New Roman"/>
                <w:color w:val="auto"/>
                <w:sz w:val="18"/>
                <w:szCs w:val="18"/>
                <w:vertAlign w:val="superscript"/>
                <w:lang w:bidi="ar"/>
              </w:rPr>
              <w:t>3</w:t>
            </w:r>
            <w:r>
              <w:rPr>
                <w:rFonts w:hint="default" w:ascii="Times New Roman" w:hAnsi="Times New Roman" w:eastAsia="宋体" w:cs="Times New Roman"/>
                <w:color w:val="auto"/>
                <w:sz w:val="18"/>
                <w:szCs w:val="18"/>
                <w:lang w:bidi="ar"/>
              </w:rPr>
              <w:t>/d，合计生活污水产量为6.05m</w:t>
            </w:r>
            <w:r>
              <w:rPr>
                <w:rFonts w:hint="default" w:ascii="Times New Roman" w:hAnsi="Times New Roman" w:eastAsia="宋体" w:cs="Times New Roman"/>
                <w:color w:val="auto"/>
                <w:sz w:val="18"/>
                <w:szCs w:val="18"/>
                <w:vertAlign w:val="superscript"/>
                <w:lang w:bidi="ar"/>
              </w:rPr>
              <w:t>3</w:t>
            </w:r>
            <w:r>
              <w:rPr>
                <w:rFonts w:hint="default" w:ascii="Times New Roman" w:hAnsi="Times New Roman" w:eastAsia="宋体" w:cs="Times New Roman"/>
                <w:color w:val="auto"/>
                <w:sz w:val="18"/>
                <w:szCs w:val="18"/>
                <w:lang w:bidi="ar"/>
              </w:rPr>
              <w:t>/d，仅占用化粪池容积的12.1%，能保证污水在化粪池的停留时间12h以上。</w:t>
            </w:r>
          </w:p>
        </w:tc>
      </w:tr>
    </w:tbl>
    <w:p>
      <w:pPr>
        <w:pStyle w:val="14"/>
        <w:widowControl w:val="0"/>
        <w:topLinePunct/>
        <w:ind w:firstLine="0" w:firstLineChars="0"/>
        <w:outlineLvl w:val="9"/>
        <w:rPr>
          <w:rFonts w:hint="default" w:ascii="Times New Roman" w:hAnsi="Times New Roman" w:eastAsia="宋体" w:cs="Times New Roman"/>
          <w:color w:val="auto"/>
        </w:rPr>
        <w:sectPr>
          <w:pgSz w:w="16840" w:h="11907" w:orient="landscape"/>
          <w:pgMar w:top="1417" w:right="1417" w:bottom="1417" w:left="1417" w:header="992" w:footer="992" w:gutter="0"/>
          <w:pgBorders>
            <w:top w:val="none" w:sz="0" w:space="0"/>
            <w:left w:val="none" w:sz="0" w:space="0"/>
            <w:bottom w:val="none" w:sz="0" w:space="0"/>
            <w:right w:val="none" w:sz="0" w:space="0"/>
          </w:pgBorders>
          <w:pgNumType w:fmt="decimal"/>
          <w:cols w:space="720" w:num="1"/>
          <w:docGrid w:linePitch="312" w:charSpace="0"/>
        </w:sectPr>
      </w:pPr>
    </w:p>
    <w:tbl>
      <w:tblPr>
        <w:tblStyle w:val="37"/>
        <w:tblpPr w:leftFromText="180" w:rightFromText="180" w:vertAnchor="text" w:horzAnchor="page" w:tblpX="1352" w:tblpY="4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8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pPr>
              <w:widowControl w:val="0"/>
              <w:topLinePunct/>
              <w:adjustRightInd w:val="0"/>
              <w:snapToGrid w:val="0"/>
              <w:spacing w:after="0" w:line="240" w:lineRule="auto"/>
              <w:jc w:val="center"/>
              <w:outlineLvl w:val="9"/>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pPr>
              <w:widowControl w:val="0"/>
              <w:topLinePunct/>
              <w:adjustRightInd w:val="0"/>
              <w:snapToGrid w:val="0"/>
              <w:spacing w:after="0" w:line="240" w:lineRule="auto"/>
              <w:jc w:val="center"/>
              <w:outlineLvl w:val="9"/>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pPr>
              <w:widowControl w:val="0"/>
              <w:topLinePunct/>
              <w:adjustRightInd w:val="0"/>
              <w:snapToGrid w:val="0"/>
              <w:spacing w:after="0" w:line="240" w:lineRule="auto"/>
              <w:jc w:val="center"/>
              <w:outlineLvl w:val="9"/>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pPr>
              <w:widowControl w:val="0"/>
              <w:topLinePunct/>
              <w:adjustRightInd w:val="0"/>
              <w:snapToGrid w:val="0"/>
              <w:spacing w:after="0" w:line="240" w:lineRule="auto"/>
              <w:jc w:val="center"/>
              <w:outlineLvl w:val="9"/>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pPr>
              <w:pStyle w:val="30"/>
              <w:widowControl w:val="0"/>
              <w:topLinePunct/>
              <w:spacing w:after="0" w:line="240" w:lineRule="auto"/>
              <w:jc w:val="center"/>
              <w:outlineLvl w:val="9"/>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 w:val="24"/>
                <w:szCs w:val="24"/>
              </w:rPr>
              <w:t>措施</w:t>
            </w:r>
          </w:p>
        </w:tc>
        <w:tc>
          <w:tcPr>
            <w:tcW w:w="8749" w:type="dxa"/>
            <w:vAlign w:val="center"/>
          </w:tcPr>
          <w:p>
            <w:pPr>
              <w:widowControl w:val="0"/>
              <w:tabs>
                <w:tab w:val="left" w:pos="5400"/>
              </w:tabs>
              <w:topLinePunct/>
              <w:spacing w:after="0"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4.2.2.2 废水达标排放分析</w:t>
            </w:r>
          </w:p>
          <w:p>
            <w:pPr>
              <w:widowControl w:val="0"/>
              <w:topLinePunct/>
              <w:spacing w:after="0" w:line="360" w:lineRule="auto"/>
              <w:ind w:firstLine="480" w:firstLineChars="200"/>
              <w:outlineLvl w:val="9"/>
              <w:rPr>
                <w:rFonts w:hint="default" w:ascii="Times New Roman" w:hAnsi="Times New Roman" w:eastAsia="宋体" w:cs="Times New Roman"/>
                <w:color w:val="auto"/>
                <w:sz w:val="24"/>
                <w:szCs w:val="24"/>
                <w:lang w:bidi="he-IL"/>
              </w:rPr>
            </w:pPr>
            <w:r>
              <w:rPr>
                <w:rFonts w:hint="default" w:ascii="Times New Roman" w:hAnsi="Times New Roman" w:eastAsia="宋体" w:cs="Times New Roman"/>
                <w:color w:val="auto"/>
                <w:sz w:val="24"/>
                <w:szCs w:val="24"/>
              </w:rPr>
              <w:t>本项目综合废水经化粪池处理后通过市政管道进入融元污水处理厂深度处理后排放，综合废水处理后出水水质可符合《污水综合排放标准》（GB 8978-1996）表4中的三级排放标准要求（其中氨氮参照执行《污水排入城镇下水道水质标准》（GB/T 31962-2015）表1中B级标准限值）（COD≤500mg/L、BOD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≤300mg/L、SS≤400mg/L、氨氮≤45mg/L）</w:t>
            </w:r>
            <w:r>
              <w:rPr>
                <w:rFonts w:hint="default" w:ascii="Times New Roman" w:hAnsi="Times New Roman" w:eastAsia="宋体" w:cs="Times New Roman"/>
                <w:color w:val="auto"/>
                <w:sz w:val="24"/>
                <w:szCs w:val="24"/>
                <w:lang w:bidi="he-IL"/>
              </w:rPr>
              <w:t>。项目废水排放达标情况见表4.2-3。</w:t>
            </w:r>
          </w:p>
          <w:p>
            <w:pPr>
              <w:pStyle w:val="112"/>
              <w:keepLines w:val="0"/>
              <w:widowControl w:val="0"/>
              <w:topLinePunct/>
              <w:spacing w:before="0" w:beforeLines="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表4.2-3  本项目废水排放达标情况一览表</w:t>
            </w:r>
          </w:p>
          <w:tbl>
            <w:tblPr>
              <w:tblStyle w:val="37"/>
              <w:tblW w:w="0" w:type="auto"/>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15"/>
              <w:gridCol w:w="675"/>
              <w:gridCol w:w="939"/>
              <w:gridCol w:w="671"/>
              <w:gridCol w:w="1365"/>
              <w:gridCol w:w="1365"/>
              <w:gridCol w:w="1247"/>
              <w:gridCol w:w="1056"/>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1215"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废水污染源</w:t>
                  </w:r>
                </w:p>
              </w:tc>
              <w:tc>
                <w:tcPr>
                  <w:tcW w:w="1614" w:type="dxa"/>
                  <w:gridSpan w:val="2"/>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排水量m</w:t>
                  </w:r>
                  <w:r>
                    <w:rPr>
                      <w:rFonts w:hint="default" w:ascii="Times New Roman" w:hAnsi="Times New Roman" w:eastAsia="宋体" w:cs="Times New Roman"/>
                      <w:color w:val="auto"/>
                      <w:sz w:val="21"/>
                      <w:szCs w:val="21"/>
                      <w:vertAlign w:val="superscript"/>
                      <w:lang w:bidi="ar"/>
                    </w:rPr>
                    <w:t>3</w:t>
                  </w:r>
                  <w:r>
                    <w:rPr>
                      <w:rFonts w:hint="default" w:ascii="Times New Roman" w:hAnsi="Times New Roman" w:eastAsia="宋体" w:cs="Times New Roman"/>
                      <w:color w:val="auto"/>
                      <w:sz w:val="21"/>
                      <w:szCs w:val="21"/>
                      <w:lang w:bidi="ar"/>
                    </w:rPr>
                    <w:t>/a</w:t>
                  </w:r>
                </w:p>
              </w:tc>
              <w:tc>
                <w:tcPr>
                  <w:tcW w:w="671"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单位</w:t>
                  </w:r>
                </w:p>
              </w:tc>
              <w:tc>
                <w:tcPr>
                  <w:tcW w:w="1365"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COD</w:t>
                  </w:r>
                </w:p>
              </w:tc>
              <w:tc>
                <w:tcPr>
                  <w:tcW w:w="1365"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BOD</w:t>
                  </w:r>
                  <w:r>
                    <w:rPr>
                      <w:rFonts w:hint="default" w:ascii="Times New Roman" w:hAnsi="Times New Roman" w:eastAsia="宋体" w:cs="Times New Roman"/>
                      <w:color w:val="auto"/>
                      <w:sz w:val="21"/>
                      <w:szCs w:val="21"/>
                      <w:vertAlign w:val="subscript"/>
                      <w:lang w:bidi="ar"/>
                    </w:rPr>
                    <w:t>5</w:t>
                  </w:r>
                </w:p>
              </w:tc>
              <w:tc>
                <w:tcPr>
                  <w:tcW w:w="1247"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SS</w:t>
                  </w:r>
                </w:p>
              </w:tc>
              <w:tc>
                <w:tcPr>
                  <w:tcW w:w="1056"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NH</w:t>
                  </w:r>
                  <w:r>
                    <w:rPr>
                      <w:rFonts w:hint="default" w:ascii="Times New Roman" w:hAnsi="Times New Roman" w:eastAsia="宋体" w:cs="Times New Roman"/>
                      <w:color w:val="auto"/>
                      <w:sz w:val="21"/>
                      <w:szCs w:val="21"/>
                      <w:vertAlign w:val="subscript"/>
                      <w:lang w:bidi="ar"/>
                    </w:rPr>
                    <w:t>3</w:t>
                  </w:r>
                  <w:r>
                    <w:rPr>
                      <w:rFonts w:hint="default" w:ascii="Times New Roman" w:hAnsi="Times New Roman" w:eastAsia="宋体" w:cs="Times New Roman"/>
                      <w:color w:val="auto"/>
                      <w:sz w:val="21"/>
                      <w:szCs w:val="21"/>
                      <w:lang w:bidi="ar"/>
                    </w:rPr>
                    <w:t>-N</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1215" w:type="dxa"/>
                  <w:vMerge w:val="restart"/>
                  <w:tcBorders>
                    <w:tl2br w:val="nil"/>
                    <w:tr2bl w:val="nil"/>
                  </w:tcBorders>
                  <w:vAlign w:val="center"/>
                </w:tcPr>
                <w:p>
                  <w:pPr>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综合废水</w:t>
                  </w:r>
                </w:p>
              </w:tc>
              <w:tc>
                <w:tcPr>
                  <w:tcW w:w="675" w:type="dxa"/>
                  <w:vMerge w:val="restart"/>
                  <w:tcBorders>
                    <w:tl2br w:val="nil"/>
                    <w:tr2bl w:val="nil"/>
                  </w:tcBorders>
                  <w:vAlign w:val="center"/>
                </w:tcPr>
                <w:p>
                  <w:pPr>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520</w:t>
                  </w:r>
                </w:p>
              </w:tc>
              <w:tc>
                <w:tcPr>
                  <w:tcW w:w="939" w:type="dxa"/>
                  <w:tcBorders>
                    <w:tl2br w:val="nil"/>
                    <w:tr2bl w:val="nil"/>
                  </w:tcBorders>
                  <w:vAlign w:val="center"/>
                </w:tcPr>
                <w:p>
                  <w:pPr>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处理前</w:t>
                  </w:r>
                </w:p>
              </w:tc>
              <w:tc>
                <w:tcPr>
                  <w:tcW w:w="671"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mg/L</w:t>
                  </w:r>
                </w:p>
              </w:tc>
              <w:tc>
                <w:tcPr>
                  <w:tcW w:w="1365"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400</w:t>
                  </w:r>
                </w:p>
              </w:tc>
              <w:tc>
                <w:tcPr>
                  <w:tcW w:w="1365"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200</w:t>
                  </w:r>
                </w:p>
              </w:tc>
              <w:tc>
                <w:tcPr>
                  <w:tcW w:w="1247"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220</w:t>
                  </w:r>
                </w:p>
              </w:tc>
              <w:tc>
                <w:tcPr>
                  <w:tcW w:w="1056"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35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34" w:hRule="atLeast"/>
                <w:jc w:val="center"/>
              </w:trPr>
              <w:tc>
                <w:tcPr>
                  <w:tcW w:w="1215" w:type="dxa"/>
                  <w:vMerge w:val="continue"/>
                  <w:tcBorders>
                    <w:tl2br w:val="nil"/>
                    <w:tr2bl w:val="nil"/>
                  </w:tcBorders>
                  <w:vAlign w:val="center"/>
                </w:tcPr>
                <w:p>
                  <w:pPr>
                    <w:widowControl w:val="0"/>
                    <w:topLinePunct/>
                    <w:spacing w:after="0" w:line="240" w:lineRule="auto"/>
                    <w:outlineLvl w:val="9"/>
                    <w:rPr>
                      <w:rFonts w:hint="default" w:ascii="Times New Roman" w:hAnsi="Times New Roman" w:eastAsia="宋体" w:cs="Times New Roman"/>
                      <w:color w:val="auto"/>
                      <w:sz w:val="21"/>
                      <w:szCs w:val="21"/>
                    </w:rPr>
                  </w:pPr>
                </w:p>
              </w:tc>
              <w:tc>
                <w:tcPr>
                  <w:tcW w:w="675" w:type="dxa"/>
                  <w:vMerge w:val="continue"/>
                  <w:tcBorders>
                    <w:tl2br w:val="nil"/>
                    <w:tr2bl w:val="nil"/>
                  </w:tcBorders>
                  <w:vAlign w:val="center"/>
                </w:tcPr>
                <w:p>
                  <w:pPr>
                    <w:widowControl w:val="0"/>
                    <w:topLinePunct/>
                    <w:spacing w:after="0" w:line="240" w:lineRule="auto"/>
                    <w:outlineLvl w:val="9"/>
                    <w:rPr>
                      <w:rFonts w:hint="default" w:ascii="Times New Roman" w:hAnsi="Times New Roman" w:eastAsia="宋体" w:cs="Times New Roman"/>
                      <w:color w:val="auto"/>
                      <w:sz w:val="21"/>
                      <w:szCs w:val="21"/>
                    </w:rPr>
                  </w:pPr>
                </w:p>
              </w:tc>
              <w:tc>
                <w:tcPr>
                  <w:tcW w:w="939" w:type="dxa"/>
                  <w:tcBorders>
                    <w:tl2br w:val="nil"/>
                    <w:tr2bl w:val="nil"/>
                  </w:tcBorders>
                  <w:vAlign w:val="center"/>
                </w:tcPr>
                <w:p>
                  <w:pPr>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处理后</w:t>
                  </w:r>
                </w:p>
              </w:tc>
              <w:tc>
                <w:tcPr>
                  <w:tcW w:w="671"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mg/L</w:t>
                  </w:r>
                </w:p>
              </w:tc>
              <w:tc>
                <w:tcPr>
                  <w:tcW w:w="1365"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280</w:t>
                  </w:r>
                </w:p>
              </w:tc>
              <w:tc>
                <w:tcPr>
                  <w:tcW w:w="1365"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180</w:t>
                  </w:r>
                </w:p>
              </w:tc>
              <w:tc>
                <w:tcPr>
                  <w:tcW w:w="1247"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88</w:t>
                  </w:r>
                </w:p>
              </w:tc>
              <w:tc>
                <w:tcPr>
                  <w:tcW w:w="1056"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33.25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2829" w:type="dxa"/>
                  <w:gridSpan w:val="3"/>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《污水综合排放标准》（GB 8978-1996）表4中的三级排放标准</w:t>
                  </w:r>
                </w:p>
              </w:tc>
              <w:tc>
                <w:tcPr>
                  <w:tcW w:w="671"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mg/L</w:t>
                  </w:r>
                </w:p>
              </w:tc>
              <w:tc>
                <w:tcPr>
                  <w:tcW w:w="1365"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500</w:t>
                  </w:r>
                </w:p>
              </w:tc>
              <w:tc>
                <w:tcPr>
                  <w:tcW w:w="1365"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300</w:t>
                  </w:r>
                </w:p>
              </w:tc>
              <w:tc>
                <w:tcPr>
                  <w:tcW w:w="1247"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400</w:t>
                  </w:r>
                </w:p>
              </w:tc>
              <w:tc>
                <w:tcPr>
                  <w:tcW w:w="1056"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2829" w:type="dxa"/>
                  <w:gridSpan w:val="3"/>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达标性</w:t>
                  </w:r>
                </w:p>
              </w:tc>
              <w:tc>
                <w:tcPr>
                  <w:tcW w:w="671"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65"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达标</w:t>
                  </w:r>
                </w:p>
              </w:tc>
              <w:tc>
                <w:tcPr>
                  <w:tcW w:w="1365"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达标</w:t>
                  </w:r>
                </w:p>
              </w:tc>
              <w:tc>
                <w:tcPr>
                  <w:tcW w:w="1247"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达标</w:t>
                  </w:r>
                </w:p>
              </w:tc>
              <w:tc>
                <w:tcPr>
                  <w:tcW w:w="1056" w:type="dxa"/>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达标</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34" w:hRule="atLeast"/>
                <w:jc w:val="center"/>
              </w:trPr>
              <w:tc>
                <w:tcPr>
                  <w:tcW w:w="8533" w:type="dxa"/>
                  <w:gridSpan w:val="8"/>
                  <w:tcBorders>
                    <w:tl2br w:val="nil"/>
                    <w:tr2bl w:val="nil"/>
                  </w:tcBorders>
                  <w:vAlign w:val="center"/>
                </w:tcPr>
                <w:p>
                  <w:pPr>
                    <w:widowControl w:val="0"/>
                    <w:topLinePunct/>
                    <w:spacing w:after="0" w:line="240" w:lineRule="auto"/>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注：排放浓度为纳管排放量/排水量。</w:t>
                  </w:r>
                </w:p>
              </w:tc>
            </w:tr>
          </w:tbl>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4.2.2.3 废水治理措施可行性分析</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1、废水治理措施</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本项目综合废水排放量2.6m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/d（520t/a），依托</w:t>
            </w:r>
            <w:r>
              <w:rPr>
                <w:rFonts w:hint="eastAsia" w:ascii="Times New Roman" w:hAnsi="Times New Roman" w:eastAsia="宋体" w:cs="Times New Roman"/>
                <w:color w:val="auto"/>
                <w:sz w:val="24"/>
                <w:szCs w:val="24"/>
                <w:lang w:val="en-US" w:eastAsia="zh-CN"/>
              </w:rPr>
              <w:t>厂房南侧</w:t>
            </w:r>
            <w:r>
              <w:rPr>
                <w:rFonts w:hint="default" w:ascii="Times New Roman" w:hAnsi="Times New Roman" w:eastAsia="宋体" w:cs="Times New Roman"/>
                <w:color w:val="auto"/>
                <w:sz w:val="24"/>
                <w:szCs w:val="24"/>
              </w:rPr>
              <w:t>现有1个容积为50m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的化粪池处理</w:t>
            </w:r>
            <w:r>
              <w:rPr>
                <w:rFonts w:hint="default" w:ascii="Times New Roman" w:hAnsi="Times New Roman" w:eastAsia="宋体" w:cs="Times New Roman"/>
                <w:bCs/>
                <w:color w:val="auto"/>
                <w:kern w:val="28"/>
                <w:sz w:val="24"/>
                <w:szCs w:val="24"/>
              </w:rPr>
              <w:t>，由同一排放口</w:t>
            </w:r>
            <w:r>
              <w:rPr>
                <w:rFonts w:hint="default" w:ascii="Times New Roman" w:hAnsi="Times New Roman" w:eastAsia="宋体" w:cs="Times New Roman"/>
                <w:color w:val="auto"/>
                <w:sz w:val="24"/>
                <w:szCs w:val="24"/>
              </w:rPr>
              <w:t>接入市政污水管网。根据调查现厂区内该化粪池仅现有工程使用，根据《福清睿辉食品有限公司年产速冻食品300吨项目竣工环境保护验收监测报告》，</w:t>
            </w:r>
            <w:r>
              <w:rPr>
                <w:rFonts w:hint="default" w:ascii="Times New Roman" w:hAnsi="Times New Roman" w:eastAsia="宋体" w:cs="Times New Roman"/>
                <w:color w:val="auto"/>
                <w:sz w:val="24"/>
                <w:szCs w:val="24"/>
                <w:lang w:val="en-US" w:eastAsia="zh-CN"/>
              </w:rPr>
              <w:t>现有工程</w:t>
            </w:r>
            <w:r>
              <w:rPr>
                <w:rFonts w:hint="default" w:ascii="Times New Roman" w:hAnsi="Times New Roman" w:eastAsia="宋体" w:cs="Times New Roman"/>
                <w:color w:val="auto"/>
                <w:sz w:val="24"/>
                <w:szCs w:val="24"/>
              </w:rPr>
              <w:t>生产废水主要为设备、工作台及车间清洗废水，排放量为1.95m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/d，生活污水产生量约为1.5m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现有工程</w:t>
            </w:r>
            <w:r>
              <w:rPr>
                <w:rFonts w:hint="default" w:ascii="Times New Roman" w:hAnsi="Times New Roman" w:eastAsia="宋体" w:cs="Times New Roman"/>
                <w:color w:val="auto"/>
                <w:sz w:val="24"/>
                <w:szCs w:val="24"/>
              </w:rPr>
              <w:t>占用3.45m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本次扩建项目生活污水产生量为2.6m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/d，合计生活污水产量为6.05m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rPr>
              <w:t>仅占用化粪池容积的12.1%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能保证污水在化粪池的停留时间12h以上</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因此厂区化粪池可满足本项目生活污水的处理需求。综合废水经过厂区化粪池处理达到《污水综合排放标准》（GB8978-1996）表4中的三级标准（氨氮参照《污水排入城镇下水道水质标准》(GB/T31962-2015)表1中B级标准限值）后接入市政污水管网，纳入融元污水处理厂。融元污水处理厂尾水达到《城镇污水处理厂污染物排放标准》（GB18918-2002）一级A标准后排放。</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2、项目废水排入污水处理厂的可行性及影响分析</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（1）接管可行性</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目前该区域已布设污水管线，污水已实现接管，因此，本项目投入使用后员工生活污水能够接入融元污水处理厂。</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（2）水质负荷</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根据源强核算可知，项目综合废水经厂区化粪池处理后排入市政污水管网内污染物排放浓度均能满足《污水综合排放标准》(GB8978-1996)表4三级标准及《污水排入城镇下水道水质标准 》(GB/T31962-2015)表1中B级标准限值。</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项目废水所含污染因子浓度低，污染物成分简单，不含有腐蚀成分，污水可生化性高，因此从水质方面分析，项目废水预处理达标后符合融元污水处理厂接管水质要求，不会对污水处理厂水质负荷造成冲击。</w:t>
            </w:r>
          </w:p>
          <w:p>
            <w:pPr>
              <w:pStyle w:val="33"/>
              <w:widowControl w:val="0"/>
              <w:topLinePunct/>
              <w:spacing w:after="0" w:line="360" w:lineRule="auto"/>
              <w:ind w:firstLine="480"/>
              <w:jc w:val="both"/>
              <w:outlineLvl w:val="9"/>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（3）处理能力及处理工艺</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合废水经化粪池处理后引至市政污水管网引至融元污水处理厂集中处理。融元污水处理厂为城市二级污水处理厂，采用“处理+二级生化处理+深化处理”工艺，纳入融元污水处理厂的水质需要达到《污水综合排放标准》(GB8978-1996)表4中三级排放标准，本项目综合废水经过化粪池处理后，排放浓度能满足达标排放要求，其出水水质一般可符合融元污水处理厂的进水水质要求，生活污水可生化性较好，适合融元污水处理厂处理工艺。</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融元污水处理厂一期日处理污水能力达6万m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/d，二期日处理污水能力达6万m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/d，总设计处理能力达12万m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均已通过竣工环保验收，目前实际处理量11.85万吨左右，尚有余量。本项目的污水排放量为2.6t/d，水质简单，仅占融元污水处理厂剩余处理能力的0.002%，融元污水处理厂完全有能力接纳处理，对污水处理厂的处理负荷基本不会产生影响。</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综上所述，本项目新增生活污水依托厂区现有化粪池处理后接入市政污水管网排入融元污水处理厂处理是可行的。</w:t>
            </w:r>
          </w:p>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4.2.2.4水环境影响分析结论</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上述分析，本项目综合废水经厂区化粪池处理后排入市政污水管网，纳入融元污水处理厂集中处理达标后排放，项目废水水质、水量不会对污水处理厂造成负荷冲击。项目废水不直接排入地表水体，因此不会对区域地表水环境产生直接不利影响。</w:t>
            </w:r>
          </w:p>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4.2.2.5监测要求</w:t>
            </w:r>
          </w:p>
          <w:p>
            <w:pPr>
              <w:pStyle w:val="171"/>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bidi="zh-CN"/>
              </w:rPr>
              <w:t>对照</w:t>
            </w:r>
            <w:r>
              <w:rPr>
                <w:rFonts w:hint="default" w:ascii="Times New Roman" w:hAnsi="Times New Roman" w:eastAsia="宋体" w:cs="Times New Roman"/>
                <w:bCs/>
                <w:color w:val="auto"/>
                <w:sz w:val="24"/>
                <w:szCs w:val="24"/>
                <w:lang w:eastAsia="zh-CN"/>
              </w:rPr>
              <w:t>《排污许可证申请与核发技术规范 食品制造工业—方便食品、食品及饲料添加剂制造工业》（HJ 1030.3-2019）</w:t>
            </w:r>
            <w:r>
              <w:rPr>
                <w:rFonts w:hint="default" w:ascii="Times New Roman" w:hAnsi="Times New Roman" w:eastAsia="宋体" w:cs="Times New Roman"/>
                <w:color w:val="auto"/>
                <w:sz w:val="24"/>
                <w:szCs w:val="24"/>
                <w:lang w:eastAsia="zh-CN"/>
              </w:rPr>
              <w:t>、《排污单位自行监测技术指南 食品制造》（HJ 1084-2020）</w:t>
            </w:r>
            <w:r>
              <w:rPr>
                <w:rFonts w:hint="default" w:ascii="Times New Roman" w:hAnsi="Times New Roman" w:eastAsia="宋体" w:cs="Times New Roman"/>
                <w:color w:val="auto"/>
                <w:sz w:val="24"/>
                <w:szCs w:val="24"/>
                <w:lang w:eastAsia="zh-CN" w:bidi="zh-CN"/>
              </w:rPr>
              <w:t>，</w:t>
            </w:r>
            <w:r>
              <w:rPr>
                <w:rFonts w:hint="default" w:ascii="Times New Roman" w:hAnsi="Times New Roman" w:eastAsia="宋体" w:cs="Times New Roman"/>
                <w:color w:val="auto"/>
                <w:sz w:val="24"/>
                <w:szCs w:val="24"/>
                <w:lang w:eastAsia="zh-CN"/>
              </w:rPr>
              <w:t>项目废水监测要求详见表4.2-4。</w:t>
            </w:r>
          </w:p>
          <w:p>
            <w:pPr>
              <w:pStyle w:val="177"/>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表4.2-4  监测计划内容一览表</w:t>
            </w:r>
          </w:p>
          <w:tbl>
            <w:tblPr>
              <w:tblStyle w:val="37"/>
              <w:tblW w:w="4998"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61"/>
              <w:gridCol w:w="1655"/>
              <w:gridCol w:w="3133"/>
              <w:gridCol w:w="1333"/>
              <w:gridCol w:w="1148"/>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39"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监测内容</w:t>
                  </w:r>
                </w:p>
              </w:tc>
              <w:tc>
                <w:tcPr>
                  <w:tcW w:w="970"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监测位置</w:t>
                  </w:r>
                </w:p>
              </w:tc>
              <w:tc>
                <w:tcPr>
                  <w:tcW w:w="1836"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781"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监测频率</w:t>
                  </w:r>
                </w:p>
              </w:tc>
              <w:tc>
                <w:tcPr>
                  <w:tcW w:w="672"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739"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970"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DW001废水排放口</w:t>
                  </w:r>
                </w:p>
              </w:tc>
              <w:tc>
                <w:tcPr>
                  <w:tcW w:w="1836"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流量、pH、COD、BOD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-N、总磷、动植物油</w:t>
                  </w:r>
                </w:p>
              </w:tc>
              <w:tc>
                <w:tcPr>
                  <w:tcW w:w="781"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1次/半年</w:t>
                  </w:r>
                </w:p>
              </w:tc>
              <w:tc>
                <w:tcPr>
                  <w:tcW w:w="672"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w:t>
                  </w:r>
                </w:p>
              </w:tc>
            </w:tr>
          </w:tbl>
          <w:p>
            <w:pPr>
              <w:pStyle w:val="171"/>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lang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30"/>
              <w:widowControl w:val="0"/>
              <w:topLinePunct/>
              <w:spacing w:after="0" w:line="240" w:lineRule="auto"/>
              <w:jc w:val="center"/>
              <w:outlineLvl w:val="9"/>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 w:val="24"/>
                <w:szCs w:val="24"/>
              </w:rPr>
              <w:t>运营期环境影响和保护措施</w:t>
            </w:r>
          </w:p>
        </w:tc>
        <w:tc>
          <w:tcPr>
            <w:tcW w:w="8749" w:type="dxa"/>
            <w:vAlign w:val="center"/>
          </w:tcPr>
          <w:p>
            <w:pPr>
              <w:pStyle w:val="4"/>
              <w:keepNext w:val="0"/>
              <w:keepLines w:val="0"/>
              <w:widowControl w:val="0"/>
              <w:topLinePunct/>
              <w:spacing w:before="0"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4.2.3 运营期噪声影响分析和防范措施</w:t>
            </w:r>
          </w:p>
          <w:p>
            <w:pPr>
              <w:widowControl w:val="0"/>
              <w:tabs>
                <w:tab w:val="left" w:pos="5400"/>
              </w:tabs>
              <w:topLinePunct/>
              <w:spacing w:after="0"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4.2.3.1 噪声源强分析</w:t>
            </w:r>
          </w:p>
          <w:p>
            <w:pPr>
              <w:pStyle w:val="170"/>
              <w:widowControl w:val="0"/>
              <w:topLinePunct/>
              <w:spacing w:after="0"/>
              <w:ind w:firstLine="48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工程分析，项目运营期大部分为连续排放，声级范围在70～80dB之间。以生产车间中心119.317950°，25.725084°为坐标原点，正东向为X轴正方向，正北向为Y轴正方向，步距为1m。项目设备均放置在室内，各噪声源与场界的距离见表4.2-5。</w:t>
            </w:r>
          </w:p>
          <w:p>
            <w:pPr>
              <w:pStyle w:val="177"/>
              <w:widowControl w:val="0"/>
              <w:topLinePunct/>
              <w:spacing w:after="0" w:line="360" w:lineRule="auto"/>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表4.2-5  主要噪声设备声级特性 单位：dB（A）</w:t>
            </w:r>
          </w:p>
          <w:tbl>
            <w:tblPr>
              <w:tblStyle w:val="37"/>
              <w:tblW w:w="4997"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10"/>
              <w:gridCol w:w="1156"/>
              <w:gridCol w:w="778"/>
              <w:gridCol w:w="734"/>
              <w:gridCol w:w="889"/>
              <w:gridCol w:w="1256"/>
              <w:gridCol w:w="1121"/>
              <w:gridCol w:w="819"/>
              <w:gridCol w:w="707"/>
              <w:gridCol w:w="658"/>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40" w:type="pct"/>
                  <w:vMerge w:val="restar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位置</w:t>
                  </w:r>
                </w:p>
              </w:tc>
              <w:tc>
                <w:tcPr>
                  <w:tcW w:w="677" w:type="pct"/>
                  <w:vMerge w:val="restar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w:t>
                  </w:r>
                </w:p>
              </w:tc>
              <w:tc>
                <w:tcPr>
                  <w:tcW w:w="456" w:type="pct"/>
                  <w:vMerge w:val="restar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数量（台/套）</w:t>
                  </w:r>
                </w:p>
              </w:tc>
              <w:tc>
                <w:tcPr>
                  <w:tcW w:w="430" w:type="pct"/>
                  <w:vMerge w:val="restar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声源类型</w:t>
                  </w:r>
                </w:p>
              </w:tc>
              <w:tc>
                <w:tcPr>
                  <w:tcW w:w="521" w:type="pct"/>
                  <w:vMerge w:val="restar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噪声源强</w:t>
                  </w:r>
                </w:p>
              </w:tc>
              <w:tc>
                <w:tcPr>
                  <w:tcW w:w="736" w:type="pct"/>
                  <w:vMerge w:val="restar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坐标（x,y,z）</w:t>
                  </w:r>
                </w:p>
              </w:tc>
              <w:tc>
                <w:tcPr>
                  <w:tcW w:w="1137" w:type="pct"/>
                  <w:gridSpan w:val="2"/>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降噪措施</w:t>
                  </w:r>
                </w:p>
              </w:tc>
              <w:tc>
                <w:tcPr>
                  <w:tcW w:w="414" w:type="pct"/>
                  <w:vMerge w:val="restar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持续时间（h/d）</w:t>
                  </w:r>
                </w:p>
              </w:tc>
              <w:tc>
                <w:tcPr>
                  <w:tcW w:w="385" w:type="pct"/>
                  <w:vMerge w:val="restar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排放值</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45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430"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521"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736"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57" w:type="pc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w:t>
                  </w:r>
                </w:p>
              </w:tc>
              <w:tc>
                <w:tcPr>
                  <w:tcW w:w="479" w:type="pc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降噪效果</w:t>
                  </w:r>
                </w:p>
              </w:tc>
              <w:tc>
                <w:tcPr>
                  <w:tcW w:w="414" w:type="pct"/>
                  <w:vMerge w:val="continue"/>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40" w:type="pct"/>
                  <w:vMerge w:val="restar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677" w:type="pct"/>
                  <w:vMerge w:val="restar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lang w:bidi="ar"/>
                    </w:rPr>
                  </w:pPr>
                  <w:r>
                    <w:rPr>
                      <w:rStyle w:val="63"/>
                      <w:rFonts w:hint="default" w:ascii="Times New Roman" w:hAnsi="Times New Roman" w:cs="Times New Roman"/>
                      <w:color w:val="auto"/>
                      <w:sz w:val="21"/>
                      <w:szCs w:val="21"/>
                    </w:rPr>
                    <w:t>和成机</w:t>
                  </w:r>
                </w:p>
              </w:tc>
              <w:tc>
                <w:tcPr>
                  <w:tcW w:w="456" w:type="pct"/>
                  <w:vMerge w:val="restar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30"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3,25,1.2</w:t>
                  </w:r>
                </w:p>
              </w:tc>
              <w:tc>
                <w:tcPr>
                  <w:tcW w:w="657"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479"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8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7" w:type="pct"/>
                  <w:vMerge w:val="continue"/>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p>
              </w:tc>
              <w:tc>
                <w:tcPr>
                  <w:tcW w:w="456" w:type="pct"/>
                  <w:vMerge w:val="continue"/>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p>
              </w:tc>
              <w:tc>
                <w:tcPr>
                  <w:tcW w:w="430"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4,25,1.2</w:t>
                  </w:r>
                </w:p>
              </w:tc>
              <w:tc>
                <w:tcPr>
                  <w:tcW w:w="657"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479"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8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7"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lang w:bidi="ar"/>
                    </w:rPr>
                  </w:pPr>
                  <w:r>
                    <w:rPr>
                      <w:rStyle w:val="63"/>
                      <w:rFonts w:hint="default" w:ascii="Times New Roman" w:hAnsi="Times New Roman" w:cs="Times New Roman"/>
                      <w:color w:val="auto"/>
                      <w:sz w:val="21"/>
                      <w:szCs w:val="21"/>
                    </w:rPr>
                    <w:t>成型机</w:t>
                  </w:r>
                </w:p>
              </w:tc>
              <w:tc>
                <w:tcPr>
                  <w:tcW w:w="456"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30"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5,20,1.2</w:t>
                  </w:r>
                </w:p>
              </w:tc>
              <w:tc>
                <w:tcPr>
                  <w:tcW w:w="657"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479"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8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7"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lang w:bidi="ar"/>
                    </w:rPr>
                  </w:pPr>
                  <w:r>
                    <w:rPr>
                      <w:rStyle w:val="63"/>
                      <w:rFonts w:hint="default" w:ascii="Times New Roman" w:hAnsi="Times New Roman" w:cs="Times New Roman"/>
                      <w:color w:val="auto"/>
                      <w:sz w:val="21"/>
                      <w:szCs w:val="21"/>
                    </w:rPr>
                    <w:t>烤炉</w:t>
                  </w:r>
                </w:p>
              </w:tc>
              <w:tc>
                <w:tcPr>
                  <w:tcW w:w="456"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30" w:type="pc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-10,20,1.2</w:t>
                  </w:r>
                </w:p>
              </w:tc>
              <w:tc>
                <w:tcPr>
                  <w:tcW w:w="657"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479"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8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7"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rPr>
                  </w:pPr>
                  <w:r>
                    <w:rPr>
                      <w:rStyle w:val="63"/>
                      <w:rFonts w:hint="default" w:ascii="Times New Roman" w:hAnsi="Times New Roman" w:cs="Times New Roman"/>
                      <w:color w:val="auto"/>
                      <w:sz w:val="21"/>
                      <w:szCs w:val="21"/>
                    </w:rPr>
                    <w:t>包装机</w:t>
                  </w:r>
                </w:p>
              </w:tc>
              <w:tc>
                <w:tcPr>
                  <w:tcW w:w="456"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30" w:type="pc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-6,-6,1.2</w:t>
                  </w:r>
                </w:p>
              </w:tc>
              <w:tc>
                <w:tcPr>
                  <w:tcW w:w="657"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479"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8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7" w:type="pct"/>
                  <w:tcBorders>
                    <w:tl2br w:val="nil"/>
                    <w:tr2bl w:val="nil"/>
                  </w:tcBorders>
                  <w:vAlign w:val="center"/>
                </w:tcPr>
                <w:p>
                  <w:pPr>
                    <w:pStyle w:val="158"/>
                    <w:spacing w:after="0" w:line="240" w:lineRule="auto"/>
                    <w:jc w:val="center"/>
                    <w:outlineLvl w:val="9"/>
                    <w:rPr>
                      <w:rFonts w:hint="default" w:ascii="Times New Roman" w:hAnsi="Times New Roman" w:eastAsia="宋体" w:cs="Times New Roman"/>
                      <w:color w:val="auto"/>
                      <w:sz w:val="21"/>
                      <w:szCs w:val="21"/>
                    </w:rPr>
                  </w:pPr>
                  <w:r>
                    <w:rPr>
                      <w:rStyle w:val="63"/>
                      <w:rFonts w:hint="default" w:ascii="Times New Roman" w:hAnsi="Times New Roman" w:cs="Times New Roman"/>
                      <w:color w:val="auto"/>
                      <w:sz w:val="21"/>
                      <w:szCs w:val="21"/>
                    </w:rPr>
                    <w:t>冻库</w:t>
                  </w:r>
                </w:p>
              </w:tc>
              <w:tc>
                <w:tcPr>
                  <w:tcW w:w="456"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30" w:type="pc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偶发</w:t>
                  </w:r>
                </w:p>
              </w:tc>
              <w:tc>
                <w:tcPr>
                  <w:tcW w:w="521"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736" w:type="pc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-15,-20,1.2</w:t>
                  </w:r>
                </w:p>
              </w:tc>
              <w:tc>
                <w:tcPr>
                  <w:tcW w:w="657"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479"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8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p>
              </w:tc>
              <w:tc>
                <w:tcPr>
                  <w:tcW w:w="677" w:type="pct"/>
                  <w:tcBorders>
                    <w:tl2br w:val="nil"/>
                    <w:tr2bl w:val="nil"/>
                  </w:tcBorders>
                  <w:vAlign w:val="center"/>
                </w:tcPr>
                <w:p>
                  <w:pPr>
                    <w:pStyle w:val="158"/>
                    <w:spacing w:after="0" w:line="240" w:lineRule="auto"/>
                    <w:jc w:val="center"/>
                    <w:outlineLvl w:val="9"/>
                    <w:rPr>
                      <w:rFonts w:hint="eastAsia" w:ascii="Times New Roman" w:hAnsi="Times New Roman" w:eastAsia="宋体" w:cs="Times New Roman"/>
                      <w:color w:val="auto"/>
                      <w:sz w:val="21"/>
                      <w:szCs w:val="21"/>
                      <w:lang w:eastAsia="zh-CN"/>
                    </w:rPr>
                  </w:pPr>
                  <w:r>
                    <w:rPr>
                      <w:rStyle w:val="63"/>
                      <w:rFonts w:hint="default" w:ascii="Times New Roman" w:hAnsi="Times New Roman" w:cs="Times New Roman"/>
                      <w:color w:val="auto"/>
                      <w:sz w:val="21"/>
                      <w:szCs w:val="21"/>
                    </w:rPr>
                    <w:t>冷却</w:t>
                  </w:r>
                  <w:r>
                    <w:rPr>
                      <w:rStyle w:val="63"/>
                      <w:rFonts w:hint="eastAsia" w:ascii="Times New Roman" w:hAnsi="Times New Roman" w:eastAsia="宋体" w:cs="Times New Roman"/>
                      <w:color w:val="auto"/>
                      <w:sz w:val="21"/>
                      <w:szCs w:val="21"/>
                      <w:lang w:val="en-US" w:eastAsia="zh-CN"/>
                    </w:rPr>
                    <w:t>置物架</w:t>
                  </w:r>
                </w:p>
              </w:tc>
              <w:tc>
                <w:tcPr>
                  <w:tcW w:w="456"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30" w:type="pc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tcBorders>
                    <w:tl2br w:val="nil"/>
                    <w:tr2bl w:val="nil"/>
                  </w:tcBorders>
                  <w:vAlign w:val="center"/>
                </w:tcPr>
                <w:p>
                  <w:pPr>
                    <w:widowControl w:val="0"/>
                    <w:topLinePunct/>
                    <w:adjustRightIn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7"/>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-13,5,1.2</w:t>
                  </w:r>
                </w:p>
              </w:tc>
              <w:tc>
                <w:tcPr>
                  <w:tcW w:w="657"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479"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8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bl>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4.2.3.2噪声达标及影响分析</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声环境》（HJ2.4-2021）附录B，声环境影响预测，一般采用声源的倍频带声功率级、A声功率级或靠近声源某一位置的倍频带声压级、A声级来预测计算距声源不同距离的声级。工业声源有室外和室内两种声源，本项目仅涉及室内声源，因此仅进行室内声源的计算。</w:t>
            </w:r>
          </w:p>
          <w:p>
            <w:pPr>
              <w:pStyle w:val="147"/>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厂界噪声影响预测结果见表4.2-6。 </w:t>
            </w:r>
          </w:p>
          <w:p>
            <w:pPr>
              <w:widowControl w:val="0"/>
              <w:tabs>
                <w:tab w:val="left" w:pos="4659"/>
              </w:tabs>
              <w:topLinePunct/>
              <w:spacing w:after="0" w:line="360" w:lineRule="auto"/>
              <w:jc w:val="center"/>
              <w:outlineLvl w:val="9"/>
              <w:rPr>
                <w:rFonts w:hint="default" w:ascii="Times New Roman" w:hAnsi="Times New Roman" w:eastAsia="宋体" w:cs="Times New Roman"/>
                <w:b/>
                <w:color w:val="auto"/>
              </w:rPr>
            </w:pPr>
            <w:r>
              <w:rPr>
                <w:rFonts w:hint="default" w:ascii="Times New Roman" w:hAnsi="Times New Roman" w:eastAsia="宋体" w:cs="Times New Roman"/>
                <w:b/>
                <w:color w:val="auto"/>
                <w:sz w:val="24"/>
                <w:szCs w:val="24"/>
              </w:rPr>
              <w:t>表4.2-6   项目厂界噪声影响预测汇总表</w:t>
            </w:r>
          </w:p>
          <w:tbl>
            <w:tblPr>
              <w:tblStyle w:val="37"/>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1365"/>
              <w:gridCol w:w="2012"/>
              <w:gridCol w:w="2014"/>
              <w:gridCol w:w="162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886" w:type="pct"/>
                  <w:tcBorders>
                    <w:tl2br w:val="nil"/>
                    <w:tr2bl w:val="nil"/>
                  </w:tcBorders>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预测方位</w:t>
                  </w:r>
                </w:p>
              </w:tc>
              <w:tc>
                <w:tcPr>
                  <w:tcW w:w="800" w:type="pct"/>
                  <w:tcBorders>
                    <w:tl2br w:val="nil"/>
                    <w:tr2bl w:val="nil"/>
                  </w:tcBorders>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时段</w:t>
                  </w:r>
                </w:p>
              </w:tc>
              <w:tc>
                <w:tcPr>
                  <w:tcW w:w="1179" w:type="pct"/>
                  <w:tcBorders>
                    <w:tl2br w:val="nil"/>
                    <w:tr2bl w:val="nil"/>
                  </w:tcBorders>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贡献值（dB(A)）</w:t>
                  </w:r>
                </w:p>
              </w:tc>
              <w:tc>
                <w:tcPr>
                  <w:tcW w:w="1180" w:type="pct"/>
                  <w:tcBorders>
                    <w:tl2br w:val="nil"/>
                    <w:tr2bl w:val="nil"/>
                  </w:tcBorders>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标准限值（dB(A)）</w:t>
                  </w:r>
                </w:p>
              </w:tc>
              <w:tc>
                <w:tcPr>
                  <w:tcW w:w="953" w:type="pct"/>
                  <w:tcBorders>
                    <w:tl2br w:val="nil"/>
                    <w:tr2bl w:val="nil"/>
                  </w:tcBorders>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7" w:hRule="exact"/>
                <w:jc w:val="center"/>
              </w:trPr>
              <w:tc>
                <w:tcPr>
                  <w:tcW w:w="886" w:type="pct"/>
                  <w:tcBorders>
                    <w:tl2br w:val="nil"/>
                    <w:tr2bl w:val="nil"/>
                  </w:tcBorders>
                  <w:shd w:val="clear" w:color="auto" w:fill="FFFFFF"/>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800" w:type="pct"/>
                  <w:tcBorders>
                    <w:tl2br w:val="nil"/>
                    <w:tr2bl w:val="nil"/>
                  </w:tcBorders>
                  <w:shd w:val="clear" w:color="auto" w:fill="FFFFFF"/>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179" w:type="pct"/>
                  <w:tcBorders>
                    <w:tl2br w:val="nil"/>
                    <w:tr2bl w:val="nil"/>
                  </w:tcBorders>
                  <w:shd w:val="clear" w:color="auto" w:fill="FFFFFF"/>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41.46</w:t>
                  </w:r>
                </w:p>
              </w:tc>
              <w:tc>
                <w:tcPr>
                  <w:tcW w:w="1180" w:type="pct"/>
                  <w:tcBorders>
                    <w:tl2br w:val="nil"/>
                    <w:tr2bl w:val="nil"/>
                  </w:tcBorders>
                  <w:shd w:val="clear" w:color="auto" w:fill="FFFFFF"/>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53" w:type="pct"/>
                  <w:tcBorders>
                    <w:tl2br w:val="nil"/>
                    <w:tr2bl w:val="nil"/>
                  </w:tcBorders>
                  <w:shd w:val="clear" w:color="auto" w:fill="FFFFFF"/>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7" w:hRule="exact"/>
                <w:jc w:val="center"/>
              </w:trPr>
              <w:tc>
                <w:tcPr>
                  <w:tcW w:w="886" w:type="pct"/>
                  <w:tcBorders>
                    <w:tl2br w:val="nil"/>
                    <w:tr2bl w:val="nil"/>
                  </w:tcBorders>
                  <w:shd w:val="clear" w:color="auto" w:fill="FFFFFF"/>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800" w:type="pct"/>
                  <w:tcBorders>
                    <w:tl2br w:val="nil"/>
                    <w:tr2bl w:val="nil"/>
                  </w:tcBorders>
                  <w:shd w:val="clear" w:color="auto" w:fill="FFFFFF"/>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179" w:type="pct"/>
                  <w:tcBorders>
                    <w:tl2br w:val="nil"/>
                    <w:tr2bl w:val="nil"/>
                  </w:tcBorders>
                  <w:shd w:val="clear" w:color="auto" w:fill="FFFFFF"/>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34.25</w:t>
                  </w:r>
                </w:p>
              </w:tc>
              <w:tc>
                <w:tcPr>
                  <w:tcW w:w="1180" w:type="pct"/>
                  <w:tcBorders>
                    <w:tl2br w:val="nil"/>
                    <w:tr2bl w:val="nil"/>
                  </w:tcBorders>
                  <w:shd w:val="clear" w:color="auto" w:fill="FFFFFF"/>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53" w:type="pct"/>
                  <w:tcBorders>
                    <w:tl2br w:val="nil"/>
                    <w:tr2bl w:val="nil"/>
                  </w:tcBorders>
                  <w:shd w:val="clear" w:color="auto" w:fill="FFFFFF"/>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7" w:hRule="exact"/>
                <w:jc w:val="center"/>
              </w:trPr>
              <w:tc>
                <w:tcPr>
                  <w:tcW w:w="886" w:type="pct"/>
                  <w:tcBorders>
                    <w:tl2br w:val="nil"/>
                    <w:tr2bl w:val="nil"/>
                  </w:tcBorders>
                  <w:shd w:val="clear" w:color="auto" w:fill="FFFFFF"/>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800" w:type="pct"/>
                  <w:tcBorders>
                    <w:tl2br w:val="nil"/>
                    <w:tr2bl w:val="nil"/>
                  </w:tcBorders>
                  <w:shd w:val="clear" w:color="auto" w:fill="FFFFFF"/>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179" w:type="pct"/>
                  <w:tcBorders>
                    <w:tl2br w:val="nil"/>
                    <w:tr2bl w:val="nil"/>
                  </w:tcBorders>
                  <w:shd w:val="clear" w:color="auto" w:fill="FFFFFF"/>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40.97</w:t>
                  </w:r>
                </w:p>
              </w:tc>
              <w:tc>
                <w:tcPr>
                  <w:tcW w:w="1180" w:type="pct"/>
                  <w:tcBorders>
                    <w:tl2br w:val="nil"/>
                    <w:tr2bl w:val="nil"/>
                  </w:tcBorders>
                  <w:shd w:val="clear" w:color="auto" w:fill="FFFFFF"/>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53" w:type="pct"/>
                  <w:tcBorders>
                    <w:tl2br w:val="nil"/>
                    <w:tr2bl w:val="nil"/>
                  </w:tcBorders>
                  <w:shd w:val="clear" w:color="auto" w:fill="FFFFFF"/>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7" w:hRule="exact"/>
                <w:jc w:val="center"/>
              </w:trPr>
              <w:tc>
                <w:tcPr>
                  <w:tcW w:w="886" w:type="pct"/>
                  <w:tcBorders>
                    <w:tl2br w:val="nil"/>
                    <w:tr2bl w:val="nil"/>
                  </w:tcBorders>
                  <w:shd w:val="clear" w:color="auto" w:fill="FFFFFF"/>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800" w:type="pct"/>
                  <w:tcBorders>
                    <w:tl2br w:val="nil"/>
                    <w:tr2bl w:val="nil"/>
                  </w:tcBorders>
                  <w:shd w:val="clear" w:color="auto" w:fill="FFFFFF"/>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179" w:type="pct"/>
                  <w:tcBorders>
                    <w:tl2br w:val="nil"/>
                    <w:tr2bl w:val="nil"/>
                  </w:tcBorders>
                  <w:shd w:val="clear" w:color="auto" w:fill="FFFFFF"/>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34.48</w:t>
                  </w:r>
                </w:p>
              </w:tc>
              <w:tc>
                <w:tcPr>
                  <w:tcW w:w="1180" w:type="pct"/>
                  <w:tcBorders>
                    <w:tl2br w:val="nil"/>
                    <w:tr2bl w:val="nil"/>
                  </w:tcBorders>
                  <w:shd w:val="clear" w:color="auto" w:fill="FFFFFF"/>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53" w:type="pct"/>
                  <w:tcBorders>
                    <w:tl2br w:val="nil"/>
                    <w:tr2bl w:val="nil"/>
                  </w:tcBorders>
                  <w:shd w:val="clear" w:color="auto" w:fill="FFFFFF"/>
                  <w:vAlign w:val="center"/>
                </w:tcPr>
                <w:p>
                  <w:pPr>
                    <w:pStyle w:val="185"/>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pStyle w:val="170"/>
              <w:widowControl w:val="0"/>
              <w:topLinePunct/>
              <w:spacing w:after="0"/>
              <w:ind w:firstLine="48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由上表可知，本项目投产后正常运行过程中对厂界的噪声贡献值可以满足《工业企业厂界环境噪声排放标准》（GB12348-2008）3类标准，正常生产时不会造成噪声污染，声环境影响可以接受。</w:t>
            </w:r>
          </w:p>
          <w:p>
            <w:pPr>
              <w:widowControl w:val="0"/>
              <w:tabs>
                <w:tab w:val="left" w:pos="5400"/>
              </w:tabs>
              <w:topLinePunct/>
              <w:spacing w:after="0"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4.2.3.3 噪声治理措施可行性分析</w:t>
            </w:r>
          </w:p>
          <w:p>
            <w:pPr>
              <w:widowControl w:val="0"/>
              <w:topLinePunct/>
              <w:spacing w:after="0"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根据对本项目运营期噪声环境影响分析可得：各厂界可达到《工业企业厂界环境噪声排放标准》（GB 12348-2008）中相应标准限值。因此项目运营后产生的噪声对周边声环境产生影响较小。但厂方应对高噪声设备采取减震等综合措施进行降噪，加大设备用房的隔声效果，确保厂界噪声达标排放。本次环评建议厂方采取以下措施来减小噪声对外界环境的影响：</w:t>
            </w:r>
          </w:p>
          <w:p>
            <w:pPr>
              <w:widowControl w:val="0"/>
              <w:topLinePunct/>
              <w:spacing w:after="0"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（1）设备应合理布局，尽可能使高噪声设备远离居民敏感点，减少噪声对居民生活的影响。</w:t>
            </w:r>
          </w:p>
          <w:p>
            <w:pPr>
              <w:widowControl w:val="0"/>
              <w:topLinePunct/>
              <w:spacing w:after="0"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加强设备的安装、调试、使用和维护管理。建立设备使用档案，做好日常维护保养，使其处于良好的工况下运行。正确的安装、调试、使用，良好的润滑和合理有效的检修，积极应用各种设备状态监测和故障诊断技术，对运行的设备进行及时、合理而有效的维护保养，能有效防止零部件的松动、磨损和设备运转状态的劣化，从而减小摩擦和撞击振动所产生的噪声。综上，本项目运营期声防治措施基本可行。</w:t>
            </w:r>
          </w:p>
          <w:p>
            <w:pPr>
              <w:widowControl w:val="0"/>
              <w:tabs>
                <w:tab w:val="left" w:pos="5400"/>
              </w:tabs>
              <w:topLinePunct/>
              <w:spacing w:after="0"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4.2.3.4监测要求</w:t>
            </w:r>
          </w:p>
          <w:p>
            <w:pPr>
              <w:pStyle w:val="174"/>
              <w:widowControl w:val="0"/>
              <w:topLinePunct/>
              <w:spacing w:after="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根据《排污许可证申请与核发技术规范 工业噪声》（HJ 1301-2023），项目声环境监测计划见表4.2-7。</w:t>
            </w:r>
          </w:p>
          <w:p>
            <w:pPr>
              <w:pStyle w:val="174"/>
              <w:widowControl w:val="0"/>
              <w:topLinePunct/>
              <w:spacing w:after="0"/>
              <w:ind w:firstLine="0" w:firstLineChars="0"/>
              <w:jc w:val="center"/>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表4.2-7  声环境监测计划内容一览表</w:t>
            </w:r>
          </w:p>
          <w:tbl>
            <w:tblPr>
              <w:tblStyle w:val="37"/>
              <w:tblW w:w="4998" w:type="pct"/>
              <w:tblInd w:w="0" w:type="dxa"/>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2"/>
              <w:gridCol w:w="2563"/>
              <w:gridCol w:w="1862"/>
              <w:gridCol w:w="1756"/>
              <w:gridCol w:w="1137"/>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监测内容</w:t>
                  </w:r>
                </w:p>
              </w:tc>
              <w:tc>
                <w:tcPr>
                  <w:tcW w:w="1502"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监测位置</w:t>
                  </w:r>
                </w:p>
              </w:tc>
              <w:tc>
                <w:tcPr>
                  <w:tcW w:w="1091"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1029"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监测频率</w:t>
                  </w:r>
                </w:p>
              </w:tc>
              <w:tc>
                <w:tcPr>
                  <w:tcW w:w="666"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502"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东、西、南、北厂界外1m</w:t>
                  </w:r>
                </w:p>
              </w:tc>
              <w:tc>
                <w:tcPr>
                  <w:tcW w:w="1091"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p>
              </w:tc>
              <w:tc>
                <w:tcPr>
                  <w:tcW w:w="1029"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1次/季</w:t>
                  </w:r>
                </w:p>
              </w:tc>
              <w:tc>
                <w:tcPr>
                  <w:tcW w:w="666" w:type="pct"/>
                  <w:tcBorders>
                    <w:tl2br w:val="nil"/>
                    <w:tr2bl w:val="nil"/>
                  </w:tcBorders>
                  <w:vAlign w:val="center"/>
                </w:tcPr>
                <w:p>
                  <w:pPr>
                    <w:pStyle w:val="179"/>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w:t>
                  </w:r>
                </w:p>
              </w:tc>
            </w:tr>
          </w:tbl>
          <w:p>
            <w:pPr>
              <w:pStyle w:val="4"/>
              <w:keepNext w:val="0"/>
              <w:keepLines w:val="0"/>
              <w:widowControl w:val="0"/>
              <w:topLinePunct/>
              <w:spacing w:before="0"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4.2.4 运营期固废影响分析和防范措施</w:t>
            </w:r>
          </w:p>
          <w:p>
            <w:pPr>
              <w:widowControl w:val="0"/>
              <w:tabs>
                <w:tab w:val="left" w:pos="5400"/>
              </w:tabs>
              <w:topLinePunct/>
              <w:spacing w:after="0"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4.2.4.1 固废种类</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项目固废主要为生产过程中产生的一般工业固废（</w:t>
            </w:r>
            <w:r>
              <w:rPr>
                <w:rFonts w:hint="eastAsia" w:ascii="Times New Roman" w:hAnsi="Times New Roman" w:eastAsia="宋体" w:cs="Times New Roman"/>
                <w:color w:val="auto"/>
                <w:sz w:val="24"/>
                <w:szCs w:val="24"/>
                <w:lang w:val="en-US" w:eastAsia="zh-CN"/>
              </w:rPr>
              <w:t>吸尘器收集的粉尘、</w:t>
            </w:r>
            <w:r>
              <w:rPr>
                <w:rFonts w:hint="default" w:ascii="Times New Roman" w:hAnsi="Times New Roman" w:eastAsia="宋体" w:cs="Times New Roman"/>
                <w:color w:val="auto"/>
                <w:sz w:val="24"/>
                <w:szCs w:val="24"/>
              </w:rPr>
              <w:t>残次品、废包装</w:t>
            </w:r>
            <w:r>
              <w:rPr>
                <w:rFonts w:hint="eastAsia" w:ascii="Times New Roman" w:hAnsi="Times New Roman" w:eastAsia="宋体" w:cs="Times New Roman"/>
                <w:color w:val="auto"/>
                <w:sz w:val="24"/>
                <w:szCs w:val="24"/>
                <w:lang w:val="en-US" w:eastAsia="zh-CN"/>
              </w:rPr>
              <w:t>材料</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废抹布、拖布）</w:t>
            </w:r>
            <w:r>
              <w:rPr>
                <w:rFonts w:hint="default" w:ascii="Times New Roman" w:hAnsi="Times New Roman" w:eastAsia="宋体" w:cs="Times New Roman"/>
                <w:color w:val="auto"/>
                <w:sz w:val="24"/>
                <w:szCs w:val="24"/>
              </w:rPr>
              <w:t>和员工生活垃圾。</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（1）一般工业固废</w:t>
            </w:r>
          </w:p>
          <w:p>
            <w:pPr>
              <w:pStyle w:val="14"/>
              <w:widowControl w:val="0"/>
              <w:topLinePunct/>
              <w:spacing w:after="0"/>
              <w:ind w:firstLine="480"/>
              <w:jc w:val="both"/>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吸尘器收集的粉尘：面粉投加及和面过程会产生粉尘，在大气沉降作用下，粉尘大部分沉降在车间地面，拟配套吸尘器收集地面粉尘，吸尘器收集的粉尘约0.004t/a，收集后可作为饲料外售。</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残次品：项目生产过程会产生不合格产品，根据建设单位提供信息（参考现有工程），该过程产生残次品约占产量的0.5%左右，本项目产量为330t/a，则残次品产生量为1.65t/a，</w:t>
            </w:r>
            <w:r>
              <w:rPr>
                <w:rFonts w:hint="eastAsia" w:ascii="Times New Roman" w:hAnsi="Times New Roman" w:eastAsia="宋体" w:cs="Times New Roman"/>
                <w:color w:val="auto"/>
                <w:sz w:val="24"/>
                <w:szCs w:val="24"/>
                <w:lang w:val="en-US" w:eastAsia="zh-CN"/>
              </w:rPr>
              <w:t>收集后可作为饲料出售</w:t>
            </w:r>
            <w:r>
              <w:rPr>
                <w:rFonts w:hint="default" w:ascii="Times New Roman" w:hAnsi="Times New Roman" w:eastAsia="宋体" w:cs="Times New Roman"/>
                <w:color w:val="auto"/>
                <w:sz w:val="24"/>
                <w:szCs w:val="24"/>
              </w:rPr>
              <w:t>。</w:t>
            </w:r>
          </w:p>
          <w:p>
            <w:pPr>
              <w:pStyle w:val="14"/>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废包</w:t>
            </w:r>
            <w:r>
              <w:rPr>
                <w:rFonts w:hint="eastAsia" w:ascii="Times New Roman" w:hAnsi="Times New Roman" w:eastAsia="宋体" w:cs="Times New Roman"/>
                <w:color w:val="auto"/>
                <w:sz w:val="24"/>
                <w:szCs w:val="24"/>
                <w:lang w:val="en-US" w:eastAsia="zh-CN"/>
              </w:rPr>
              <w:t>装材料</w:t>
            </w:r>
            <w:r>
              <w:rPr>
                <w:rFonts w:hint="default" w:ascii="Times New Roman" w:hAnsi="Times New Roman" w:eastAsia="宋体" w:cs="Times New Roman"/>
                <w:color w:val="auto"/>
                <w:sz w:val="24"/>
                <w:szCs w:val="24"/>
              </w:rPr>
              <w:t>：主要为包装过程产生的废纸箱、包装袋等，根据建设单位提供信息（参考现有工程），废包装产生量约为0.75t/a，集中收集后外售。</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废抹布、拖布：本项目在设备擦洗和生产车间地面拖洗等过程中会产生废弃的抹布、拖布，主要沾染食油和面粉等（不涉及机油），</w:t>
            </w:r>
            <w:r>
              <w:rPr>
                <w:rFonts w:hint="default" w:ascii="Times New Roman" w:hAnsi="Times New Roman" w:eastAsia="宋体" w:cs="Times New Roman"/>
                <w:color w:val="auto"/>
                <w:sz w:val="24"/>
                <w:szCs w:val="24"/>
              </w:rPr>
              <w:t>根据建设单位提供信息（参考现有工程）</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产生量约为0.5t/a，经收集后与生活垃圾一起委托环卫部门统一清运。</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（2）生活垃圾</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项目职工定员20人，均不住厂。参照我国生活垃圾排放系数，住厂职工计算为1kg/（人·天）、不住厂职工减半计算为0.5kg/（人·天），年工作日200天，则项目生活垃圾产生量为2t/a。</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本项目固废源强见表4.2-8。</w:t>
            </w:r>
          </w:p>
          <w:p>
            <w:pPr>
              <w:widowControl w:val="0"/>
              <w:topLinePunct/>
              <w:spacing w:after="0" w:line="360" w:lineRule="auto"/>
              <w:jc w:val="center"/>
              <w:outlineLvl w:val="9"/>
              <w:rPr>
                <w:rFonts w:hint="default" w:ascii="Times New Roman" w:hAnsi="Times New Roman" w:eastAsia="宋体" w:cs="Times New Roman"/>
                <w:b/>
                <w:snapToGrid w:val="0"/>
                <w:color w:val="auto"/>
                <w:sz w:val="24"/>
                <w:szCs w:val="24"/>
              </w:rPr>
            </w:pPr>
            <w:r>
              <w:rPr>
                <w:rFonts w:hint="default" w:ascii="Times New Roman" w:hAnsi="Times New Roman" w:eastAsia="宋体" w:cs="Times New Roman"/>
                <w:b/>
                <w:snapToGrid w:val="0"/>
                <w:color w:val="auto"/>
                <w:sz w:val="24"/>
                <w:szCs w:val="24"/>
              </w:rPr>
              <w:t>表4.2-8  固体污染源源强核算结果及相关参数一览表</w:t>
            </w:r>
          </w:p>
          <w:tbl>
            <w:tblPr>
              <w:tblStyle w:val="37"/>
              <w:tblW w:w="4998"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9"/>
              <w:gridCol w:w="1328"/>
              <w:gridCol w:w="876"/>
              <w:gridCol w:w="1315"/>
              <w:gridCol w:w="1072"/>
              <w:gridCol w:w="739"/>
              <w:gridCol w:w="796"/>
              <w:gridCol w:w="866"/>
              <w:gridCol w:w="879"/>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86" w:hRule="atLeast"/>
                <w:jc w:val="center"/>
              </w:trPr>
              <w:tc>
                <w:tcPr>
                  <w:tcW w:w="386" w:type="pct"/>
                  <w:vMerge w:val="restar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固废类别</w:t>
                  </w:r>
                </w:p>
              </w:tc>
              <w:tc>
                <w:tcPr>
                  <w:tcW w:w="778"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固体废物名称</w:t>
                  </w:r>
                </w:p>
              </w:tc>
              <w:tc>
                <w:tcPr>
                  <w:tcW w:w="51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产生工序</w:t>
                  </w:r>
                </w:p>
              </w:tc>
              <w:tc>
                <w:tcPr>
                  <w:tcW w:w="770"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废物代码</w:t>
                  </w:r>
                </w:p>
              </w:tc>
              <w:tc>
                <w:tcPr>
                  <w:tcW w:w="628"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主要成分</w:t>
                  </w:r>
                </w:p>
              </w:tc>
              <w:tc>
                <w:tcPr>
                  <w:tcW w:w="43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环境危险特征</w:t>
                  </w:r>
                </w:p>
              </w:tc>
              <w:tc>
                <w:tcPr>
                  <w:tcW w:w="466"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产生量t/a</w:t>
                  </w:r>
                </w:p>
              </w:tc>
              <w:tc>
                <w:tcPr>
                  <w:tcW w:w="507" w:type="pct"/>
                  <w:vMerge w:val="restar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利用处置措施</w:t>
                  </w:r>
                </w:p>
              </w:tc>
              <w:tc>
                <w:tcPr>
                  <w:tcW w:w="515"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最终去向</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6" w:type="pct"/>
                  <w:vMerge w:val="restar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一般固废</w:t>
                  </w:r>
                </w:p>
              </w:tc>
              <w:tc>
                <w:tcPr>
                  <w:tcW w:w="778"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吸尘器收集的粉尘</w:t>
                  </w:r>
                </w:p>
              </w:tc>
              <w:tc>
                <w:tcPr>
                  <w:tcW w:w="51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投加、和面</w:t>
                  </w:r>
                </w:p>
              </w:tc>
              <w:tc>
                <w:tcPr>
                  <w:tcW w:w="770" w:type="pct"/>
                  <w:tcBorders>
                    <w:tl2br w:val="nil"/>
                    <w:tr2bl w:val="nil"/>
                  </w:tcBorders>
                  <w:shd w:val="clear" w:color="auto" w:fill="auto"/>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SW59</w:t>
                  </w:r>
                </w:p>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900-099-S59</w:t>
                  </w:r>
                </w:p>
              </w:tc>
              <w:tc>
                <w:tcPr>
                  <w:tcW w:w="628" w:type="pct"/>
                  <w:tcBorders>
                    <w:tl2br w:val="nil"/>
                    <w:tr2bl w:val="nil"/>
                  </w:tcBorders>
                  <w:shd w:val="clear" w:color="auto" w:fill="auto"/>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bidi="ar"/>
                    </w:rPr>
                    <w:t>面粉、</w:t>
                  </w:r>
                  <w:r>
                    <w:rPr>
                      <w:rFonts w:hint="eastAsia" w:ascii="Times New Roman" w:hAnsi="Times New Roman" w:eastAsia="宋体" w:cs="Times New Roman"/>
                      <w:color w:val="auto"/>
                      <w:sz w:val="21"/>
                      <w:szCs w:val="21"/>
                      <w:lang w:val="en-US" w:eastAsia="zh-CN" w:bidi="ar"/>
                    </w:rPr>
                    <w:t>食用</w:t>
                  </w:r>
                  <w:r>
                    <w:rPr>
                      <w:rFonts w:hint="default" w:ascii="Times New Roman" w:hAnsi="Times New Roman" w:eastAsia="宋体" w:cs="Times New Roman"/>
                      <w:color w:val="auto"/>
                      <w:sz w:val="21"/>
                      <w:szCs w:val="21"/>
                      <w:lang w:bidi="ar"/>
                    </w:rPr>
                    <w:t>油等</w:t>
                  </w:r>
                </w:p>
              </w:tc>
              <w:tc>
                <w:tcPr>
                  <w:tcW w:w="433" w:type="pct"/>
                  <w:tcBorders>
                    <w:tl2br w:val="nil"/>
                    <w:tr2bl w:val="nil"/>
                  </w:tcBorders>
                  <w:shd w:val="clear" w:color="auto" w:fill="auto"/>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bidi="ar"/>
                    </w:rPr>
                    <w:t>/</w:t>
                  </w:r>
                </w:p>
              </w:tc>
              <w:tc>
                <w:tcPr>
                  <w:tcW w:w="466" w:type="pct"/>
                  <w:tcBorders>
                    <w:tl2br w:val="nil"/>
                    <w:tr2bl w:val="nil"/>
                  </w:tcBorders>
                  <w:shd w:val="clear" w:color="auto" w:fill="auto"/>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0.004</w:t>
                  </w:r>
                </w:p>
              </w:tc>
              <w:tc>
                <w:tcPr>
                  <w:tcW w:w="507" w:type="pct"/>
                  <w:vMerge w:val="restar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一般固废间</w:t>
                  </w:r>
                </w:p>
              </w:tc>
              <w:tc>
                <w:tcPr>
                  <w:tcW w:w="515"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外售</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6" w:type="pct"/>
                  <w:vMerge w:val="continue"/>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p>
              </w:tc>
              <w:tc>
                <w:tcPr>
                  <w:tcW w:w="778"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残次品</w:t>
                  </w:r>
                </w:p>
              </w:tc>
              <w:tc>
                <w:tcPr>
                  <w:tcW w:w="51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w:t>
                  </w:r>
                </w:p>
              </w:tc>
              <w:tc>
                <w:tcPr>
                  <w:tcW w:w="770"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SW59</w:t>
                  </w:r>
                </w:p>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900-099-S59</w:t>
                  </w:r>
                </w:p>
              </w:tc>
              <w:tc>
                <w:tcPr>
                  <w:tcW w:w="628"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面粉、</w:t>
                  </w:r>
                  <w:r>
                    <w:rPr>
                      <w:rFonts w:hint="eastAsia" w:ascii="Times New Roman" w:hAnsi="Times New Roman" w:eastAsia="宋体" w:cs="Times New Roman"/>
                      <w:color w:val="auto"/>
                      <w:sz w:val="21"/>
                      <w:szCs w:val="21"/>
                      <w:lang w:val="en-US" w:eastAsia="zh-CN" w:bidi="ar"/>
                    </w:rPr>
                    <w:t>食用</w:t>
                  </w:r>
                  <w:r>
                    <w:rPr>
                      <w:rFonts w:hint="default" w:ascii="Times New Roman" w:hAnsi="Times New Roman" w:eastAsia="宋体" w:cs="Times New Roman"/>
                      <w:color w:val="auto"/>
                      <w:sz w:val="21"/>
                      <w:szCs w:val="21"/>
                      <w:lang w:bidi="ar"/>
                    </w:rPr>
                    <w:t>油等</w:t>
                  </w:r>
                </w:p>
              </w:tc>
              <w:tc>
                <w:tcPr>
                  <w:tcW w:w="43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w:t>
                  </w:r>
                </w:p>
              </w:tc>
              <w:tc>
                <w:tcPr>
                  <w:tcW w:w="466"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1.65</w:t>
                  </w:r>
                </w:p>
              </w:tc>
              <w:tc>
                <w:tcPr>
                  <w:tcW w:w="507" w:type="pct"/>
                  <w:vMerge w:val="continue"/>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p>
              </w:tc>
              <w:tc>
                <w:tcPr>
                  <w:tcW w:w="515" w:type="pct"/>
                  <w:tcBorders>
                    <w:tl2br w:val="nil"/>
                    <w:tr2bl w:val="nil"/>
                  </w:tcBorders>
                  <w:vAlign w:val="center"/>
                </w:tcPr>
                <w:p>
                  <w:pPr>
                    <w:widowControl w:val="0"/>
                    <w:topLinePunct/>
                    <w:bidi/>
                    <w:spacing w:after="0" w:line="240" w:lineRule="auto"/>
                    <w:jc w:val="center"/>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bidi="ar"/>
                    </w:rPr>
                    <w:t>外售</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6" w:type="pct"/>
                  <w:vMerge w:val="continue"/>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p>
              </w:tc>
              <w:tc>
                <w:tcPr>
                  <w:tcW w:w="778" w:type="pct"/>
                  <w:tcBorders>
                    <w:tl2br w:val="nil"/>
                    <w:tr2bl w:val="nil"/>
                  </w:tcBorders>
                  <w:vAlign w:val="center"/>
                </w:tcPr>
                <w:p>
                  <w:pPr>
                    <w:widowControl w:val="0"/>
                    <w:topLinePunct/>
                    <w:bidi/>
                    <w:spacing w:after="0" w:line="240" w:lineRule="auto"/>
                    <w:jc w:val="center"/>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bidi="ar"/>
                    </w:rPr>
                    <w:t>废包装</w:t>
                  </w:r>
                  <w:r>
                    <w:rPr>
                      <w:rFonts w:hint="eastAsia" w:ascii="Times New Roman" w:hAnsi="Times New Roman" w:eastAsia="宋体" w:cs="Times New Roman"/>
                      <w:color w:val="auto"/>
                      <w:sz w:val="21"/>
                      <w:szCs w:val="21"/>
                      <w:lang w:val="en-US" w:eastAsia="zh-CN" w:bidi="ar"/>
                    </w:rPr>
                    <w:t>材料</w:t>
                  </w:r>
                </w:p>
              </w:tc>
              <w:tc>
                <w:tcPr>
                  <w:tcW w:w="51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原料包装</w:t>
                  </w:r>
                </w:p>
              </w:tc>
              <w:tc>
                <w:tcPr>
                  <w:tcW w:w="770"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SW59</w:t>
                  </w:r>
                </w:p>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900-099-S59</w:t>
                  </w:r>
                </w:p>
              </w:tc>
              <w:tc>
                <w:tcPr>
                  <w:tcW w:w="628"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w:t>
                  </w:r>
                </w:p>
              </w:tc>
              <w:tc>
                <w:tcPr>
                  <w:tcW w:w="43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w:t>
                  </w:r>
                </w:p>
              </w:tc>
              <w:tc>
                <w:tcPr>
                  <w:tcW w:w="466"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0.75</w:t>
                  </w:r>
                </w:p>
              </w:tc>
              <w:tc>
                <w:tcPr>
                  <w:tcW w:w="507" w:type="pct"/>
                  <w:vMerge w:val="continue"/>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p>
              </w:tc>
              <w:tc>
                <w:tcPr>
                  <w:tcW w:w="515"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外售</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6" w:type="pct"/>
                  <w:vMerge w:val="continue"/>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rPr>
                  </w:pPr>
                </w:p>
              </w:tc>
              <w:tc>
                <w:tcPr>
                  <w:tcW w:w="778" w:type="pct"/>
                  <w:tcBorders>
                    <w:tl2br w:val="nil"/>
                    <w:tr2bl w:val="nil"/>
                  </w:tcBorders>
                  <w:vAlign w:val="center"/>
                </w:tcPr>
                <w:p>
                  <w:pPr>
                    <w:widowControl w:val="0"/>
                    <w:topLinePunct/>
                    <w:bidi/>
                    <w:spacing w:after="0" w:line="240" w:lineRule="auto"/>
                    <w:jc w:val="center"/>
                    <w:outlineLvl w:val="9"/>
                    <w:rPr>
                      <w:rFonts w:hint="eastAsia"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bidi="ar"/>
                    </w:rPr>
                    <w:t>废抹布、拖</w:t>
                  </w:r>
                  <w:r>
                    <w:rPr>
                      <w:rFonts w:hint="eastAsia" w:ascii="Times New Roman" w:hAnsi="Times New Roman" w:eastAsia="宋体" w:cs="Times New Roman"/>
                      <w:color w:val="auto"/>
                      <w:sz w:val="21"/>
                      <w:szCs w:val="21"/>
                      <w:lang w:val="en-US" w:eastAsia="zh-CN" w:bidi="ar"/>
                    </w:rPr>
                    <w:t>布</w:t>
                  </w:r>
                </w:p>
              </w:tc>
              <w:tc>
                <w:tcPr>
                  <w:tcW w:w="51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设备擦洗、车间拖洗</w:t>
                  </w:r>
                </w:p>
              </w:tc>
              <w:tc>
                <w:tcPr>
                  <w:tcW w:w="770"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SW59</w:t>
                  </w:r>
                </w:p>
                <w:p>
                  <w:pPr>
                    <w:pStyle w:val="2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lang w:val="en-US" w:eastAsia="zh-CN"/>
                    </w:rPr>
                  </w:pPr>
                  <w:r>
                    <w:rPr>
                      <w:rFonts w:hint="default" w:ascii="Times New Roman" w:hAnsi="Times New Roman" w:eastAsia="宋体" w:cs="Times New Roman"/>
                      <w:color w:val="auto"/>
                      <w:sz w:val="21"/>
                      <w:szCs w:val="21"/>
                    </w:rPr>
                    <w:t>900-099-S59</w:t>
                  </w:r>
                </w:p>
              </w:tc>
              <w:tc>
                <w:tcPr>
                  <w:tcW w:w="628"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面粉、</w:t>
                  </w:r>
                  <w:r>
                    <w:rPr>
                      <w:rFonts w:hint="eastAsia" w:ascii="Times New Roman" w:hAnsi="Times New Roman" w:eastAsia="宋体" w:cs="Times New Roman"/>
                      <w:color w:val="auto"/>
                      <w:sz w:val="21"/>
                      <w:szCs w:val="21"/>
                      <w:lang w:val="en-US" w:eastAsia="zh-CN" w:bidi="ar"/>
                    </w:rPr>
                    <w:t>食用</w:t>
                  </w:r>
                  <w:r>
                    <w:rPr>
                      <w:rFonts w:hint="default" w:ascii="Times New Roman" w:hAnsi="Times New Roman" w:eastAsia="宋体" w:cs="Times New Roman"/>
                      <w:color w:val="auto"/>
                      <w:sz w:val="21"/>
                      <w:szCs w:val="21"/>
                      <w:lang w:bidi="ar"/>
                    </w:rPr>
                    <w:t>油等</w:t>
                  </w:r>
                </w:p>
              </w:tc>
              <w:tc>
                <w:tcPr>
                  <w:tcW w:w="433" w:type="pct"/>
                  <w:tcBorders>
                    <w:tl2br w:val="nil"/>
                    <w:tr2bl w:val="nil"/>
                  </w:tcBorders>
                  <w:vAlign w:val="center"/>
                </w:tcPr>
                <w:p>
                  <w:pPr>
                    <w:widowControl w:val="0"/>
                    <w:topLinePunct/>
                    <w:bidi/>
                    <w:spacing w:after="0" w:line="240" w:lineRule="auto"/>
                    <w:jc w:val="center"/>
                    <w:outlineLvl w:val="9"/>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w:t>
                  </w:r>
                </w:p>
              </w:tc>
              <w:tc>
                <w:tcPr>
                  <w:tcW w:w="466"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507"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bidi="ar"/>
                    </w:rPr>
                    <w:t>生活垃圾桶</w:t>
                  </w:r>
                </w:p>
              </w:tc>
              <w:tc>
                <w:tcPr>
                  <w:tcW w:w="515"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bidi="ar"/>
                    </w:rPr>
                    <w:t>环卫集中处置</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6"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生活垃圾</w:t>
                  </w:r>
                </w:p>
              </w:tc>
              <w:tc>
                <w:tcPr>
                  <w:tcW w:w="778"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生活垃圾</w:t>
                  </w:r>
                </w:p>
              </w:tc>
              <w:tc>
                <w:tcPr>
                  <w:tcW w:w="51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办公生活区</w:t>
                  </w:r>
                </w:p>
              </w:tc>
              <w:tc>
                <w:tcPr>
                  <w:tcW w:w="770"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w:t>
                  </w:r>
                </w:p>
              </w:tc>
              <w:tc>
                <w:tcPr>
                  <w:tcW w:w="628"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纸张、废塑料</w:t>
                  </w:r>
                </w:p>
              </w:tc>
              <w:tc>
                <w:tcPr>
                  <w:tcW w:w="43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w:t>
                  </w:r>
                </w:p>
              </w:tc>
              <w:tc>
                <w:tcPr>
                  <w:tcW w:w="466"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07"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生活垃圾桶</w:t>
                  </w:r>
                </w:p>
              </w:tc>
              <w:tc>
                <w:tcPr>
                  <w:tcW w:w="515"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环卫集中处置</w:t>
                  </w:r>
                </w:p>
              </w:tc>
            </w:tr>
          </w:tbl>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4.2.4.2固体废物管理要求 </w:t>
            </w:r>
          </w:p>
          <w:p>
            <w:pPr>
              <w:pStyle w:val="170"/>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根据国家《一般工业固体废物贮存和填埋污染控制标准》（GB 18599-2020）中的要求，一般工业固体废物的贮存和管理应做到：</w:t>
            </w:r>
          </w:p>
          <w:p>
            <w:pPr>
              <w:pStyle w:val="170"/>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（1）暂存场所的建设类型，必须与将要堆放的一般工业固体废物的类别一致；</w:t>
            </w:r>
          </w:p>
          <w:p>
            <w:pPr>
              <w:pStyle w:val="170"/>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（2）暂存场所应采取防止粉尘污染的措施；</w:t>
            </w:r>
          </w:p>
          <w:p>
            <w:pPr>
              <w:pStyle w:val="170"/>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（3）暂存场所周边应设置导流沟渠；</w:t>
            </w:r>
          </w:p>
          <w:p>
            <w:pPr>
              <w:pStyle w:val="170"/>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（4）应设计渗滤集排水设施；</w:t>
            </w:r>
          </w:p>
          <w:p>
            <w:pPr>
              <w:pStyle w:val="170"/>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（5）为防止一般工业固体废物和渗滤液流失，应构筑堤、坝、挡土墙等设施；</w:t>
            </w:r>
          </w:p>
          <w:p>
            <w:pPr>
              <w:pStyle w:val="170"/>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（6）一般工业固体废物贮存、处置场，禁止危险废物和生活垃圾混入；</w:t>
            </w:r>
          </w:p>
          <w:p>
            <w:pPr>
              <w:pStyle w:val="170"/>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（7）应建立检查维护制度、档案制度；</w:t>
            </w:r>
          </w:p>
          <w:p>
            <w:pPr>
              <w:pStyle w:val="170"/>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（8）贮存场所的环境保护图形标志，应按照规定进行检查和维护。</w:t>
            </w:r>
          </w:p>
          <w:p>
            <w:pPr>
              <w:widowControl w:val="0"/>
              <w:topLinePunct/>
              <w:snapToGrid w:val="0"/>
              <w:spacing w:after="0" w:line="360" w:lineRule="auto"/>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4.2.4.3 固体废物环境影响分析</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生活垃圾在厂区垃圾收集点统一收集后由当地环卫部门及时外运处理；本项目产生的一般工业固废由环卫部门及时外运处理或外售综合再利用；本项目无危险废物产生。</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体上分析，本项目固体废物均根据环评时段的具体要求，采取了相应的处置措施，只要建设单位认真落实本环评提出的各项固体废物处置措施，并按照固体废物的相关管理要求，加强各类固体废物的收集、分类储存、转移和处置管理，本工程全厂产生的固体废物均不会造成二次污染，因此对环境的影响很小。</w:t>
            </w:r>
          </w:p>
          <w:p>
            <w:pPr>
              <w:pStyle w:val="4"/>
              <w:keepNext w:val="0"/>
              <w:keepLines w:val="0"/>
              <w:widowControl w:val="0"/>
              <w:topLinePunct/>
              <w:spacing w:before="0" w:line="360" w:lineRule="auto"/>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4.2.5 地下水、土壤环境影响分析</w:t>
            </w:r>
          </w:p>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4.2.5.1地下水环境影响分析</w:t>
            </w:r>
          </w:p>
          <w:p>
            <w:pPr>
              <w:pStyle w:val="170"/>
              <w:widowControl w:val="0"/>
              <w:topLinePunct/>
              <w:spacing w:after="0"/>
              <w:ind w:firstLine="240" w:firstLineChars="1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对照《环境影响评价技术导则 地下水环境》（HJ610-2016）附录A中“107、其它食品制造”行业，属于“IV类项目”，可不进行地下水环境影响评价。</w:t>
            </w:r>
          </w:p>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4.2.5.2土壤环境影响分析</w:t>
            </w:r>
          </w:p>
          <w:p>
            <w:pPr>
              <w:pStyle w:val="170"/>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 土壤环境（试行）》（HJ964-2018）附录A（土壤环境影响评价项目类别表），项目属于“其他行业”，为IV类项目，可不开展土壤环境影响评价工作。</w:t>
            </w:r>
          </w:p>
          <w:p>
            <w:pPr>
              <w:pStyle w:val="4"/>
              <w:keepNext w:val="0"/>
              <w:keepLines w:val="0"/>
              <w:widowControl w:val="0"/>
              <w:topLinePunct/>
              <w:spacing w:before="0" w:line="360" w:lineRule="auto"/>
              <w:jc w:val="both"/>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4.2.6 运营期环境风险影响分析和防范措施</w:t>
            </w:r>
          </w:p>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4.2.6.1评价等级</w:t>
            </w:r>
          </w:p>
          <w:p>
            <w:pPr>
              <w:pStyle w:val="170"/>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本项目不涉及《建设项目环境风险评价技术导则》(HJ 169-2018)附录B涉及的风险物质，本项目q</w:t>
            </w:r>
            <w:r>
              <w:rPr>
                <w:rFonts w:hint="default" w:ascii="Times New Roman" w:hAnsi="Times New Roman" w:eastAsia="宋体" w:cs="Times New Roman"/>
                <w:color w:val="auto"/>
                <w:sz w:val="24"/>
                <w:szCs w:val="24"/>
                <w:vertAlign w:val="subscript"/>
              </w:rPr>
              <w:t>n</w:t>
            </w:r>
            <w:r>
              <w:rPr>
                <w:rFonts w:hint="default" w:ascii="Times New Roman" w:hAnsi="Times New Roman" w:eastAsia="宋体" w:cs="Times New Roman"/>
                <w:color w:val="auto"/>
                <w:sz w:val="24"/>
                <w:szCs w:val="24"/>
              </w:rPr>
              <w:t>/Q</w:t>
            </w:r>
            <w:r>
              <w:rPr>
                <w:rFonts w:hint="default" w:ascii="Times New Roman" w:hAnsi="Times New Roman" w:eastAsia="宋体" w:cs="Times New Roman"/>
                <w:color w:val="auto"/>
                <w:sz w:val="24"/>
                <w:szCs w:val="24"/>
                <w:vertAlign w:val="subscript"/>
              </w:rPr>
              <w:t>n</w:t>
            </w:r>
            <w:r>
              <w:rPr>
                <w:rFonts w:hint="default" w:ascii="Times New Roman" w:hAnsi="Times New Roman" w:eastAsia="宋体" w:cs="Times New Roman"/>
                <w:color w:val="auto"/>
                <w:sz w:val="24"/>
                <w:szCs w:val="24"/>
              </w:rPr>
              <w:t>=0，Q值小于1，直接判定风险潜势为Ⅰ。对照《建设项目环境风险评价技术导则》（HJ 169—2018）本项目环境风险潜势为Ⅰ级，需进行简要分析。</w:t>
            </w:r>
          </w:p>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4.2.6.2环境风险识别</w:t>
            </w:r>
          </w:p>
          <w:p>
            <w:pPr>
              <w:widowControl w:val="0"/>
              <w:topLinePunct/>
              <w:adjustRightInd w:val="0"/>
              <w:snapToGrid w:val="0"/>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本项目不涉及环境风险物质的使用、生产、产生和贮存，主要可能发生的突发环境事件为废水处理设施故障事件。</w:t>
            </w:r>
          </w:p>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4.2.6.3环境风险分析</w:t>
            </w:r>
          </w:p>
          <w:p>
            <w:pPr>
              <w:pStyle w:val="186"/>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项目综合废水经厂区化粪池处理后排入市政污水管网，纳入融元污水处理厂集中处理达标后排放。若废水处理设施发生故障时，将导致废水超标排放进入融元污水处理厂。</w:t>
            </w:r>
          </w:p>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4.2.6.4应急处置措施</w:t>
            </w:r>
          </w:p>
          <w:p>
            <w:pPr>
              <w:pStyle w:val="187"/>
              <w:widowControl w:val="0"/>
              <w:topLinePunct/>
              <w:adjustRightInd w:val="0"/>
              <w:snapToGrid w:val="0"/>
              <w:spacing w:after="0"/>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现场人员发现废水处理设施故障的情况，可能导致废水外流的环境风险时，现场周边人员应及时抢修，现场设立警戒线。若经排查，确定因废水管道破损或池体发生破裂导致废水泄漏时，及时对泄露的位置进行抢修堵漏；确定因水池内污泥膨胀时，应立即组织进行清理；确定废水超标是由于设备故障的原因引起的，应对故障设备进行维修、更换或启用备用设备。</w:t>
            </w:r>
          </w:p>
          <w:p>
            <w:pPr>
              <w:widowControl w:val="0"/>
              <w:tabs>
                <w:tab w:val="left" w:pos="5400"/>
              </w:tabs>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4.2.6.5风险防范措施</w:t>
            </w:r>
          </w:p>
          <w:p>
            <w:pPr>
              <w:pStyle w:val="170"/>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①厂区排水实行雨污分流，雨水经雨水管网排入外环境。</w:t>
            </w:r>
          </w:p>
          <w:p>
            <w:pPr>
              <w:pStyle w:val="170"/>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②制定废水处理操作规程并上墙，严格按照操作规范的要求进行运行控制，防止误操作导致的废水事故超标排放。</w:t>
            </w:r>
          </w:p>
          <w:p>
            <w:pPr>
              <w:pStyle w:val="186"/>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③建立巡查制度，定期对废水处理设施进行巡查，并做好记录，发现问题及时停工检修。</w:t>
            </w:r>
          </w:p>
          <w:p>
            <w:pPr>
              <w:widowControl w:val="0"/>
              <w:topLinePunct/>
              <w:spacing w:after="0" w:line="360" w:lineRule="auto"/>
              <w:ind w:firstLine="480" w:firstLineChars="20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（6）结论</w:t>
            </w:r>
          </w:p>
          <w:p>
            <w:pPr>
              <w:pStyle w:val="170"/>
              <w:widowControl w:val="0"/>
              <w:topLinePunct/>
              <w:spacing w:after="0"/>
              <w:ind w:firstLine="480"/>
              <w:jc w:val="both"/>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综上分析可知，项目</w:t>
            </w:r>
            <w:r>
              <w:rPr>
                <w:rFonts w:hint="default" w:ascii="Times New Roman" w:hAnsi="Times New Roman" w:eastAsia="宋体" w:cs="Times New Roman"/>
                <w:snapToGrid w:val="0"/>
                <w:color w:val="auto"/>
                <w:sz w:val="24"/>
                <w:szCs w:val="24"/>
              </w:rPr>
              <w:t>不构成重大危险源，主要可能发生的突发环境事件为废气处理设施故障事件，无需建设事故应急池，应通过一系列环境风险防范措施，可有效降低环境风险的发生概率，其环境风险水平能控制在可以接受的范</w:t>
            </w:r>
            <w:r>
              <w:rPr>
                <w:rFonts w:hint="default" w:ascii="Times New Roman" w:hAnsi="Times New Roman" w:eastAsia="宋体" w:cs="Times New Roman"/>
                <w:color w:val="auto"/>
                <w:sz w:val="24"/>
                <w:szCs w:val="24"/>
              </w:rPr>
              <w:t>围内。</w:t>
            </w:r>
          </w:p>
          <w:p>
            <w:pPr>
              <w:widowControl w:val="0"/>
              <w:tabs>
                <w:tab w:val="left" w:pos="1171"/>
              </w:tabs>
              <w:topLinePunct/>
              <w:spacing w:after="0" w:line="360" w:lineRule="auto"/>
              <w:jc w:val="center"/>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表4.2-9</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t>建设项目环境风险简单分析内容表</w:t>
            </w:r>
          </w:p>
          <w:tbl>
            <w:tblPr>
              <w:tblStyle w:val="37"/>
              <w:tblW w:w="5000"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6922"/>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405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福清睿辉食品有限公司新增年产糕点、面包食品300吨及披萨饼底30吨</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4055" w:type="pct"/>
                  <w:tcBorders>
                    <w:tl2br w:val="nil"/>
                    <w:tr2bl w:val="nil"/>
                  </w:tcBorders>
                  <w:vAlign w:val="center"/>
                </w:tcPr>
                <w:p>
                  <w:pPr>
                    <w:widowControl w:val="0"/>
                    <w:topLinePunct/>
                    <w:spacing w:after="0" w:line="240" w:lineRule="auto"/>
                    <w:jc w:val="center"/>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福清融侨经济技术开发区（租赁福建茂华投资有限公司2号厂房2层）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405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东经119°19′4.620″，北纬25°43′30.304″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主要危险物质分布</w:t>
                  </w:r>
                </w:p>
              </w:tc>
              <w:tc>
                <w:tcPr>
                  <w:tcW w:w="405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环境影响途经及危害后果</w:t>
                  </w:r>
                </w:p>
              </w:tc>
              <w:tc>
                <w:tcPr>
                  <w:tcW w:w="405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风险防范措施要求</w:t>
                  </w:r>
                </w:p>
              </w:tc>
              <w:tc>
                <w:tcPr>
                  <w:tcW w:w="4055"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4" w:type="pct"/>
                  <w:tcBorders>
                    <w:tl2br w:val="nil"/>
                    <w:tr2bl w:val="nil"/>
                  </w:tcBorders>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填表说明</w:t>
                  </w:r>
                </w:p>
              </w:tc>
              <w:tc>
                <w:tcPr>
                  <w:tcW w:w="4055" w:type="pct"/>
                  <w:tcBorders>
                    <w:tl2br w:val="nil"/>
                    <w:tr2bl w:val="nil"/>
                  </w:tcBorders>
                  <w:vAlign w:val="center"/>
                </w:tcPr>
                <w:p>
                  <w:pPr>
                    <w:widowControl w:val="0"/>
                    <w:topLinePunct/>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建设项目不涉及环境风险物质的使用、生产、产生和贮存，Q值=0，因此建设项目环境风险潜势为Ⅰ级。</w:t>
                  </w:r>
                </w:p>
              </w:tc>
            </w:tr>
          </w:tbl>
          <w:p>
            <w:pPr>
              <w:pStyle w:val="4"/>
              <w:keepNext w:val="0"/>
              <w:keepLines w:val="0"/>
              <w:widowControl w:val="0"/>
              <w:topLinePunct/>
              <w:spacing w:before="0"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4.2.7 运营期电磁辐射影响分析</w:t>
            </w:r>
          </w:p>
          <w:p>
            <w:pPr>
              <w:widowControl w:val="0"/>
              <w:topLinePunct/>
              <w:spacing w:after="0"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本项目不涉及电磁辐射源。</w:t>
            </w:r>
          </w:p>
          <w:p>
            <w:pPr>
              <w:pStyle w:val="4"/>
              <w:keepNext w:val="0"/>
              <w:keepLines w:val="0"/>
              <w:widowControl w:val="0"/>
              <w:topLinePunct/>
              <w:spacing w:before="0"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4.2.8 运营期生态影响分析</w:t>
            </w:r>
          </w:p>
          <w:p>
            <w:pPr>
              <w:pStyle w:val="170"/>
              <w:widowControl w:val="0"/>
              <w:topLinePunct/>
              <w:spacing w:after="0"/>
              <w:ind w:firstLine="480"/>
              <w:outlineLvl w:val="9"/>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本项目位于</w:t>
            </w:r>
            <w:r>
              <w:rPr>
                <w:rFonts w:hint="eastAsia" w:ascii="Times New Roman" w:hAnsi="Times New Roman" w:eastAsia="宋体" w:cs="Times New Roman"/>
                <w:color w:val="auto"/>
                <w:sz w:val="24"/>
                <w:szCs w:val="24"/>
                <w:lang w:eastAsia="zh-CN"/>
              </w:rPr>
              <w:t>福清融侨经济技术开发区（租赁福建茂华投资有限公司2号厂房2层）</w:t>
            </w:r>
            <w:r>
              <w:rPr>
                <w:rFonts w:hint="default" w:ascii="Times New Roman" w:hAnsi="Times New Roman" w:eastAsia="宋体" w:cs="Times New Roman"/>
                <w:color w:val="auto"/>
                <w:sz w:val="24"/>
                <w:szCs w:val="24"/>
              </w:rPr>
              <w:t>，租用已建工业厂房进行建设，不新增用地。因此，本项目的建设不会对周边生态环境造成明显影响。</w:t>
            </w:r>
          </w:p>
        </w:tc>
      </w:tr>
    </w:tbl>
    <w:p>
      <w:pPr>
        <w:widowControl w:val="0"/>
        <w:topLinePunct/>
        <w:outlineLvl w:val="9"/>
        <w:rPr>
          <w:rFonts w:hint="default" w:ascii="Times New Roman" w:hAnsi="Times New Roman" w:eastAsia="宋体" w:cs="Times New Roman"/>
          <w:color w:val="auto"/>
        </w:rPr>
        <w:sectPr>
          <w:pgSz w:w="11907" w:h="16840"/>
          <w:pgMar w:top="1417" w:right="1417" w:bottom="1417" w:left="1417" w:header="992" w:footer="992" w:gutter="0"/>
          <w:pgBorders>
            <w:top w:val="none" w:sz="0" w:space="0"/>
            <w:left w:val="none" w:sz="0" w:space="0"/>
            <w:bottom w:val="none" w:sz="0" w:space="0"/>
            <w:right w:val="none" w:sz="0" w:space="0"/>
          </w:pgBorders>
          <w:pgNumType w:fmt="decimal"/>
          <w:cols w:space="720" w:num="1"/>
          <w:docGrid w:linePitch="312" w:charSpace="0"/>
        </w:sectPr>
      </w:pPr>
    </w:p>
    <w:p>
      <w:pPr>
        <w:pStyle w:val="29"/>
        <w:widowControl w:val="0"/>
        <w:topLinePunct/>
        <w:spacing w:line="360" w:lineRule="auto"/>
        <w:jc w:val="center"/>
        <w:outlineLvl w:val="0"/>
        <w:rPr>
          <w:rFonts w:hint="default" w:ascii="Times New Roman" w:hAnsi="Times New Roman" w:eastAsia="宋体" w:cs="Times New Roman"/>
          <w:b/>
          <w:bCs/>
          <w:snapToGrid w:val="0"/>
          <w:color w:val="auto"/>
          <w:sz w:val="32"/>
          <w:szCs w:val="32"/>
        </w:rPr>
      </w:pPr>
      <w:bookmarkStart w:id="9" w:name="_Toc1441"/>
      <w:bookmarkStart w:id="10" w:name="_Toc4977"/>
      <w:r>
        <w:rPr>
          <w:rFonts w:hint="default" w:ascii="Times New Roman" w:hAnsi="Times New Roman" w:eastAsia="宋体" w:cs="Times New Roman"/>
          <w:b/>
          <w:bCs/>
          <w:snapToGrid w:val="0"/>
          <w:color w:val="auto"/>
          <w:sz w:val="32"/>
          <w:szCs w:val="32"/>
        </w:rPr>
        <w:t>五、</w:t>
      </w:r>
      <w:bookmarkStart w:id="11" w:name="_Hlk54167917"/>
      <w:r>
        <w:rPr>
          <w:rFonts w:hint="default" w:ascii="Times New Roman" w:hAnsi="Times New Roman" w:eastAsia="宋体" w:cs="Times New Roman"/>
          <w:b/>
          <w:bCs/>
          <w:snapToGrid w:val="0"/>
          <w:color w:val="auto"/>
          <w:sz w:val="32"/>
          <w:szCs w:val="32"/>
        </w:rPr>
        <w:t>环境保护措施监督检查清单</w:t>
      </w:r>
      <w:bookmarkEnd w:id="9"/>
      <w:bookmarkEnd w:id="10"/>
      <w:bookmarkEnd w:id="11"/>
    </w:p>
    <w:tbl>
      <w:tblPr>
        <w:tblStyle w:val="3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835"/>
        <w:gridCol w:w="669"/>
        <w:gridCol w:w="911"/>
        <w:gridCol w:w="1110"/>
        <w:gridCol w:w="986"/>
        <w:gridCol w:w="36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6" w:type="dxa"/>
            <w:tcBorders>
              <w:tl2br w:val="single" w:color="auto" w:sz="4" w:space="0"/>
            </w:tcBorders>
          </w:tcPr>
          <w:p>
            <w:pPr>
              <w:widowControl w:val="0"/>
              <w:topLinePunct/>
              <w:adjustRightInd w:val="0"/>
              <w:snapToGrid w:val="0"/>
              <w:spacing w:after="0" w:line="240" w:lineRule="auto"/>
              <w:ind w:firstLine="420" w:firstLineChars="20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widowControl w:val="0"/>
              <w:topLinePunct/>
              <w:adjustRightInd w:val="0"/>
              <w:snapToGrid w:val="0"/>
              <w:spacing w:after="0" w:line="240" w:lineRule="auto"/>
              <w:outlineLvl w:val="9"/>
              <w:rPr>
                <w:rFonts w:hint="default" w:ascii="Times New Roman" w:hAnsi="Times New Roman" w:eastAsia="宋体" w:cs="Times New Roman"/>
                <w:color w:val="auto"/>
                <w:sz w:val="21"/>
                <w:szCs w:val="21"/>
              </w:rPr>
            </w:pPr>
          </w:p>
          <w:p>
            <w:pPr>
              <w:widowControl w:val="0"/>
              <w:topLinePunct/>
              <w:adjustRightInd w:val="0"/>
              <w:snapToGrid w:val="0"/>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504" w:type="dxa"/>
            <w:gridSpan w:val="2"/>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排放口（编号、名称）/污染源</w:t>
            </w:r>
          </w:p>
        </w:tc>
        <w:tc>
          <w:tcPr>
            <w:tcW w:w="911"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2096" w:type="dxa"/>
            <w:gridSpan w:val="2"/>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3691"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86" w:type="dxa"/>
            <w:vMerge w:val="restar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504" w:type="dxa"/>
            <w:gridSpan w:val="2"/>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配料、和面粉尘</w:t>
            </w:r>
          </w:p>
        </w:tc>
        <w:tc>
          <w:tcPr>
            <w:tcW w:w="911"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2096" w:type="dxa"/>
            <w:gridSpan w:val="2"/>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粉尘经车间沉降后由吸尘器收集</w:t>
            </w:r>
          </w:p>
        </w:tc>
        <w:tc>
          <w:tcPr>
            <w:tcW w:w="3691" w:type="dxa"/>
            <w:vAlign w:val="center"/>
          </w:tcPr>
          <w:p>
            <w:pPr>
              <w:widowControl w:val="0"/>
              <w:topLinePunct/>
              <w:adjustRightInd w:val="0"/>
              <w:snapToGrid w:val="0"/>
              <w:spacing w:after="0" w:line="240" w:lineRule="auto"/>
              <w:jc w:val="center"/>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86"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835"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DA003废气排放口</w:t>
            </w:r>
          </w:p>
        </w:tc>
        <w:tc>
          <w:tcPr>
            <w:tcW w:w="669"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烘烤废气</w:t>
            </w:r>
          </w:p>
        </w:tc>
        <w:tc>
          <w:tcPr>
            <w:tcW w:w="911" w:type="dxa"/>
            <w:vAlign w:val="center"/>
          </w:tcPr>
          <w:p>
            <w:pPr>
              <w:widowControl w:val="0"/>
              <w:topLinePunct/>
              <w:adjustRightInd w:val="0"/>
              <w:snapToGrid w:val="0"/>
              <w:spacing w:after="0" w:line="240" w:lineRule="auto"/>
              <w:jc w:val="center"/>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油烟、</w:t>
            </w:r>
            <w:r>
              <w:rPr>
                <w:rFonts w:hint="default" w:ascii="Times New Roman" w:hAnsi="Times New Roman" w:eastAsia="宋体" w:cs="Times New Roman"/>
                <w:color w:val="auto"/>
                <w:sz w:val="21"/>
                <w:szCs w:val="21"/>
              </w:rPr>
              <w:t>臭气</w:t>
            </w:r>
            <w:r>
              <w:rPr>
                <w:rFonts w:hint="eastAsia" w:ascii="Times New Roman" w:hAnsi="Times New Roman" w:eastAsia="宋体" w:cs="Times New Roman"/>
                <w:color w:val="auto"/>
                <w:sz w:val="21"/>
                <w:szCs w:val="21"/>
                <w:lang w:val="en-US" w:eastAsia="zh-CN"/>
              </w:rPr>
              <w:t>浓度</w:t>
            </w:r>
          </w:p>
        </w:tc>
        <w:tc>
          <w:tcPr>
            <w:tcW w:w="2096" w:type="dxa"/>
            <w:gridSpan w:val="2"/>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w:t>
            </w:r>
            <w:r>
              <w:rPr>
                <w:rFonts w:hint="eastAsia" w:ascii="Times New Roman" w:hAnsi="Times New Roman" w:eastAsia="宋体" w:cs="Times New Roman"/>
                <w:color w:val="auto"/>
                <w:sz w:val="21"/>
                <w:szCs w:val="21"/>
                <w:lang w:val="en-US" w:eastAsia="zh-CN"/>
              </w:rPr>
              <w:t>经过油烟净化再</w:t>
            </w:r>
            <w:r>
              <w:rPr>
                <w:rFonts w:hint="default" w:ascii="Times New Roman" w:hAnsi="Times New Roman" w:eastAsia="宋体" w:cs="Times New Roman"/>
                <w:color w:val="auto"/>
                <w:sz w:val="21"/>
                <w:szCs w:val="21"/>
              </w:rPr>
              <w:t>通过15m高排气筒（DA003）排放</w:t>
            </w:r>
          </w:p>
        </w:tc>
        <w:tc>
          <w:tcPr>
            <w:tcW w:w="3691" w:type="dxa"/>
            <w:vAlign w:val="center"/>
          </w:tcPr>
          <w:p>
            <w:pPr>
              <w:widowControl w:val="0"/>
              <w:topLinePunct/>
              <w:adjustRightInd w:val="0"/>
              <w:snapToGrid w:val="0"/>
              <w:spacing w:after="0" w:line="240" w:lineRule="auto"/>
              <w:jc w:val="center"/>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《恶臭污染物排放标准》（GB14554-1993）中表2臭气有组织排放浓度限值（臭气浓度≤2000无量纲）</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《饮食业油烟排放标准（试行）》（GB18483-2001）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6"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1504" w:type="dxa"/>
            <w:gridSpan w:val="2"/>
            <w:vMerge w:val="restar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911"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2096" w:type="dxa"/>
            <w:gridSpan w:val="2"/>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691"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《大气污染物综合排放标准》（GB16297-1996）表2无组织排放监控浓度限值：颗粒物排放浓度限值≤1.0mg/m</w:t>
            </w:r>
            <w:r>
              <w:rPr>
                <w:rFonts w:hint="default" w:ascii="Times New Roman" w:hAnsi="Times New Roman" w:eastAsia="宋体" w:cs="Times New Roman"/>
                <w:color w:val="auto"/>
                <w:sz w:val="21"/>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6"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1504" w:type="dxa"/>
            <w:gridSpan w:val="2"/>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911"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w:t>
            </w:r>
          </w:p>
        </w:tc>
        <w:tc>
          <w:tcPr>
            <w:tcW w:w="2096" w:type="dxa"/>
            <w:gridSpan w:val="2"/>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691"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《恶臭污染物排放标准》（GB14554-93）表1：臭气浓度≤20（无量纲）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6" w:type="dxa"/>
            <w:vMerge w:val="restar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504" w:type="dxa"/>
            <w:gridSpan w:val="2"/>
            <w:vMerge w:val="restar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DW001污水排放口</w:t>
            </w:r>
          </w:p>
        </w:tc>
        <w:tc>
          <w:tcPr>
            <w:tcW w:w="911" w:type="dxa"/>
            <w:vAlign w:val="center"/>
          </w:tcPr>
          <w:p>
            <w:pPr>
              <w:pStyle w:val="144"/>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pH</w:t>
            </w:r>
          </w:p>
        </w:tc>
        <w:tc>
          <w:tcPr>
            <w:tcW w:w="1110" w:type="dxa"/>
            <w:vMerge w:val="restar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生产废水及生活污水</w:t>
            </w:r>
            <w:r>
              <w:rPr>
                <w:rFonts w:hint="default" w:ascii="Times New Roman" w:hAnsi="Times New Roman" w:eastAsia="宋体" w:cs="Times New Roman"/>
                <w:color w:val="auto"/>
                <w:sz w:val="21"/>
                <w:szCs w:val="21"/>
              </w:rPr>
              <w:t>由化粪池处理接入市政管网纳入融元污水处理厂</w:t>
            </w:r>
          </w:p>
        </w:tc>
        <w:tc>
          <w:tcPr>
            <w:tcW w:w="986" w:type="dxa"/>
            <w:vAlign w:val="center"/>
          </w:tcPr>
          <w:p>
            <w:pPr>
              <w:pStyle w:val="144"/>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6~9</w:t>
            </w:r>
          </w:p>
        </w:tc>
        <w:tc>
          <w:tcPr>
            <w:tcW w:w="3691" w:type="dxa"/>
            <w:vMerge w:val="restart"/>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 8978-1996）表4中的三级排放标准，其中氨氮参照执行《污水排入城镇下水道水质标准》（GB/T 31962-2015）表1中B级标准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6"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1504" w:type="dxa"/>
            <w:gridSpan w:val="2"/>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911" w:type="dxa"/>
            <w:vAlign w:val="center"/>
          </w:tcPr>
          <w:p>
            <w:pPr>
              <w:pStyle w:val="144"/>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BOD</w:t>
            </w:r>
            <w:r>
              <w:rPr>
                <w:rFonts w:hint="default" w:ascii="Times New Roman" w:hAnsi="Times New Roman" w:eastAsia="宋体" w:cs="Times New Roman"/>
                <w:color w:val="auto"/>
                <w:sz w:val="21"/>
                <w:vertAlign w:val="subscript"/>
              </w:rPr>
              <w:t>5</w:t>
            </w:r>
          </w:p>
        </w:tc>
        <w:tc>
          <w:tcPr>
            <w:tcW w:w="1110"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986" w:type="dxa"/>
            <w:vAlign w:val="center"/>
          </w:tcPr>
          <w:p>
            <w:pPr>
              <w:pStyle w:val="144"/>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300mg/L</w:t>
            </w:r>
          </w:p>
        </w:tc>
        <w:tc>
          <w:tcPr>
            <w:tcW w:w="3691"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6"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1504" w:type="dxa"/>
            <w:gridSpan w:val="2"/>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911" w:type="dxa"/>
            <w:vAlign w:val="center"/>
          </w:tcPr>
          <w:p>
            <w:pPr>
              <w:pStyle w:val="144"/>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COD</w:t>
            </w:r>
          </w:p>
        </w:tc>
        <w:tc>
          <w:tcPr>
            <w:tcW w:w="1110"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986" w:type="dxa"/>
            <w:vAlign w:val="center"/>
          </w:tcPr>
          <w:p>
            <w:pPr>
              <w:pStyle w:val="144"/>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500mg/L</w:t>
            </w:r>
          </w:p>
        </w:tc>
        <w:tc>
          <w:tcPr>
            <w:tcW w:w="3691"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6"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1504" w:type="dxa"/>
            <w:gridSpan w:val="2"/>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911" w:type="dxa"/>
            <w:vAlign w:val="center"/>
          </w:tcPr>
          <w:p>
            <w:pPr>
              <w:pStyle w:val="144"/>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SS</w:t>
            </w:r>
          </w:p>
        </w:tc>
        <w:tc>
          <w:tcPr>
            <w:tcW w:w="1110"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986" w:type="dxa"/>
            <w:vAlign w:val="center"/>
          </w:tcPr>
          <w:p>
            <w:pPr>
              <w:pStyle w:val="144"/>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400mg/L</w:t>
            </w:r>
          </w:p>
        </w:tc>
        <w:tc>
          <w:tcPr>
            <w:tcW w:w="3691"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6"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1504" w:type="dxa"/>
            <w:gridSpan w:val="2"/>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911" w:type="dxa"/>
            <w:vAlign w:val="center"/>
          </w:tcPr>
          <w:p>
            <w:pPr>
              <w:pStyle w:val="144"/>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氨氮</w:t>
            </w:r>
          </w:p>
        </w:tc>
        <w:tc>
          <w:tcPr>
            <w:tcW w:w="1110"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c>
          <w:tcPr>
            <w:tcW w:w="986" w:type="dxa"/>
            <w:vAlign w:val="center"/>
          </w:tcPr>
          <w:p>
            <w:pPr>
              <w:pStyle w:val="144"/>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45mg/L</w:t>
            </w:r>
          </w:p>
        </w:tc>
        <w:tc>
          <w:tcPr>
            <w:tcW w:w="3691" w:type="dxa"/>
            <w:vMerge w:val="continue"/>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6"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504" w:type="dxa"/>
            <w:gridSpan w:val="2"/>
            <w:vAlign w:val="center"/>
          </w:tcPr>
          <w:p>
            <w:pPr>
              <w:pStyle w:val="144"/>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车间设备</w:t>
            </w:r>
          </w:p>
        </w:tc>
        <w:tc>
          <w:tcPr>
            <w:tcW w:w="911" w:type="dxa"/>
            <w:vAlign w:val="center"/>
          </w:tcPr>
          <w:p>
            <w:pPr>
              <w:pStyle w:val="144"/>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噪声</w:t>
            </w:r>
          </w:p>
        </w:tc>
        <w:tc>
          <w:tcPr>
            <w:tcW w:w="1110" w:type="dxa"/>
            <w:vAlign w:val="center"/>
          </w:tcPr>
          <w:p>
            <w:pPr>
              <w:pStyle w:val="144"/>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基础减振、厂房隔声</w:t>
            </w:r>
          </w:p>
        </w:tc>
        <w:tc>
          <w:tcPr>
            <w:tcW w:w="4677" w:type="dxa"/>
            <w:gridSpan w:val="2"/>
            <w:vAlign w:val="center"/>
          </w:tcPr>
          <w:p>
            <w:pPr>
              <w:pStyle w:val="144"/>
              <w:widowControl w:val="0"/>
              <w:topLinePunct/>
              <w:spacing w:after="0" w:line="240" w:lineRule="auto"/>
              <w:outlineLvl w:val="9"/>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厂界执行《工业企业厂界环境噪声排放标准》（GB 12348-2008）3类标准：昼间≤65dB（A）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6"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8202" w:type="dxa"/>
            <w:gridSpan w:val="6"/>
            <w:vAlign w:val="center"/>
          </w:tcPr>
          <w:p>
            <w:pPr>
              <w:widowControl w:val="0"/>
              <w:topLinePunct/>
              <w:adjustRightInd w:val="0"/>
              <w:snapToGrid w:val="0"/>
              <w:spacing w:after="0" w:line="240" w:lineRule="auto"/>
              <w:jc w:val="center"/>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1086"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8202" w:type="dxa"/>
            <w:gridSpan w:val="6"/>
            <w:vAlign w:val="center"/>
          </w:tcPr>
          <w:p>
            <w:pPr>
              <w:pStyle w:val="144"/>
              <w:widowControl w:val="0"/>
              <w:topLinePunct/>
              <w:spacing w:after="0" w:line="240" w:lineRule="auto"/>
              <w:jc w:val="center"/>
              <w:outlineLvl w:val="9"/>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表1 固体废物产生处理情况一览表</w:t>
            </w:r>
          </w:p>
          <w:tbl>
            <w:tblPr>
              <w:tblStyle w:val="37"/>
              <w:tblW w:w="4996"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50"/>
              <w:gridCol w:w="1575"/>
              <w:gridCol w:w="1261"/>
              <w:gridCol w:w="919"/>
              <w:gridCol w:w="1008"/>
              <w:gridCol w:w="1025"/>
              <w:gridCol w:w="1442"/>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86" w:hRule="atLeast"/>
                <w:jc w:val="center"/>
              </w:trPr>
              <w:tc>
                <w:tcPr>
                  <w:tcW w:w="507"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固废类别</w:t>
                  </w:r>
                </w:p>
              </w:tc>
              <w:tc>
                <w:tcPr>
                  <w:tcW w:w="1024"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固体废物名称</w:t>
                  </w:r>
                </w:p>
              </w:tc>
              <w:tc>
                <w:tcPr>
                  <w:tcW w:w="827"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主要成分</w:t>
                  </w:r>
                </w:p>
              </w:tc>
              <w:tc>
                <w:tcPr>
                  <w:tcW w:w="61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产生量t/a</w:t>
                  </w:r>
                </w:p>
              </w:tc>
              <w:tc>
                <w:tcPr>
                  <w:tcW w:w="668"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利用处置措施</w:t>
                  </w:r>
                </w:p>
              </w:tc>
              <w:tc>
                <w:tcPr>
                  <w:tcW w:w="679"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最终去向</w:t>
                  </w:r>
                </w:p>
              </w:tc>
              <w:tc>
                <w:tcPr>
                  <w:tcW w:w="679"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执行标准</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07" w:type="pct"/>
                  <w:vMerge w:val="restar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一般固废</w:t>
                  </w:r>
                </w:p>
              </w:tc>
              <w:tc>
                <w:tcPr>
                  <w:tcW w:w="1024"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吸尘器收集的粉尘</w:t>
                  </w:r>
                </w:p>
              </w:tc>
              <w:tc>
                <w:tcPr>
                  <w:tcW w:w="827" w:type="pct"/>
                  <w:tcBorders>
                    <w:tl2br w:val="nil"/>
                    <w:tr2bl w:val="nil"/>
                  </w:tcBorders>
                  <w:shd w:val="clear" w:color="auto" w:fill="auto"/>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bidi="ar"/>
                    </w:rPr>
                    <w:t>面粉、</w:t>
                  </w:r>
                  <w:r>
                    <w:rPr>
                      <w:rFonts w:hint="eastAsia" w:ascii="Times New Roman" w:hAnsi="Times New Roman" w:eastAsia="宋体" w:cs="Times New Roman"/>
                      <w:color w:val="auto"/>
                      <w:sz w:val="21"/>
                      <w:szCs w:val="21"/>
                      <w:lang w:val="en-US" w:eastAsia="zh-CN" w:bidi="ar"/>
                    </w:rPr>
                    <w:t>食用</w:t>
                  </w:r>
                  <w:r>
                    <w:rPr>
                      <w:rFonts w:hint="default" w:ascii="Times New Roman" w:hAnsi="Times New Roman" w:eastAsia="宋体" w:cs="Times New Roman"/>
                      <w:color w:val="auto"/>
                      <w:sz w:val="21"/>
                      <w:szCs w:val="21"/>
                      <w:lang w:bidi="ar"/>
                    </w:rPr>
                    <w:t>油等</w:t>
                  </w:r>
                </w:p>
              </w:tc>
              <w:tc>
                <w:tcPr>
                  <w:tcW w:w="613" w:type="pct"/>
                  <w:tcBorders>
                    <w:tl2br w:val="nil"/>
                    <w:tr2bl w:val="nil"/>
                  </w:tcBorders>
                  <w:shd w:val="clear" w:color="auto" w:fill="auto"/>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0.004</w:t>
                  </w:r>
                </w:p>
              </w:tc>
              <w:tc>
                <w:tcPr>
                  <w:tcW w:w="668" w:type="pct"/>
                  <w:vMerge w:val="restar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一般固废间</w:t>
                  </w:r>
                </w:p>
              </w:tc>
              <w:tc>
                <w:tcPr>
                  <w:tcW w:w="679"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作为饲料外售</w:t>
                  </w:r>
                </w:p>
              </w:tc>
              <w:tc>
                <w:tcPr>
                  <w:tcW w:w="679" w:type="pct"/>
                  <w:vMerge w:val="restart"/>
                  <w:tcBorders>
                    <w:tl2br w:val="nil"/>
                    <w:tr2bl w:val="nil"/>
                  </w:tcBorders>
                  <w:vAlign w:val="center"/>
                </w:tcPr>
                <w:p>
                  <w:pPr>
                    <w:widowControl w:val="0"/>
                    <w:topLinePunct/>
                    <w:bidi/>
                    <w:spacing w:after="0" w:line="240" w:lineRule="auto"/>
                    <w:jc w:val="center"/>
                    <w:outlineLvl w:val="9"/>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《一般工业固体废物贮存和填埋污染控制标准》（GB 18599-2020）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07" w:type="pct"/>
                  <w:vMerge w:val="continue"/>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p>
              </w:tc>
              <w:tc>
                <w:tcPr>
                  <w:tcW w:w="1024"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残次品</w:t>
                  </w:r>
                </w:p>
              </w:tc>
              <w:tc>
                <w:tcPr>
                  <w:tcW w:w="827"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面粉、</w:t>
                  </w:r>
                  <w:r>
                    <w:rPr>
                      <w:rFonts w:hint="eastAsia" w:ascii="Times New Roman" w:hAnsi="Times New Roman" w:eastAsia="宋体" w:cs="Times New Roman"/>
                      <w:color w:val="auto"/>
                      <w:sz w:val="21"/>
                      <w:szCs w:val="21"/>
                      <w:lang w:val="en-US" w:eastAsia="zh-CN" w:bidi="ar"/>
                    </w:rPr>
                    <w:t>食用</w:t>
                  </w:r>
                  <w:r>
                    <w:rPr>
                      <w:rFonts w:hint="default" w:ascii="Times New Roman" w:hAnsi="Times New Roman" w:eastAsia="宋体" w:cs="Times New Roman"/>
                      <w:color w:val="auto"/>
                      <w:sz w:val="21"/>
                      <w:szCs w:val="21"/>
                      <w:lang w:bidi="ar"/>
                    </w:rPr>
                    <w:t>油等</w:t>
                  </w:r>
                </w:p>
              </w:tc>
              <w:tc>
                <w:tcPr>
                  <w:tcW w:w="61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1.65</w:t>
                  </w:r>
                </w:p>
              </w:tc>
              <w:tc>
                <w:tcPr>
                  <w:tcW w:w="668" w:type="pct"/>
                  <w:vMerge w:val="continue"/>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p>
              </w:tc>
              <w:tc>
                <w:tcPr>
                  <w:tcW w:w="679"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作为饲料外售</w:t>
                  </w:r>
                </w:p>
              </w:tc>
              <w:tc>
                <w:tcPr>
                  <w:tcW w:w="679" w:type="pct"/>
                  <w:vMerge w:val="continue"/>
                  <w:tcBorders>
                    <w:tl2br w:val="nil"/>
                    <w:tr2bl w:val="nil"/>
                  </w:tcBorders>
                  <w:vAlign w:val="center"/>
                </w:tcPr>
                <w:p>
                  <w:pPr>
                    <w:widowControl w:val="0"/>
                    <w:topLinePunct/>
                    <w:bidi/>
                    <w:spacing w:after="0" w:line="240" w:lineRule="auto"/>
                    <w:jc w:val="center"/>
                    <w:outlineLvl w:val="9"/>
                    <w:rPr>
                      <w:rFonts w:hint="eastAsia" w:ascii="Times New Roman" w:hAnsi="Times New Roman" w:eastAsia="宋体" w:cs="Times New Roman"/>
                      <w:color w:val="auto"/>
                      <w:sz w:val="21"/>
                      <w:szCs w:val="21"/>
                      <w:lang w:val="en-US" w:eastAsia="zh-CN"/>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3" w:hRule="atLeast"/>
                <w:jc w:val="center"/>
              </w:trPr>
              <w:tc>
                <w:tcPr>
                  <w:tcW w:w="507" w:type="pct"/>
                  <w:vMerge w:val="continue"/>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p>
              </w:tc>
              <w:tc>
                <w:tcPr>
                  <w:tcW w:w="1024" w:type="pct"/>
                  <w:tcBorders>
                    <w:tl2br w:val="nil"/>
                    <w:tr2bl w:val="nil"/>
                  </w:tcBorders>
                  <w:vAlign w:val="center"/>
                </w:tcPr>
                <w:p>
                  <w:pPr>
                    <w:widowControl w:val="0"/>
                    <w:topLinePunct/>
                    <w:bidi/>
                    <w:spacing w:after="0" w:line="240" w:lineRule="auto"/>
                    <w:jc w:val="center"/>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bidi="ar"/>
                    </w:rPr>
                    <w:t>废包装</w:t>
                  </w:r>
                  <w:r>
                    <w:rPr>
                      <w:rFonts w:hint="eastAsia" w:ascii="Times New Roman" w:hAnsi="Times New Roman" w:eastAsia="宋体" w:cs="Times New Roman"/>
                      <w:color w:val="auto"/>
                      <w:sz w:val="21"/>
                      <w:szCs w:val="21"/>
                      <w:lang w:val="en-US" w:eastAsia="zh-CN" w:bidi="ar"/>
                    </w:rPr>
                    <w:t>材料</w:t>
                  </w:r>
                </w:p>
              </w:tc>
              <w:tc>
                <w:tcPr>
                  <w:tcW w:w="827"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w:t>
                  </w:r>
                </w:p>
              </w:tc>
              <w:tc>
                <w:tcPr>
                  <w:tcW w:w="61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0.75</w:t>
                  </w:r>
                </w:p>
              </w:tc>
              <w:tc>
                <w:tcPr>
                  <w:tcW w:w="668" w:type="pct"/>
                  <w:vMerge w:val="continue"/>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p>
              </w:tc>
              <w:tc>
                <w:tcPr>
                  <w:tcW w:w="679"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外售</w:t>
                  </w:r>
                </w:p>
              </w:tc>
              <w:tc>
                <w:tcPr>
                  <w:tcW w:w="679" w:type="pct"/>
                  <w:vMerge w:val="continue"/>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07" w:type="pct"/>
                  <w:vMerge w:val="continue"/>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rPr>
                  </w:pPr>
                </w:p>
              </w:tc>
              <w:tc>
                <w:tcPr>
                  <w:tcW w:w="1024" w:type="pct"/>
                  <w:tcBorders>
                    <w:tl2br w:val="nil"/>
                    <w:tr2bl w:val="nil"/>
                  </w:tcBorders>
                  <w:vAlign w:val="center"/>
                </w:tcPr>
                <w:p>
                  <w:pPr>
                    <w:widowControl w:val="0"/>
                    <w:topLinePunct/>
                    <w:bidi/>
                    <w:spacing w:after="0" w:line="240" w:lineRule="auto"/>
                    <w:jc w:val="center"/>
                    <w:outlineLvl w:val="9"/>
                    <w:rPr>
                      <w:rFonts w:hint="eastAsia"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bidi="ar"/>
                    </w:rPr>
                    <w:t>废抹布、拖</w:t>
                  </w:r>
                  <w:r>
                    <w:rPr>
                      <w:rFonts w:hint="eastAsia" w:ascii="Times New Roman" w:hAnsi="Times New Roman" w:eastAsia="宋体" w:cs="Times New Roman"/>
                      <w:color w:val="auto"/>
                      <w:sz w:val="21"/>
                      <w:szCs w:val="21"/>
                      <w:lang w:val="en-US" w:eastAsia="zh-CN" w:bidi="ar"/>
                    </w:rPr>
                    <w:t>布</w:t>
                  </w:r>
                </w:p>
              </w:tc>
              <w:tc>
                <w:tcPr>
                  <w:tcW w:w="827"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面粉、</w:t>
                  </w:r>
                  <w:r>
                    <w:rPr>
                      <w:rFonts w:hint="eastAsia" w:ascii="Times New Roman" w:hAnsi="Times New Roman" w:eastAsia="宋体" w:cs="Times New Roman"/>
                      <w:color w:val="auto"/>
                      <w:sz w:val="21"/>
                      <w:szCs w:val="21"/>
                      <w:lang w:val="en-US" w:eastAsia="zh-CN" w:bidi="ar"/>
                    </w:rPr>
                    <w:t>食用</w:t>
                  </w:r>
                  <w:r>
                    <w:rPr>
                      <w:rFonts w:hint="default" w:ascii="Times New Roman" w:hAnsi="Times New Roman" w:eastAsia="宋体" w:cs="Times New Roman"/>
                      <w:color w:val="auto"/>
                      <w:sz w:val="21"/>
                      <w:szCs w:val="21"/>
                      <w:lang w:bidi="ar"/>
                    </w:rPr>
                    <w:t>油等</w:t>
                  </w:r>
                </w:p>
              </w:tc>
              <w:tc>
                <w:tcPr>
                  <w:tcW w:w="61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668"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bidi="ar"/>
                    </w:rPr>
                    <w:t>生活垃圾桶</w:t>
                  </w:r>
                </w:p>
              </w:tc>
              <w:tc>
                <w:tcPr>
                  <w:tcW w:w="679"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bidi="ar"/>
                    </w:rPr>
                    <w:t>环卫集中处置</w:t>
                  </w:r>
                </w:p>
              </w:tc>
              <w:tc>
                <w:tcPr>
                  <w:tcW w:w="679" w:type="pct"/>
                  <w:vMerge w:val="continue"/>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07"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生活垃圾</w:t>
                  </w:r>
                </w:p>
              </w:tc>
              <w:tc>
                <w:tcPr>
                  <w:tcW w:w="1024"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生活垃圾</w:t>
                  </w:r>
                </w:p>
              </w:tc>
              <w:tc>
                <w:tcPr>
                  <w:tcW w:w="827"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纸张、废塑料</w:t>
                  </w:r>
                </w:p>
              </w:tc>
              <w:tc>
                <w:tcPr>
                  <w:tcW w:w="613"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68"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生活垃圾桶</w:t>
                  </w:r>
                </w:p>
              </w:tc>
              <w:tc>
                <w:tcPr>
                  <w:tcW w:w="679"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环卫集中处置</w:t>
                  </w:r>
                </w:p>
              </w:tc>
              <w:tc>
                <w:tcPr>
                  <w:tcW w:w="679" w:type="pct"/>
                  <w:tcBorders>
                    <w:tl2br w:val="nil"/>
                    <w:tr2bl w:val="nil"/>
                  </w:tcBorders>
                  <w:vAlign w:val="center"/>
                </w:tcPr>
                <w:p>
                  <w:pPr>
                    <w:widowControl w:val="0"/>
                    <w:topLinePunct/>
                    <w:bidi/>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w:t>
                  </w:r>
                </w:p>
              </w:tc>
            </w:tr>
          </w:tbl>
          <w:p>
            <w:pPr>
              <w:pStyle w:val="144"/>
              <w:widowControl w:val="0"/>
              <w:topLinePunct/>
              <w:spacing w:after="0" w:line="240" w:lineRule="auto"/>
              <w:jc w:val="center"/>
              <w:outlineLvl w:val="9"/>
              <w:rPr>
                <w:rFonts w:hint="default" w:ascii="Times New Roman" w:hAnsi="Times New Roman" w:eastAsia="宋体" w:cs="Times New Roman"/>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6"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8202" w:type="dxa"/>
            <w:gridSpan w:val="6"/>
            <w:vAlign w:val="center"/>
          </w:tcPr>
          <w:p>
            <w:pPr>
              <w:widowControl w:val="0"/>
              <w:topLinePunct/>
              <w:adjustRightInd w:val="0"/>
              <w:snapToGrid w:val="0"/>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项目生产车间位于2号厂房2层，已全部进行地面硬化，能有效防止渗漏对土壤环境及地下水水质造成污染。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6"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8202" w:type="dxa"/>
            <w:gridSpan w:val="6"/>
            <w:vAlign w:val="center"/>
          </w:tcPr>
          <w:p>
            <w:pPr>
              <w:pStyle w:val="179"/>
              <w:widowControl w:val="0"/>
              <w:topLinePunct/>
              <w:spacing w:after="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①加强宣传教育，对职工进行环保知识的教育，提高环保意识和注重环保的自觉性。</w:t>
            </w:r>
          </w:p>
          <w:p>
            <w:pPr>
              <w:widowControl w:val="0"/>
              <w:topLinePunct/>
              <w:adjustRightInd w:val="0"/>
              <w:snapToGrid w:val="0"/>
              <w:spacing w:after="0" w:line="24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②加强厂区绿化，对厂区内现有的植物、草皮、树木做好防护。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6"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环境风险防范措施</w:t>
            </w:r>
          </w:p>
        </w:tc>
        <w:tc>
          <w:tcPr>
            <w:tcW w:w="8202" w:type="dxa"/>
            <w:gridSpan w:val="6"/>
            <w:vAlign w:val="center"/>
          </w:tcPr>
          <w:p>
            <w:pPr>
              <w:pStyle w:val="179"/>
              <w:widowControl w:val="0"/>
              <w:topLinePunct/>
              <w:spacing w:after="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①建立健全车间的各项安全管理制度，明确生产车间各岗位人员的责任制和奖惩制度。</w:t>
            </w:r>
          </w:p>
          <w:p>
            <w:pPr>
              <w:pStyle w:val="179"/>
              <w:widowControl w:val="0"/>
              <w:topLinePunct/>
              <w:spacing w:after="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②在生产车间配备灭火器等火灾消防器材，配备电气防护用品和防火、防毒的劳保用品，并有专人管理和维护。</w:t>
            </w:r>
          </w:p>
          <w:p>
            <w:pPr>
              <w:pStyle w:val="179"/>
              <w:widowControl w:val="0"/>
              <w:topLinePunct/>
              <w:spacing w:after="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③厂区排水实行雨污分流，雨水经雨水管网排入外环境。</w:t>
            </w:r>
          </w:p>
          <w:p>
            <w:pPr>
              <w:pStyle w:val="179"/>
              <w:widowControl w:val="0"/>
              <w:topLinePunct/>
              <w:spacing w:after="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④制定废水处理操作规程并上墙，严格按照操作规范的要求进行运行控制，防止误操作导致的废水事故超标排放。</w:t>
            </w:r>
          </w:p>
          <w:p>
            <w:pPr>
              <w:pStyle w:val="179"/>
              <w:widowControl w:val="0"/>
              <w:topLinePunct/>
              <w:spacing w:after="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⑤建立巡查制度，定期对废水处理设施进行巡查，并做好记录，发现问题及时停工检修。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86" w:type="dxa"/>
            <w:vAlign w:val="center"/>
          </w:tcPr>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其他环境</w:t>
            </w:r>
          </w:p>
          <w:p>
            <w:pPr>
              <w:widowControl w:val="0"/>
              <w:topLinePunct/>
              <w:adjustRightInd w:val="0"/>
              <w:snapToGrid w:val="0"/>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管理要求</w:t>
            </w:r>
          </w:p>
        </w:tc>
        <w:tc>
          <w:tcPr>
            <w:tcW w:w="8202" w:type="dxa"/>
            <w:gridSpan w:val="6"/>
            <w:vAlign w:val="center"/>
          </w:tcPr>
          <w:p>
            <w:pPr>
              <w:pStyle w:val="179"/>
              <w:widowControl w:val="0"/>
              <w:topLinePunct/>
              <w:spacing w:after="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1、排污口规范化管理</w:t>
            </w:r>
          </w:p>
          <w:p>
            <w:pPr>
              <w:pStyle w:val="179"/>
              <w:widowControl w:val="0"/>
              <w:topLinePunct/>
              <w:spacing w:after="0" w:line="240" w:lineRule="auto"/>
              <w:ind w:firstLine="420" w:firstLineChars="200"/>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据闽环保（1999）理3号“关于转发《关于开展排污口规范化整治工作的通知》的通知”文件规定要求：一切新建、改建的排污单位以及限期治理的排污单位，都必须在建设污染治理设施的同时建设规范化排污口。因此，排污口规范化工作应纳入项目“三同时”进行实施，并列入项目环保验收内容。</w:t>
            </w:r>
          </w:p>
          <w:p>
            <w:pPr>
              <w:pStyle w:val="179"/>
              <w:widowControl w:val="0"/>
              <w:topLinePunct/>
              <w:spacing w:after="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2、落实排污许可证制度</w:t>
            </w:r>
          </w:p>
          <w:p>
            <w:pPr>
              <w:pStyle w:val="179"/>
              <w:widowControl w:val="0"/>
              <w:topLinePunct/>
              <w:spacing w:after="0" w:line="240" w:lineRule="auto"/>
              <w:ind w:firstLine="420" w:firstLineChars="200"/>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根据《固定污染源排污许可分类管理名录》（2019版），本项目属于“17 方便食品制造业143 速冻食品制造1432”，为简化管理行业，应对照《排污许可证申请与核发技术规范 食品制造工业—方便食品、食品及饲料添加剂制造工业》（HJ 1030.3-2019），实际排污行为之前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pStyle w:val="179"/>
              <w:widowControl w:val="0"/>
              <w:topLinePunct/>
              <w:spacing w:after="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3、落实自行监测</w:t>
            </w:r>
          </w:p>
          <w:p>
            <w:pPr>
              <w:pStyle w:val="179"/>
              <w:widowControl w:val="0"/>
              <w:topLinePunct/>
              <w:spacing w:after="0" w:line="240" w:lineRule="auto"/>
              <w:ind w:firstLine="420" w:firstLineChars="200"/>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依法开展自行监测，使用监测设备应符合国家有关环境监测、计量认证规定和技术规范，保障数据合法有效，保证设备正常运行，妥善保存原始记录，建立准确完整的环境管理台账。</w:t>
            </w:r>
          </w:p>
          <w:p>
            <w:pPr>
              <w:pStyle w:val="179"/>
              <w:widowControl w:val="0"/>
              <w:topLinePunct/>
              <w:spacing w:after="0" w:line="24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4、落实项目竣工环境保护验收</w:t>
            </w:r>
          </w:p>
          <w:p>
            <w:pPr>
              <w:pStyle w:val="179"/>
              <w:widowControl w:val="0"/>
              <w:topLinePunct/>
              <w:spacing w:after="0" w:line="240" w:lineRule="auto"/>
              <w:ind w:firstLine="420" w:firstLineChars="200"/>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建设项目竣工环境保护验收暂行办法》（国环规环评[2017]4号）第四条规定：“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第十二条规定：“除需要取得排污许可证的水和大气污染防治设施外，其他环境保护设施的验收期限一般不超过3个月；需要对该类环境保护设施进行调试和整改的，验收期限可以适当延期，但最长不超过12个月。验收期限是指自建设项目环境保护设施竣工之日起至建设单位向社会公开验收报告之日止的时间。”</w:t>
            </w:r>
          </w:p>
        </w:tc>
      </w:tr>
    </w:tbl>
    <w:p>
      <w:pPr>
        <w:pStyle w:val="29"/>
        <w:widowControl w:val="0"/>
        <w:topLinePunct/>
        <w:jc w:val="center"/>
        <w:outlineLvl w:val="9"/>
        <w:rPr>
          <w:rFonts w:hint="default" w:ascii="Times New Roman" w:hAnsi="Times New Roman" w:eastAsia="宋体" w:cs="Times New Roman"/>
          <w:b/>
          <w:bCs/>
          <w:snapToGrid w:val="0"/>
          <w:color w:val="auto"/>
          <w:sz w:val="32"/>
          <w:szCs w:val="32"/>
        </w:rPr>
        <w:sectPr>
          <w:pgSz w:w="11906" w:h="16838"/>
          <w:pgMar w:top="1417" w:right="1417" w:bottom="1417" w:left="1417" w:header="992" w:footer="992" w:gutter="0"/>
          <w:pgBorders>
            <w:top w:val="none" w:sz="0" w:space="0"/>
            <w:left w:val="none" w:sz="0" w:space="0"/>
            <w:bottom w:val="none" w:sz="0" w:space="0"/>
            <w:right w:val="none" w:sz="0" w:space="0"/>
          </w:pgBorders>
          <w:pgNumType w:fmt="decimal"/>
          <w:cols w:space="720" w:num="1"/>
          <w:docGrid w:linePitch="312" w:charSpace="0"/>
        </w:sectPr>
      </w:pPr>
    </w:p>
    <w:p>
      <w:pPr>
        <w:pStyle w:val="29"/>
        <w:widowControl w:val="0"/>
        <w:topLinePunct/>
        <w:jc w:val="center"/>
        <w:outlineLvl w:val="9"/>
        <w:rPr>
          <w:rFonts w:hint="eastAsia" w:ascii="Times New Roman" w:hAnsi="Times New Roman" w:eastAsia="宋体" w:cs="Times New Roman"/>
          <w:b/>
          <w:bCs/>
          <w:snapToGrid w:val="0"/>
          <w:color w:val="auto"/>
          <w:sz w:val="32"/>
          <w:szCs w:val="32"/>
          <w:lang w:eastAsia="zh-CN"/>
        </w:rPr>
        <w:sectPr>
          <w:pgSz w:w="11906" w:h="16838"/>
          <w:pgMar w:top="1417" w:right="1417" w:bottom="1417" w:left="1417" w:header="992"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b/>
          <w:bCs/>
          <w:snapToGrid w:val="0"/>
          <w:color w:val="auto"/>
          <w:sz w:val="32"/>
          <w:szCs w:val="32"/>
          <w:lang w:eastAsia="zh-CN"/>
        </w:rPr>
        <w:drawing>
          <wp:inline distT="0" distB="0" distL="114300" distR="114300">
            <wp:extent cx="5742305" cy="8305165"/>
            <wp:effectExtent l="0" t="0" r="10795" b="635"/>
            <wp:docPr id="37" name="图片 37" descr="19e9f182dbc510cb9abf8f9ab5d5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9e9f182dbc510cb9abf8f9ab5d57e2"/>
                    <pic:cNvPicPr>
                      <a:picLocks noChangeAspect="1"/>
                    </pic:cNvPicPr>
                  </pic:nvPicPr>
                  <pic:blipFill>
                    <a:blip r:embed="rId21"/>
                    <a:stretch>
                      <a:fillRect/>
                    </a:stretch>
                  </pic:blipFill>
                  <pic:spPr>
                    <a:xfrm>
                      <a:off x="0" y="0"/>
                      <a:ext cx="5742305" cy="8305165"/>
                    </a:xfrm>
                    <a:prstGeom prst="rect">
                      <a:avLst/>
                    </a:prstGeom>
                  </pic:spPr>
                </pic:pic>
              </a:graphicData>
            </a:graphic>
          </wp:inline>
        </w:drawing>
      </w:r>
    </w:p>
    <w:p>
      <w:pPr>
        <w:pStyle w:val="2"/>
        <w:keepNext w:val="0"/>
        <w:keepLines w:val="0"/>
        <w:pageBreakBefore w:val="0"/>
        <w:widowControl w:val="0"/>
        <w:kinsoku/>
        <w:wordWrap/>
        <w:overflowPunct/>
        <w:topLinePunct/>
        <w:autoSpaceDE/>
        <w:autoSpaceDN/>
        <w:bidi w:val="0"/>
        <w:adjustRightInd/>
        <w:snapToGrid/>
        <w:spacing w:before="0" w:line="360" w:lineRule="auto"/>
        <w:textAlignment w:val="auto"/>
        <w:outlineLvl w:val="0"/>
        <w:rPr>
          <w:rFonts w:hint="default" w:ascii="Times New Roman" w:hAnsi="Times New Roman" w:eastAsia="宋体" w:cs="Times New Roman"/>
          <w:b/>
          <w:bCs/>
          <w:color w:val="auto"/>
          <w:szCs w:val="36"/>
        </w:rPr>
      </w:pPr>
      <w:bookmarkStart w:id="12" w:name="_Toc30056"/>
      <w:bookmarkStart w:id="13" w:name="_Toc15322"/>
      <w:r>
        <w:rPr>
          <w:rFonts w:hint="default" w:ascii="Times New Roman" w:hAnsi="Times New Roman" w:eastAsia="宋体" w:cs="Times New Roman"/>
          <w:b/>
          <w:bCs/>
          <w:color w:val="auto"/>
          <w:szCs w:val="36"/>
        </w:rPr>
        <w:t>附表</w:t>
      </w:r>
      <w:bookmarkEnd w:id="12"/>
      <w:bookmarkEnd w:id="13"/>
    </w:p>
    <w:p>
      <w:pPr>
        <w:pStyle w:val="3"/>
        <w:keepNext w:val="0"/>
        <w:keepLines w:val="0"/>
        <w:widowControl w:val="0"/>
        <w:tabs>
          <w:tab w:val="left" w:pos="5400"/>
        </w:tabs>
        <w:topLinePunct/>
        <w:spacing w:before="0" w:line="360" w:lineRule="auto"/>
        <w:jc w:val="center"/>
        <w:rPr>
          <w:rFonts w:hint="default" w:ascii="Times New Roman" w:hAnsi="Times New Roman" w:eastAsia="宋体" w:cs="Times New Roman"/>
          <w:color w:val="auto"/>
          <w:szCs w:val="30"/>
        </w:rPr>
      </w:pPr>
      <w:bookmarkStart w:id="14" w:name="_Toc2025"/>
      <w:r>
        <w:rPr>
          <w:rFonts w:hint="default" w:ascii="Times New Roman" w:hAnsi="Times New Roman" w:eastAsia="宋体" w:cs="Times New Roman"/>
          <w:color w:val="auto"/>
          <w:szCs w:val="30"/>
        </w:rPr>
        <w:t>建设项目污染物排放量汇总表</w:t>
      </w:r>
      <w:bookmarkEnd w:id="14"/>
    </w:p>
    <w:tbl>
      <w:tblPr>
        <w:tblStyle w:val="37"/>
        <w:tblW w:w="0" w:type="auto"/>
        <w:tblInd w:w="0" w:type="dxa"/>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05"/>
        <w:gridCol w:w="2270"/>
        <w:gridCol w:w="1447"/>
        <w:gridCol w:w="1039"/>
        <w:gridCol w:w="1403"/>
        <w:gridCol w:w="1609"/>
        <w:gridCol w:w="1350"/>
        <w:gridCol w:w="1705"/>
        <w:gridCol w:w="1760"/>
      </w:tblGrid>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1205" w:type="dxa"/>
            <w:tcBorders>
              <w:tl2br w:val="single" w:color="auto" w:sz="4" w:space="0"/>
            </w:tcBorders>
            <w:tcMar>
              <w:left w:w="28" w:type="dxa"/>
              <w:right w:w="28" w:type="dxa"/>
            </w:tcMar>
            <w:vAlign w:val="center"/>
          </w:tcPr>
          <w:p>
            <w:pPr>
              <w:pStyle w:val="67"/>
              <w:widowControl w:val="0"/>
              <w:topLinePunct/>
              <w:spacing w:beforeLines="0" w:after="0" w:afterLines="0" w:line="240" w:lineRule="auto"/>
              <w:jc w:val="right"/>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分类</w:t>
            </w:r>
          </w:p>
          <w:p>
            <w:pPr>
              <w:pStyle w:val="67"/>
              <w:widowControl w:val="0"/>
              <w:topLinePunct/>
              <w:spacing w:beforeLines="0" w:after="0" w:afterLines="0" w:line="240" w:lineRule="auto"/>
              <w:jc w:val="right"/>
              <w:outlineLvl w:val="9"/>
              <w:rPr>
                <w:rFonts w:hint="default" w:ascii="Times New Roman" w:hAnsi="Times New Roman" w:eastAsia="宋体" w:cs="Times New Roman"/>
                <w:snapToGrid w:val="0"/>
                <w:color w:val="auto"/>
                <w:kern w:val="21"/>
                <w:sz w:val="21"/>
                <w:szCs w:val="21"/>
              </w:rPr>
            </w:pPr>
          </w:p>
          <w:p>
            <w:pPr>
              <w:pStyle w:val="67"/>
              <w:widowControl w:val="0"/>
              <w:topLinePunct/>
              <w:spacing w:beforeLines="0" w:after="0" w:afterLines="0" w:line="240" w:lineRule="auto"/>
              <w:jc w:val="left"/>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项目</w:t>
            </w:r>
          </w:p>
        </w:tc>
        <w:tc>
          <w:tcPr>
            <w:tcW w:w="2270" w:type="dxa"/>
            <w:tcMar>
              <w:left w:w="28" w:type="dxa"/>
              <w:right w:w="28" w:type="dxa"/>
            </w:tcMar>
            <w:vAlign w:val="center"/>
          </w:tcPr>
          <w:p>
            <w:pPr>
              <w:pStyle w:val="67"/>
              <w:widowControl w:val="0"/>
              <w:topLinePunct/>
              <w:spacing w:beforeLines="0" w:after="0" w:afterLines="0" w:line="240" w:lineRule="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污染物名称</w:t>
            </w:r>
          </w:p>
        </w:tc>
        <w:tc>
          <w:tcPr>
            <w:tcW w:w="1447" w:type="dxa"/>
            <w:tcMar>
              <w:left w:w="28" w:type="dxa"/>
              <w:right w:w="28" w:type="dxa"/>
            </w:tcMar>
            <w:vAlign w:val="center"/>
          </w:tcPr>
          <w:p>
            <w:pPr>
              <w:pStyle w:val="67"/>
              <w:widowControl w:val="0"/>
              <w:topLinePunct/>
              <w:spacing w:beforeLines="0" w:after="0" w:afterLines="0" w:line="240" w:lineRule="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现有工程</w:t>
            </w:r>
          </w:p>
          <w:p>
            <w:pPr>
              <w:pStyle w:val="67"/>
              <w:widowControl w:val="0"/>
              <w:topLinePunct/>
              <w:spacing w:beforeLines="0" w:after="0" w:afterLines="0" w:line="240" w:lineRule="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1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①</w:t>
            </w:r>
            <w:r>
              <w:rPr>
                <w:rFonts w:hint="default" w:ascii="Times New Roman" w:hAnsi="Times New Roman" w:eastAsia="宋体" w:cs="Times New Roman"/>
                <w:snapToGrid w:val="0"/>
                <w:color w:val="auto"/>
                <w:kern w:val="21"/>
                <w:sz w:val="21"/>
                <w:szCs w:val="21"/>
              </w:rPr>
              <w:fldChar w:fldCharType="end"/>
            </w:r>
          </w:p>
        </w:tc>
        <w:tc>
          <w:tcPr>
            <w:tcW w:w="1039" w:type="dxa"/>
            <w:tcMar>
              <w:left w:w="28" w:type="dxa"/>
              <w:right w:w="28" w:type="dxa"/>
            </w:tcMar>
            <w:vAlign w:val="center"/>
          </w:tcPr>
          <w:p>
            <w:pPr>
              <w:pStyle w:val="67"/>
              <w:widowControl w:val="0"/>
              <w:topLinePunct/>
              <w:spacing w:beforeLines="0" w:after="0" w:afterLines="0" w:line="240" w:lineRule="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现有工程许可排放量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2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snapToGrid w:val="0"/>
                <w:color w:val="auto"/>
                <w:kern w:val="21"/>
                <w:sz w:val="21"/>
                <w:szCs w:val="21"/>
              </w:rPr>
              <w:t>②</w:t>
            </w:r>
            <w:r>
              <w:rPr>
                <w:rFonts w:hint="default" w:ascii="Times New Roman" w:hAnsi="Times New Roman" w:eastAsia="宋体" w:cs="Times New Roman"/>
                <w:snapToGrid w:val="0"/>
                <w:color w:val="auto"/>
                <w:kern w:val="21"/>
                <w:sz w:val="21"/>
                <w:szCs w:val="21"/>
              </w:rPr>
              <w:fldChar w:fldCharType="end"/>
            </w:r>
          </w:p>
        </w:tc>
        <w:tc>
          <w:tcPr>
            <w:tcW w:w="1403" w:type="dxa"/>
            <w:tcMar>
              <w:left w:w="28" w:type="dxa"/>
              <w:right w:w="28" w:type="dxa"/>
            </w:tcMar>
            <w:vAlign w:val="center"/>
          </w:tcPr>
          <w:p>
            <w:pPr>
              <w:pStyle w:val="67"/>
              <w:widowControl w:val="0"/>
              <w:topLinePunct/>
              <w:spacing w:beforeLines="0" w:after="0" w:afterLines="0" w:line="240" w:lineRule="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在建工程</w:t>
            </w:r>
          </w:p>
          <w:p>
            <w:pPr>
              <w:pStyle w:val="67"/>
              <w:widowControl w:val="0"/>
              <w:topLinePunct/>
              <w:spacing w:beforeLines="0" w:after="0" w:afterLines="0" w:line="240" w:lineRule="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3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③</w:t>
            </w:r>
            <w:r>
              <w:rPr>
                <w:rFonts w:hint="default" w:ascii="Times New Roman" w:hAnsi="Times New Roman" w:eastAsia="宋体" w:cs="Times New Roman"/>
                <w:snapToGrid w:val="0"/>
                <w:color w:val="auto"/>
                <w:kern w:val="21"/>
                <w:sz w:val="21"/>
                <w:szCs w:val="21"/>
              </w:rPr>
              <w:fldChar w:fldCharType="end"/>
            </w:r>
          </w:p>
        </w:tc>
        <w:tc>
          <w:tcPr>
            <w:tcW w:w="1609" w:type="dxa"/>
            <w:tcMar>
              <w:left w:w="28" w:type="dxa"/>
              <w:right w:w="28" w:type="dxa"/>
            </w:tcMar>
            <w:vAlign w:val="center"/>
          </w:tcPr>
          <w:p>
            <w:pPr>
              <w:pStyle w:val="67"/>
              <w:widowControl w:val="0"/>
              <w:topLinePunct/>
              <w:spacing w:beforeLines="0" w:after="0" w:afterLines="0" w:line="240" w:lineRule="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本项目</w:t>
            </w:r>
          </w:p>
          <w:p>
            <w:pPr>
              <w:pStyle w:val="67"/>
              <w:widowControl w:val="0"/>
              <w:topLinePunct/>
              <w:spacing w:beforeLines="0" w:after="0" w:afterLines="0" w:line="240" w:lineRule="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4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④</w:t>
            </w:r>
            <w:r>
              <w:rPr>
                <w:rFonts w:hint="default" w:ascii="Times New Roman" w:hAnsi="Times New Roman" w:eastAsia="宋体" w:cs="Times New Roman"/>
                <w:snapToGrid w:val="0"/>
                <w:color w:val="auto"/>
                <w:kern w:val="21"/>
                <w:sz w:val="21"/>
                <w:szCs w:val="21"/>
              </w:rPr>
              <w:fldChar w:fldCharType="end"/>
            </w:r>
          </w:p>
        </w:tc>
        <w:tc>
          <w:tcPr>
            <w:tcW w:w="1350" w:type="dxa"/>
            <w:tcMar>
              <w:left w:w="28" w:type="dxa"/>
              <w:right w:w="28" w:type="dxa"/>
            </w:tcMar>
            <w:vAlign w:val="center"/>
          </w:tcPr>
          <w:p>
            <w:pPr>
              <w:pStyle w:val="67"/>
              <w:widowControl w:val="0"/>
              <w:topLinePunct/>
              <w:spacing w:beforeLines="0" w:after="0" w:afterLines="0" w:line="240" w:lineRule="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以新带老削减量（新建项目不填）</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5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⑤</w:t>
            </w:r>
            <w:r>
              <w:rPr>
                <w:rFonts w:hint="default" w:ascii="Times New Roman" w:hAnsi="Times New Roman" w:eastAsia="宋体" w:cs="Times New Roman"/>
                <w:snapToGrid w:val="0"/>
                <w:color w:val="auto"/>
                <w:kern w:val="21"/>
                <w:sz w:val="21"/>
                <w:szCs w:val="21"/>
              </w:rPr>
              <w:fldChar w:fldCharType="end"/>
            </w:r>
          </w:p>
        </w:tc>
        <w:tc>
          <w:tcPr>
            <w:tcW w:w="1705" w:type="dxa"/>
            <w:tcMar>
              <w:left w:w="28" w:type="dxa"/>
              <w:right w:w="28" w:type="dxa"/>
            </w:tcMar>
            <w:vAlign w:val="center"/>
          </w:tcPr>
          <w:p>
            <w:pPr>
              <w:pStyle w:val="67"/>
              <w:widowControl w:val="0"/>
              <w:topLinePunct/>
              <w:spacing w:beforeLines="0" w:after="0" w:afterLines="0" w:line="240" w:lineRule="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本项目建成后</w:t>
            </w:r>
          </w:p>
          <w:p>
            <w:pPr>
              <w:pStyle w:val="67"/>
              <w:widowControl w:val="0"/>
              <w:topLinePunct/>
              <w:spacing w:beforeLines="0" w:after="0" w:afterLines="0" w:line="240" w:lineRule="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全厂排放量（固体废物产生量）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6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⑥</w:t>
            </w:r>
            <w:r>
              <w:rPr>
                <w:rFonts w:hint="default" w:ascii="Times New Roman" w:hAnsi="Times New Roman" w:eastAsia="宋体" w:cs="Times New Roman"/>
                <w:snapToGrid w:val="0"/>
                <w:color w:val="auto"/>
                <w:kern w:val="21"/>
                <w:sz w:val="21"/>
                <w:szCs w:val="21"/>
              </w:rPr>
              <w:fldChar w:fldCharType="end"/>
            </w:r>
          </w:p>
        </w:tc>
        <w:tc>
          <w:tcPr>
            <w:tcW w:w="1760" w:type="dxa"/>
            <w:tcMar>
              <w:left w:w="28" w:type="dxa"/>
              <w:right w:w="28" w:type="dxa"/>
            </w:tcMar>
            <w:vAlign w:val="center"/>
          </w:tcPr>
          <w:p>
            <w:pPr>
              <w:pStyle w:val="67"/>
              <w:widowControl w:val="0"/>
              <w:topLinePunct/>
              <w:spacing w:beforeLines="0" w:after="0" w:afterLines="0" w:line="240" w:lineRule="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变化量</w:t>
            </w:r>
          </w:p>
          <w:p>
            <w:pPr>
              <w:pStyle w:val="67"/>
              <w:widowControl w:val="0"/>
              <w:topLinePunct/>
              <w:spacing w:beforeLines="0" w:after="0" w:afterLines="0" w:line="240" w:lineRule="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7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⑦</w:t>
            </w:r>
            <w:r>
              <w:rPr>
                <w:rFonts w:hint="default" w:ascii="Times New Roman" w:hAnsi="Times New Roman" w:eastAsia="宋体" w:cs="Times New Roman"/>
                <w:snapToGrid w:val="0"/>
                <w:color w:val="auto"/>
                <w:kern w:val="21"/>
                <w:sz w:val="21"/>
                <w:szCs w:val="21"/>
              </w:rPr>
              <w:fldChar w:fldCharType="end"/>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1205" w:type="dxa"/>
            <w:vMerge w:val="restart"/>
            <w:vAlign w:val="center"/>
          </w:tcPr>
          <w:p>
            <w:pPr>
              <w:widowControl w:val="0"/>
              <w:topLinePunct/>
              <w:spacing w:after="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废气</w:t>
            </w:r>
          </w:p>
        </w:tc>
        <w:tc>
          <w:tcPr>
            <w:tcW w:w="227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颗粒物（t/a）</w:t>
            </w:r>
          </w:p>
        </w:tc>
        <w:tc>
          <w:tcPr>
            <w:tcW w:w="1447"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
              </w:rPr>
              <w:t>0.0046</w:t>
            </w:r>
          </w:p>
        </w:tc>
        <w:tc>
          <w:tcPr>
            <w:tcW w:w="103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
              </w:rPr>
              <w:t>0.0046</w:t>
            </w:r>
          </w:p>
        </w:tc>
        <w:tc>
          <w:tcPr>
            <w:tcW w:w="1403"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w:t>
            </w:r>
          </w:p>
        </w:tc>
        <w:tc>
          <w:tcPr>
            <w:tcW w:w="160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0.005</w:t>
            </w:r>
          </w:p>
        </w:tc>
        <w:tc>
          <w:tcPr>
            <w:tcW w:w="135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w:t>
            </w:r>
          </w:p>
        </w:tc>
        <w:tc>
          <w:tcPr>
            <w:tcW w:w="1705"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0.0096</w:t>
            </w:r>
          </w:p>
        </w:tc>
        <w:tc>
          <w:tcPr>
            <w:tcW w:w="176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+0.005</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1205" w:type="dxa"/>
            <w:vMerge w:val="continue"/>
            <w:vAlign w:val="center"/>
          </w:tcPr>
          <w:p>
            <w:pPr>
              <w:widowControl w:val="0"/>
              <w:topLinePunct/>
              <w:spacing w:after="0" w:line="240" w:lineRule="auto"/>
              <w:jc w:val="center"/>
              <w:outlineLvl w:val="9"/>
              <w:rPr>
                <w:rFonts w:hint="default" w:ascii="Times New Roman" w:hAnsi="Times New Roman" w:eastAsia="宋体" w:cs="Times New Roman"/>
                <w:snapToGrid w:val="0"/>
                <w:color w:val="auto"/>
                <w:kern w:val="21"/>
                <w:sz w:val="21"/>
                <w:szCs w:val="21"/>
              </w:rPr>
            </w:pPr>
          </w:p>
        </w:tc>
        <w:tc>
          <w:tcPr>
            <w:tcW w:w="2270" w:type="dxa"/>
            <w:vAlign w:val="center"/>
          </w:tcPr>
          <w:p>
            <w:pPr>
              <w:widowControl w:val="0"/>
              <w:topLinePunct/>
              <w:spacing w:after="0" w:line="240" w:lineRule="auto"/>
              <w:jc w:val="center"/>
              <w:outlineLvl w:val="9"/>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油烟（t/a））</w:t>
            </w:r>
          </w:p>
        </w:tc>
        <w:tc>
          <w:tcPr>
            <w:tcW w:w="1447"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w:t>
            </w:r>
          </w:p>
        </w:tc>
        <w:tc>
          <w:tcPr>
            <w:tcW w:w="103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w:t>
            </w:r>
          </w:p>
        </w:tc>
        <w:tc>
          <w:tcPr>
            <w:tcW w:w="1403" w:type="dxa"/>
            <w:vAlign w:val="center"/>
          </w:tcPr>
          <w:p>
            <w:pPr>
              <w:widowControl w:val="0"/>
              <w:topLinePunct/>
              <w:spacing w:after="0" w:line="240" w:lineRule="auto"/>
              <w:jc w:val="center"/>
              <w:outlineLvl w:val="9"/>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w:t>
            </w:r>
          </w:p>
        </w:tc>
        <w:tc>
          <w:tcPr>
            <w:tcW w:w="160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0.005</w:t>
            </w:r>
          </w:p>
        </w:tc>
        <w:tc>
          <w:tcPr>
            <w:tcW w:w="1350" w:type="dxa"/>
            <w:vAlign w:val="center"/>
          </w:tcPr>
          <w:p>
            <w:pPr>
              <w:widowControl w:val="0"/>
              <w:topLinePunct/>
              <w:spacing w:after="0" w:line="240" w:lineRule="auto"/>
              <w:jc w:val="center"/>
              <w:outlineLvl w:val="9"/>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w:t>
            </w:r>
          </w:p>
        </w:tc>
        <w:tc>
          <w:tcPr>
            <w:tcW w:w="1705"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0.005</w:t>
            </w:r>
          </w:p>
        </w:tc>
        <w:tc>
          <w:tcPr>
            <w:tcW w:w="176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+0.005</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1205" w:type="dxa"/>
            <w:vMerge w:val="restart"/>
            <w:vAlign w:val="center"/>
          </w:tcPr>
          <w:p>
            <w:pPr>
              <w:widowControl w:val="0"/>
              <w:topLinePunct/>
              <w:spacing w:after="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lang w:bidi="ar"/>
              </w:rPr>
              <w:t>废水</w:t>
            </w:r>
          </w:p>
        </w:tc>
        <w:tc>
          <w:tcPr>
            <w:tcW w:w="227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COD（t/a）</w:t>
            </w:r>
          </w:p>
        </w:tc>
        <w:tc>
          <w:tcPr>
            <w:tcW w:w="1447"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
              </w:rPr>
              <w:t>0.352</w:t>
            </w:r>
          </w:p>
        </w:tc>
        <w:tc>
          <w:tcPr>
            <w:tcW w:w="103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
              </w:rPr>
              <w:t>0.044</w:t>
            </w:r>
          </w:p>
        </w:tc>
        <w:tc>
          <w:tcPr>
            <w:tcW w:w="1403"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w:t>
            </w:r>
          </w:p>
        </w:tc>
        <w:tc>
          <w:tcPr>
            <w:tcW w:w="160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0.026</w:t>
            </w:r>
          </w:p>
        </w:tc>
        <w:tc>
          <w:tcPr>
            <w:tcW w:w="135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w:t>
            </w:r>
          </w:p>
        </w:tc>
        <w:tc>
          <w:tcPr>
            <w:tcW w:w="1705"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0.07</w:t>
            </w:r>
          </w:p>
        </w:tc>
        <w:tc>
          <w:tcPr>
            <w:tcW w:w="176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+0.026</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1205" w:type="dxa"/>
            <w:vMerge w:val="continue"/>
            <w:vAlign w:val="center"/>
          </w:tcPr>
          <w:p>
            <w:pPr>
              <w:widowControl w:val="0"/>
              <w:topLinePunct/>
              <w:spacing w:after="0" w:line="240" w:lineRule="auto"/>
              <w:jc w:val="center"/>
              <w:outlineLvl w:val="9"/>
              <w:rPr>
                <w:rFonts w:hint="default" w:ascii="Times New Roman" w:hAnsi="Times New Roman" w:eastAsia="宋体" w:cs="Times New Roman"/>
                <w:snapToGrid w:val="0"/>
                <w:color w:val="auto"/>
                <w:kern w:val="21"/>
                <w:sz w:val="21"/>
                <w:szCs w:val="21"/>
              </w:rPr>
            </w:pPr>
          </w:p>
        </w:tc>
        <w:tc>
          <w:tcPr>
            <w:tcW w:w="227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BOD</w:t>
            </w:r>
            <w:r>
              <w:rPr>
                <w:rFonts w:hint="default" w:ascii="Times New Roman" w:hAnsi="Times New Roman" w:eastAsia="宋体" w:cs="Times New Roman"/>
                <w:color w:val="auto"/>
                <w:sz w:val="21"/>
                <w:szCs w:val="21"/>
                <w:vertAlign w:val="subscript"/>
                <w:lang w:bidi="ar"/>
              </w:rPr>
              <w:t>5</w:t>
            </w:r>
            <w:r>
              <w:rPr>
                <w:rFonts w:hint="default" w:ascii="Times New Roman" w:hAnsi="Times New Roman" w:eastAsia="宋体" w:cs="Times New Roman"/>
                <w:color w:val="auto"/>
                <w:sz w:val="21"/>
                <w:szCs w:val="21"/>
                <w:lang w:bidi="ar"/>
              </w:rPr>
              <w:t>（t/a）</w:t>
            </w:r>
          </w:p>
        </w:tc>
        <w:tc>
          <w:tcPr>
            <w:tcW w:w="1447"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
              </w:rPr>
              <w:t>0.194</w:t>
            </w:r>
          </w:p>
        </w:tc>
        <w:tc>
          <w:tcPr>
            <w:tcW w:w="103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
              </w:rPr>
              <w:t>0.0088</w:t>
            </w:r>
          </w:p>
        </w:tc>
        <w:tc>
          <w:tcPr>
            <w:tcW w:w="1403"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w:t>
            </w:r>
          </w:p>
        </w:tc>
        <w:tc>
          <w:tcPr>
            <w:tcW w:w="160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0.006</w:t>
            </w:r>
          </w:p>
        </w:tc>
        <w:tc>
          <w:tcPr>
            <w:tcW w:w="135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w:t>
            </w:r>
          </w:p>
        </w:tc>
        <w:tc>
          <w:tcPr>
            <w:tcW w:w="1705"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0.0148</w:t>
            </w:r>
          </w:p>
        </w:tc>
        <w:tc>
          <w:tcPr>
            <w:tcW w:w="176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+0.006</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1205" w:type="dxa"/>
            <w:vMerge w:val="continue"/>
            <w:vAlign w:val="center"/>
          </w:tcPr>
          <w:p>
            <w:pPr>
              <w:widowControl w:val="0"/>
              <w:topLinePunct/>
              <w:spacing w:after="0" w:line="240" w:lineRule="auto"/>
              <w:jc w:val="center"/>
              <w:outlineLvl w:val="9"/>
              <w:rPr>
                <w:rFonts w:hint="default" w:ascii="Times New Roman" w:hAnsi="Times New Roman" w:eastAsia="宋体" w:cs="Times New Roman"/>
                <w:snapToGrid w:val="0"/>
                <w:color w:val="auto"/>
                <w:kern w:val="21"/>
                <w:sz w:val="21"/>
                <w:szCs w:val="21"/>
              </w:rPr>
            </w:pPr>
          </w:p>
        </w:tc>
        <w:tc>
          <w:tcPr>
            <w:tcW w:w="227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SS（t/a）</w:t>
            </w:r>
          </w:p>
        </w:tc>
        <w:tc>
          <w:tcPr>
            <w:tcW w:w="1447"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bidi="ar"/>
              </w:rPr>
              <w:t>0.176</w:t>
            </w:r>
          </w:p>
        </w:tc>
        <w:tc>
          <w:tcPr>
            <w:tcW w:w="103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0.0088</w:t>
            </w:r>
          </w:p>
        </w:tc>
        <w:tc>
          <w:tcPr>
            <w:tcW w:w="1403" w:type="dxa"/>
            <w:vAlign w:val="center"/>
          </w:tcPr>
          <w:p>
            <w:pPr>
              <w:widowControl w:val="0"/>
              <w:topLinePunct/>
              <w:spacing w:after="0" w:line="240" w:lineRule="auto"/>
              <w:jc w:val="center"/>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0.006</w:t>
            </w:r>
          </w:p>
        </w:tc>
        <w:tc>
          <w:tcPr>
            <w:tcW w:w="135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w:t>
            </w:r>
          </w:p>
        </w:tc>
        <w:tc>
          <w:tcPr>
            <w:tcW w:w="1705"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0.0148</w:t>
            </w:r>
          </w:p>
        </w:tc>
        <w:tc>
          <w:tcPr>
            <w:tcW w:w="176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+0.006</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1205" w:type="dxa"/>
            <w:vMerge w:val="continue"/>
            <w:vAlign w:val="center"/>
          </w:tcPr>
          <w:p>
            <w:pPr>
              <w:widowControl w:val="0"/>
              <w:topLinePunct/>
              <w:spacing w:after="0" w:line="240" w:lineRule="auto"/>
              <w:jc w:val="center"/>
              <w:outlineLvl w:val="9"/>
              <w:rPr>
                <w:rFonts w:hint="default" w:ascii="Times New Roman" w:hAnsi="Times New Roman" w:eastAsia="宋体" w:cs="Times New Roman"/>
                <w:snapToGrid w:val="0"/>
                <w:color w:val="auto"/>
                <w:kern w:val="21"/>
                <w:sz w:val="21"/>
                <w:szCs w:val="21"/>
              </w:rPr>
            </w:pPr>
          </w:p>
        </w:tc>
        <w:tc>
          <w:tcPr>
            <w:tcW w:w="227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NH</w:t>
            </w:r>
            <w:r>
              <w:rPr>
                <w:rFonts w:hint="default" w:ascii="Times New Roman" w:hAnsi="Times New Roman" w:eastAsia="宋体" w:cs="Times New Roman"/>
                <w:color w:val="auto"/>
                <w:sz w:val="21"/>
                <w:szCs w:val="21"/>
                <w:vertAlign w:val="subscript"/>
                <w:lang w:bidi="ar"/>
              </w:rPr>
              <w:t>3</w:t>
            </w:r>
            <w:r>
              <w:rPr>
                <w:rFonts w:hint="default" w:ascii="Times New Roman" w:hAnsi="Times New Roman" w:eastAsia="宋体" w:cs="Times New Roman"/>
                <w:color w:val="auto"/>
                <w:sz w:val="21"/>
                <w:szCs w:val="21"/>
                <w:lang w:bidi="ar"/>
              </w:rPr>
              <w:t>-N（t/a）</w:t>
            </w:r>
          </w:p>
        </w:tc>
        <w:tc>
          <w:tcPr>
            <w:tcW w:w="1447"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0.031</w:t>
            </w:r>
          </w:p>
        </w:tc>
        <w:tc>
          <w:tcPr>
            <w:tcW w:w="103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bidi="ar"/>
              </w:rPr>
              <w:t>0.0044</w:t>
            </w:r>
          </w:p>
        </w:tc>
        <w:tc>
          <w:tcPr>
            <w:tcW w:w="1403"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w:t>
            </w:r>
          </w:p>
        </w:tc>
        <w:tc>
          <w:tcPr>
            <w:tcW w:w="160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0.003</w:t>
            </w:r>
          </w:p>
        </w:tc>
        <w:tc>
          <w:tcPr>
            <w:tcW w:w="135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w:t>
            </w:r>
          </w:p>
        </w:tc>
        <w:tc>
          <w:tcPr>
            <w:tcW w:w="1705"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0.0074</w:t>
            </w:r>
          </w:p>
        </w:tc>
        <w:tc>
          <w:tcPr>
            <w:tcW w:w="176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+0.003</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1205" w:type="dxa"/>
            <w:vMerge w:val="restart"/>
            <w:vAlign w:val="center"/>
          </w:tcPr>
          <w:p>
            <w:pPr>
              <w:widowControl w:val="0"/>
              <w:topLinePunct/>
              <w:spacing w:after="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lang w:bidi="ar"/>
              </w:rPr>
              <w:t>一般工业固体废物</w:t>
            </w:r>
          </w:p>
        </w:tc>
        <w:tc>
          <w:tcPr>
            <w:tcW w:w="227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吸尘器收集的粉尘（t/a）</w:t>
            </w:r>
          </w:p>
        </w:tc>
        <w:tc>
          <w:tcPr>
            <w:tcW w:w="1447"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w:t>
            </w:r>
          </w:p>
        </w:tc>
        <w:tc>
          <w:tcPr>
            <w:tcW w:w="103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w:t>
            </w:r>
          </w:p>
        </w:tc>
        <w:tc>
          <w:tcPr>
            <w:tcW w:w="1403" w:type="dxa"/>
            <w:vAlign w:val="center"/>
          </w:tcPr>
          <w:p>
            <w:pPr>
              <w:widowControl w:val="0"/>
              <w:topLinePunct/>
              <w:spacing w:after="0" w:line="240" w:lineRule="auto"/>
              <w:jc w:val="center"/>
              <w:outlineLvl w:val="9"/>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w:t>
            </w:r>
          </w:p>
        </w:tc>
        <w:tc>
          <w:tcPr>
            <w:tcW w:w="160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0.004</w:t>
            </w:r>
          </w:p>
        </w:tc>
        <w:tc>
          <w:tcPr>
            <w:tcW w:w="1350" w:type="dxa"/>
            <w:vAlign w:val="center"/>
          </w:tcPr>
          <w:p>
            <w:pPr>
              <w:widowControl w:val="0"/>
              <w:topLinePunct/>
              <w:spacing w:after="0" w:line="240" w:lineRule="auto"/>
              <w:jc w:val="center"/>
              <w:outlineLvl w:val="9"/>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w:t>
            </w:r>
          </w:p>
        </w:tc>
        <w:tc>
          <w:tcPr>
            <w:tcW w:w="1705"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0.004</w:t>
            </w:r>
          </w:p>
        </w:tc>
        <w:tc>
          <w:tcPr>
            <w:tcW w:w="176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+0.004</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1205" w:type="dxa"/>
            <w:vMerge w:val="continue"/>
            <w:vAlign w:val="center"/>
          </w:tcPr>
          <w:p>
            <w:pPr>
              <w:widowControl w:val="0"/>
              <w:topLinePunct/>
              <w:spacing w:after="0" w:line="240" w:lineRule="auto"/>
              <w:jc w:val="center"/>
              <w:outlineLvl w:val="9"/>
              <w:rPr>
                <w:rFonts w:hint="default" w:ascii="Times New Roman" w:hAnsi="Times New Roman" w:eastAsia="宋体" w:cs="Times New Roman"/>
                <w:snapToGrid w:val="0"/>
                <w:color w:val="auto"/>
                <w:kern w:val="21"/>
                <w:sz w:val="21"/>
                <w:szCs w:val="21"/>
              </w:rPr>
            </w:pPr>
          </w:p>
        </w:tc>
        <w:tc>
          <w:tcPr>
            <w:tcW w:w="227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残次品（t/a）</w:t>
            </w:r>
          </w:p>
        </w:tc>
        <w:tc>
          <w:tcPr>
            <w:tcW w:w="1447"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
              </w:rPr>
              <w:t>1.5</w:t>
            </w:r>
          </w:p>
        </w:tc>
        <w:tc>
          <w:tcPr>
            <w:tcW w:w="103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bidi="ar"/>
              </w:rPr>
              <w:t>0</w:t>
            </w:r>
          </w:p>
        </w:tc>
        <w:tc>
          <w:tcPr>
            <w:tcW w:w="1403"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w:t>
            </w:r>
          </w:p>
        </w:tc>
        <w:tc>
          <w:tcPr>
            <w:tcW w:w="160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1.65</w:t>
            </w:r>
          </w:p>
        </w:tc>
        <w:tc>
          <w:tcPr>
            <w:tcW w:w="135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w:t>
            </w:r>
          </w:p>
        </w:tc>
        <w:tc>
          <w:tcPr>
            <w:tcW w:w="1705"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3.15</w:t>
            </w:r>
          </w:p>
        </w:tc>
        <w:tc>
          <w:tcPr>
            <w:tcW w:w="176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+1.65</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1205" w:type="dxa"/>
            <w:vMerge w:val="continue"/>
            <w:vAlign w:val="center"/>
          </w:tcPr>
          <w:p>
            <w:pPr>
              <w:widowControl w:val="0"/>
              <w:topLinePunct/>
              <w:spacing w:after="0" w:line="240" w:lineRule="auto"/>
              <w:jc w:val="center"/>
              <w:outlineLvl w:val="9"/>
              <w:rPr>
                <w:rFonts w:hint="default" w:ascii="Times New Roman" w:hAnsi="Times New Roman" w:eastAsia="宋体" w:cs="Times New Roman"/>
                <w:snapToGrid w:val="0"/>
                <w:color w:val="auto"/>
                <w:kern w:val="21"/>
                <w:sz w:val="21"/>
                <w:szCs w:val="21"/>
              </w:rPr>
            </w:pPr>
          </w:p>
        </w:tc>
        <w:tc>
          <w:tcPr>
            <w:tcW w:w="2270" w:type="dxa"/>
            <w:vAlign w:val="center"/>
          </w:tcPr>
          <w:p>
            <w:pPr>
              <w:widowControl w:val="0"/>
              <w:topLinePunct/>
              <w:spacing w:after="0" w:line="240" w:lineRule="auto"/>
              <w:jc w:val="center"/>
              <w:outlineLvl w:val="9"/>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bidi="ar"/>
              </w:rPr>
              <w:t>废包装</w:t>
            </w:r>
            <w:r>
              <w:rPr>
                <w:rFonts w:hint="eastAsia" w:ascii="Times New Roman" w:hAnsi="Times New Roman" w:eastAsia="宋体" w:cs="Times New Roman"/>
                <w:color w:val="auto"/>
                <w:sz w:val="21"/>
                <w:szCs w:val="21"/>
                <w:lang w:val="en-US" w:eastAsia="zh-CN" w:bidi="ar"/>
              </w:rPr>
              <w:t>材料</w:t>
            </w:r>
            <w:r>
              <w:rPr>
                <w:rFonts w:hint="default" w:ascii="Times New Roman" w:hAnsi="Times New Roman" w:eastAsia="宋体" w:cs="Times New Roman"/>
                <w:color w:val="auto"/>
                <w:sz w:val="21"/>
                <w:szCs w:val="21"/>
                <w:lang w:bidi="ar"/>
              </w:rPr>
              <w:t>（t/a）</w:t>
            </w:r>
          </w:p>
        </w:tc>
        <w:tc>
          <w:tcPr>
            <w:tcW w:w="1447"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0.75</w:t>
            </w:r>
          </w:p>
        </w:tc>
        <w:tc>
          <w:tcPr>
            <w:tcW w:w="103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w:t>
            </w:r>
          </w:p>
        </w:tc>
        <w:tc>
          <w:tcPr>
            <w:tcW w:w="1403"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0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0.75</w:t>
            </w:r>
          </w:p>
        </w:tc>
        <w:tc>
          <w:tcPr>
            <w:tcW w:w="135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w:t>
            </w:r>
          </w:p>
        </w:tc>
        <w:tc>
          <w:tcPr>
            <w:tcW w:w="1705"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1.5</w:t>
            </w:r>
          </w:p>
        </w:tc>
        <w:tc>
          <w:tcPr>
            <w:tcW w:w="176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+0.75</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6" w:hRule="atLeast"/>
        </w:trPr>
        <w:tc>
          <w:tcPr>
            <w:tcW w:w="1205" w:type="dxa"/>
            <w:vMerge w:val="continue"/>
            <w:vAlign w:val="center"/>
          </w:tcPr>
          <w:p>
            <w:pPr>
              <w:widowControl w:val="0"/>
              <w:topLinePunct/>
              <w:spacing w:after="0" w:line="240" w:lineRule="auto"/>
              <w:jc w:val="center"/>
              <w:outlineLvl w:val="9"/>
              <w:rPr>
                <w:rFonts w:hint="default" w:ascii="Times New Roman" w:hAnsi="Times New Roman" w:eastAsia="宋体" w:cs="Times New Roman"/>
                <w:snapToGrid w:val="0"/>
                <w:color w:val="auto"/>
                <w:kern w:val="21"/>
                <w:sz w:val="21"/>
                <w:szCs w:val="21"/>
                <w:lang w:val="en-US" w:eastAsia="zh-CN"/>
              </w:rPr>
            </w:pPr>
          </w:p>
        </w:tc>
        <w:tc>
          <w:tcPr>
            <w:tcW w:w="227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废抹布、拖布</w:t>
            </w:r>
            <w:r>
              <w:rPr>
                <w:rFonts w:hint="default" w:ascii="Times New Roman" w:hAnsi="Times New Roman" w:eastAsia="宋体" w:cs="Times New Roman"/>
                <w:color w:val="auto"/>
                <w:sz w:val="21"/>
                <w:szCs w:val="21"/>
                <w:lang w:bidi="ar"/>
              </w:rPr>
              <w:t>（t/a）</w:t>
            </w:r>
          </w:p>
        </w:tc>
        <w:tc>
          <w:tcPr>
            <w:tcW w:w="1447"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3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403" w:type="dxa"/>
            <w:vAlign w:val="center"/>
          </w:tcPr>
          <w:p>
            <w:pPr>
              <w:widowControl w:val="0"/>
              <w:topLinePunct/>
              <w:spacing w:after="0" w:line="240" w:lineRule="auto"/>
              <w:jc w:val="center"/>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09"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0.5</w:t>
            </w:r>
          </w:p>
        </w:tc>
        <w:tc>
          <w:tcPr>
            <w:tcW w:w="1350" w:type="dxa"/>
            <w:vAlign w:val="center"/>
          </w:tcPr>
          <w:p>
            <w:pPr>
              <w:widowControl w:val="0"/>
              <w:topLinePunct/>
              <w:spacing w:after="0" w:line="240" w:lineRule="auto"/>
              <w:jc w:val="center"/>
              <w:outlineLvl w:val="9"/>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w:t>
            </w:r>
          </w:p>
        </w:tc>
        <w:tc>
          <w:tcPr>
            <w:tcW w:w="1705"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0.5</w:t>
            </w:r>
          </w:p>
        </w:tc>
        <w:tc>
          <w:tcPr>
            <w:tcW w:w="1760" w:type="dxa"/>
            <w:vAlign w:val="center"/>
          </w:tcPr>
          <w:p>
            <w:pPr>
              <w:widowControl w:val="0"/>
              <w:topLinePunct/>
              <w:spacing w:after="0" w:line="240" w:lineRule="auto"/>
              <w:jc w:val="center"/>
              <w:outlineLvl w:val="9"/>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+0.5</w:t>
            </w:r>
          </w:p>
        </w:tc>
      </w:tr>
    </w:tbl>
    <w:p>
      <w:pPr>
        <w:pStyle w:val="67"/>
        <w:widowControl w:val="0"/>
        <w:topLinePunct/>
        <w:spacing w:beforeLines="0" w:afterLines="0" w:line="240" w:lineRule="auto"/>
        <w:jc w:val="left"/>
        <w:outlineLvl w:val="9"/>
        <w:rPr>
          <w:rFonts w:hint="default" w:ascii="Times New Roman" w:hAnsi="Times New Roman" w:eastAsia="宋体" w:cs="Times New Roman"/>
          <w:color w:val="auto"/>
          <w:sz w:val="21"/>
          <w:szCs w:val="21"/>
        </w:rPr>
        <w:sectPr>
          <w:footerReference r:id="rId12" w:type="default"/>
          <w:pgSz w:w="16838" w:h="11906" w:orient="landscape"/>
          <w:pgMar w:top="1417" w:right="1417" w:bottom="1417" w:left="1417" w:header="992"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snapToGrid w:val="0"/>
          <w:color w:val="auto"/>
          <w:kern w:val="21"/>
          <w:sz w:val="21"/>
          <w:szCs w:val="21"/>
        </w:rPr>
        <w:t>注：</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6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sz w:val="21"/>
          <w:szCs w:val="21"/>
        </w:rPr>
        <w:t>⑥</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1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3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sz w:val="21"/>
          <w:szCs w:val="21"/>
        </w:rPr>
        <w:t>③</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4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sz w:val="21"/>
          <w:szCs w:val="21"/>
        </w:rPr>
        <w:t>④</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5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sz w:val="21"/>
          <w:szCs w:val="21"/>
        </w:rPr>
        <w:t>⑤</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7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sz w:val="21"/>
          <w:szCs w:val="21"/>
        </w:rPr>
        <w:t>⑦</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6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sz w:val="21"/>
          <w:szCs w:val="21"/>
        </w:rPr>
        <w:t>⑥</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snapToGrid w:val="0"/>
          <w:color w:val="auto"/>
          <w:kern w:val="21"/>
          <w:sz w:val="21"/>
          <w:szCs w:val="21"/>
        </w:rPr>
        <w:t>-</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1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snapToGrid w:val="0"/>
          <w:color w:val="auto"/>
          <w:kern w:val="21"/>
          <w:sz w:val="21"/>
          <w:szCs w:val="21"/>
        </w:rPr>
        <w:fldChar w:fldCharType="end"/>
      </w:r>
      <w:r>
        <w:rPr>
          <w:rFonts w:hint="default" w:ascii="Times New Roman" w:hAnsi="Times New Roman" w:eastAsia="宋体" w:cs="Times New Roman"/>
          <w:color w:val="auto"/>
          <w:sz w:val="21"/>
          <w:szCs w:val="21"/>
        </w:rPr>
        <w:t>本表填写的排放量均为纳管排放量。</w:t>
      </w:r>
    </w:p>
    <w:p>
      <w:pPr>
        <w:pStyle w:val="2"/>
        <w:keepNext w:val="0"/>
        <w:keepLines w:val="0"/>
        <w:widowControl w:val="0"/>
        <w:topLinePunct/>
        <w:spacing w:before="120" w:beforeLines="50" w:after="120" w:afterLines="50" w:line="360" w:lineRule="auto"/>
        <w:rPr>
          <w:rFonts w:hint="default" w:ascii="Times New Roman" w:hAnsi="Times New Roman" w:eastAsia="宋体" w:cs="Times New Roman"/>
          <w:b/>
          <w:bCs/>
          <w:color w:val="auto"/>
          <w:szCs w:val="36"/>
        </w:rPr>
      </w:pPr>
      <w:bookmarkStart w:id="15" w:name="_Toc941"/>
      <w:bookmarkStart w:id="16" w:name="_Toc13420"/>
      <w:r>
        <w:rPr>
          <w:rFonts w:hint="default" w:ascii="Times New Roman" w:hAnsi="Times New Roman" w:eastAsia="宋体" w:cs="Times New Roman"/>
          <w:b/>
          <w:bCs/>
          <w:color w:val="auto"/>
          <w:szCs w:val="36"/>
        </w:rPr>
        <w:t>附件</w:t>
      </w:r>
      <w:bookmarkEnd w:id="15"/>
      <w:bookmarkEnd w:id="16"/>
    </w:p>
    <w:p>
      <w:pPr>
        <w:pStyle w:val="3"/>
        <w:keepNext w:val="0"/>
        <w:keepLines w:val="0"/>
        <w:widowControl w:val="0"/>
        <w:tabs>
          <w:tab w:val="left" w:pos="5400"/>
        </w:tabs>
        <w:topLinePunct/>
        <w:spacing w:before="0" w:line="360" w:lineRule="auto"/>
        <w:outlineLvl w:val="0"/>
        <w:rPr>
          <w:rFonts w:hint="default" w:ascii="Times New Roman" w:hAnsi="Times New Roman" w:eastAsia="宋体" w:cs="Times New Roman"/>
          <w:color w:val="auto"/>
        </w:rPr>
      </w:pPr>
      <w:bookmarkStart w:id="17" w:name="_Toc2313"/>
      <w:r>
        <w:rPr>
          <w:rFonts w:hint="default" w:ascii="Times New Roman" w:hAnsi="Times New Roman" w:eastAsia="宋体" w:cs="Times New Roman"/>
          <w:color w:val="auto"/>
        </w:rPr>
        <w:t>附件1</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是否涉密说明</w:t>
      </w:r>
      <w:bookmarkEnd w:id="17"/>
    </w:p>
    <w:p>
      <w:pPr>
        <w:widowControl w:val="0"/>
        <w:spacing w:line="360" w:lineRule="auto"/>
        <w:ind w:right="660" w:rightChars="300"/>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drawing>
          <wp:inline distT="0" distB="0" distL="114300" distR="114300">
            <wp:extent cx="5759450" cy="7920990"/>
            <wp:effectExtent l="0" t="0" r="12700" b="3810"/>
            <wp:docPr id="47" name="图片 47" descr="微信图片_2024090217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40902175128"/>
                    <pic:cNvPicPr>
                      <a:picLocks noChangeAspect="1"/>
                    </pic:cNvPicPr>
                  </pic:nvPicPr>
                  <pic:blipFill>
                    <a:blip r:embed="rId22"/>
                    <a:stretch>
                      <a:fillRect/>
                    </a:stretch>
                  </pic:blipFill>
                  <pic:spPr>
                    <a:xfrm>
                      <a:off x="0" y="0"/>
                      <a:ext cx="5759450" cy="7920990"/>
                    </a:xfrm>
                    <a:prstGeom prst="rect">
                      <a:avLst/>
                    </a:prstGeom>
                  </pic:spPr>
                </pic:pic>
              </a:graphicData>
            </a:graphic>
          </wp:inline>
        </w:drawing>
      </w:r>
      <w:r>
        <w:rPr>
          <w:rFonts w:hint="eastAsia" w:ascii="Times New Roman" w:hAnsi="Times New Roman" w:eastAsia="宋体" w:cs="Times New Roman"/>
          <w:color w:val="auto"/>
          <w:sz w:val="24"/>
          <w:szCs w:val="24"/>
          <w:lang w:eastAsia="zh-CN"/>
        </w:rPr>
        <w:drawing>
          <wp:inline distT="0" distB="0" distL="114300" distR="114300">
            <wp:extent cx="5759450" cy="7920990"/>
            <wp:effectExtent l="0" t="0" r="12700" b="3810"/>
            <wp:docPr id="55" name="图片 55" descr="微信图片_2024090217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40902175136"/>
                    <pic:cNvPicPr>
                      <a:picLocks noChangeAspect="1"/>
                    </pic:cNvPicPr>
                  </pic:nvPicPr>
                  <pic:blipFill>
                    <a:blip r:embed="rId23"/>
                    <a:stretch>
                      <a:fillRect/>
                    </a:stretch>
                  </pic:blipFill>
                  <pic:spPr>
                    <a:xfrm>
                      <a:off x="0" y="0"/>
                      <a:ext cx="5759450" cy="7920990"/>
                    </a:xfrm>
                    <a:prstGeom prst="rect">
                      <a:avLst/>
                    </a:prstGeom>
                  </pic:spPr>
                </pic:pic>
              </a:graphicData>
            </a:graphic>
          </wp:inline>
        </w:drawing>
      </w:r>
    </w:p>
    <w:p>
      <w:pPr>
        <w:outlineLvl w:val="9"/>
        <w:rPr>
          <w:rFonts w:hint="eastAsia" w:ascii="Times New Roman" w:hAnsi="Times New Roman" w:eastAsia="宋体" w:cs="Times New Roman"/>
          <w:color w:val="auto"/>
          <w:lang w:eastAsia="zh-CN"/>
        </w:rPr>
      </w:pPr>
    </w:p>
    <w:sectPr>
      <w:footerReference r:id="rId13" w:type="default"/>
      <w:pgSz w:w="11905" w:h="16838"/>
      <w:pgMar w:top="1417" w:right="1417" w:bottom="1417" w:left="1417" w:header="850" w:footer="850"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gbsnu54">
    <w:altName w:val="Times New Roman"/>
    <w:panose1 w:val="00000000000000000000"/>
    <w:charset w:val="00"/>
    <w:family w:val="auto"/>
    <w:pitch w:val="default"/>
    <w:sig w:usb0="00000000" w:usb1="00000000" w:usb2="00000000" w:usb3="00000000" w:csb0="00040001" w:csb1="00000000"/>
  </w:font>
  <w:font w:name="TimesNewRoman">
    <w:altName w:val="Times New Roman"/>
    <w:panose1 w:val="00000000000000000000"/>
    <w:charset w:val="00"/>
    <w:family w:val="roman"/>
    <w:pitch w:val="default"/>
    <w:sig w:usb0="00000000" w:usb1="00000000" w:usb2="00000000" w:usb3="00000000" w:csb0="00000000" w:csb1="00000000"/>
  </w:font>
  <w:font w:name="方正楷体简体">
    <w:altName w:val="宋体"/>
    <w:panose1 w:val="00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embedRegular r:id="rId1" w:fontKey="{2902A555-4D96-4E65-A341-3A89D8CE2A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firstLine="360"/>
      <w:outlineLvl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outlineLvl w:val="9"/>
      <w:rPr>
        <w:rStyle w:val="41"/>
      </w:rPr>
    </w:pPr>
    <w:r>
      <w:fldChar w:fldCharType="begin"/>
    </w:r>
    <w:r>
      <w:rPr>
        <w:rStyle w:val="41"/>
      </w:rPr>
      <w:instrText xml:space="preserve">PAGE  </w:instrText>
    </w:r>
    <w:r>
      <w:fldChar w:fldCharType="end"/>
    </w:r>
  </w:p>
  <w:p>
    <w:pPr>
      <w:pStyle w:val="28"/>
      <w:ind w:right="360" w:firstLine="360"/>
      <w:outlineLvl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firstLine="360"/>
      <w:jc w:val="center"/>
      <w:outlineLvl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firstLine="360"/>
      <w:jc w:val="center"/>
      <w:outlineLvl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outlineLvl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pPr>
                      <w:pStyle w:val="28"/>
                      <w:outlineLvl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firstLine="360"/>
      <w:jc w:val="center"/>
      <w:outlineLvl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outlineLvl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fTTA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tfTTAtAgAAVwQAAA4AAAAAAAAAAQAgAAAAHwEAAGRycy9lMm9Eb2MueG1sUEsFBgAAAAAG&#10;AAYAWQEAAL4FAAAAAA==&#10;">
              <v:fill on="f" focussize="0,0"/>
              <v:stroke on="f" weight="0.5pt"/>
              <v:imagedata o:title=""/>
              <o:lock v:ext="edit" aspectratio="f"/>
              <v:textbox inset="0mm,0mm,0mm,0mm" style="mso-fit-shape-to-text:t;">
                <w:txbxContent>
                  <w:p>
                    <w:pPr>
                      <w:pStyle w:val="28"/>
                      <w:outlineLvl w:val="9"/>
                    </w:pPr>
                    <w:r>
                      <w:fldChar w:fldCharType="begin"/>
                    </w:r>
                    <w:r>
                      <w:instrText xml:space="preserve"> PAGE  \* MERGEFORMAT </w:instrText>
                    </w:r>
                    <w:r>
                      <w:fldChar w:fldCharType="separate"/>
                    </w:r>
                    <w:r>
                      <w:t>1</w:t>
                    </w:r>
                    <w:r>
                      <w:fldChar w:fldCharType="end"/>
                    </w:r>
                  </w:p>
                </w:txbxContent>
              </v:textbox>
            </v:shape>
          </w:pict>
        </mc:Fallback>
      </mc:AlternateContent>
    </w:r>
  </w:p>
  <w:p>
    <w:pPr>
      <w:pStyle w:val="28"/>
      <w:ind w:right="360" w:firstLine="360"/>
      <w:jc w:val="center"/>
      <w:outlineLvl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firstLine="360"/>
      <w:jc w:val="center"/>
      <w:outlineLvl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outlineLvl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SHnA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MSHnAtAgAAVwQAAA4AAAAAAAAAAQAgAAAAHwEAAGRycy9lMm9Eb2MueG1sUEsFBgAAAAAG&#10;AAYAWQEAAL4FAAAAAA==&#10;">
              <v:fill on="f" focussize="0,0"/>
              <v:stroke on="f" weight="0.5pt"/>
              <v:imagedata o:title=""/>
              <o:lock v:ext="edit" aspectratio="f"/>
              <v:textbox inset="0mm,0mm,0mm,0mm" style="mso-fit-shape-to-text:t;">
                <w:txbxContent>
                  <w:p>
                    <w:pPr>
                      <w:pStyle w:val="28"/>
                      <w:outlineLvl w:val="9"/>
                    </w:pPr>
                    <w:r>
                      <w:fldChar w:fldCharType="begin"/>
                    </w:r>
                    <w:r>
                      <w:instrText xml:space="preserve"> PAGE  \* MERGEFORMAT </w:instrText>
                    </w:r>
                    <w:r>
                      <w:fldChar w:fldCharType="separate"/>
                    </w:r>
                    <w:r>
                      <w:t>1</w:t>
                    </w:r>
                    <w:r>
                      <w:fldChar w:fldCharType="end"/>
                    </w:r>
                  </w:p>
                </w:txbxContent>
              </v:textbox>
            </v:shape>
          </w:pict>
        </mc:Fallback>
      </mc:AlternateContent>
    </w:r>
  </w:p>
  <w:p>
    <w:pPr>
      <w:pStyle w:val="28"/>
      <w:ind w:right="360" w:firstLine="360"/>
      <w:jc w:val="center"/>
      <w:outlineLvl w:val="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outlineLvl w:val="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352425" cy="1828800"/>
              <wp:effectExtent l="0" t="0" r="9525" b="8255"/>
              <wp:wrapNone/>
              <wp:docPr id="74" name="文本框 74"/>
              <wp:cNvGraphicFramePr/>
              <a:graphic xmlns:a="http://schemas.openxmlformats.org/drawingml/2006/main">
                <a:graphicData uri="http://schemas.microsoft.com/office/word/2010/wordprocessingShape">
                  <wps:wsp>
                    <wps:cNvSpPr txBox="1"/>
                    <wps:spPr>
                      <a:xfrm>
                        <a:off x="0" y="0"/>
                        <a:ext cx="35242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outlineLvl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27.75pt;mso-position-horizontal:center;mso-position-horizontal-relative:margin;z-index:251662336;mso-width-relative:page;mso-height-relative:page;" filled="f" stroked="f" coordsize="21600,21600" o:gfxdata="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330L1AAAAAQBAAAPAAAAAAAAAAEAIAAAACIAAABkcnMvZG93bnJldi54bWxQ&#10;SwECFAAUAAAACACHTuJACpj0HTQCAABYBAAADgAAAAAAAAABACAAAAAjAQAAZHJzL2Uyb0RvYy54&#10;bWxQSwUGAAAAAAYABgBZAQAAyQUAAAAA&#10;">
              <v:fill on="f" focussize="0,0"/>
              <v:stroke on="f" weight="0.5pt"/>
              <v:imagedata o:title=""/>
              <o:lock v:ext="edit" aspectratio="f"/>
              <v:textbox inset="0mm,0mm,0mm,0mm" style="mso-fit-shape-to-text:t;">
                <w:txbxContent>
                  <w:p>
                    <w:pPr>
                      <w:pStyle w:val="28"/>
                      <w:outlineLvl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outlineLvl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outlineLvl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2C2EAF"/>
    <w:multiLevelType w:val="multilevel"/>
    <w:tmpl w:val="612C2EAF"/>
    <w:lvl w:ilvl="0" w:tentative="0">
      <w:start w:val="1"/>
      <w:numFmt w:val="chineseCountingThousand"/>
      <w:suff w:val="nothing"/>
      <w:lvlText w:val="%1、"/>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pStyle w:val="135"/>
      <w:isLgl/>
      <w:suff w:val="space"/>
      <w:lvlText w:val="%1.%2.%3"/>
      <w:lvlJc w:val="left"/>
      <w:pPr>
        <w:ind w:left="0" w:firstLine="0"/>
      </w:pPr>
      <w:rPr>
        <w:rFonts w:hint="eastAsia"/>
      </w:rPr>
    </w:lvl>
    <w:lvl w:ilvl="3" w:tentative="0">
      <w:start w:val="1"/>
      <w:numFmt w:val="decimal"/>
      <w:lvlRestart w:val="2"/>
      <w:isLgl/>
      <w:suff w:val="space"/>
      <w:lvlText w:val="表%1.%2-%4"/>
      <w:lvlJc w:val="left"/>
      <w:pPr>
        <w:ind w:left="0" w:firstLine="0"/>
      </w:pPr>
      <w:rPr>
        <w:rFonts w:hint="eastAsia"/>
      </w:rPr>
    </w:lvl>
    <w:lvl w:ilvl="4" w:tentative="0">
      <w:start w:val="1"/>
      <w:numFmt w:val="decimal"/>
      <w:lvlRestart w:val="2"/>
      <w:isLgl/>
      <w:suff w:val="space"/>
      <w:lvlText w:val="图%1.%2-%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5NTIzMmMyZjdjYmI2NDFiNjhiODMzODBiY2RkZjIifQ=="/>
  </w:docVars>
  <w:rsids>
    <w:rsidRoot w:val="00172A27"/>
    <w:rsid w:val="00003C7F"/>
    <w:rsid w:val="000060B3"/>
    <w:rsid w:val="000077C8"/>
    <w:rsid w:val="00017FBD"/>
    <w:rsid w:val="00025985"/>
    <w:rsid w:val="00037F22"/>
    <w:rsid w:val="0004364B"/>
    <w:rsid w:val="00046FCF"/>
    <w:rsid w:val="00054A3E"/>
    <w:rsid w:val="00061B1F"/>
    <w:rsid w:val="000733C4"/>
    <w:rsid w:val="00074783"/>
    <w:rsid w:val="0008070B"/>
    <w:rsid w:val="00080B96"/>
    <w:rsid w:val="000810AC"/>
    <w:rsid w:val="00081A02"/>
    <w:rsid w:val="00082231"/>
    <w:rsid w:val="00084615"/>
    <w:rsid w:val="00092D38"/>
    <w:rsid w:val="0009377B"/>
    <w:rsid w:val="00095BCB"/>
    <w:rsid w:val="0009686B"/>
    <w:rsid w:val="00096D97"/>
    <w:rsid w:val="000A20C9"/>
    <w:rsid w:val="000A270F"/>
    <w:rsid w:val="000B058F"/>
    <w:rsid w:val="000B4467"/>
    <w:rsid w:val="000B4DB9"/>
    <w:rsid w:val="000C09AC"/>
    <w:rsid w:val="000C5A39"/>
    <w:rsid w:val="000C767F"/>
    <w:rsid w:val="000D3EA2"/>
    <w:rsid w:val="000D5A44"/>
    <w:rsid w:val="000E2E1E"/>
    <w:rsid w:val="000E3ED2"/>
    <w:rsid w:val="000F5AB9"/>
    <w:rsid w:val="001151F1"/>
    <w:rsid w:val="00115910"/>
    <w:rsid w:val="001204BE"/>
    <w:rsid w:val="00131F42"/>
    <w:rsid w:val="001357F1"/>
    <w:rsid w:val="00140FA8"/>
    <w:rsid w:val="00142506"/>
    <w:rsid w:val="00142FEB"/>
    <w:rsid w:val="00143A2D"/>
    <w:rsid w:val="00145A28"/>
    <w:rsid w:val="00145A41"/>
    <w:rsid w:val="0015064F"/>
    <w:rsid w:val="00151675"/>
    <w:rsid w:val="00157435"/>
    <w:rsid w:val="001657AA"/>
    <w:rsid w:val="001703D2"/>
    <w:rsid w:val="00172A27"/>
    <w:rsid w:val="001745D4"/>
    <w:rsid w:val="0017504D"/>
    <w:rsid w:val="0017671A"/>
    <w:rsid w:val="00177422"/>
    <w:rsid w:val="00184590"/>
    <w:rsid w:val="00186BF0"/>
    <w:rsid w:val="001870D1"/>
    <w:rsid w:val="0018781E"/>
    <w:rsid w:val="00190E89"/>
    <w:rsid w:val="0019262D"/>
    <w:rsid w:val="001954D3"/>
    <w:rsid w:val="00196114"/>
    <w:rsid w:val="001A1AA5"/>
    <w:rsid w:val="001A1B35"/>
    <w:rsid w:val="001A48A2"/>
    <w:rsid w:val="001A6F61"/>
    <w:rsid w:val="001B1A39"/>
    <w:rsid w:val="001B72B8"/>
    <w:rsid w:val="001C05AE"/>
    <w:rsid w:val="001C118B"/>
    <w:rsid w:val="001C186E"/>
    <w:rsid w:val="001C2B13"/>
    <w:rsid w:val="001C69B3"/>
    <w:rsid w:val="001D375A"/>
    <w:rsid w:val="001D5595"/>
    <w:rsid w:val="001D7874"/>
    <w:rsid w:val="001D7F22"/>
    <w:rsid w:val="001E4EE7"/>
    <w:rsid w:val="001E4F1F"/>
    <w:rsid w:val="001E7A6E"/>
    <w:rsid w:val="001F0F17"/>
    <w:rsid w:val="001F3347"/>
    <w:rsid w:val="001F69E4"/>
    <w:rsid w:val="00200722"/>
    <w:rsid w:val="00207BC9"/>
    <w:rsid w:val="00210D6B"/>
    <w:rsid w:val="002125B4"/>
    <w:rsid w:val="002155B8"/>
    <w:rsid w:val="00224839"/>
    <w:rsid w:val="002249B2"/>
    <w:rsid w:val="0022640A"/>
    <w:rsid w:val="00226574"/>
    <w:rsid w:val="002278EC"/>
    <w:rsid w:val="0023253F"/>
    <w:rsid w:val="0023280E"/>
    <w:rsid w:val="00236E3D"/>
    <w:rsid w:val="002377D1"/>
    <w:rsid w:val="002506BC"/>
    <w:rsid w:val="0025148B"/>
    <w:rsid w:val="00254345"/>
    <w:rsid w:val="0025574F"/>
    <w:rsid w:val="002619DD"/>
    <w:rsid w:val="00262DA0"/>
    <w:rsid w:val="00264557"/>
    <w:rsid w:val="002650F6"/>
    <w:rsid w:val="0027387F"/>
    <w:rsid w:val="00276BF2"/>
    <w:rsid w:val="00277EAD"/>
    <w:rsid w:val="002805AB"/>
    <w:rsid w:val="00284204"/>
    <w:rsid w:val="00290252"/>
    <w:rsid w:val="00291773"/>
    <w:rsid w:val="00292CF2"/>
    <w:rsid w:val="0029498E"/>
    <w:rsid w:val="002950A5"/>
    <w:rsid w:val="002A168C"/>
    <w:rsid w:val="002A3DC7"/>
    <w:rsid w:val="002A6175"/>
    <w:rsid w:val="002B49E2"/>
    <w:rsid w:val="002B7B00"/>
    <w:rsid w:val="002B7C44"/>
    <w:rsid w:val="002C2B17"/>
    <w:rsid w:val="002C63D4"/>
    <w:rsid w:val="002C6951"/>
    <w:rsid w:val="002C72D2"/>
    <w:rsid w:val="002D03D2"/>
    <w:rsid w:val="002D14B1"/>
    <w:rsid w:val="002D3DD0"/>
    <w:rsid w:val="002E1F3A"/>
    <w:rsid w:val="002E298A"/>
    <w:rsid w:val="002E795F"/>
    <w:rsid w:val="002F5B1B"/>
    <w:rsid w:val="00301978"/>
    <w:rsid w:val="0030332C"/>
    <w:rsid w:val="003051C2"/>
    <w:rsid w:val="00312296"/>
    <w:rsid w:val="0031380D"/>
    <w:rsid w:val="00314F0E"/>
    <w:rsid w:val="00316D85"/>
    <w:rsid w:val="0031711D"/>
    <w:rsid w:val="00321D8E"/>
    <w:rsid w:val="00325928"/>
    <w:rsid w:val="00332863"/>
    <w:rsid w:val="00333E03"/>
    <w:rsid w:val="0033684D"/>
    <w:rsid w:val="00337B42"/>
    <w:rsid w:val="00341938"/>
    <w:rsid w:val="00341B42"/>
    <w:rsid w:val="0034348F"/>
    <w:rsid w:val="00345106"/>
    <w:rsid w:val="00356653"/>
    <w:rsid w:val="0035743F"/>
    <w:rsid w:val="00357BE2"/>
    <w:rsid w:val="00360109"/>
    <w:rsid w:val="0036061A"/>
    <w:rsid w:val="00360759"/>
    <w:rsid w:val="0036170C"/>
    <w:rsid w:val="0036319B"/>
    <w:rsid w:val="00366500"/>
    <w:rsid w:val="00366E0F"/>
    <w:rsid w:val="003705B8"/>
    <w:rsid w:val="00372996"/>
    <w:rsid w:val="00381A72"/>
    <w:rsid w:val="00384676"/>
    <w:rsid w:val="00390857"/>
    <w:rsid w:val="0039246F"/>
    <w:rsid w:val="00396FA9"/>
    <w:rsid w:val="003A0E2A"/>
    <w:rsid w:val="003A2B0F"/>
    <w:rsid w:val="003A4BF3"/>
    <w:rsid w:val="003B420D"/>
    <w:rsid w:val="003C14D4"/>
    <w:rsid w:val="003C6C16"/>
    <w:rsid w:val="003C7466"/>
    <w:rsid w:val="003D3520"/>
    <w:rsid w:val="003D4720"/>
    <w:rsid w:val="003D794D"/>
    <w:rsid w:val="003E3058"/>
    <w:rsid w:val="003E76A9"/>
    <w:rsid w:val="003F0809"/>
    <w:rsid w:val="003F6A8C"/>
    <w:rsid w:val="003F755C"/>
    <w:rsid w:val="00403814"/>
    <w:rsid w:val="00403C1F"/>
    <w:rsid w:val="00406F01"/>
    <w:rsid w:val="00411CA3"/>
    <w:rsid w:val="0041381D"/>
    <w:rsid w:val="00416D50"/>
    <w:rsid w:val="00416FD5"/>
    <w:rsid w:val="00417772"/>
    <w:rsid w:val="00420E6A"/>
    <w:rsid w:val="00421ADB"/>
    <w:rsid w:val="00425A9E"/>
    <w:rsid w:val="00426B5A"/>
    <w:rsid w:val="00426D6B"/>
    <w:rsid w:val="004277C9"/>
    <w:rsid w:val="004302EC"/>
    <w:rsid w:val="00431E6C"/>
    <w:rsid w:val="00433CE7"/>
    <w:rsid w:val="004346EF"/>
    <w:rsid w:val="0044503D"/>
    <w:rsid w:val="00447867"/>
    <w:rsid w:val="00452738"/>
    <w:rsid w:val="00454CEA"/>
    <w:rsid w:val="00456091"/>
    <w:rsid w:val="00466321"/>
    <w:rsid w:val="004679EC"/>
    <w:rsid w:val="0047772D"/>
    <w:rsid w:val="00480EF6"/>
    <w:rsid w:val="00484B9B"/>
    <w:rsid w:val="004855F6"/>
    <w:rsid w:val="0048661E"/>
    <w:rsid w:val="00494670"/>
    <w:rsid w:val="004959E6"/>
    <w:rsid w:val="004A26C2"/>
    <w:rsid w:val="004A3823"/>
    <w:rsid w:val="004B580A"/>
    <w:rsid w:val="004C79FF"/>
    <w:rsid w:val="004D5CBE"/>
    <w:rsid w:val="004E044E"/>
    <w:rsid w:val="004E1CDE"/>
    <w:rsid w:val="004E43BF"/>
    <w:rsid w:val="004E6946"/>
    <w:rsid w:val="004F1AD8"/>
    <w:rsid w:val="005039CB"/>
    <w:rsid w:val="00504B1D"/>
    <w:rsid w:val="0050558F"/>
    <w:rsid w:val="00506286"/>
    <w:rsid w:val="005068A1"/>
    <w:rsid w:val="00507838"/>
    <w:rsid w:val="00507B98"/>
    <w:rsid w:val="00510813"/>
    <w:rsid w:val="00511990"/>
    <w:rsid w:val="00511DE0"/>
    <w:rsid w:val="00514870"/>
    <w:rsid w:val="00514B9B"/>
    <w:rsid w:val="00517F02"/>
    <w:rsid w:val="00524303"/>
    <w:rsid w:val="005258A2"/>
    <w:rsid w:val="005262BB"/>
    <w:rsid w:val="005307F1"/>
    <w:rsid w:val="00530E63"/>
    <w:rsid w:val="0053132D"/>
    <w:rsid w:val="005355D4"/>
    <w:rsid w:val="005401AE"/>
    <w:rsid w:val="00541B16"/>
    <w:rsid w:val="00542E07"/>
    <w:rsid w:val="005431C4"/>
    <w:rsid w:val="005448BF"/>
    <w:rsid w:val="00545424"/>
    <w:rsid w:val="00554A7B"/>
    <w:rsid w:val="00554AE3"/>
    <w:rsid w:val="0055572C"/>
    <w:rsid w:val="0056106A"/>
    <w:rsid w:val="00571D4C"/>
    <w:rsid w:val="005720AE"/>
    <w:rsid w:val="00574304"/>
    <w:rsid w:val="00577094"/>
    <w:rsid w:val="00594D77"/>
    <w:rsid w:val="005961FE"/>
    <w:rsid w:val="005969E4"/>
    <w:rsid w:val="005A06B7"/>
    <w:rsid w:val="005A1759"/>
    <w:rsid w:val="005A4749"/>
    <w:rsid w:val="005A68A7"/>
    <w:rsid w:val="005A6922"/>
    <w:rsid w:val="005A75BB"/>
    <w:rsid w:val="005B2526"/>
    <w:rsid w:val="005B3069"/>
    <w:rsid w:val="005B316F"/>
    <w:rsid w:val="005B6E8A"/>
    <w:rsid w:val="005C03C8"/>
    <w:rsid w:val="005C6A9B"/>
    <w:rsid w:val="005D0990"/>
    <w:rsid w:val="005D0F47"/>
    <w:rsid w:val="005D36AB"/>
    <w:rsid w:val="005D7776"/>
    <w:rsid w:val="005E1DBE"/>
    <w:rsid w:val="00606871"/>
    <w:rsid w:val="0061040B"/>
    <w:rsid w:val="00613623"/>
    <w:rsid w:val="00615B82"/>
    <w:rsid w:val="00617CC3"/>
    <w:rsid w:val="00624B8B"/>
    <w:rsid w:val="00630FBD"/>
    <w:rsid w:val="00631526"/>
    <w:rsid w:val="00633547"/>
    <w:rsid w:val="006342DE"/>
    <w:rsid w:val="006377A6"/>
    <w:rsid w:val="00637A3D"/>
    <w:rsid w:val="006411EF"/>
    <w:rsid w:val="00645991"/>
    <w:rsid w:val="00654474"/>
    <w:rsid w:val="006748B8"/>
    <w:rsid w:val="006756BD"/>
    <w:rsid w:val="006775C3"/>
    <w:rsid w:val="00680F96"/>
    <w:rsid w:val="0069290A"/>
    <w:rsid w:val="0069436C"/>
    <w:rsid w:val="0069775A"/>
    <w:rsid w:val="00697813"/>
    <w:rsid w:val="006A08EA"/>
    <w:rsid w:val="006A3EE8"/>
    <w:rsid w:val="006A4970"/>
    <w:rsid w:val="006A72BF"/>
    <w:rsid w:val="006B03F2"/>
    <w:rsid w:val="006B37DC"/>
    <w:rsid w:val="006B3FFD"/>
    <w:rsid w:val="006B4F68"/>
    <w:rsid w:val="006C0592"/>
    <w:rsid w:val="006C272E"/>
    <w:rsid w:val="006C5479"/>
    <w:rsid w:val="006C7C06"/>
    <w:rsid w:val="006D13B5"/>
    <w:rsid w:val="006E12FF"/>
    <w:rsid w:val="006E607E"/>
    <w:rsid w:val="006E7E90"/>
    <w:rsid w:val="006F7283"/>
    <w:rsid w:val="00706C5D"/>
    <w:rsid w:val="0071169E"/>
    <w:rsid w:val="00717C94"/>
    <w:rsid w:val="00730F6B"/>
    <w:rsid w:val="00732922"/>
    <w:rsid w:val="00732BE7"/>
    <w:rsid w:val="007353B9"/>
    <w:rsid w:val="00737EAA"/>
    <w:rsid w:val="007402CA"/>
    <w:rsid w:val="0075162E"/>
    <w:rsid w:val="00751F35"/>
    <w:rsid w:val="00754034"/>
    <w:rsid w:val="00755847"/>
    <w:rsid w:val="00755860"/>
    <w:rsid w:val="00756074"/>
    <w:rsid w:val="00756556"/>
    <w:rsid w:val="007618C4"/>
    <w:rsid w:val="00765663"/>
    <w:rsid w:val="00767980"/>
    <w:rsid w:val="00770B19"/>
    <w:rsid w:val="00773361"/>
    <w:rsid w:val="0077463F"/>
    <w:rsid w:val="007756C4"/>
    <w:rsid w:val="00775B17"/>
    <w:rsid w:val="00776079"/>
    <w:rsid w:val="00782439"/>
    <w:rsid w:val="007836EA"/>
    <w:rsid w:val="00784CDA"/>
    <w:rsid w:val="007906C4"/>
    <w:rsid w:val="007940EA"/>
    <w:rsid w:val="007967E8"/>
    <w:rsid w:val="007A2170"/>
    <w:rsid w:val="007A22BF"/>
    <w:rsid w:val="007A3323"/>
    <w:rsid w:val="007A756F"/>
    <w:rsid w:val="007B72B8"/>
    <w:rsid w:val="007B7A58"/>
    <w:rsid w:val="007C1175"/>
    <w:rsid w:val="007C21B5"/>
    <w:rsid w:val="007C4C61"/>
    <w:rsid w:val="007D4F51"/>
    <w:rsid w:val="007D65E7"/>
    <w:rsid w:val="007E33F7"/>
    <w:rsid w:val="007E4004"/>
    <w:rsid w:val="007E4BD2"/>
    <w:rsid w:val="007F1FBA"/>
    <w:rsid w:val="007F5D34"/>
    <w:rsid w:val="00801393"/>
    <w:rsid w:val="00802F88"/>
    <w:rsid w:val="00807C9F"/>
    <w:rsid w:val="0081293E"/>
    <w:rsid w:val="00815465"/>
    <w:rsid w:val="00817E9A"/>
    <w:rsid w:val="008247AA"/>
    <w:rsid w:val="008306BD"/>
    <w:rsid w:val="0083157D"/>
    <w:rsid w:val="00831A80"/>
    <w:rsid w:val="00833743"/>
    <w:rsid w:val="008340A4"/>
    <w:rsid w:val="00835FD1"/>
    <w:rsid w:val="00843E1B"/>
    <w:rsid w:val="008574D7"/>
    <w:rsid w:val="00863817"/>
    <w:rsid w:val="0087135F"/>
    <w:rsid w:val="00872D94"/>
    <w:rsid w:val="00876631"/>
    <w:rsid w:val="00876A9F"/>
    <w:rsid w:val="00880364"/>
    <w:rsid w:val="00880D6A"/>
    <w:rsid w:val="0088106B"/>
    <w:rsid w:val="00884753"/>
    <w:rsid w:val="00885085"/>
    <w:rsid w:val="00891592"/>
    <w:rsid w:val="0089189B"/>
    <w:rsid w:val="00891E9E"/>
    <w:rsid w:val="008A2F68"/>
    <w:rsid w:val="008A3562"/>
    <w:rsid w:val="008B4FA6"/>
    <w:rsid w:val="008B5282"/>
    <w:rsid w:val="008B57F9"/>
    <w:rsid w:val="008B7C17"/>
    <w:rsid w:val="008C2D01"/>
    <w:rsid w:val="008C40E6"/>
    <w:rsid w:val="008D0F7A"/>
    <w:rsid w:val="008D68E4"/>
    <w:rsid w:val="008E0506"/>
    <w:rsid w:val="008E0CFF"/>
    <w:rsid w:val="008E294F"/>
    <w:rsid w:val="008E5D6B"/>
    <w:rsid w:val="008E75BD"/>
    <w:rsid w:val="008E76F0"/>
    <w:rsid w:val="008F15FE"/>
    <w:rsid w:val="008F2D29"/>
    <w:rsid w:val="008F5187"/>
    <w:rsid w:val="008F56E2"/>
    <w:rsid w:val="008F60D8"/>
    <w:rsid w:val="00902727"/>
    <w:rsid w:val="0090312B"/>
    <w:rsid w:val="00913260"/>
    <w:rsid w:val="0091736D"/>
    <w:rsid w:val="00924332"/>
    <w:rsid w:val="0093037A"/>
    <w:rsid w:val="009374E4"/>
    <w:rsid w:val="0094154D"/>
    <w:rsid w:val="0095155F"/>
    <w:rsid w:val="00954429"/>
    <w:rsid w:val="009563CE"/>
    <w:rsid w:val="009566D1"/>
    <w:rsid w:val="0096208F"/>
    <w:rsid w:val="00976328"/>
    <w:rsid w:val="0097680D"/>
    <w:rsid w:val="009775ED"/>
    <w:rsid w:val="00982438"/>
    <w:rsid w:val="0098404C"/>
    <w:rsid w:val="00985283"/>
    <w:rsid w:val="00985A5D"/>
    <w:rsid w:val="0099272E"/>
    <w:rsid w:val="009937D9"/>
    <w:rsid w:val="00994BB9"/>
    <w:rsid w:val="00995992"/>
    <w:rsid w:val="009A03E5"/>
    <w:rsid w:val="009A0F3B"/>
    <w:rsid w:val="009A1BB4"/>
    <w:rsid w:val="009A2628"/>
    <w:rsid w:val="009A3200"/>
    <w:rsid w:val="009B0897"/>
    <w:rsid w:val="009B3143"/>
    <w:rsid w:val="009B5DD0"/>
    <w:rsid w:val="009B7BD9"/>
    <w:rsid w:val="009C63AA"/>
    <w:rsid w:val="009C7DD5"/>
    <w:rsid w:val="009D52DC"/>
    <w:rsid w:val="009D7DFA"/>
    <w:rsid w:val="009E227D"/>
    <w:rsid w:val="009E2E13"/>
    <w:rsid w:val="009E4D8F"/>
    <w:rsid w:val="009E5019"/>
    <w:rsid w:val="009F2E13"/>
    <w:rsid w:val="009F6047"/>
    <w:rsid w:val="00A04F1B"/>
    <w:rsid w:val="00A0501B"/>
    <w:rsid w:val="00A05404"/>
    <w:rsid w:val="00A14947"/>
    <w:rsid w:val="00A23E7B"/>
    <w:rsid w:val="00A32A83"/>
    <w:rsid w:val="00A341F4"/>
    <w:rsid w:val="00A368DB"/>
    <w:rsid w:val="00A423AA"/>
    <w:rsid w:val="00A42A7E"/>
    <w:rsid w:val="00A5335F"/>
    <w:rsid w:val="00A53EC6"/>
    <w:rsid w:val="00A54FC4"/>
    <w:rsid w:val="00A55C0F"/>
    <w:rsid w:val="00A649F5"/>
    <w:rsid w:val="00A75489"/>
    <w:rsid w:val="00A80AFA"/>
    <w:rsid w:val="00A82F1E"/>
    <w:rsid w:val="00A856A6"/>
    <w:rsid w:val="00A8713F"/>
    <w:rsid w:val="00A90BA1"/>
    <w:rsid w:val="00A97A9A"/>
    <w:rsid w:val="00A97B39"/>
    <w:rsid w:val="00AA0671"/>
    <w:rsid w:val="00AA0FC8"/>
    <w:rsid w:val="00AA2531"/>
    <w:rsid w:val="00AA3631"/>
    <w:rsid w:val="00AA4AF1"/>
    <w:rsid w:val="00AB1E09"/>
    <w:rsid w:val="00AB2E25"/>
    <w:rsid w:val="00AB3000"/>
    <w:rsid w:val="00AB5330"/>
    <w:rsid w:val="00AB65F4"/>
    <w:rsid w:val="00AB7747"/>
    <w:rsid w:val="00AC14CE"/>
    <w:rsid w:val="00AC2A56"/>
    <w:rsid w:val="00AD055E"/>
    <w:rsid w:val="00AD47A7"/>
    <w:rsid w:val="00AD4EA5"/>
    <w:rsid w:val="00AD7B54"/>
    <w:rsid w:val="00AE4D24"/>
    <w:rsid w:val="00AF0CBF"/>
    <w:rsid w:val="00AF1529"/>
    <w:rsid w:val="00AF257F"/>
    <w:rsid w:val="00AF33CF"/>
    <w:rsid w:val="00AF4D50"/>
    <w:rsid w:val="00AF6179"/>
    <w:rsid w:val="00B04FF2"/>
    <w:rsid w:val="00B118FD"/>
    <w:rsid w:val="00B1295A"/>
    <w:rsid w:val="00B178DA"/>
    <w:rsid w:val="00B20A45"/>
    <w:rsid w:val="00B22C5C"/>
    <w:rsid w:val="00B24F30"/>
    <w:rsid w:val="00B26436"/>
    <w:rsid w:val="00B31ABF"/>
    <w:rsid w:val="00B33BE3"/>
    <w:rsid w:val="00B34633"/>
    <w:rsid w:val="00B3506E"/>
    <w:rsid w:val="00B53B5D"/>
    <w:rsid w:val="00B5595F"/>
    <w:rsid w:val="00B6055E"/>
    <w:rsid w:val="00B6317D"/>
    <w:rsid w:val="00B701B7"/>
    <w:rsid w:val="00B72E7F"/>
    <w:rsid w:val="00B7325D"/>
    <w:rsid w:val="00B76A44"/>
    <w:rsid w:val="00B7723F"/>
    <w:rsid w:val="00B80534"/>
    <w:rsid w:val="00B8433C"/>
    <w:rsid w:val="00B8614E"/>
    <w:rsid w:val="00B87491"/>
    <w:rsid w:val="00B92518"/>
    <w:rsid w:val="00BA29E9"/>
    <w:rsid w:val="00BA4874"/>
    <w:rsid w:val="00BA543B"/>
    <w:rsid w:val="00BA7142"/>
    <w:rsid w:val="00BB237C"/>
    <w:rsid w:val="00BB41A3"/>
    <w:rsid w:val="00BB674B"/>
    <w:rsid w:val="00BC32DC"/>
    <w:rsid w:val="00BC35B6"/>
    <w:rsid w:val="00BD1B51"/>
    <w:rsid w:val="00BD4596"/>
    <w:rsid w:val="00BD599F"/>
    <w:rsid w:val="00BD6840"/>
    <w:rsid w:val="00BE1405"/>
    <w:rsid w:val="00BE1B01"/>
    <w:rsid w:val="00BE312D"/>
    <w:rsid w:val="00BE7E2F"/>
    <w:rsid w:val="00BF0E19"/>
    <w:rsid w:val="00BF1C20"/>
    <w:rsid w:val="00C06D46"/>
    <w:rsid w:val="00C07C4E"/>
    <w:rsid w:val="00C10578"/>
    <w:rsid w:val="00C11768"/>
    <w:rsid w:val="00C12C61"/>
    <w:rsid w:val="00C135BC"/>
    <w:rsid w:val="00C15C95"/>
    <w:rsid w:val="00C16BAE"/>
    <w:rsid w:val="00C251B4"/>
    <w:rsid w:val="00C2596A"/>
    <w:rsid w:val="00C27537"/>
    <w:rsid w:val="00C328FE"/>
    <w:rsid w:val="00C32A26"/>
    <w:rsid w:val="00C33507"/>
    <w:rsid w:val="00C43960"/>
    <w:rsid w:val="00C4409D"/>
    <w:rsid w:val="00C44E72"/>
    <w:rsid w:val="00C45A06"/>
    <w:rsid w:val="00C47E5B"/>
    <w:rsid w:val="00C50F0B"/>
    <w:rsid w:val="00C5424A"/>
    <w:rsid w:val="00C544EE"/>
    <w:rsid w:val="00C61E4B"/>
    <w:rsid w:val="00C64BFF"/>
    <w:rsid w:val="00C667F6"/>
    <w:rsid w:val="00C704E9"/>
    <w:rsid w:val="00C750AA"/>
    <w:rsid w:val="00C761A0"/>
    <w:rsid w:val="00C763C9"/>
    <w:rsid w:val="00C80057"/>
    <w:rsid w:val="00C82232"/>
    <w:rsid w:val="00C82913"/>
    <w:rsid w:val="00C913F4"/>
    <w:rsid w:val="00C972B1"/>
    <w:rsid w:val="00C97F4B"/>
    <w:rsid w:val="00CA26CB"/>
    <w:rsid w:val="00CA2CCE"/>
    <w:rsid w:val="00CA43FD"/>
    <w:rsid w:val="00CA7EF8"/>
    <w:rsid w:val="00CB1088"/>
    <w:rsid w:val="00CC489B"/>
    <w:rsid w:val="00CC4974"/>
    <w:rsid w:val="00CD2BCD"/>
    <w:rsid w:val="00CD3A4C"/>
    <w:rsid w:val="00CD448B"/>
    <w:rsid w:val="00CD4EF0"/>
    <w:rsid w:val="00CE10E9"/>
    <w:rsid w:val="00CE2910"/>
    <w:rsid w:val="00CE5393"/>
    <w:rsid w:val="00CF368A"/>
    <w:rsid w:val="00CF36BE"/>
    <w:rsid w:val="00CF6000"/>
    <w:rsid w:val="00D003F3"/>
    <w:rsid w:val="00D01569"/>
    <w:rsid w:val="00D0364F"/>
    <w:rsid w:val="00D0402C"/>
    <w:rsid w:val="00D04708"/>
    <w:rsid w:val="00D04DD0"/>
    <w:rsid w:val="00D06834"/>
    <w:rsid w:val="00D20E5A"/>
    <w:rsid w:val="00D2615A"/>
    <w:rsid w:val="00D27F0E"/>
    <w:rsid w:val="00D308ED"/>
    <w:rsid w:val="00D36D86"/>
    <w:rsid w:val="00D428AA"/>
    <w:rsid w:val="00D5041D"/>
    <w:rsid w:val="00D50A34"/>
    <w:rsid w:val="00D51110"/>
    <w:rsid w:val="00D535CA"/>
    <w:rsid w:val="00D53EFA"/>
    <w:rsid w:val="00D5688F"/>
    <w:rsid w:val="00D64AE1"/>
    <w:rsid w:val="00D709DB"/>
    <w:rsid w:val="00D743B5"/>
    <w:rsid w:val="00D752AD"/>
    <w:rsid w:val="00D94A7C"/>
    <w:rsid w:val="00D95600"/>
    <w:rsid w:val="00D95896"/>
    <w:rsid w:val="00D9640E"/>
    <w:rsid w:val="00D964E7"/>
    <w:rsid w:val="00DA748F"/>
    <w:rsid w:val="00DB1BC1"/>
    <w:rsid w:val="00DB2106"/>
    <w:rsid w:val="00DB2983"/>
    <w:rsid w:val="00DB5B1A"/>
    <w:rsid w:val="00DC1257"/>
    <w:rsid w:val="00DC3DC0"/>
    <w:rsid w:val="00DC4034"/>
    <w:rsid w:val="00DC5B2B"/>
    <w:rsid w:val="00DC7C1D"/>
    <w:rsid w:val="00DD22C6"/>
    <w:rsid w:val="00DD318D"/>
    <w:rsid w:val="00DE0CFA"/>
    <w:rsid w:val="00DE5743"/>
    <w:rsid w:val="00DE746F"/>
    <w:rsid w:val="00DF2E12"/>
    <w:rsid w:val="00DF514A"/>
    <w:rsid w:val="00DF6690"/>
    <w:rsid w:val="00DF6804"/>
    <w:rsid w:val="00E020F4"/>
    <w:rsid w:val="00E0358D"/>
    <w:rsid w:val="00E04323"/>
    <w:rsid w:val="00E070A2"/>
    <w:rsid w:val="00E2656A"/>
    <w:rsid w:val="00E36191"/>
    <w:rsid w:val="00E40E8B"/>
    <w:rsid w:val="00E412D0"/>
    <w:rsid w:val="00E44D4A"/>
    <w:rsid w:val="00E56322"/>
    <w:rsid w:val="00E56F73"/>
    <w:rsid w:val="00E57094"/>
    <w:rsid w:val="00E60316"/>
    <w:rsid w:val="00E60982"/>
    <w:rsid w:val="00E61EAD"/>
    <w:rsid w:val="00E62C62"/>
    <w:rsid w:val="00E62FA6"/>
    <w:rsid w:val="00E64A1F"/>
    <w:rsid w:val="00E6528F"/>
    <w:rsid w:val="00E654C1"/>
    <w:rsid w:val="00E65D97"/>
    <w:rsid w:val="00E66B00"/>
    <w:rsid w:val="00E67DF9"/>
    <w:rsid w:val="00E71ED0"/>
    <w:rsid w:val="00E723D9"/>
    <w:rsid w:val="00E72A5A"/>
    <w:rsid w:val="00E73354"/>
    <w:rsid w:val="00E84564"/>
    <w:rsid w:val="00E90914"/>
    <w:rsid w:val="00E9242D"/>
    <w:rsid w:val="00EA55F3"/>
    <w:rsid w:val="00EA6541"/>
    <w:rsid w:val="00EB5255"/>
    <w:rsid w:val="00EB5C47"/>
    <w:rsid w:val="00ED0639"/>
    <w:rsid w:val="00ED5986"/>
    <w:rsid w:val="00EE1A1D"/>
    <w:rsid w:val="00EE713E"/>
    <w:rsid w:val="00EF32B0"/>
    <w:rsid w:val="00EF4271"/>
    <w:rsid w:val="00EF4755"/>
    <w:rsid w:val="00EF7135"/>
    <w:rsid w:val="00F027DB"/>
    <w:rsid w:val="00F03CE3"/>
    <w:rsid w:val="00F07964"/>
    <w:rsid w:val="00F1221E"/>
    <w:rsid w:val="00F13A71"/>
    <w:rsid w:val="00F1415F"/>
    <w:rsid w:val="00F14A7A"/>
    <w:rsid w:val="00F14E8F"/>
    <w:rsid w:val="00F22985"/>
    <w:rsid w:val="00F3136A"/>
    <w:rsid w:val="00F32D1F"/>
    <w:rsid w:val="00F3383E"/>
    <w:rsid w:val="00F4414E"/>
    <w:rsid w:val="00F465A7"/>
    <w:rsid w:val="00F50B7C"/>
    <w:rsid w:val="00F543D5"/>
    <w:rsid w:val="00F550E6"/>
    <w:rsid w:val="00F57031"/>
    <w:rsid w:val="00F74345"/>
    <w:rsid w:val="00F80A0A"/>
    <w:rsid w:val="00F82B19"/>
    <w:rsid w:val="00F8483D"/>
    <w:rsid w:val="00F86168"/>
    <w:rsid w:val="00F9212D"/>
    <w:rsid w:val="00F96530"/>
    <w:rsid w:val="00F965DA"/>
    <w:rsid w:val="00FA406A"/>
    <w:rsid w:val="00FB167F"/>
    <w:rsid w:val="00FB503A"/>
    <w:rsid w:val="00FB516C"/>
    <w:rsid w:val="00FD0236"/>
    <w:rsid w:val="00FD18F4"/>
    <w:rsid w:val="00FD450D"/>
    <w:rsid w:val="00FD54DB"/>
    <w:rsid w:val="00FD619F"/>
    <w:rsid w:val="00FF1EBC"/>
    <w:rsid w:val="00FF6073"/>
    <w:rsid w:val="00FF74D5"/>
    <w:rsid w:val="00FF7F9E"/>
    <w:rsid w:val="01064C9A"/>
    <w:rsid w:val="010A64E6"/>
    <w:rsid w:val="010C0502"/>
    <w:rsid w:val="01257918"/>
    <w:rsid w:val="0127121F"/>
    <w:rsid w:val="01284C10"/>
    <w:rsid w:val="01290F7E"/>
    <w:rsid w:val="0132783D"/>
    <w:rsid w:val="0136557F"/>
    <w:rsid w:val="013B2B96"/>
    <w:rsid w:val="015777C6"/>
    <w:rsid w:val="015821CD"/>
    <w:rsid w:val="015C2B0C"/>
    <w:rsid w:val="015D1E09"/>
    <w:rsid w:val="016977F8"/>
    <w:rsid w:val="016A6FD7"/>
    <w:rsid w:val="017165B7"/>
    <w:rsid w:val="017B2F92"/>
    <w:rsid w:val="01853E11"/>
    <w:rsid w:val="018600C9"/>
    <w:rsid w:val="01881AF6"/>
    <w:rsid w:val="018F38F6"/>
    <w:rsid w:val="01923A15"/>
    <w:rsid w:val="01A87AFF"/>
    <w:rsid w:val="01B42948"/>
    <w:rsid w:val="01C70332"/>
    <w:rsid w:val="01CA216C"/>
    <w:rsid w:val="01CA63A7"/>
    <w:rsid w:val="01D65505"/>
    <w:rsid w:val="01E5415A"/>
    <w:rsid w:val="01E94501"/>
    <w:rsid w:val="01EF744F"/>
    <w:rsid w:val="01F0289D"/>
    <w:rsid w:val="020F7B7E"/>
    <w:rsid w:val="022343E1"/>
    <w:rsid w:val="022E44A8"/>
    <w:rsid w:val="02353A89"/>
    <w:rsid w:val="0236335D"/>
    <w:rsid w:val="023B77F4"/>
    <w:rsid w:val="023C4E17"/>
    <w:rsid w:val="023D0B8F"/>
    <w:rsid w:val="024141DC"/>
    <w:rsid w:val="025832D3"/>
    <w:rsid w:val="02624152"/>
    <w:rsid w:val="026954E1"/>
    <w:rsid w:val="02697903"/>
    <w:rsid w:val="026B74AB"/>
    <w:rsid w:val="026D3223"/>
    <w:rsid w:val="02922C89"/>
    <w:rsid w:val="02970DCC"/>
    <w:rsid w:val="029A7D90"/>
    <w:rsid w:val="029B6B48"/>
    <w:rsid w:val="029C1412"/>
    <w:rsid w:val="029D33DC"/>
    <w:rsid w:val="02A66DC4"/>
    <w:rsid w:val="02AD7AC3"/>
    <w:rsid w:val="02B27065"/>
    <w:rsid w:val="02B82731"/>
    <w:rsid w:val="02BA21E0"/>
    <w:rsid w:val="02CB4D02"/>
    <w:rsid w:val="02D23086"/>
    <w:rsid w:val="02D54924"/>
    <w:rsid w:val="02E1151B"/>
    <w:rsid w:val="02F05C02"/>
    <w:rsid w:val="02F96569"/>
    <w:rsid w:val="03036481"/>
    <w:rsid w:val="03074706"/>
    <w:rsid w:val="031636B5"/>
    <w:rsid w:val="0329220A"/>
    <w:rsid w:val="03394EB3"/>
    <w:rsid w:val="033C49A3"/>
    <w:rsid w:val="033E7623"/>
    <w:rsid w:val="033F6241"/>
    <w:rsid w:val="03486EE3"/>
    <w:rsid w:val="034B2E38"/>
    <w:rsid w:val="034D4E02"/>
    <w:rsid w:val="035C5045"/>
    <w:rsid w:val="03722BFA"/>
    <w:rsid w:val="03874A2A"/>
    <w:rsid w:val="038C0422"/>
    <w:rsid w:val="038C592B"/>
    <w:rsid w:val="03942A31"/>
    <w:rsid w:val="0397607D"/>
    <w:rsid w:val="03AA7B5F"/>
    <w:rsid w:val="03D251BA"/>
    <w:rsid w:val="03D6401F"/>
    <w:rsid w:val="03E4699D"/>
    <w:rsid w:val="03E811F5"/>
    <w:rsid w:val="03EA7B21"/>
    <w:rsid w:val="03FC35CA"/>
    <w:rsid w:val="040000C7"/>
    <w:rsid w:val="0404728D"/>
    <w:rsid w:val="04051239"/>
    <w:rsid w:val="040C25C7"/>
    <w:rsid w:val="041B7A76"/>
    <w:rsid w:val="041E1B93"/>
    <w:rsid w:val="043B086E"/>
    <w:rsid w:val="043F0BEF"/>
    <w:rsid w:val="04455AD9"/>
    <w:rsid w:val="0454227A"/>
    <w:rsid w:val="04671EF4"/>
    <w:rsid w:val="046A41AC"/>
    <w:rsid w:val="04781A0B"/>
    <w:rsid w:val="047F0FEB"/>
    <w:rsid w:val="048760F2"/>
    <w:rsid w:val="04912ACD"/>
    <w:rsid w:val="049A4077"/>
    <w:rsid w:val="049D778A"/>
    <w:rsid w:val="04A66578"/>
    <w:rsid w:val="04A9250C"/>
    <w:rsid w:val="04AB3BCF"/>
    <w:rsid w:val="04B844FD"/>
    <w:rsid w:val="04C3537C"/>
    <w:rsid w:val="04D035F5"/>
    <w:rsid w:val="04D05224"/>
    <w:rsid w:val="04D330E5"/>
    <w:rsid w:val="04F82B4C"/>
    <w:rsid w:val="05332F18"/>
    <w:rsid w:val="056106F1"/>
    <w:rsid w:val="05616943"/>
    <w:rsid w:val="056401E1"/>
    <w:rsid w:val="058A5E9A"/>
    <w:rsid w:val="058F58EC"/>
    <w:rsid w:val="059A29B0"/>
    <w:rsid w:val="059C0325"/>
    <w:rsid w:val="05A30D0A"/>
    <w:rsid w:val="05C72C4A"/>
    <w:rsid w:val="05CA44E8"/>
    <w:rsid w:val="05DB66F5"/>
    <w:rsid w:val="05DE1D42"/>
    <w:rsid w:val="05F83EAE"/>
    <w:rsid w:val="06007F0A"/>
    <w:rsid w:val="06020D60"/>
    <w:rsid w:val="060914B4"/>
    <w:rsid w:val="06225F92"/>
    <w:rsid w:val="062260D2"/>
    <w:rsid w:val="0624009C"/>
    <w:rsid w:val="063B2C07"/>
    <w:rsid w:val="063E7D85"/>
    <w:rsid w:val="06532730"/>
    <w:rsid w:val="0656156B"/>
    <w:rsid w:val="06585F98"/>
    <w:rsid w:val="065B3BFA"/>
    <w:rsid w:val="06766E75"/>
    <w:rsid w:val="067B4119"/>
    <w:rsid w:val="06850C3E"/>
    <w:rsid w:val="06872B7E"/>
    <w:rsid w:val="06963466"/>
    <w:rsid w:val="069741C7"/>
    <w:rsid w:val="06AE5BB8"/>
    <w:rsid w:val="06BD404D"/>
    <w:rsid w:val="06C20886"/>
    <w:rsid w:val="06C61153"/>
    <w:rsid w:val="06C90C44"/>
    <w:rsid w:val="06D27AF8"/>
    <w:rsid w:val="06D519FE"/>
    <w:rsid w:val="06D849E3"/>
    <w:rsid w:val="06DC0977"/>
    <w:rsid w:val="06E33337"/>
    <w:rsid w:val="06EC048E"/>
    <w:rsid w:val="06F02757"/>
    <w:rsid w:val="06F442A9"/>
    <w:rsid w:val="06FC6128"/>
    <w:rsid w:val="06FC6923"/>
    <w:rsid w:val="071E4DE7"/>
    <w:rsid w:val="07261BF2"/>
    <w:rsid w:val="07293586"/>
    <w:rsid w:val="07295285"/>
    <w:rsid w:val="07391925"/>
    <w:rsid w:val="073D0CEA"/>
    <w:rsid w:val="073E518E"/>
    <w:rsid w:val="074C45A5"/>
    <w:rsid w:val="07577FFE"/>
    <w:rsid w:val="07591FC8"/>
    <w:rsid w:val="0760056B"/>
    <w:rsid w:val="07636392"/>
    <w:rsid w:val="07691ADF"/>
    <w:rsid w:val="076E3F95"/>
    <w:rsid w:val="07770C56"/>
    <w:rsid w:val="07837045"/>
    <w:rsid w:val="078E1545"/>
    <w:rsid w:val="078F7797"/>
    <w:rsid w:val="07930733"/>
    <w:rsid w:val="07A05C0E"/>
    <w:rsid w:val="07A31495"/>
    <w:rsid w:val="07A45828"/>
    <w:rsid w:val="07A80859"/>
    <w:rsid w:val="07B90CB8"/>
    <w:rsid w:val="07CF4038"/>
    <w:rsid w:val="07D63618"/>
    <w:rsid w:val="07DD49A7"/>
    <w:rsid w:val="07E13D6B"/>
    <w:rsid w:val="07ED0962"/>
    <w:rsid w:val="07EE58E7"/>
    <w:rsid w:val="07F910B5"/>
    <w:rsid w:val="080F2686"/>
    <w:rsid w:val="08183C31"/>
    <w:rsid w:val="081B102B"/>
    <w:rsid w:val="08202AE5"/>
    <w:rsid w:val="083420ED"/>
    <w:rsid w:val="0837398B"/>
    <w:rsid w:val="083C3EF0"/>
    <w:rsid w:val="083D3697"/>
    <w:rsid w:val="08471E20"/>
    <w:rsid w:val="084D037F"/>
    <w:rsid w:val="08634780"/>
    <w:rsid w:val="08670714"/>
    <w:rsid w:val="087B5F6E"/>
    <w:rsid w:val="08844E22"/>
    <w:rsid w:val="08874912"/>
    <w:rsid w:val="088A61B1"/>
    <w:rsid w:val="088B5B4C"/>
    <w:rsid w:val="088F5575"/>
    <w:rsid w:val="08A125AA"/>
    <w:rsid w:val="08A76D63"/>
    <w:rsid w:val="08B35707"/>
    <w:rsid w:val="08B5322E"/>
    <w:rsid w:val="08B66FA6"/>
    <w:rsid w:val="08BF530D"/>
    <w:rsid w:val="08BF736C"/>
    <w:rsid w:val="08C064E0"/>
    <w:rsid w:val="08E7715F"/>
    <w:rsid w:val="08EB269F"/>
    <w:rsid w:val="08FA2BEA"/>
    <w:rsid w:val="090D1B45"/>
    <w:rsid w:val="09192CB9"/>
    <w:rsid w:val="091F2D9D"/>
    <w:rsid w:val="092217DD"/>
    <w:rsid w:val="09302957"/>
    <w:rsid w:val="0932487E"/>
    <w:rsid w:val="093A7294"/>
    <w:rsid w:val="093F343F"/>
    <w:rsid w:val="094877B5"/>
    <w:rsid w:val="0949606C"/>
    <w:rsid w:val="095011A8"/>
    <w:rsid w:val="095A00C3"/>
    <w:rsid w:val="095A2897"/>
    <w:rsid w:val="095F3781"/>
    <w:rsid w:val="09627CCF"/>
    <w:rsid w:val="0965025A"/>
    <w:rsid w:val="096D1193"/>
    <w:rsid w:val="096E162E"/>
    <w:rsid w:val="096F5AD2"/>
    <w:rsid w:val="09807D20"/>
    <w:rsid w:val="09970B85"/>
    <w:rsid w:val="09A03EDE"/>
    <w:rsid w:val="09AF2373"/>
    <w:rsid w:val="09BA4874"/>
    <w:rsid w:val="09C474A0"/>
    <w:rsid w:val="09D45935"/>
    <w:rsid w:val="09D963FB"/>
    <w:rsid w:val="09DA51A9"/>
    <w:rsid w:val="09DC2A3C"/>
    <w:rsid w:val="09E0507F"/>
    <w:rsid w:val="09E244F6"/>
    <w:rsid w:val="09F75AC8"/>
    <w:rsid w:val="09FC6C3A"/>
    <w:rsid w:val="0A00672A"/>
    <w:rsid w:val="0A0124A3"/>
    <w:rsid w:val="0A0855DF"/>
    <w:rsid w:val="0A1026E6"/>
    <w:rsid w:val="0A24345E"/>
    <w:rsid w:val="0A263993"/>
    <w:rsid w:val="0A2D3AC2"/>
    <w:rsid w:val="0A2F02E7"/>
    <w:rsid w:val="0A344B0C"/>
    <w:rsid w:val="0A375EC4"/>
    <w:rsid w:val="0A40746F"/>
    <w:rsid w:val="0A456D37"/>
    <w:rsid w:val="0A4F1460"/>
    <w:rsid w:val="0A570314"/>
    <w:rsid w:val="0A58495A"/>
    <w:rsid w:val="0A5B7E05"/>
    <w:rsid w:val="0A5C43D0"/>
    <w:rsid w:val="0A5E519A"/>
    <w:rsid w:val="0A637B5A"/>
    <w:rsid w:val="0A67431A"/>
    <w:rsid w:val="0A752CB8"/>
    <w:rsid w:val="0A8C09D7"/>
    <w:rsid w:val="0A8E234B"/>
    <w:rsid w:val="0A8F3F52"/>
    <w:rsid w:val="0A94406A"/>
    <w:rsid w:val="0AA01CBB"/>
    <w:rsid w:val="0AA755DF"/>
    <w:rsid w:val="0AB1211B"/>
    <w:rsid w:val="0AD97CBD"/>
    <w:rsid w:val="0ADD081A"/>
    <w:rsid w:val="0AF352AC"/>
    <w:rsid w:val="0AF52007"/>
    <w:rsid w:val="0AFD2C6A"/>
    <w:rsid w:val="0B073AE9"/>
    <w:rsid w:val="0B0C60DD"/>
    <w:rsid w:val="0B120D44"/>
    <w:rsid w:val="0B1B1342"/>
    <w:rsid w:val="0B34558F"/>
    <w:rsid w:val="0B372620"/>
    <w:rsid w:val="0B4E7969"/>
    <w:rsid w:val="0B552304"/>
    <w:rsid w:val="0B837613"/>
    <w:rsid w:val="0B8E57A5"/>
    <w:rsid w:val="0B957346"/>
    <w:rsid w:val="0B985065"/>
    <w:rsid w:val="0B9A1A66"/>
    <w:rsid w:val="0B9B0319"/>
    <w:rsid w:val="0BA23811"/>
    <w:rsid w:val="0BAA1044"/>
    <w:rsid w:val="0BAD643E"/>
    <w:rsid w:val="0BB31137"/>
    <w:rsid w:val="0BC814CA"/>
    <w:rsid w:val="0BD25035"/>
    <w:rsid w:val="0BD27BF6"/>
    <w:rsid w:val="0BD54FA3"/>
    <w:rsid w:val="0BE47415"/>
    <w:rsid w:val="0BEC3253"/>
    <w:rsid w:val="0BEE52A9"/>
    <w:rsid w:val="0BFE53EE"/>
    <w:rsid w:val="0C0A1D5F"/>
    <w:rsid w:val="0C0D6C26"/>
    <w:rsid w:val="0C100AE7"/>
    <w:rsid w:val="0C175FAD"/>
    <w:rsid w:val="0C1B6ADB"/>
    <w:rsid w:val="0C35055F"/>
    <w:rsid w:val="0C3628D7"/>
    <w:rsid w:val="0C3748A2"/>
    <w:rsid w:val="0C3B3C7D"/>
    <w:rsid w:val="0C3E178C"/>
    <w:rsid w:val="0C3E6076"/>
    <w:rsid w:val="0C403756"/>
    <w:rsid w:val="0C5C7E64"/>
    <w:rsid w:val="0C600706"/>
    <w:rsid w:val="0C647D62"/>
    <w:rsid w:val="0C6E2E22"/>
    <w:rsid w:val="0C7A5796"/>
    <w:rsid w:val="0C831895"/>
    <w:rsid w:val="0C87510A"/>
    <w:rsid w:val="0C8D626F"/>
    <w:rsid w:val="0C913FB2"/>
    <w:rsid w:val="0C9413AC"/>
    <w:rsid w:val="0C9475FE"/>
    <w:rsid w:val="0CA35A93"/>
    <w:rsid w:val="0CAB2EAE"/>
    <w:rsid w:val="0CD65E68"/>
    <w:rsid w:val="0CD8398F"/>
    <w:rsid w:val="0CD875CA"/>
    <w:rsid w:val="0CE265BB"/>
    <w:rsid w:val="0CE340E1"/>
    <w:rsid w:val="0CE75980"/>
    <w:rsid w:val="0D066EAA"/>
    <w:rsid w:val="0D116EA1"/>
    <w:rsid w:val="0D1C6DBA"/>
    <w:rsid w:val="0D1D75F3"/>
    <w:rsid w:val="0D2E7A52"/>
    <w:rsid w:val="0D442DD2"/>
    <w:rsid w:val="0D576FA9"/>
    <w:rsid w:val="0D5864CD"/>
    <w:rsid w:val="0D621C7D"/>
    <w:rsid w:val="0D6276FC"/>
    <w:rsid w:val="0D645222"/>
    <w:rsid w:val="0D6671EC"/>
    <w:rsid w:val="0D6B035F"/>
    <w:rsid w:val="0D813C29"/>
    <w:rsid w:val="0D8853B5"/>
    <w:rsid w:val="0D8E6743"/>
    <w:rsid w:val="0DA45EA6"/>
    <w:rsid w:val="0DA8151C"/>
    <w:rsid w:val="0DB77A48"/>
    <w:rsid w:val="0DBF68FD"/>
    <w:rsid w:val="0DC161D1"/>
    <w:rsid w:val="0DC94CD9"/>
    <w:rsid w:val="0DD34156"/>
    <w:rsid w:val="0DD95C10"/>
    <w:rsid w:val="0DDD6D83"/>
    <w:rsid w:val="0DF5231E"/>
    <w:rsid w:val="0DFE7425"/>
    <w:rsid w:val="0E0D7668"/>
    <w:rsid w:val="0E124C7E"/>
    <w:rsid w:val="0E2055ED"/>
    <w:rsid w:val="0E2F75DE"/>
    <w:rsid w:val="0E3015A8"/>
    <w:rsid w:val="0E4806A0"/>
    <w:rsid w:val="0E4A08BC"/>
    <w:rsid w:val="0E4B0190"/>
    <w:rsid w:val="0E526682"/>
    <w:rsid w:val="0E6D6359"/>
    <w:rsid w:val="0E710DAC"/>
    <w:rsid w:val="0E73034D"/>
    <w:rsid w:val="0E770F85"/>
    <w:rsid w:val="0E782A66"/>
    <w:rsid w:val="0EA13663"/>
    <w:rsid w:val="0EAA4EB7"/>
    <w:rsid w:val="0EB32B5C"/>
    <w:rsid w:val="0EB83A78"/>
    <w:rsid w:val="0EBC4BEA"/>
    <w:rsid w:val="0EC20452"/>
    <w:rsid w:val="0EC94CD8"/>
    <w:rsid w:val="0ECA5559"/>
    <w:rsid w:val="0EDB32C2"/>
    <w:rsid w:val="0EDE1004"/>
    <w:rsid w:val="0EE04D7C"/>
    <w:rsid w:val="0EF0492F"/>
    <w:rsid w:val="0EF645A0"/>
    <w:rsid w:val="0EF6634E"/>
    <w:rsid w:val="0F136F00"/>
    <w:rsid w:val="0F13775A"/>
    <w:rsid w:val="0F144A26"/>
    <w:rsid w:val="0F1C2F56"/>
    <w:rsid w:val="0F1D14FC"/>
    <w:rsid w:val="0F2B6888"/>
    <w:rsid w:val="0F2C1D70"/>
    <w:rsid w:val="0F2F360E"/>
    <w:rsid w:val="0F44355D"/>
    <w:rsid w:val="0F544433"/>
    <w:rsid w:val="0F576E3B"/>
    <w:rsid w:val="0F5D7898"/>
    <w:rsid w:val="0F5F45FE"/>
    <w:rsid w:val="0F5F5667"/>
    <w:rsid w:val="0F6E05DA"/>
    <w:rsid w:val="0F7D25CB"/>
    <w:rsid w:val="0F7E171D"/>
    <w:rsid w:val="0F8971C2"/>
    <w:rsid w:val="0F8B02EB"/>
    <w:rsid w:val="0F8B118C"/>
    <w:rsid w:val="0F9A112B"/>
    <w:rsid w:val="0FA83AEC"/>
    <w:rsid w:val="0FAB0EE6"/>
    <w:rsid w:val="0FB81855"/>
    <w:rsid w:val="0FC1695C"/>
    <w:rsid w:val="0FC401FA"/>
    <w:rsid w:val="0FCD5301"/>
    <w:rsid w:val="0FDE2C74"/>
    <w:rsid w:val="0FE20680"/>
    <w:rsid w:val="0FF26B15"/>
    <w:rsid w:val="0FFA3C1C"/>
    <w:rsid w:val="0FFF56D6"/>
    <w:rsid w:val="10066A65"/>
    <w:rsid w:val="101051ED"/>
    <w:rsid w:val="10152CFE"/>
    <w:rsid w:val="10245EA5"/>
    <w:rsid w:val="102D5D9F"/>
    <w:rsid w:val="103A226A"/>
    <w:rsid w:val="104355C3"/>
    <w:rsid w:val="104511A7"/>
    <w:rsid w:val="10463305"/>
    <w:rsid w:val="104D2642"/>
    <w:rsid w:val="104D4694"/>
    <w:rsid w:val="105574D7"/>
    <w:rsid w:val="105E064F"/>
    <w:rsid w:val="10625508"/>
    <w:rsid w:val="106D2F64"/>
    <w:rsid w:val="106E0499"/>
    <w:rsid w:val="10703EDE"/>
    <w:rsid w:val="107517B6"/>
    <w:rsid w:val="108341D3"/>
    <w:rsid w:val="1088747A"/>
    <w:rsid w:val="108A1444"/>
    <w:rsid w:val="109127D2"/>
    <w:rsid w:val="10956024"/>
    <w:rsid w:val="10993435"/>
    <w:rsid w:val="109D57D6"/>
    <w:rsid w:val="109E0A4B"/>
    <w:rsid w:val="10AE08D0"/>
    <w:rsid w:val="10B269C4"/>
    <w:rsid w:val="10B63710"/>
    <w:rsid w:val="10D0447C"/>
    <w:rsid w:val="10D2374C"/>
    <w:rsid w:val="10E30B54"/>
    <w:rsid w:val="10E32902"/>
    <w:rsid w:val="10F10820"/>
    <w:rsid w:val="10F42D61"/>
    <w:rsid w:val="110C1E59"/>
    <w:rsid w:val="11180DEF"/>
    <w:rsid w:val="111C2F7A"/>
    <w:rsid w:val="111D4066"/>
    <w:rsid w:val="112C24FB"/>
    <w:rsid w:val="112E1DCF"/>
    <w:rsid w:val="11554042"/>
    <w:rsid w:val="115B693C"/>
    <w:rsid w:val="115E01DA"/>
    <w:rsid w:val="11655E95"/>
    <w:rsid w:val="11665CA1"/>
    <w:rsid w:val="11731ED8"/>
    <w:rsid w:val="11733C86"/>
    <w:rsid w:val="117A3266"/>
    <w:rsid w:val="117B2B3A"/>
    <w:rsid w:val="11895257"/>
    <w:rsid w:val="11964CC3"/>
    <w:rsid w:val="11BB05F6"/>
    <w:rsid w:val="11BB562D"/>
    <w:rsid w:val="11BF55BC"/>
    <w:rsid w:val="11BF6ECB"/>
    <w:rsid w:val="11C20769"/>
    <w:rsid w:val="11C81388"/>
    <w:rsid w:val="11D230A2"/>
    <w:rsid w:val="11E15093"/>
    <w:rsid w:val="11E44B84"/>
    <w:rsid w:val="11EF6A15"/>
    <w:rsid w:val="11FF376C"/>
    <w:rsid w:val="120F6673"/>
    <w:rsid w:val="122B57CA"/>
    <w:rsid w:val="122C2A91"/>
    <w:rsid w:val="12307DC9"/>
    <w:rsid w:val="12372F05"/>
    <w:rsid w:val="123A47A4"/>
    <w:rsid w:val="123C051C"/>
    <w:rsid w:val="123E4294"/>
    <w:rsid w:val="12413A23"/>
    <w:rsid w:val="12505D75"/>
    <w:rsid w:val="12514DCD"/>
    <w:rsid w:val="12591F6D"/>
    <w:rsid w:val="12631F4C"/>
    <w:rsid w:val="1278016C"/>
    <w:rsid w:val="128A74D9"/>
    <w:rsid w:val="12906AB9"/>
    <w:rsid w:val="12A06CFD"/>
    <w:rsid w:val="12AB56A1"/>
    <w:rsid w:val="12B2262F"/>
    <w:rsid w:val="12BA7692"/>
    <w:rsid w:val="12C7072D"/>
    <w:rsid w:val="12C86253"/>
    <w:rsid w:val="12CA0C12"/>
    <w:rsid w:val="12CD5618"/>
    <w:rsid w:val="12E27315"/>
    <w:rsid w:val="12EC0194"/>
    <w:rsid w:val="12F17558"/>
    <w:rsid w:val="12F63D44"/>
    <w:rsid w:val="12F64D40"/>
    <w:rsid w:val="12F72004"/>
    <w:rsid w:val="12FB0D49"/>
    <w:rsid w:val="12FE7EC7"/>
    <w:rsid w:val="1303728B"/>
    <w:rsid w:val="130F6C00"/>
    <w:rsid w:val="13174AE5"/>
    <w:rsid w:val="131A681F"/>
    <w:rsid w:val="131D6B8F"/>
    <w:rsid w:val="13250D15"/>
    <w:rsid w:val="132D18DF"/>
    <w:rsid w:val="13475DAC"/>
    <w:rsid w:val="13517FF7"/>
    <w:rsid w:val="13533AD2"/>
    <w:rsid w:val="135B0E75"/>
    <w:rsid w:val="135F602A"/>
    <w:rsid w:val="136F501E"/>
    <w:rsid w:val="13732F2F"/>
    <w:rsid w:val="137A57A0"/>
    <w:rsid w:val="138959E3"/>
    <w:rsid w:val="138E124B"/>
    <w:rsid w:val="138F28CD"/>
    <w:rsid w:val="13906D71"/>
    <w:rsid w:val="13951726"/>
    <w:rsid w:val="139D148E"/>
    <w:rsid w:val="13A823A0"/>
    <w:rsid w:val="13B275C3"/>
    <w:rsid w:val="13B81E24"/>
    <w:rsid w:val="13BF7656"/>
    <w:rsid w:val="13C133CE"/>
    <w:rsid w:val="13D6674E"/>
    <w:rsid w:val="13DA0C71"/>
    <w:rsid w:val="13DA623E"/>
    <w:rsid w:val="13F54E26"/>
    <w:rsid w:val="13FC61B5"/>
    <w:rsid w:val="14005579"/>
    <w:rsid w:val="140C2170"/>
    <w:rsid w:val="14186D67"/>
    <w:rsid w:val="141A663B"/>
    <w:rsid w:val="143376FC"/>
    <w:rsid w:val="14396509"/>
    <w:rsid w:val="145C4EA5"/>
    <w:rsid w:val="14641FAC"/>
    <w:rsid w:val="147026FF"/>
    <w:rsid w:val="147072F3"/>
    <w:rsid w:val="147D5D8D"/>
    <w:rsid w:val="1481490C"/>
    <w:rsid w:val="14830684"/>
    <w:rsid w:val="14885C9A"/>
    <w:rsid w:val="148D32B1"/>
    <w:rsid w:val="149F2FE4"/>
    <w:rsid w:val="14A46014"/>
    <w:rsid w:val="14AB3737"/>
    <w:rsid w:val="14AF4973"/>
    <w:rsid w:val="14C173FE"/>
    <w:rsid w:val="14CA0061"/>
    <w:rsid w:val="14CF38C9"/>
    <w:rsid w:val="14DD2C3C"/>
    <w:rsid w:val="14E82BDD"/>
    <w:rsid w:val="14F72E20"/>
    <w:rsid w:val="14F96B98"/>
    <w:rsid w:val="150712B5"/>
    <w:rsid w:val="150A4901"/>
    <w:rsid w:val="150D43F1"/>
    <w:rsid w:val="151B4D60"/>
    <w:rsid w:val="151C63E2"/>
    <w:rsid w:val="15232E3B"/>
    <w:rsid w:val="152B4878"/>
    <w:rsid w:val="15312A9E"/>
    <w:rsid w:val="1536302F"/>
    <w:rsid w:val="153B4ABB"/>
    <w:rsid w:val="15451DDD"/>
    <w:rsid w:val="15453B8B"/>
    <w:rsid w:val="15485429"/>
    <w:rsid w:val="154A2F50"/>
    <w:rsid w:val="15542020"/>
    <w:rsid w:val="155A2216"/>
    <w:rsid w:val="156D4E90"/>
    <w:rsid w:val="15744470"/>
    <w:rsid w:val="157E2FE7"/>
    <w:rsid w:val="15826B8D"/>
    <w:rsid w:val="158A77F0"/>
    <w:rsid w:val="15987930"/>
    <w:rsid w:val="15B250FF"/>
    <w:rsid w:val="15B34F99"/>
    <w:rsid w:val="15B731BB"/>
    <w:rsid w:val="15BB209F"/>
    <w:rsid w:val="15C03212"/>
    <w:rsid w:val="15C4283C"/>
    <w:rsid w:val="15D05B4B"/>
    <w:rsid w:val="15D30EFA"/>
    <w:rsid w:val="15D46CBD"/>
    <w:rsid w:val="15D63EB2"/>
    <w:rsid w:val="15DA10F2"/>
    <w:rsid w:val="15DD457C"/>
    <w:rsid w:val="15E96A4C"/>
    <w:rsid w:val="15EA028F"/>
    <w:rsid w:val="15F5110D"/>
    <w:rsid w:val="16087E1D"/>
    <w:rsid w:val="16144A8D"/>
    <w:rsid w:val="16187491"/>
    <w:rsid w:val="161D2412"/>
    <w:rsid w:val="1620742A"/>
    <w:rsid w:val="163756F8"/>
    <w:rsid w:val="163F4A7E"/>
    <w:rsid w:val="16437B7C"/>
    <w:rsid w:val="164D719B"/>
    <w:rsid w:val="16594C83"/>
    <w:rsid w:val="16646293"/>
    <w:rsid w:val="167A1613"/>
    <w:rsid w:val="16852CFE"/>
    <w:rsid w:val="168F6EA7"/>
    <w:rsid w:val="16953BCD"/>
    <w:rsid w:val="1699418F"/>
    <w:rsid w:val="169E17A5"/>
    <w:rsid w:val="16B44623"/>
    <w:rsid w:val="16C61609"/>
    <w:rsid w:val="16D74CB7"/>
    <w:rsid w:val="16DB245C"/>
    <w:rsid w:val="16DF3B6C"/>
    <w:rsid w:val="16EB1622"/>
    <w:rsid w:val="16F72C63"/>
    <w:rsid w:val="17013AE2"/>
    <w:rsid w:val="17141470"/>
    <w:rsid w:val="17286CD0"/>
    <w:rsid w:val="172A3E82"/>
    <w:rsid w:val="17424826"/>
    <w:rsid w:val="17495DBF"/>
    <w:rsid w:val="1752433D"/>
    <w:rsid w:val="17527E35"/>
    <w:rsid w:val="17544559"/>
    <w:rsid w:val="17595F83"/>
    <w:rsid w:val="175E5E7D"/>
    <w:rsid w:val="176F3141"/>
    <w:rsid w:val="17701D14"/>
    <w:rsid w:val="177249E0"/>
    <w:rsid w:val="17735226"/>
    <w:rsid w:val="178070FD"/>
    <w:rsid w:val="178B1BAC"/>
    <w:rsid w:val="178B7795"/>
    <w:rsid w:val="17935082"/>
    <w:rsid w:val="179766B3"/>
    <w:rsid w:val="17B35ACD"/>
    <w:rsid w:val="17B54466"/>
    <w:rsid w:val="17BB6387"/>
    <w:rsid w:val="17BC1C4F"/>
    <w:rsid w:val="17DC28B2"/>
    <w:rsid w:val="17E40A83"/>
    <w:rsid w:val="180A2E6A"/>
    <w:rsid w:val="183121A5"/>
    <w:rsid w:val="183F2CBF"/>
    <w:rsid w:val="184616E8"/>
    <w:rsid w:val="18504D21"/>
    <w:rsid w:val="185B3D4E"/>
    <w:rsid w:val="185C36C6"/>
    <w:rsid w:val="18626802"/>
    <w:rsid w:val="186E51A7"/>
    <w:rsid w:val="18787DD4"/>
    <w:rsid w:val="187B61AB"/>
    <w:rsid w:val="1887214B"/>
    <w:rsid w:val="18883C44"/>
    <w:rsid w:val="18950986"/>
    <w:rsid w:val="18980476"/>
    <w:rsid w:val="189C0982"/>
    <w:rsid w:val="189F624C"/>
    <w:rsid w:val="18AD3F21"/>
    <w:rsid w:val="18B828C6"/>
    <w:rsid w:val="18BC5F12"/>
    <w:rsid w:val="18C14F50"/>
    <w:rsid w:val="18C82B09"/>
    <w:rsid w:val="18CD6371"/>
    <w:rsid w:val="18D53478"/>
    <w:rsid w:val="18DC7CA7"/>
    <w:rsid w:val="18DD40DB"/>
    <w:rsid w:val="18ED6A14"/>
    <w:rsid w:val="19017DC9"/>
    <w:rsid w:val="191775DC"/>
    <w:rsid w:val="1921046B"/>
    <w:rsid w:val="19235F91"/>
    <w:rsid w:val="19241D0A"/>
    <w:rsid w:val="19246D19"/>
    <w:rsid w:val="1925123C"/>
    <w:rsid w:val="19306900"/>
    <w:rsid w:val="193261D5"/>
    <w:rsid w:val="1941466A"/>
    <w:rsid w:val="194660D8"/>
    <w:rsid w:val="19474EBB"/>
    <w:rsid w:val="194B7296"/>
    <w:rsid w:val="19570331"/>
    <w:rsid w:val="19597C05"/>
    <w:rsid w:val="19646C68"/>
    <w:rsid w:val="19662322"/>
    <w:rsid w:val="198527A8"/>
    <w:rsid w:val="1987620B"/>
    <w:rsid w:val="19924EC5"/>
    <w:rsid w:val="199455B4"/>
    <w:rsid w:val="19AA4A1C"/>
    <w:rsid w:val="19AE61A3"/>
    <w:rsid w:val="19BF485E"/>
    <w:rsid w:val="19CB0575"/>
    <w:rsid w:val="19CB1D3A"/>
    <w:rsid w:val="19EE2A43"/>
    <w:rsid w:val="19EF056A"/>
    <w:rsid w:val="19EF40C6"/>
    <w:rsid w:val="1A1C66C0"/>
    <w:rsid w:val="1A287FE7"/>
    <w:rsid w:val="1A42393B"/>
    <w:rsid w:val="1A4268EB"/>
    <w:rsid w:val="1A622AE9"/>
    <w:rsid w:val="1A651146"/>
    <w:rsid w:val="1A6D4BB7"/>
    <w:rsid w:val="1A6E148E"/>
    <w:rsid w:val="1A7806FD"/>
    <w:rsid w:val="1A787533"/>
    <w:rsid w:val="1A7A42D7"/>
    <w:rsid w:val="1A7B3BAB"/>
    <w:rsid w:val="1A815666"/>
    <w:rsid w:val="1A845156"/>
    <w:rsid w:val="1A854A21"/>
    <w:rsid w:val="1A8E7D82"/>
    <w:rsid w:val="1AA90718"/>
    <w:rsid w:val="1AAD45DE"/>
    <w:rsid w:val="1AB66933"/>
    <w:rsid w:val="1AC11F06"/>
    <w:rsid w:val="1AC15A62"/>
    <w:rsid w:val="1ADF238C"/>
    <w:rsid w:val="1AE14356"/>
    <w:rsid w:val="1AE17C0B"/>
    <w:rsid w:val="1B046F80"/>
    <w:rsid w:val="1B0B13D3"/>
    <w:rsid w:val="1B0B3181"/>
    <w:rsid w:val="1B0D131B"/>
    <w:rsid w:val="1B155DAE"/>
    <w:rsid w:val="1B210BF7"/>
    <w:rsid w:val="1B2B13B7"/>
    <w:rsid w:val="1B31159D"/>
    <w:rsid w:val="1B3267B5"/>
    <w:rsid w:val="1B3A5814"/>
    <w:rsid w:val="1B40161D"/>
    <w:rsid w:val="1B411A0A"/>
    <w:rsid w:val="1B43291B"/>
    <w:rsid w:val="1B4346C9"/>
    <w:rsid w:val="1B441859"/>
    <w:rsid w:val="1B4E4DE8"/>
    <w:rsid w:val="1B6606B1"/>
    <w:rsid w:val="1B663A43"/>
    <w:rsid w:val="1B740D26"/>
    <w:rsid w:val="1B873D79"/>
    <w:rsid w:val="1B972C67"/>
    <w:rsid w:val="1B9B4505"/>
    <w:rsid w:val="1B9C1031"/>
    <w:rsid w:val="1BAA299A"/>
    <w:rsid w:val="1BC81072"/>
    <w:rsid w:val="1BCF0653"/>
    <w:rsid w:val="1BDE0896"/>
    <w:rsid w:val="1BF604D2"/>
    <w:rsid w:val="1BF73705"/>
    <w:rsid w:val="1BFC0812"/>
    <w:rsid w:val="1C09276F"/>
    <w:rsid w:val="1C0D6A33"/>
    <w:rsid w:val="1C1036BB"/>
    <w:rsid w:val="1C177904"/>
    <w:rsid w:val="1C35495A"/>
    <w:rsid w:val="1C4A7CD9"/>
    <w:rsid w:val="1C5803F8"/>
    <w:rsid w:val="1C5E47EB"/>
    <w:rsid w:val="1C5E7925"/>
    <w:rsid w:val="1C8431EB"/>
    <w:rsid w:val="1C931680"/>
    <w:rsid w:val="1C962F1E"/>
    <w:rsid w:val="1CB2219C"/>
    <w:rsid w:val="1CB8334F"/>
    <w:rsid w:val="1CBC0BD7"/>
    <w:rsid w:val="1CCC06EE"/>
    <w:rsid w:val="1CD32CF2"/>
    <w:rsid w:val="1CE27F12"/>
    <w:rsid w:val="1CE617B0"/>
    <w:rsid w:val="1CEB5018"/>
    <w:rsid w:val="1CF10B92"/>
    <w:rsid w:val="1CF11810"/>
    <w:rsid w:val="1CFD070F"/>
    <w:rsid w:val="1D043A4B"/>
    <w:rsid w:val="1D097B94"/>
    <w:rsid w:val="1D1327C1"/>
    <w:rsid w:val="1D13704C"/>
    <w:rsid w:val="1D1A3B4F"/>
    <w:rsid w:val="1D1F2F14"/>
    <w:rsid w:val="1D2B3667"/>
    <w:rsid w:val="1D2F7CC7"/>
    <w:rsid w:val="1D423107"/>
    <w:rsid w:val="1D496BFF"/>
    <w:rsid w:val="1D5F6196"/>
    <w:rsid w:val="1D6132A5"/>
    <w:rsid w:val="1D6D3C7F"/>
    <w:rsid w:val="1D6E2F6B"/>
    <w:rsid w:val="1D74500E"/>
    <w:rsid w:val="1D774AFE"/>
    <w:rsid w:val="1D7768AC"/>
    <w:rsid w:val="1D7A319B"/>
    <w:rsid w:val="1D812310"/>
    <w:rsid w:val="1D852E89"/>
    <w:rsid w:val="1D880AB9"/>
    <w:rsid w:val="1D882867"/>
    <w:rsid w:val="1D8E56D5"/>
    <w:rsid w:val="1D927673"/>
    <w:rsid w:val="1DA10708"/>
    <w:rsid w:val="1DA13929"/>
    <w:rsid w:val="1DA35562"/>
    <w:rsid w:val="1DA43419"/>
    <w:rsid w:val="1DAB169F"/>
    <w:rsid w:val="1DCC309C"/>
    <w:rsid w:val="1DD261D8"/>
    <w:rsid w:val="1DF12B02"/>
    <w:rsid w:val="1E004AF3"/>
    <w:rsid w:val="1E01086B"/>
    <w:rsid w:val="1E0A1C72"/>
    <w:rsid w:val="1E110AAE"/>
    <w:rsid w:val="1E1D5C20"/>
    <w:rsid w:val="1E2F7187"/>
    <w:rsid w:val="1E3B1F14"/>
    <w:rsid w:val="1E454BFC"/>
    <w:rsid w:val="1E4C0CF3"/>
    <w:rsid w:val="1E4D585F"/>
    <w:rsid w:val="1E74103D"/>
    <w:rsid w:val="1E7A43DA"/>
    <w:rsid w:val="1E88623C"/>
    <w:rsid w:val="1E8D144E"/>
    <w:rsid w:val="1EA336D1"/>
    <w:rsid w:val="1EA41923"/>
    <w:rsid w:val="1EAF2075"/>
    <w:rsid w:val="1ECE074D"/>
    <w:rsid w:val="1ED01768"/>
    <w:rsid w:val="1EDD453E"/>
    <w:rsid w:val="1EDF4270"/>
    <w:rsid w:val="1EE066D3"/>
    <w:rsid w:val="1EEB7551"/>
    <w:rsid w:val="1EF53F2C"/>
    <w:rsid w:val="1EF620A4"/>
    <w:rsid w:val="1EFD7285"/>
    <w:rsid w:val="1F040613"/>
    <w:rsid w:val="1F0625DD"/>
    <w:rsid w:val="1F114ADE"/>
    <w:rsid w:val="1F212F73"/>
    <w:rsid w:val="1F2760B0"/>
    <w:rsid w:val="1F3507CD"/>
    <w:rsid w:val="1F372797"/>
    <w:rsid w:val="1F3A2287"/>
    <w:rsid w:val="1F3E47CD"/>
    <w:rsid w:val="1F4629DA"/>
    <w:rsid w:val="1F470500"/>
    <w:rsid w:val="1F491442"/>
    <w:rsid w:val="1F5D7D23"/>
    <w:rsid w:val="1F5E5F75"/>
    <w:rsid w:val="1F602B3B"/>
    <w:rsid w:val="1F686DF4"/>
    <w:rsid w:val="1F6E3CDF"/>
    <w:rsid w:val="1F833C2E"/>
    <w:rsid w:val="1F843502"/>
    <w:rsid w:val="1FA660DC"/>
    <w:rsid w:val="1FA6791C"/>
    <w:rsid w:val="1FB02549"/>
    <w:rsid w:val="1FB43DE7"/>
    <w:rsid w:val="1FE7539E"/>
    <w:rsid w:val="1FF43BB1"/>
    <w:rsid w:val="1FFB35E3"/>
    <w:rsid w:val="20020FF7"/>
    <w:rsid w:val="200603BB"/>
    <w:rsid w:val="20200F8C"/>
    <w:rsid w:val="20280331"/>
    <w:rsid w:val="20313EF6"/>
    <w:rsid w:val="20564E9E"/>
    <w:rsid w:val="20621A95"/>
    <w:rsid w:val="20671BE0"/>
    <w:rsid w:val="208C6B12"/>
    <w:rsid w:val="20931C4F"/>
    <w:rsid w:val="20963CB8"/>
    <w:rsid w:val="209D0D1F"/>
    <w:rsid w:val="20A26336"/>
    <w:rsid w:val="20A81A1B"/>
    <w:rsid w:val="20AC033D"/>
    <w:rsid w:val="20B00A53"/>
    <w:rsid w:val="20B07FB6"/>
    <w:rsid w:val="20B646FB"/>
    <w:rsid w:val="20DB35F6"/>
    <w:rsid w:val="20E06E5E"/>
    <w:rsid w:val="21071715"/>
    <w:rsid w:val="21072813"/>
    <w:rsid w:val="211A2370"/>
    <w:rsid w:val="21246D4B"/>
    <w:rsid w:val="21333432"/>
    <w:rsid w:val="213B74B1"/>
    <w:rsid w:val="213D7E0C"/>
    <w:rsid w:val="214A44E5"/>
    <w:rsid w:val="214B12E7"/>
    <w:rsid w:val="214C62A1"/>
    <w:rsid w:val="215A2310"/>
    <w:rsid w:val="21601B8B"/>
    <w:rsid w:val="21627873"/>
    <w:rsid w:val="2168200C"/>
    <w:rsid w:val="216929AF"/>
    <w:rsid w:val="21696E53"/>
    <w:rsid w:val="216E0C3C"/>
    <w:rsid w:val="21701F90"/>
    <w:rsid w:val="21767713"/>
    <w:rsid w:val="21A07893"/>
    <w:rsid w:val="21A25EC1"/>
    <w:rsid w:val="21A970E2"/>
    <w:rsid w:val="21B225A8"/>
    <w:rsid w:val="21B93937"/>
    <w:rsid w:val="21C30312"/>
    <w:rsid w:val="21D249F9"/>
    <w:rsid w:val="21D50045"/>
    <w:rsid w:val="21DE318A"/>
    <w:rsid w:val="21EF5B80"/>
    <w:rsid w:val="21F20BF7"/>
    <w:rsid w:val="21FC7CC7"/>
    <w:rsid w:val="21FF7025"/>
    <w:rsid w:val="220B3A67"/>
    <w:rsid w:val="22160D89"/>
    <w:rsid w:val="221B767A"/>
    <w:rsid w:val="22250FCC"/>
    <w:rsid w:val="222705BD"/>
    <w:rsid w:val="222958CF"/>
    <w:rsid w:val="22364E11"/>
    <w:rsid w:val="22386CFF"/>
    <w:rsid w:val="223905D4"/>
    <w:rsid w:val="22497C84"/>
    <w:rsid w:val="224D407F"/>
    <w:rsid w:val="225047C3"/>
    <w:rsid w:val="22572055"/>
    <w:rsid w:val="22576990"/>
    <w:rsid w:val="22592A24"/>
    <w:rsid w:val="22605CB1"/>
    <w:rsid w:val="22613331"/>
    <w:rsid w:val="226D40A1"/>
    <w:rsid w:val="22721D38"/>
    <w:rsid w:val="22723AE6"/>
    <w:rsid w:val="227E248B"/>
    <w:rsid w:val="228038E6"/>
    <w:rsid w:val="22804455"/>
    <w:rsid w:val="22821F7B"/>
    <w:rsid w:val="229B0D12"/>
    <w:rsid w:val="22A55C69"/>
    <w:rsid w:val="22B8599C"/>
    <w:rsid w:val="22E76282"/>
    <w:rsid w:val="22EC5646"/>
    <w:rsid w:val="22F47480"/>
    <w:rsid w:val="22F514EE"/>
    <w:rsid w:val="231A0405"/>
    <w:rsid w:val="23243032"/>
    <w:rsid w:val="23302BE7"/>
    <w:rsid w:val="233A4603"/>
    <w:rsid w:val="233B65CE"/>
    <w:rsid w:val="2342795C"/>
    <w:rsid w:val="234731C4"/>
    <w:rsid w:val="2355143D"/>
    <w:rsid w:val="235B641F"/>
    <w:rsid w:val="236C2D03"/>
    <w:rsid w:val="2370007A"/>
    <w:rsid w:val="23713D9D"/>
    <w:rsid w:val="23733FB9"/>
    <w:rsid w:val="237A5558"/>
    <w:rsid w:val="237D267E"/>
    <w:rsid w:val="2383244E"/>
    <w:rsid w:val="238654DF"/>
    <w:rsid w:val="239D1036"/>
    <w:rsid w:val="23A94469"/>
    <w:rsid w:val="23BD6681"/>
    <w:rsid w:val="23BE21BE"/>
    <w:rsid w:val="23C93BD9"/>
    <w:rsid w:val="23DE1C48"/>
    <w:rsid w:val="23F01166"/>
    <w:rsid w:val="23F07A01"/>
    <w:rsid w:val="23FA529B"/>
    <w:rsid w:val="23FC3FAF"/>
    <w:rsid w:val="24013373"/>
    <w:rsid w:val="240210CD"/>
    <w:rsid w:val="240A66CC"/>
    <w:rsid w:val="240D3AC6"/>
    <w:rsid w:val="2412732E"/>
    <w:rsid w:val="241430A6"/>
    <w:rsid w:val="24174945"/>
    <w:rsid w:val="241C63FF"/>
    <w:rsid w:val="243472A5"/>
    <w:rsid w:val="243B4AD7"/>
    <w:rsid w:val="244D65B8"/>
    <w:rsid w:val="24500B7F"/>
    <w:rsid w:val="245C2C9F"/>
    <w:rsid w:val="24637B8A"/>
    <w:rsid w:val="24747FE9"/>
    <w:rsid w:val="24773635"/>
    <w:rsid w:val="2480073C"/>
    <w:rsid w:val="248151E3"/>
    <w:rsid w:val="24973CD7"/>
    <w:rsid w:val="249B7324"/>
    <w:rsid w:val="24A85EE5"/>
    <w:rsid w:val="24A86184"/>
    <w:rsid w:val="24AA3A0B"/>
    <w:rsid w:val="24B10C03"/>
    <w:rsid w:val="24B71C84"/>
    <w:rsid w:val="24BB4180"/>
    <w:rsid w:val="24BF09F7"/>
    <w:rsid w:val="24E54A43"/>
    <w:rsid w:val="24F64A0B"/>
    <w:rsid w:val="25057744"/>
    <w:rsid w:val="250E5D48"/>
    <w:rsid w:val="25273966"/>
    <w:rsid w:val="252B659C"/>
    <w:rsid w:val="252D53FE"/>
    <w:rsid w:val="253151AB"/>
    <w:rsid w:val="25331C52"/>
    <w:rsid w:val="253961E2"/>
    <w:rsid w:val="253E7682"/>
    <w:rsid w:val="254402E0"/>
    <w:rsid w:val="254B6F9C"/>
    <w:rsid w:val="254C6870"/>
    <w:rsid w:val="25547608"/>
    <w:rsid w:val="25575B08"/>
    <w:rsid w:val="25733DFD"/>
    <w:rsid w:val="257A5F66"/>
    <w:rsid w:val="2580651A"/>
    <w:rsid w:val="258129BE"/>
    <w:rsid w:val="258204E4"/>
    <w:rsid w:val="25897EAD"/>
    <w:rsid w:val="258B0691"/>
    <w:rsid w:val="25910727"/>
    <w:rsid w:val="25A04547"/>
    <w:rsid w:val="25BC4EA9"/>
    <w:rsid w:val="25BD776E"/>
    <w:rsid w:val="25BF34E6"/>
    <w:rsid w:val="25D1584C"/>
    <w:rsid w:val="25D52D09"/>
    <w:rsid w:val="25E66CC5"/>
    <w:rsid w:val="25EC2D81"/>
    <w:rsid w:val="25F72C80"/>
    <w:rsid w:val="25FC0296"/>
    <w:rsid w:val="260D5EB5"/>
    <w:rsid w:val="260E7FC9"/>
    <w:rsid w:val="261F5D33"/>
    <w:rsid w:val="26355556"/>
    <w:rsid w:val="264D7E79"/>
    <w:rsid w:val="26695200"/>
    <w:rsid w:val="266F6541"/>
    <w:rsid w:val="2677349D"/>
    <w:rsid w:val="2677791D"/>
    <w:rsid w:val="26920BFA"/>
    <w:rsid w:val="26AF0B88"/>
    <w:rsid w:val="26C863CA"/>
    <w:rsid w:val="26C879CF"/>
    <w:rsid w:val="26D27249"/>
    <w:rsid w:val="26D703BB"/>
    <w:rsid w:val="26ED5E31"/>
    <w:rsid w:val="26FD42C6"/>
    <w:rsid w:val="26FF5B24"/>
    <w:rsid w:val="27090EBD"/>
    <w:rsid w:val="27117D71"/>
    <w:rsid w:val="2722007C"/>
    <w:rsid w:val="272E26D1"/>
    <w:rsid w:val="273961A8"/>
    <w:rsid w:val="27561C28"/>
    <w:rsid w:val="275A34C6"/>
    <w:rsid w:val="275B0FEC"/>
    <w:rsid w:val="275B2D9A"/>
    <w:rsid w:val="275F0ADD"/>
    <w:rsid w:val="276E0D20"/>
    <w:rsid w:val="277057A2"/>
    <w:rsid w:val="27814EF7"/>
    <w:rsid w:val="27830026"/>
    <w:rsid w:val="278C42F2"/>
    <w:rsid w:val="27912C60"/>
    <w:rsid w:val="27983FEE"/>
    <w:rsid w:val="279938C3"/>
    <w:rsid w:val="279A3902"/>
    <w:rsid w:val="27A74232"/>
    <w:rsid w:val="27A75FE0"/>
    <w:rsid w:val="27B20563"/>
    <w:rsid w:val="27B5378A"/>
    <w:rsid w:val="27BF172E"/>
    <w:rsid w:val="27D33279"/>
    <w:rsid w:val="27D36DD5"/>
    <w:rsid w:val="27D52B4D"/>
    <w:rsid w:val="27DC037F"/>
    <w:rsid w:val="27DF39CB"/>
    <w:rsid w:val="27E65BDD"/>
    <w:rsid w:val="27F05BD9"/>
    <w:rsid w:val="27FA6A57"/>
    <w:rsid w:val="28060F58"/>
    <w:rsid w:val="280751E1"/>
    <w:rsid w:val="280E42B1"/>
    <w:rsid w:val="28193B34"/>
    <w:rsid w:val="281F3B30"/>
    <w:rsid w:val="282509C7"/>
    <w:rsid w:val="2828082C"/>
    <w:rsid w:val="282B115F"/>
    <w:rsid w:val="28334373"/>
    <w:rsid w:val="284C64E6"/>
    <w:rsid w:val="284D6B87"/>
    <w:rsid w:val="285223EF"/>
    <w:rsid w:val="2859377E"/>
    <w:rsid w:val="286918F0"/>
    <w:rsid w:val="28861EB0"/>
    <w:rsid w:val="2886653D"/>
    <w:rsid w:val="28941C39"/>
    <w:rsid w:val="289447B6"/>
    <w:rsid w:val="28A10C81"/>
    <w:rsid w:val="28B22E8E"/>
    <w:rsid w:val="28B5472C"/>
    <w:rsid w:val="28BB6529"/>
    <w:rsid w:val="28C055AB"/>
    <w:rsid w:val="28C17575"/>
    <w:rsid w:val="28C921EC"/>
    <w:rsid w:val="28D92B11"/>
    <w:rsid w:val="28DA4193"/>
    <w:rsid w:val="28DB0E62"/>
    <w:rsid w:val="28E026ED"/>
    <w:rsid w:val="28E374EB"/>
    <w:rsid w:val="28EF40E2"/>
    <w:rsid w:val="28F72F97"/>
    <w:rsid w:val="28FA3D43"/>
    <w:rsid w:val="29086F52"/>
    <w:rsid w:val="290B7953"/>
    <w:rsid w:val="290D4568"/>
    <w:rsid w:val="2916166F"/>
    <w:rsid w:val="291C35D2"/>
    <w:rsid w:val="29206EB8"/>
    <w:rsid w:val="29211A14"/>
    <w:rsid w:val="29324930"/>
    <w:rsid w:val="293D2205"/>
    <w:rsid w:val="2941600F"/>
    <w:rsid w:val="29471828"/>
    <w:rsid w:val="2959155B"/>
    <w:rsid w:val="29595666"/>
    <w:rsid w:val="295D54F0"/>
    <w:rsid w:val="296D5007"/>
    <w:rsid w:val="296D7344"/>
    <w:rsid w:val="29785E86"/>
    <w:rsid w:val="29874881"/>
    <w:rsid w:val="29946A38"/>
    <w:rsid w:val="299A67A7"/>
    <w:rsid w:val="299D769A"/>
    <w:rsid w:val="29AC5B2F"/>
    <w:rsid w:val="29BB2086"/>
    <w:rsid w:val="29BF1D06"/>
    <w:rsid w:val="29C9718D"/>
    <w:rsid w:val="29E11C7D"/>
    <w:rsid w:val="29E325E0"/>
    <w:rsid w:val="2A005E7B"/>
    <w:rsid w:val="2A047719"/>
    <w:rsid w:val="2A157B78"/>
    <w:rsid w:val="2A1C0F07"/>
    <w:rsid w:val="2A236073"/>
    <w:rsid w:val="2A276771"/>
    <w:rsid w:val="2A452503"/>
    <w:rsid w:val="2A482E41"/>
    <w:rsid w:val="2A5306A1"/>
    <w:rsid w:val="2A5F2BA2"/>
    <w:rsid w:val="2A6922B9"/>
    <w:rsid w:val="2A6D1762"/>
    <w:rsid w:val="2A75032D"/>
    <w:rsid w:val="2A787ED2"/>
    <w:rsid w:val="2A9314C9"/>
    <w:rsid w:val="2A96781F"/>
    <w:rsid w:val="2A9A62D0"/>
    <w:rsid w:val="2AA1140C"/>
    <w:rsid w:val="2AA30402"/>
    <w:rsid w:val="2AAE5692"/>
    <w:rsid w:val="2AC241F2"/>
    <w:rsid w:val="2AC259D7"/>
    <w:rsid w:val="2ACA0963"/>
    <w:rsid w:val="2AD109C9"/>
    <w:rsid w:val="2AD27817"/>
    <w:rsid w:val="2AEC6B2B"/>
    <w:rsid w:val="2AFC6F9C"/>
    <w:rsid w:val="2B026071"/>
    <w:rsid w:val="2B1240B8"/>
    <w:rsid w:val="2B1478F6"/>
    <w:rsid w:val="2B28133B"/>
    <w:rsid w:val="2B2D4A4E"/>
    <w:rsid w:val="2B4A1AA4"/>
    <w:rsid w:val="2B5517A3"/>
    <w:rsid w:val="2B585F6F"/>
    <w:rsid w:val="2B593AD6"/>
    <w:rsid w:val="2B5F2304"/>
    <w:rsid w:val="2B633863"/>
    <w:rsid w:val="2B6E1413"/>
    <w:rsid w:val="2B822FEC"/>
    <w:rsid w:val="2B8925CC"/>
    <w:rsid w:val="2B8B7160"/>
    <w:rsid w:val="2B8E7BE2"/>
    <w:rsid w:val="2BA016C4"/>
    <w:rsid w:val="2BA15987"/>
    <w:rsid w:val="2BA936A8"/>
    <w:rsid w:val="2BB626C9"/>
    <w:rsid w:val="2BBA3CA9"/>
    <w:rsid w:val="2BBB474F"/>
    <w:rsid w:val="2BC374BB"/>
    <w:rsid w:val="2BE75544"/>
    <w:rsid w:val="2BF632B8"/>
    <w:rsid w:val="2BFF288E"/>
    <w:rsid w:val="2C167BD8"/>
    <w:rsid w:val="2C186E9C"/>
    <w:rsid w:val="2C2422F5"/>
    <w:rsid w:val="2C2F4A08"/>
    <w:rsid w:val="2C315A5A"/>
    <w:rsid w:val="2C4B1C25"/>
    <w:rsid w:val="2C4C53A8"/>
    <w:rsid w:val="2C5801F0"/>
    <w:rsid w:val="2C5F157F"/>
    <w:rsid w:val="2C6B7F24"/>
    <w:rsid w:val="2C78619D"/>
    <w:rsid w:val="2C862667"/>
    <w:rsid w:val="2C92725E"/>
    <w:rsid w:val="2CA84CD4"/>
    <w:rsid w:val="2CB216AE"/>
    <w:rsid w:val="2CCF04B2"/>
    <w:rsid w:val="2CD22F81"/>
    <w:rsid w:val="2CD70CBA"/>
    <w:rsid w:val="2CE02702"/>
    <w:rsid w:val="2CE2075A"/>
    <w:rsid w:val="2CED26E7"/>
    <w:rsid w:val="2CFF066C"/>
    <w:rsid w:val="2D1B3B17"/>
    <w:rsid w:val="2D1F486A"/>
    <w:rsid w:val="2D267460"/>
    <w:rsid w:val="2D2D342B"/>
    <w:rsid w:val="2D2F7431"/>
    <w:rsid w:val="2D396A90"/>
    <w:rsid w:val="2D4B565F"/>
    <w:rsid w:val="2D6B22BD"/>
    <w:rsid w:val="2D6D7CCB"/>
    <w:rsid w:val="2D6F57F1"/>
    <w:rsid w:val="2D711F87"/>
    <w:rsid w:val="2D855015"/>
    <w:rsid w:val="2D8D5C78"/>
    <w:rsid w:val="2D9154CB"/>
    <w:rsid w:val="2D9E56F5"/>
    <w:rsid w:val="2DB41456"/>
    <w:rsid w:val="2DB43204"/>
    <w:rsid w:val="2DCC49F2"/>
    <w:rsid w:val="2DD218DC"/>
    <w:rsid w:val="2DDD275B"/>
    <w:rsid w:val="2DDF7C5A"/>
    <w:rsid w:val="2DEA30CA"/>
    <w:rsid w:val="2DF80BB4"/>
    <w:rsid w:val="2E075A2A"/>
    <w:rsid w:val="2E083954"/>
    <w:rsid w:val="2E0C51E3"/>
    <w:rsid w:val="2E0C688C"/>
    <w:rsid w:val="2E1B3283"/>
    <w:rsid w:val="2E1D284D"/>
    <w:rsid w:val="2E2E7268"/>
    <w:rsid w:val="2E36630F"/>
    <w:rsid w:val="2E3B3926"/>
    <w:rsid w:val="2E440A2C"/>
    <w:rsid w:val="2E4427DA"/>
    <w:rsid w:val="2E4647A4"/>
    <w:rsid w:val="2E667F96"/>
    <w:rsid w:val="2E6B5A46"/>
    <w:rsid w:val="2E6C1899"/>
    <w:rsid w:val="2E6F0090"/>
    <w:rsid w:val="2E730AF8"/>
    <w:rsid w:val="2E7B0D8D"/>
    <w:rsid w:val="2E7D7A9A"/>
    <w:rsid w:val="2E8226AB"/>
    <w:rsid w:val="2E894691"/>
    <w:rsid w:val="2E9F5C62"/>
    <w:rsid w:val="2ED76FED"/>
    <w:rsid w:val="2EEE2746"/>
    <w:rsid w:val="2F0121E9"/>
    <w:rsid w:val="2F0D52C2"/>
    <w:rsid w:val="2F1234FB"/>
    <w:rsid w:val="2F1877C3"/>
    <w:rsid w:val="2F1E36D3"/>
    <w:rsid w:val="2F281FC4"/>
    <w:rsid w:val="2F2820FC"/>
    <w:rsid w:val="2F2B5748"/>
    <w:rsid w:val="2F503401"/>
    <w:rsid w:val="2F520F27"/>
    <w:rsid w:val="2F540BF7"/>
    <w:rsid w:val="2F5E5DC9"/>
    <w:rsid w:val="2F662C24"/>
    <w:rsid w:val="2F6A001E"/>
    <w:rsid w:val="2F8B7921"/>
    <w:rsid w:val="2F923A19"/>
    <w:rsid w:val="2F92736A"/>
    <w:rsid w:val="2F94153F"/>
    <w:rsid w:val="2FAB6BD3"/>
    <w:rsid w:val="2FB120F1"/>
    <w:rsid w:val="2FB61DF6"/>
    <w:rsid w:val="2FB90FA6"/>
    <w:rsid w:val="2FBA323E"/>
    <w:rsid w:val="2FC55B9D"/>
    <w:rsid w:val="2FC82F97"/>
    <w:rsid w:val="2FCF07C9"/>
    <w:rsid w:val="2FD065E6"/>
    <w:rsid w:val="2FD96870"/>
    <w:rsid w:val="2FDA7EC4"/>
    <w:rsid w:val="2FE51D9B"/>
    <w:rsid w:val="2FF12575"/>
    <w:rsid w:val="2FF827FE"/>
    <w:rsid w:val="300C7328"/>
    <w:rsid w:val="30134B5A"/>
    <w:rsid w:val="30161F54"/>
    <w:rsid w:val="302E7398"/>
    <w:rsid w:val="30325BB6"/>
    <w:rsid w:val="303D1BD7"/>
    <w:rsid w:val="30542A7D"/>
    <w:rsid w:val="30580BC9"/>
    <w:rsid w:val="306C426A"/>
    <w:rsid w:val="30751371"/>
    <w:rsid w:val="3082583C"/>
    <w:rsid w:val="30980055"/>
    <w:rsid w:val="30A65790"/>
    <w:rsid w:val="30B11C7D"/>
    <w:rsid w:val="30B21802"/>
    <w:rsid w:val="30C10112"/>
    <w:rsid w:val="30C60BE4"/>
    <w:rsid w:val="30D14BB1"/>
    <w:rsid w:val="30D5727F"/>
    <w:rsid w:val="30DC4F4C"/>
    <w:rsid w:val="30DD3E35"/>
    <w:rsid w:val="30E11085"/>
    <w:rsid w:val="30E72D87"/>
    <w:rsid w:val="30FD3114"/>
    <w:rsid w:val="311E2ED7"/>
    <w:rsid w:val="312132A7"/>
    <w:rsid w:val="31244195"/>
    <w:rsid w:val="31322DBE"/>
    <w:rsid w:val="313A42AE"/>
    <w:rsid w:val="313C7C2B"/>
    <w:rsid w:val="314174A5"/>
    <w:rsid w:val="31440D43"/>
    <w:rsid w:val="3153274D"/>
    <w:rsid w:val="315619EE"/>
    <w:rsid w:val="315C42DF"/>
    <w:rsid w:val="315C449C"/>
    <w:rsid w:val="317F1137"/>
    <w:rsid w:val="318B0720"/>
    <w:rsid w:val="319121DA"/>
    <w:rsid w:val="31A33CBC"/>
    <w:rsid w:val="31A737AC"/>
    <w:rsid w:val="31B425B2"/>
    <w:rsid w:val="31B45EC9"/>
    <w:rsid w:val="31B5579D"/>
    <w:rsid w:val="31B732C3"/>
    <w:rsid w:val="31B82709"/>
    <w:rsid w:val="31CA5529"/>
    <w:rsid w:val="31D010A8"/>
    <w:rsid w:val="31D05482"/>
    <w:rsid w:val="31DC0F7C"/>
    <w:rsid w:val="31DD60F7"/>
    <w:rsid w:val="32236BAB"/>
    <w:rsid w:val="32241728"/>
    <w:rsid w:val="32400B34"/>
    <w:rsid w:val="3241232A"/>
    <w:rsid w:val="324234D5"/>
    <w:rsid w:val="3247469D"/>
    <w:rsid w:val="324760F6"/>
    <w:rsid w:val="326351F9"/>
    <w:rsid w:val="3264169D"/>
    <w:rsid w:val="326C06C8"/>
    <w:rsid w:val="32713DBA"/>
    <w:rsid w:val="32803FFD"/>
    <w:rsid w:val="328533C1"/>
    <w:rsid w:val="32896631"/>
    <w:rsid w:val="329110B5"/>
    <w:rsid w:val="329E6876"/>
    <w:rsid w:val="32A54BEB"/>
    <w:rsid w:val="32B048E2"/>
    <w:rsid w:val="32B7300E"/>
    <w:rsid w:val="32B819E9"/>
    <w:rsid w:val="32BA306B"/>
    <w:rsid w:val="32BD2D68"/>
    <w:rsid w:val="32CE1E89"/>
    <w:rsid w:val="32D35FBF"/>
    <w:rsid w:val="32DD144F"/>
    <w:rsid w:val="32F8303F"/>
    <w:rsid w:val="32FB60E4"/>
    <w:rsid w:val="3307027A"/>
    <w:rsid w:val="331309CD"/>
    <w:rsid w:val="33184235"/>
    <w:rsid w:val="33185FE3"/>
    <w:rsid w:val="331A1D5C"/>
    <w:rsid w:val="331F7372"/>
    <w:rsid w:val="333015F2"/>
    <w:rsid w:val="334B6320"/>
    <w:rsid w:val="334B63B9"/>
    <w:rsid w:val="337D5EB4"/>
    <w:rsid w:val="337E27C7"/>
    <w:rsid w:val="3380202C"/>
    <w:rsid w:val="338F274A"/>
    <w:rsid w:val="33917FD3"/>
    <w:rsid w:val="33977850"/>
    <w:rsid w:val="33BB353F"/>
    <w:rsid w:val="33BC62D4"/>
    <w:rsid w:val="33BF52A9"/>
    <w:rsid w:val="33C10429"/>
    <w:rsid w:val="33CD6DCE"/>
    <w:rsid w:val="33D068BE"/>
    <w:rsid w:val="33D934D4"/>
    <w:rsid w:val="33DE0FDB"/>
    <w:rsid w:val="33E6081A"/>
    <w:rsid w:val="33E671C5"/>
    <w:rsid w:val="33EC7B9C"/>
    <w:rsid w:val="33F56325"/>
    <w:rsid w:val="33F64577"/>
    <w:rsid w:val="33F87432"/>
    <w:rsid w:val="33FE2F6A"/>
    <w:rsid w:val="34086058"/>
    <w:rsid w:val="340E07E5"/>
    <w:rsid w:val="3420323F"/>
    <w:rsid w:val="34235BF7"/>
    <w:rsid w:val="34384B8F"/>
    <w:rsid w:val="346A6D13"/>
    <w:rsid w:val="34931DC5"/>
    <w:rsid w:val="34993154"/>
    <w:rsid w:val="349A13A6"/>
    <w:rsid w:val="34B561E0"/>
    <w:rsid w:val="34BC7277"/>
    <w:rsid w:val="34CC342B"/>
    <w:rsid w:val="34DA17F1"/>
    <w:rsid w:val="34DD52CB"/>
    <w:rsid w:val="34E94521"/>
    <w:rsid w:val="34EA39B0"/>
    <w:rsid w:val="35011425"/>
    <w:rsid w:val="35076310"/>
    <w:rsid w:val="350B4052"/>
    <w:rsid w:val="350F7B69"/>
    <w:rsid w:val="35123632"/>
    <w:rsid w:val="351647A5"/>
    <w:rsid w:val="35262C3A"/>
    <w:rsid w:val="355163EF"/>
    <w:rsid w:val="35527ED3"/>
    <w:rsid w:val="35535C24"/>
    <w:rsid w:val="355377A7"/>
    <w:rsid w:val="35575444"/>
    <w:rsid w:val="35577297"/>
    <w:rsid w:val="3558300F"/>
    <w:rsid w:val="35777939"/>
    <w:rsid w:val="357A2F85"/>
    <w:rsid w:val="35802682"/>
    <w:rsid w:val="358C5FA8"/>
    <w:rsid w:val="358E1DB0"/>
    <w:rsid w:val="35926521"/>
    <w:rsid w:val="35957DBF"/>
    <w:rsid w:val="3598340C"/>
    <w:rsid w:val="359A7F9B"/>
    <w:rsid w:val="35AD5109"/>
    <w:rsid w:val="35BB3F9F"/>
    <w:rsid w:val="35C12962"/>
    <w:rsid w:val="35C15DF1"/>
    <w:rsid w:val="35C65406"/>
    <w:rsid w:val="35D07049"/>
    <w:rsid w:val="35D16B00"/>
    <w:rsid w:val="35DE3514"/>
    <w:rsid w:val="35DF4B9C"/>
    <w:rsid w:val="35FB40C6"/>
    <w:rsid w:val="36074A7F"/>
    <w:rsid w:val="361B4126"/>
    <w:rsid w:val="362C0724"/>
    <w:rsid w:val="362F5B1E"/>
    <w:rsid w:val="363B0967"/>
    <w:rsid w:val="36420F81"/>
    <w:rsid w:val="3643781B"/>
    <w:rsid w:val="36453593"/>
    <w:rsid w:val="3645478B"/>
    <w:rsid w:val="36496FF1"/>
    <w:rsid w:val="3651018A"/>
    <w:rsid w:val="3652180C"/>
    <w:rsid w:val="36644727"/>
    <w:rsid w:val="3667175C"/>
    <w:rsid w:val="366C6D72"/>
    <w:rsid w:val="36923549"/>
    <w:rsid w:val="369342FF"/>
    <w:rsid w:val="36A33BF4"/>
    <w:rsid w:val="36A4650C"/>
    <w:rsid w:val="36B42484"/>
    <w:rsid w:val="36B75FBF"/>
    <w:rsid w:val="36BD0C45"/>
    <w:rsid w:val="36EB7DBF"/>
    <w:rsid w:val="36EC7EB3"/>
    <w:rsid w:val="36F86858"/>
    <w:rsid w:val="36FD79CA"/>
    <w:rsid w:val="37021484"/>
    <w:rsid w:val="37074CED"/>
    <w:rsid w:val="37133692"/>
    <w:rsid w:val="373B6744"/>
    <w:rsid w:val="37415DB1"/>
    <w:rsid w:val="374C0952"/>
    <w:rsid w:val="374E6478"/>
    <w:rsid w:val="375241BA"/>
    <w:rsid w:val="37661A13"/>
    <w:rsid w:val="377309D7"/>
    <w:rsid w:val="37796963"/>
    <w:rsid w:val="37802DC5"/>
    <w:rsid w:val="37886865"/>
    <w:rsid w:val="37983B97"/>
    <w:rsid w:val="37AB5678"/>
    <w:rsid w:val="37CA01F4"/>
    <w:rsid w:val="37D746BF"/>
    <w:rsid w:val="37D90546"/>
    <w:rsid w:val="37DA7D0B"/>
    <w:rsid w:val="37E00298"/>
    <w:rsid w:val="37E213A2"/>
    <w:rsid w:val="37E961A0"/>
    <w:rsid w:val="37F041ED"/>
    <w:rsid w:val="38064FA4"/>
    <w:rsid w:val="380A28CA"/>
    <w:rsid w:val="3814146F"/>
    <w:rsid w:val="382F643A"/>
    <w:rsid w:val="38312021"/>
    <w:rsid w:val="38367638"/>
    <w:rsid w:val="383E64EC"/>
    <w:rsid w:val="38435613"/>
    <w:rsid w:val="38455ACD"/>
    <w:rsid w:val="38460BE9"/>
    <w:rsid w:val="388135EA"/>
    <w:rsid w:val="388A1731"/>
    <w:rsid w:val="388C7258"/>
    <w:rsid w:val="389242B4"/>
    <w:rsid w:val="389600D6"/>
    <w:rsid w:val="389B56ED"/>
    <w:rsid w:val="38A24CCD"/>
    <w:rsid w:val="38A8605B"/>
    <w:rsid w:val="38B302F9"/>
    <w:rsid w:val="38C2711D"/>
    <w:rsid w:val="38C537E4"/>
    <w:rsid w:val="38C745C2"/>
    <w:rsid w:val="38CE5AC2"/>
    <w:rsid w:val="38E54BBA"/>
    <w:rsid w:val="38EC7622"/>
    <w:rsid w:val="38F117B0"/>
    <w:rsid w:val="38F12CD3"/>
    <w:rsid w:val="38F20374"/>
    <w:rsid w:val="38F94775"/>
    <w:rsid w:val="38F9569D"/>
    <w:rsid w:val="38FB618B"/>
    <w:rsid w:val="38FE5C7B"/>
    <w:rsid w:val="390A4620"/>
    <w:rsid w:val="391334D5"/>
    <w:rsid w:val="3914549F"/>
    <w:rsid w:val="391536F1"/>
    <w:rsid w:val="391C141C"/>
    <w:rsid w:val="392971ED"/>
    <w:rsid w:val="392E030F"/>
    <w:rsid w:val="39325651"/>
    <w:rsid w:val="393450E2"/>
    <w:rsid w:val="39365415"/>
    <w:rsid w:val="39535FC7"/>
    <w:rsid w:val="395E45E1"/>
    <w:rsid w:val="396F0351"/>
    <w:rsid w:val="3971644D"/>
    <w:rsid w:val="39743126"/>
    <w:rsid w:val="39873EC3"/>
    <w:rsid w:val="398D772B"/>
    <w:rsid w:val="39917C51"/>
    <w:rsid w:val="399A59A4"/>
    <w:rsid w:val="399F2FBB"/>
    <w:rsid w:val="39BA6046"/>
    <w:rsid w:val="39BC591B"/>
    <w:rsid w:val="39C173D5"/>
    <w:rsid w:val="39C944DB"/>
    <w:rsid w:val="39CA01D5"/>
    <w:rsid w:val="39D709A6"/>
    <w:rsid w:val="39DA2245"/>
    <w:rsid w:val="39E44E71"/>
    <w:rsid w:val="39F20325"/>
    <w:rsid w:val="39F72DF7"/>
    <w:rsid w:val="39FC0403"/>
    <w:rsid w:val="3A053765"/>
    <w:rsid w:val="3A145757"/>
    <w:rsid w:val="3A1E4827"/>
    <w:rsid w:val="3A27603D"/>
    <w:rsid w:val="3A2801BE"/>
    <w:rsid w:val="3A301503"/>
    <w:rsid w:val="3A4273A8"/>
    <w:rsid w:val="3A451191"/>
    <w:rsid w:val="3A465B2C"/>
    <w:rsid w:val="3A540249"/>
    <w:rsid w:val="3A5F274A"/>
    <w:rsid w:val="3A7206CF"/>
    <w:rsid w:val="3A80103E"/>
    <w:rsid w:val="3A872856"/>
    <w:rsid w:val="3A880EC7"/>
    <w:rsid w:val="3A8B1791"/>
    <w:rsid w:val="3A916DA7"/>
    <w:rsid w:val="3A920D71"/>
    <w:rsid w:val="3AA647EE"/>
    <w:rsid w:val="3ABE1B66"/>
    <w:rsid w:val="3AC55AB3"/>
    <w:rsid w:val="3ACD736D"/>
    <w:rsid w:val="3AD33C5B"/>
    <w:rsid w:val="3ADB0022"/>
    <w:rsid w:val="3AEC66D3"/>
    <w:rsid w:val="3AFC6F67"/>
    <w:rsid w:val="3B021A53"/>
    <w:rsid w:val="3B023801"/>
    <w:rsid w:val="3B091033"/>
    <w:rsid w:val="3B0C0D90"/>
    <w:rsid w:val="3B2319C9"/>
    <w:rsid w:val="3B2E2848"/>
    <w:rsid w:val="3B375F3D"/>
    <w:rsid w:val="3B3763D1"/>
    <w:rsid w:val="3B3E69F4"/>
    <w:rsid w:val="3B491430"/>
    <w:rsid w:val="3B4F0A10"/>
    <w:rsid w:val="3B5626E1"/>
    <w:rsid w:val="3B5C2A14"/>
    <w:rsid w:val="3B5E2A01"/>
    <w:rsid w:val="3B691AD2"/>
    <w:rsid w:val="3B7364AD"/>
    <w:rsid w:val="3B9F3746"/>
    <w:rsid w:val="3BA66882"/>
    <w:rsid w:val="3BC01081"/>
    <w:rsid w:val="3BC211E2"/>
    <w:rsid w:val="3BC92571"/>
    <w:rsid w:val="3BDB3226"/>
    <w:rsid w:val="3BDC22A4"/>
    <w:rsid w:val="3BE0324B"/>
    <w:rsid w:val="3BE178BA"/>
    <w:rsid w:val="3BF53366"/>
    <w:rsid w:val="3C090BBF"/>
    <w:rsid w:val="3C1A7270"/>
    <w:rsid w:val="3C1F6635"/>
    <w:rsid w:val="3C287664"/>
    <w:rsid w:val="3C2F6E1E"/>
    <w:rsid w:val="3C4F64BA"/>
    <w:rsid w:val="3C577B7C"/>
    <w:rsid w:val="3C5A4927"/>
    <w:rsid w:val="3C6B7ACC"/>
    <w:rsid w:val="3C6E670E"/>
    <w:rsid w:val="3C746980"/>
    <w:rsid w:val="3C771FCD"/>
    <w:rsid w:val="3C8A1D00"/>
    <w:rsid w:val="3CA20800"/>
    <w:rsid w:val="3CA32DC2"/>
    <w:rsid w:val="3CB32AD9"/>
    <w:rsid w:val="3CB52AF5"/>
    <w:rsid w:val="3CBE720A"/>
    <w:rsid w:val="3CCF1E09"/>
    <w:rsid w:val="3CDA245A"/>
    <w:rsid w:val="3CDC62D4"/>
    <w:rsid w:val="3CDE3D1B"/>
    <w:rsid w:val="3CE05DC4"/>
    <w:rsid w:val="3CEE34ED"/>
    <w:rsid w:val="3D0E0B83"/>
    <w:rsid w:val="3D1D0DC6"/>
    <w:rsid w:val="3D1D2B74"/>
    <w:rsid w:val="3D1E06B7"/>
    <w:rsid w:val="3D26172C"/>
    <w:rsid w:val="3D475E43"/>
    <w:rsid w:val="3D502BD6"/>
    <w:rsid w:val="3D505308"/>
    <w:rsid w:val="3D5567B2"/>
    <w:rsid w:val="3D606F05"/>
    <w:rsid w:val="3D74650C"/>
    <w:rsid w:val="3D78424E"/>
    <w:rsid w:val="3D8A5D30"/>
    <w:rsid w:val="3DA45043"/>
    <w:rsid w:val="3DA6700D"/>
    <w:rsid w:val="3DA768E2"/>
    <w:rsid w:val="3DAC214A"/>
    <w:rsid w:val="3DAD1CC3"/>
    <w:rsid w:val="3DB37F8D"/>
    <w:rsid w:val="3DC72AE0"/>
    <w:rsid w:val="3DD562BA"/>
    <w:rsid w:val="3DD82F3F"/>
    <w:rsid w:val="3DEB4A20"/>
    <w:rsid w:val="3DEC0798"/>
    <w:rsid w:val="3DF17B5D"/>
    <w:rsid w:val="3DFC462E"/>
    <w:rsid w:val="3DFD6502"/>
    <w:rsid w:val="3E015FF2"/>
    <w:rsid w:val="3E043D34"/>
    <w:rsid w:val="3E09134A"/>
    <w:rsid w:val="3E0945B1"/>
    <w:rsid w:val="3E0F1616"/>
    <w:rsid w:val="3E1000F5"/>
    <w:rsid w:val="3E285C74"/>
    <w:rsid w:val="3E2D4427"/>
    <w:rsid w:val="3E3839DE"/>
    <w:rsid w:val="3E4405D4"/>
    <w:rsid w:val="3E483C21"/>
    <w:rsid w:val="3E5C40C3"/>
    <w:rsid w:val="3E611186"/>
    <w:rsid w:val="3E671F4D"/>
    <w:rsid w:val="3E7E5894"/>
    <w:rsid w:val="3E7F160D"/>
    <w:rsid w:val="3E8804C1"/>
    <w:rsid w:val="3E8D2B73"/>
    <w:rsid w:val="3E92675F"/>
    <w:rsid w:val="3E952BDE"/>
    <w:rsid w:val="3EA572C5"/>
    <w:rsid w:val="3EC51715"/>
    <w:rsid w:val="3ED22D6A"/>
    <w:rsid w:val="3ED71449"/>
    <w:rsid w:val="3EDA0523"/>
    <w:rsid w:val="3EEB0A50"/>
    <w:rsid w:val="3EF26282"/>
    <w:rsid w:val="3EFB6EE5"/>
    <w:rsid w:val="3EFC4A0B"/>
    <w:rsid w:val="3F081602"/>
    <w:rsid w:val="3F0F0BE2"/>
    <w:rsid w:val="3F1767A4"/>
    <w:rsid w:val="3F1B4469"/>
    <w:rsid w:val="3F3D686C"/>
    <w:rsid w:val="3F485DF7"/>
    <w:rsid w:val="3F4A39C9"/>
    <w:rsid w:val="3F544847"/>
    <w:rsid w:val="3F657FC1"/>
    <w:rsid w:val="3F710F55"/>
    <w:rsid w:val="3F870779"/>
    <w:rsid w:val="3F8F3AD1"/>
    <w:rsid w:val="3FA23805"/>
    <w:rsid w:val="3FAC6431"/>
    <w:rsid w:val="3FE200A5"/>
    <w:rsid w:val="3FEA68C5"/>
    <w:rsid w:val="3FFA0F4B"/>
    <w:rsid w:val="40155D85"/>
    <w:rsid w:val="40185875"/>
    <w:rsid w:val="40224945"/>
    <w:rsid w:val="404448BC"/>
    <w:rsid w:val="404B3E9C"/>
    <w:rsid w:val="40510A2D"/>
    <w:rsid w:val="40511B68"/>
    <w:rsid w:val="40610FCA"/>
    <w:rsid w:val="40714F85"/>
    <w:rsid w:val="40771D19"/>
    <w:rsid w:val="40776A3F"/>
    <w:rsid w:val="40784565"/>
    <w:rsid w:val="407A6407"/>
    <w:rsid w:val="407D392A"/>
    <w:rsid w:val="408178BE"/>
    <w:rsid w:val="40860A30"/>
    <w:rsid w:val="40994C08"/>
    <w:rsid w:val="40A23B78"/>
    <w:rsid w:val="40A86BF9"/>
    <w:rsid w:val="40D310C8"/>
    <w:rsid w:val="40E439A9"/>
    <w:rsid w:val="40F327A1"/>
    <w:rsid w:val="40F77B80"/>
    <w:rsid w:val="40FF373C"/>
    <w:rsid w:val="410142A2"/>
    <w:rsid w:val="410A340F"/>
    <w:rsid w:val="41102DB8"/>
    <w:rsid w:val="4114603C"/>
    <w:rsid w:val="41151DB4"/>
    <w:rsid w:val="411D521F"/>
    <w:rsid w:val="413A2E0B"/>
    <w:rsid w:val="413B4DE9"/>
    <w:rsid w:val="413F3604"/>
    <w:rsid w:val="414032D5"/>
    <w:rsid w:val="4142704D"/>
    <w:rsid w:val="41432F6C"/>
    <w:rsid w:val="41452699"/>
    <w:rsid w:val="414B7444"/>
    <w:rsid w:val="415D3E87"/>
    <w:rsid w:val="415F489E"/>
    <w:rsid w:val="417B60BB"/>
    <w:rsid w:val="41961147"/>
    <w:rsid w:val="41B06E4B"/>
    <w:rsid w:val="41C77552"/>
    <w:rsid w:val="41C90FBF"/>
    <w:rsid w:val="41DF2AEE"/>
    <w:rsid w:val="41E91C03"/>
    <w:rsid w:val="41F63994"/>
    <w:rsid w:val="41F75D39"/>
    <w:rsid w:val="4200449D"/>
    <w:rsid w:val="42132798"/>
    <w:rsid w:val="421F0F04"/>
    <w:rsid w:val="42291C79"/>
    <w:rsid w:val="422F6EA6"/>
    <w:rsid w:val="423A3BCC"/>
    <w:rsid w:val="42470923"/>
    <w:rsid w:val="424E57D2"/>
    <w:rsid w:val="425A2175"/>
    <w:rsid w:val="425C105C"/>
    <w:rsid w:val="42672AE3"/>
    <w:rsid w:val="4274031A"/>
    <w:rsid w:val="42755200"/>
    <w:rsid w:val="42A11E98"/>
    <w:rsid w:val="42A17DA3"/>
    <w:rsid w:val="42A33B1C"/>
    <w:rsid w:val="42B074AD"/>
    <w:rsid w:val="42B07FE6"/>
    <w:rsid w:val="42B26C49"/>
    <w:rsid w:val="42C13FA2"/>
    <w:rsid w:val="42D34AAA"/>
    <w:rsid w:val="42F500EF"/>
    <w:rsid w:val="42FA71D5"/>
    <w:rsid w:val="42FB5E19"/>
    <w:rsid w:val="42FF2D1C"/>
    <w:rsid w:val="43081BD1"/>
    <w:rsid w:val="43104F29"/>
    <w:rsid w:val="431247FD"/>
    <w:rsid w:val="43153C13"/>
    <w:rsid w:val="431C6452"/>
    <w:rsid w:val="432450BB"/>
    <w:rsid w:val="432A3781"/>
    <w:rsid w:val="432E715D"/>
    <w:rsid w:val="43301127"/>
    <w:rsid w:val="43340C18"/>
    <w:rsid w:val="43367407"/>
    <w:rsid w:val="43391936"/>
    <w:rsid w:val="433A6FE6"/>
    <w:rsid w:val="433C5D1E"/>
    <w:rsid w:val="43432C09"/>
    <w:rsid w:val="43480868"/>
    <w:rsid w:val="4350713C"/>
    <w:rsid w:val="43560B8E"/>
    <w:rsid w:val="43585209"/>
    <w:rsid w:val="435D316C"/>
    <w:rsid w:val="435E3EE6"/>
    <w:rsid w:val="436334A9"/>
    <w:rsid w:val="436653E0"/>
    <w:rsid w:val="436D4FAD"/>
    <w:rsid w:val="437B6846"/>
    <w:rsid w:val="438C45B0"/>
    <w:rsid w:val="439148A0"/>
    <w:rsid w:val="4392593E"/>
    <w:rsid w:val="43947908"/>
    <w:rsid w:val="43B91808"/>
    <w:rsid w:val="43C4431A"/>
    <w:rsid w:val="43D16466"/>
    <w:rsid w:val="43E029AE"/>
    <w:rsid w:val="43EA577A"/>
    <w:rsid w:val="43F6411F"/>
    <w:rsid w:val="43F839F3"/>
    <w:rsid w:val="43FD36FF"/>
    <w:rsid w:val="44013BD3"/>
    <w:rsid w:val="440C749E"/>
    <w:rsid w:val="44136A7F"/>
    <w:rsid w:val="441416DA"/>
    <w:rsid w:val="441427F7"/>
    <w:rsid w:val="44202F4A"/>
    <w:rsid w:val="442471ED"/>
    <w:rsid w:val="442C7B41"/>
    <w:rsid w:val="443D3AFC"/>
    <w:rsid w:val="443D58AA"/>
    <w:rsid w:val="445157F9"/>
    <w:rsid w:val="446612A5"/>
    <w:rsid w:val="44676E58"/>
    <w:rsid w:val="44685A7C"/>
    <w:rsid w:val="44711358"/>
    <w:rsid w:val="447B1636"/>
    <w:rsid w:val="44936E0C"/>
    <w:rsid w:val="449A2CFC"/>
    <w:rsid w:val="449B5C55"/>
    <w:rsid w:val="449C6A74"/>
    <w:rsid w:val="449F28C0"/>
    <w:rsid w:val="449F47B6"/>
    <w:rsid w:val="449F6565"/>
    <w:rsid w:val="44A973E3"/>
    <w:rsid w:val="44B00772"/>
    <w:rsid w:val="44B64E17"/>
    <w:rsid w:val="44B951CC"/>
    <w:rsid w:val="44C45FCB"/>
    <w:rsid w:val="44C71617"/>
    <w:rsid w:val="44CB1108"/>
    <w:rsid w:val="44CD14E0"/>
    <w:rsid w:val="44D1645F"/>
    <w:rsid w:val="44D334D7"/>
    <w:rsid w:val="44D94BD0"/>
    <w:rsid w:val="44E64193"/>
    <w:rsid w:val="44F14DE5"/>
    <w:rsid w:val="44F20B0B"/>
    <w:rsid w:val="450D7972"/>
    <w:rsid w:val="45174543"/>
    <w:rsid w:val="45244CBC"/>
    <w:rsid w:val="452627E2"/>
    <w:rsid w:val="452E5F4C"/>
    <w:rsid w:val="45333C62"/>
    <w:rsid w:val="453E7B2C"/>
    <w:rsid w:val="45462E84"/>
    <w:rsid w:val="454D7C03"/>
    <w:rsid w:val="45600EFB"/>
    <w:rsid w:val="45612018"/>
    <w:rsid w:val="457C2402"/>
    <w:rsid w:val="458946E9"/>
    <w:rsid w:val="458E0C7A"/>
    <w:rsid w:val="458E50FB"/>
    <w:rsid w:val="45940BE7"/>
    <w:rsid w:val="459E3CDB"/>
    <w:rsid w:val="45A47C0E"/>
    <w:rsid w:val="45AF0A29"/>
    <w:rsid w:val="45C64F3E"/>
    <w:rsid w:val="45C85647"/>
    <w:rsid w:val="45D466E2"/>
    <w:rsid w:val="45E05087"/>
    <w:rsid w:val="45E2495B"/>
    <w:rsid w:val="45E65E42"/>
    <w:rsid w:val="45EA380F"/>
    <w:rsid w:val="45F4468E"/>
    <w:rsid w:val="4605689B"/>
    <w:rsid w:val="46074D52"/>
    <w:rsid w:val="4609638B"/>
    <w:rsid w:val="46144D30"/>
    <w:rsid w:val="461B1C1B"/>
    <w:rsid w:val="464949DA"/>
    <w:rsid w:val="46577FD6"/>
    <w:rsid w:val="465A14A9"/>
    <w:rsid w:val="466435C2"/>
    <w:rsid w:val="46693F3D"/>
    <w:rsid w:val="46873754"/>
    <w:rsid w:val="468A0F7A"/>
    <w:rsid w:val="469D4D26"/>
    <w:rsid w:val="46A165C4"/>
    <w:rsid w:val="46A460B4"/>
    <w:rsid w:val="46B53E1D"/>
    <w:rsid w:val="46CC73B9"/>
    <w:rsid w:val="46CE3131"/>
    <w:rsid w:val="46D36999"/>
    <w:rsid w:val="46D955A7"/>
    <w:rsid w:val="46E26BDC"/>
    <w:rsid w:val="46EE10DD"/>
    <w:rsid w:val="46F30DEA"/>
    <w:rsid w:val="47046B53"/>
    <w:rsid w:val="471072A6"/>
    <w:rsid w:val="47133957"/>
    <w:rsid w:val="4713781B"/>
    <w:rsid w:val="47146532"/>
    <w:rsid w:val="471A1ED2"/>
    <w:rsid w:val="472B0583"/>
    <w:rsid w:val="473361A9"/>
    <w:rsid w:val="47424AB1"/>
    <w:rsid w:val="47502C34"/>
    <w:rsid w:val="47507FEA"/>
    <w:rsid w:val="475E7622"/>
    <w:rsid w:val="4782258D"/>
    <w:rsid w:val="47863A0C"/>
    <w:rsid w:val="47A07E0C"/>
    <w:rsid w:val="47A65E5C"/>
    <w:rsid w:val="47A9027D"/>
    <w:rsid w:val="47AA56E9"/>
    <w:rsid w:val="47C63E08"/>
    <w:rsid w:val="47E32C0C"/>
    <w:rsid w:val="47EA16BA"/>
    <w:rsid w:val="47F866B8"/>
    <w:rsid w:val="48217291"/>
    <w:rsid w:val="482F5E51"/>
    <w:rsid w:val="48390A7E"/>
    <w:rsid w:val="48415AB2"/>
    <w:rsid w:val="48425B85"/>
    <w:rsid w:val="484B7280"/>
    <w:rsid w:val="484F25B3"/>
    <w:rsid w:val="484F4161"/>
    <w:rsid w:val="48587156"/>
    <w:rsid w:val="486C5F17"/>
    <w:rsid w:val="486F688E"/>
    <w:rsid w:val="4870272E"/>
    <w:rsid w:val="487B4BF3"/>
    <w:rsid w:val="487F2935"/>
    <w:rsid w:val="487F438D"/>
    <w:rsid w:val="48802209"/>
    <w:rsid w:val="48890A85"/>
    <w:rsid w:val="489363E0"/>
    <w:rsid w:val="48A8276D"/>
    <w:rsid w:val="48AA54D8"/>
    <w:rsid w:val="48B347C5"/>
    <w:rsid w:val="48B56357"/>
    <w:rsid w:val="48CC18F2"/>
    <w:rsid w:val="48D82045"/>
    <w:rsid w:val="48E22EC4"/>
    <w:rsid w:val="48E924A4"/>
    <w:rsid w:val="48EC3D42"/>
    <w:rsid w:val="490270C2"/>
    <w:rsid w:val="49066BB2"/>
    <w:rsid w:val="490746D8"/>
    <w:rsid w:val="491C0184"/>
    <w:rsid w:val="4924496C"/>
    <w:rsid w:val="49267AD3"/>
    <w:rsid w:val="492A36D2"/>
    <w:rsid w:val="492B486B"/>
    <w:rsid w:val="493354CD"/>
    <w:rsid w:val="493D0D2B"/>
    <w:rsid w:val="49417BEA"/>
    <w:rsid w:val="4961028C"/>
    <w:rsid w:val="4961203A"/>
    <w:rsid w:val="49697141"/>
    <w:rsid w:val="496E69A4"/>
    <w:rsid w:val="49975B39"/>
    <w:rsid w:val="499E3420"/>
    <w:rsid w:val="49A458D4"/>
    <w:rsid w:val="49AA39E1"/>
    <w:rsid w:val="49AD1724"/>
    <w:rsid w:val="49AD34D2"/>
    <w:rsid w:val="49B74350"/>
    <w:rsid w:val="49B963E8"/>
    <w:rsid w:val="49BB5939"/>
    <w:rsid w:val="49BE123B"/>
    <w:rsid w:val="49DC7715"/>
    <w:rsid w:val="49F42EAF"/>
    <w:rsid w:val="49F51014"/>
    <w:rsid w:val="49FC1D63"/>
    <w:rsid w:val="4A023139"/>
    <w:rsid w:val="4A191ED4"/>
    <w:rsid w:val="4A2009C9"/>
    <w:rsid w:val="4A233794"/>
    <w:rsid w:val="4A34774F"/>
    <w:rsid w:val="4A361719"/>
    <w:rsid w:val="4A372D9B"/>
    <w:rsid w:val="4A396B13"/>
    <w:rsid w:val="4A3A4921"/>
    <w:rsid w:val="4A3E05CE"/>
    <w:rsid w:val="4A437992"/>
    <w:rsid w:val="4A4E6A63"/>
    <w:rsid w:val="4A630034"/>
    <w:rsid w:val="4A6A3171"/>
    <w:rsid w:val="4A6C0C97"/>
    <w:rsid w:val="4A7B576F"/>
    <w:rsid w:val="4A835FE1"/>
    <w:rsid w:val="4A8C758B"/>
    <w:rsid w:val="4AA91EEB"/>
    <w:rsid w:val="4AAE12AF"/>
    <w:rsid w:val="4AB34B18"/>
    <w:rsid w:val="4AB81412"/>
    <w:rsid w:val="4AB83EDC"/>
    <w:rsid w:val="4ABD43B0"/>
    <w:rsid w:val="4AC46D25"/>
    <w:rsid w:val="4ACE54AE"/>
    <w:rsid w:val="4AD14F9E"/>
    <w:rsid w:val="4AE42F23"/>
    <w:rsid w:val="4AF01B03"/>
    <w:rsid w:val="4AF561A9"/>
    <w:rsid w:val="4AF60EA8"/>
    <w:rsid w:val="4B1530DD"/>
    <w:rsid w:val="4B200DC8"/>
    <w:rsid w:val="4B337A07"/>
    <w:rsid w:val="4B345FB1"/>
    <w:rsid w:val="4B5A4F93"/>
    <w:rsid w:val="4B692D16"/>
    <w:rsid w:val="4B775B45"/>
    <w:rsid w:val="4B8F4955"/>
    <w:rsid w:val="4B90799F"/>
    <w:rsid w:val="4B9304A5"/>
    <w:rsid w:val="4B9506C1"/>
    <w:rsid w:val="4B9A1834"/>
    <w:rsid w:val="4BB2183B"/>
    <w:rsid w:val="4BB87F0C"/>
    <w:rsid w:val="4BBD5522"/>
    <w:rsid w:val="4BC13264"/>
    <w:rsid w:val="4BC30D8B"/>
    <w:rsid w:val="4BD765E4"/>
    <w:rsid w:val="4BDB2578"/>
    <w:rsid w:val="4C043151"/>
    <w:rsid w:val="4C0A4C0B"/>
    <w:rsid w:val="4C1635B0"/>
    <w:rsid w:val="4C2271A7"/>
    <w:rsid w:val="4C2D4456"/>
    <w:rsid w:val="4C2F01CE"/>
    <w:rsid w:val="4C497047"/>
    <w:rsid w:val="4C4A0649"/>
    <w:rsid w:val="4C4C5224"/>
    <w:rsid w:val="4C4D68A6"/>
    <w:rsid w:val="4C5B5467"/>
    <w:rsid w:val="4C716A38"/>
    <w:rsid w:val="4C786019"/>
    <w:rsid w:val="4C7E5ECA"/>
    <w:rsid w:val="4C876AA5"/>
    <w:rsid w:val="4C983FC5"/>
    <w:rsid w:val="4CB00C05"/>
    <w:rsid w:val="4CC0176E"/>
    <w:rsid w:val="4CC27513"/>
    <w:rsid w:val="4CD858AC"/>
    <w:rsid w:val="4CD9638C"/>
    <w:rsid w:val="4CE67907"/>
    <w:rsid w:val="4CEA67EB"/>
    <w:rsid w:val="4CF51418"/>
    <w:rsid w:val="4CF66F3E"/>
    <w:rsid w:val="4CFB342A"/>
    <w:rsid w:val="4D0E00FB"/>
    <w:rsid w:val="4D0E24D9"/>
    <w:rsid w:val="4D1608A4"/>
    <w:rsid w:val="4D176606"/>
    <w:rsid w:val="4D2717ED"/>
    <w:rsid w:val="4D2B4C2A"/>
    <w:rsid w:val="4D36558C"/>
    <w:rsid w:val="4D3D691B"/>
    <w:rsid w:val="4D485708"/>
    <w:rsid w:val="4D4E28D6"/>
    <w:rsid w:val="4D5636C2"/>
    <w:rsid w:val="4D565246"/>
    <w:rsid w:val="4D6D36A4"/>
    <w:rsid w:val="4D7820B1"/>
    <w:rsid w:val="4D7A191D"/>
    <w:rsid w:val="4D9549A9"/>
    <w:rsid w:val="4DA60964"/>
    <w:rsid w:val="4DAB7D28"/>
    <w:rsid w:val="4DB82445"/>
    <w:rsid w:val="4DEC4FB0"/>
    <w:rsid w:val="4DF27705"/>
    <w:rsid w:val="4E041280"/>
    <w:rsid w:val="4E075D8A"/>
    <w:rsid w:val="4E0D2791"/>
    <w:rsid w:val="4E10402F"/>
    <w:rsid w:val="4E165AE9"/>
    <w:rsid w:val="4E3C4E24"/>
    <w:rsid w:val="4E473EF5"/>
    <w:rsid w:val="4E571C5E"/>
    <w:rsid w:val="4E596C85"/>
    <w:rsid w:val="4E6F6FA8"/>
    <w:rsid w:val="4E740A62"/>
    <w:rsid w:val="4E810A89"/>
    <w:rsid w:val="4E8A2033"/>
    <w:rsid w:val="4E8C15C7"/>
    <w:rsid w:val="4E8D5680"/>
    <w:rsid w:val="4E992277"/>
    <w:rsid w:val="4E9D1289"/>
    <w:rsid w:val="4EC00FAD"/>
    <w:rsid w:val="4ED17C62"/>
    <w:rsid w:val="4EDB4732"/>
    <w:rsid w:val="4EDD03B5"/>
    <w:rsid w:val="4EEC05F8"/>
    <w:rsid w:val="4EEE2A3C"/>
    <w:rsid w:val="4F045E2D"/>
    <w:rsid w:val="4F1813ED"/>
    <w:rsid w:val="4F224610"/>
    <w:rsid w:val="4F244236"/>
    <w:rsid w:val="4F293E29"/>
    <w:rsid w:val="4F4E3061"/>
    <w:rsid w:val="4F5148FF"/>
    <w:rsid w:val="4F541CA3"/>
    <w:rsid w:val="4F5C783F"/>
    <w:rsid w:val="4F64710F"/>
    <w:rsid w:val="4F7423AB"/>
    <w:rsid w:val="4F754A92"/>
    <w:rsid w:val="4F7903EF"/>
    <w:rsid w:val="4F912F4E"/>
    <w:rsid w:val="4F936CC6"/>
    <w:rsid w:val="4F9667B6"/>
    <w:rsid w:val="4F9843DC"/>
    <w:rsid w:val="4FAB04B3"/>
    <w:rsid w:val="4FC4501C"/>
    <w:rsid w:val="4FC62A8C"/>
    <w:rsid w:val="4FE20F0D"/>
    <w:rsid w:val="4FE51552"/>
    <w:rsid w:val="4FE90FDC"/>
    <w:rsid w:val="50075DA1"/>
    <w:rsid w:val="500F1150"/>
    <w:rsid w:val="50137E07"/>
    <w:rsid w:val="501C7C09"/>
    <w:rsid w:val="503264DF"/>
    <w:rsid w:val="50342257"/>
    <w:rsid w:val="503C735D"/>
    <w:rsid w:val="50413F78"/>
    <w:rsid w:val="50480EA7"/>
    <w:rsid w:val="50504C4B"/>
    <w:rsid w:val="5054731E"/>
    <w:rsid w:val="507E34D2"/>
    <w:rsid w:val="50903205"/>
    <w:rsid w:val="509C6E7C"/>
    <w:rsid w:val="50A849F3"/>
    <w:rsid w:val="50AA42C7"/>
    <w:rsid w:val="50B1791F"/>
    <w:rsid w:val="50C636F7"/>
    <w:rsid w:val="50C80BF1"/>
    <w:rsid w:val="50D157DE"/>
    <w:rsid w:val="50D61560"/>
    <w:rsid w:val="50DA6C25"/>
    <w:rsid w:val="50E13A61"/>
    <w:rsid w:val="50E21CB3"/>
    <w:rsid w:val="50F11EF6"/>
    <w:rsid w:val="50F330D4"/>
    <w:rsid w:val="50F660E5"/>
    <w:rsid w:val="50FB3D7D"/>
    <w:rsid w:val="5107796B"/>
    <w:rsid w:val="510D0FC2"/>
    <w:rsid w:val="51121E6C"/>
    <w:rsid w:val="512027DB"/>
    <w:rsid w:val="51330760"/>
    <w:rsid w:val="5139389D"/>
    <w:rsid w:val="51453FF0"/>
    <w:rsid w:val="51491D32"/>
    <w:rsid w:val="51510BE7"/>
    <w:rsid w:val="5153495F"/>
    <w:rsid w:val="51595CED"/>
    <w:rsid w:val="5162104E"/>
    <w:rsid w:val="517234D1"/>
    <w:rsid w:val="51752B27"/>
    <w:rsid w:val="518920CE"/>
    <w:rsid w:val="5193092D"/>
    <w:rsid w:val="51A056CA"/>
    <w:rsid w:val="51A514F5"/>
    <w:rsid w:val="51B33605"/>
    <w:rsid w:val="51B760F6"/>
    <w:rsid w:val="51BC69A8"/>
    <w:rsid w:val="51C306A9"/>
    <w:rsid w:val="51C6309D"/>
    <w:rsid w:val="51CF5C6B"/>
    <w:rsid w:val="51D03119"/>
    <w:rsid w:val="51DB6702"/>
    <w:rsid w:val="51E63A25"/>
    <w:rsid w:val="51F223CA"/>
    <w:rsid w:val="51F31C9E"/>
    <w:rsid w:val="51F7178E"/>
    <w:rsid w:val="52027881"/>
    <w:rsid w:val="521C002A"/>
    <w:rsid w:val="523A18EA"/>
    <w:rsid w:val="525070F0"/>
    <w:rsid w:val="525C7843"/>
    <w:rsid w:val="526037D7"/>
    <w:rsid w:val="52635075"/>
    <w:rsid w:val="52636E23"/>
    <w:rsid w:val="52705CA9"/>
    <w:rsid w:val="527728CF"/>
    <w:rsid w:val="527F652B"/>
    <w:rsid w:val="528F5E6A"/>
    <w:rsid w:val="52A5743C"/>
    <w:rsid w:val="52CB49C9"/>
    <w:rsid w:val="52CD6D59"/>
    <w:rsid w:val="52DA5D9C"/>
    <w:rsid w:val="52F757BE"/>
    <w:rsid w:val="530C3017"/>
    <w:rsid w:val="531540A5"/>
    <w:rsid w:val="531B7376"/>
    <w:rsid w:val="53234805"/>
    <w:rsid w:val="53265EE4"/>
    <w:rsid w:val="533E5903"/>
    <w:rsid w:val="53530C46"/>
    <w:rsid w:val="5354676C"/>
    <w:rsid w:val="5361397A"/>
    <w:rsid w:val="53715570"/>
    <w:rsid w:val="537806AC"/>
    <w:rsid w:val="537F7C8D"/>
    <w:rsid w:val="53972848"/>
    <w:rsid w:val="539D6365"/>
    <w:rsid w:val="53A039CC"/>
    <w:rsid w:val="53A1505A"/>
    <w:rsid w:val="53AC6661"/>
    <w:rsid w:val="53B35B89"/>
    <w:rsid w:val="53B82429"/>
    <w:rsid w:val="53BA1261"/>
    <w:rsid w:val="53C733E2"/>
    <w:rsid w:val="53FA7313"/>
    <w:rsid w:val="54063E08"/>
    <w:rsid w:val="54086B32"/>
    <w:rsid w:val="540F56E9"/>
    <w:rsid w:val="541128AF"/>
    <w:rsid w:val="542B7F95"/>
    <w:rsid w:val="543437E8"/>
    <w:rsid w:val="543A0058"/>
    <w:rsid w:val="543A1E06"/>
    <w:rsid w:val="545A24A8"/>
    <w:rsid w:val="545A4256"/>
    <w:rsid w:val="545F7ABE"/>
    <w:rsid w:val="546155E5"/>
    <w:rsid w:val="546832F7"/>
    <w:rsid w:val="547D6C5E"/>
    <w:rsid w:val="547F3CBD"/>
    <w:rsid w:val="549E4143"/>
    <w:rsid w:val="54A05D21"/>
    <w:rsid w:val="54B43B41"/>
    <w:rsid w:val="54B75204"/>
    <w:rsid w:val="54BC6A3F"/>
    <w:rsid w:val="54C16083"/>
    <w:rsid w:val="54C975BA"/>
    <w:rsid w:val="54DE4E87"/>
    <w:rsid w:val="54F16968"/>
    <w:rsid w:val="54F73313"/>
    <w:rsid w:val="54F80955"/>
    <w:rsid w:val="550146D2"/>
    <w:rsid w:val="550D504A"/>
    <w:rsid w:val="55173EF5"/>
    <w:rsid w:val="55376345"/>
    <w:rsid w:val="553C395C"/>
    <w:rsid w:val="5540344C"/>
    <w:rsid w:val="55466806"/>
    <w:rsid w:val="554C1DF1"/>
    <w:rsid w:val="555170A7"/>
    <w:rsid w:val="556A04C9"/>
    <w:rsid w:val="556C3E3B"/>
    <w:rsid w:val="556F73C3"/>
    <w:rsid w:val="55711857"/>
    <w:rsid w:val="55794BB0"/>
    <w:rsid w:val="5587536D"/>
    <w:rsid w:val="559317CE"/>
    <w:rsid w:val="55936BA1"/>
    <w:rsid w:val="55990DAE"/>
    <w:rsid w:val="559B174B"/>
    <w:rsid w:val="559D64D2"/>
    <w:rsid w:val="55A0213D"/>
    <w:rsid w:val="55C061A9"/>
    <w:rsid w:val="55CE0CF4"/>
    <w:rsid w:val="55CE2806"/>
    <w:rsid w:val="55CE6CAA"/>
    <w:rsid w:val="55D342C0"/>
    <w:rsid w:val="55DD513F"/>
    <w:rsid w:val="55E02539"/>
    <w:rsid w:val="55E6461A"/>
    <w:rsid w:val="55F14746"/>
    <w:rsid w:val="56030062"/>
    <w:rsid w:val="56156687"/>
    <w:rsid w:val="561641AD"/>
    <w:rsid w:val="56196483"/>
    <w:rsid w:val="561C5C67"/>
    <w:rsid w:val="56252C91"/>
    <w:rsid w:val="56332C65"/>
    <w:rsid w:val="563C00B7"/>
    <w:rsid w:val="56407A11"/>
    <w:rsid w:val="56446CFB"/>
    <w:rsid w:val="565076BF"/>
    <w:rsid w:val="56554CD5"/>
    <w:rsid w:val="56794E67"/>
    <w:rsid w:val="567A0BDF"/>
    <w:rsid w:val="567D42C2"/>
    <w:rsid w:val="56847368"/>
    <w:rsid w:val="568850AA"/>
    <w:rsid w:val="568C2E6B"/>
    <w:rsid w:val="568D26C1"/>
    <w:rsid w:val="568D516B"/>
    <w:rsid w:val="5694034B"/>
    <w:rsid w:val="569D042A"/>
    <w:rsid w:val="56AE58D0"/>
    <w:rsid w:val="56B22A9C"/>
    <w:rsid w:val="56B527FF"/>
    <w:rsid w:val="56B91708"/>
    <w:rsid w:val="56D45E7D"/>
    <w:rsid w:val="56D57BC4"/>
    <w:rsid w:val="56F049FE"/>
    <w:rsid w:val="56F04AF3"/>
    <w:rsid w:val="56F51A31"/>
    <w:rsid w:val="570D1A54"/>
    <w:rsid w:val="57212E09"/>
    <w:rsid w:val="57295D0E"/>
    <w:rsid w:val="572C3BBB"/>
    <w:rsid w:val="573131FD"/>
    <w:rsid w:val="573C5E95"/>
    <w:rsid w:val="573D68B9"/>
    <w:rsid w:val="57435475"/>
    <w:rsid w:val="574B7E86"/>
    <w:rsid w:val="576158FB"/>
    <w:rsid w:val="576C30D0"/>
    <w:rsid w:val="57713D91"/>
    <w:rsid w:val="57827D4C"/>
    <w:rsid w:val="57835872"/>
    <w:rsid w:val="578515EA"/>
    <w:rsid w:val="578D049F"/>
    <w:rsid w:val="578F06BB"/>
    <w:rsid w:val="57914433"/>
    <w:rsid w:val="57A31A70"/>
    <w:rsid w:val="57A50376"/>
    <w:rsid w:val="57AB24DB"/>
    <w:rsid w:val="57AD558C"/>
    <w:rsid w:val="57B72A76"/>
    <w:rsid w:val="57C3426C"/>
    <w:rsid w:val="57CE1F93"/>
    <w:rsid w:val="57EE3CFC"/>
    <w:rsid w:val="580746F5"/>
    <w:rsid w:val="581026A0"/>
    <w:rsid w:val="58240E03"/>
    <w:rsid w:val="58334AC7"/>
    <w:rsid w:val="58353010"/>
    <w:rsid w:val="58370398"/>
    <w:rsid w:val="58382B00"/>
    <w:rsid w:val="58403763"/>
    <w:rsid w:val="584D3D82"/>
    <w:rsid w:val="5853793A"/>
    <w:rsid w:val="58596B7D"/>
    <w:rsid w:val="5862382A"/>
    <w:rsid w:val="58692CBA"/>
    <w:rsid w:val="587E01DD"/>
    <w:rsid w:val="587F5993"/>
    <w:rsid w:val="588743D1"/>
    <w:rsid w:val="5887701A"/>
    <w:rsid w:val="589C308F"/>
    <w:rsid w:val="58A02244"/>
    <w:rsid w:val="58A106A5"/>
    <w:rsid w:val="58A4140A"/>
    <w:rsid w:val="58B71C77"/>
    <w:rsid w:val="58BF0B2C"/>
    <w:rsid w:val="58CE1FC2"/>
    <w:rsid w:val="58D04AE7"/>
    <w:rsid w:val="58D740C7"/>
    <w:rsid w:val="58E80082"/>
    <w:rsid w:val="58EA0DDF"/>
    <w:rsid w:val="58EB13A1"/>
    <w:rsid w:val="58ED5699"/>
    <w:rsid w:val="58F24A5D"/>
    <w:rsid w:val="58F63101"/>
    <w:rsid w:val="590D1897"/>
    <w:rsid w:val="594117BB"/>
    <w:rsid w:val="59477EAF"/>
    <w:rsid w:val="59605D5B"/>
    <w:rsid w:val="596C096E"/>
    <w:rsid w:val="5975743C"/>
    <w:rsid w:val="59814033"/>
    <w:rsid w:val="598C4EB2"/>
    <w:rsid w:val="59AC10B0"/>
    <w:rsid w:val="59C0439F"/>
    <w:rsid w:val="59D32A10"/>
    <w:rsid w:val="59E352E3"/>
    <w:rsid w:val="59E545C2"/>
    <w:rsid w:val="59E738B8"/>
    <w:rsid w:val="59F14D15"/>
    <w:rsid w:val="59FD190B"/>
    <w:rsid w:val="59FD307A"/>
    <w:rsid w:val="5A156FA8"/>
    <w:rsid w:val="5A252C10"/>
    <w:rsid w:val="5A3A2B60"/>
    <w:rsid w:val="5A4237C2"/>
    <w:rsid w:val="5A4526B5"/>
    <w:rsid w:val="5A504131"/>
    <w:rsid w:val="5A5B1C1D"/>
    <w:rsid w:val="5A5F6122"/>
    <w:rsid w:val="5A6220B6"/>
    <w:rsid w:val="5A6F20DD"/>
    <w:rsid w:val="5A7616BE"/>
    <w:rsid w:val="5A783688"/>
    <w:rsid w:val="5A851901"/>
    <w:rsid w:val="5A871B1D"/>
    <w:rsid w:val="5A89319F"/>
    <w:rsid w:val="5A9E4D37"/>
    <w:rsid w:val="5AB521E6"/>
    <w:rsid w:val="5AB75F5E"/>
    <w:rsid w:val="5ABA15AB"/>
    <w:rsid w:val="5ABE2233"/>
    <w:rsid w:val="5AC02939"/>
    <w:rsid w:val="5AC47B41"/>
    <w:rsid w:val="5AC71F19"/>
    <w:rsid w:val="5AC97A40"/>
    <w:rsid w:val="5ACB37B8"/>
    <w:rsid w:val="5AD05272"/>
    <w:rsid w:val="5AE709EC"/>
    <w:rsid w:val="5AF745AD"/>
    <w:rsid w:val="5AF80325"/>
    <w:rsid w:val="5AFD6893"/>
    <w:rsid w:val="5B0B1E06"/>
    <w:rsid w:val="5B0E5D35"/>
    <w:rsid w:val="5B1433B1"/>
    <w:rsid w:val="5B144899"/>
    <w:rsid w:val="5B16743A"/>
    <w:rsid w:val="5B1970D1"/>
    <w:rsid w:val="5B2B24A8"/>
    <w:rsid w:val="5B37709F"/>
    <w:rsid w:val="5B4A5B4F"/>
    <w:rsid w:val="5B501F0F"/>
    <w:rsid w:val="5B5365B0"/>
    <w:rsid w:val="5B5639C9"/>
    <w:rsid w:val="5B667984"/>
    <w:rsid w:val="5B743E4F"/>
    <w:rsid w:val="5B7B4AE6"/>
    <w:rsid w:val="5B841BB9"/>
    <w:rsid w:val="5B8F5593"/>
    <w:rsid w:val="5B922527"/>
    <w:rsid w:val="5B995664"/>
    <w:rsid w:val="5B9E711E"/>
    <w:rsid w:val="5BA81D4B"/>
    <w:rsid w:val="5BAA5AC3"/>
    <w:rsid w:val="5BAD47DE"/>
    <w:rsid w:val="5BB44B12"/>
    <w:rsid w:val="5BBB382C"/>
    <w:rsid w:val="5BC24D1C"/>
    <w:rsid w:val="5BD3501A"/>
    <w:rsid w:val="5BDF5D95"/>
    <w:rsid w:val="5BFB631F"/>
    <w:rsid w:val="5BFE7528"/>
    <w:rsid w:val="5C004550"/>
    <w:rsid w:val="5C1473E0"/>
    <w:rsid w:val="5C163158"/>
    <w:rsid w:val="5C164F06"/>
    <w:rsid w:val="5C272C70"/>
    <w:rsid w:val="5C367357"/>
    <w:rsid w:val="5C3B4731"/>
    <w:rsid w:val="5C52446F"/>
    <w:rsid w:val="5C5B500F"/>
    <w:rsid w:val="5C6500C4"/>
    <w:rsid w:val="5C68724D"/>
    <w:rsid w:val="5C7406BD"/>
    <w:rsid w:val="5C784F41"/>
    <w:rsid w:val="5C893F80"/>
    <w:rsid w:val="5C8E3DCD"/>
    <w:rsid w:val="5C91458D"/>
    <w:rsid w:val="5C9212C4"/>
    <w:rsid w:val="5CB3676D"/>
    <w:rsid w:val="5CCA7DBF"/>
    <w:rsid w:val="5CCC4C91"/>
    <w:rsid w:val="5CCD7CBB"/>
    <w:rsid w:val="5CDF354A"/>
    <w:rsid w:val="5D0134C1"/>
    <w:rsid w:val="5D0C00B7"/>
    <w:rsid w:val="5D0C11C7"/>
    <w:rsid w:val="5D0E2082"/>
    <w:rsid w:val="5D24469B"/>
    <w:rsid w:val="5D30024A"/>
    <w:rsid w:val="5D3C274B"/>
    <w:rsid w:val="5D3E3727"/>
    <w:rsid w:val="5D485594"/>
    <w:rsid w:val="5D5F28DD"/>
    <w:rsid w:val="5D6C59C3"/>
    <w:rsid w:val="5D777C27"/>
    <w:rsid w:val="5D9205BD"/>
    <w:rsid w:val="5D997B9D"/>
    <w:rsid w:val="5D9A56C3"/>
    <w:rsid w:val="5DB46785"/>
    <w:rsid w:val="5DB83B00"/>
    <w:rsid w:val="5DC6470A"/>
    <w:rsid w:val="5DCB1D21"/>
    <w:rsid w:val="5DD66317"/>
    <w:rsid w:val="5DE51ACA"/>
    <w:rsid w:val="5DFB0858"/>
    <w:rsid w:val="5DFC1D51"/>
    <w:rsid w:val="5E0314BA"/>
    <w:rsid w:val="5E1611EE"/>
    <w:rsid w:val="5E2467F1"/>
    <w:rsid w:val="5E2C6C63"/>
    <w:rsid w:val="5E3B2A02"/>
    <w:rsid w:val="5E452F7B"/>
    <w:rsid w:val="5E4D2736"/>
    <w:rsid w:val="5E544C51"/>
    <w:rsid w:val="5E700844"/>
    <w:rsid w:val="5E7B5612"/>
    <w:rsid w:val="5E7D126D"/>
    <w:rsid w:val="5EA132E2"/>
    <w:rsid w:val="5EB17167"/>
    <w:rsid w:val="5EBE53E1"/>
    <w:rsid w:val="5EC14A97"/>
    <w:rsid w:val="5EDA046D"/>
    <w:rsid w:val="5EE96902"/>
    <w:rsid w:val="5EEF3A43"/>
    <w:rsid w:val="5EF744B5"/>
    <w:rsid w:val="5EFA28BD"/>
    <w:rsid w:val="5EFD0600"/>
    <w:rsid w:val="5EFF047B"/>
    <w:rsid w:val="5F0059FA"/>
    <w:rsid w:val="5F1A2B43"/>
    <w:rsid w:val="5F2E2567"/>
    <w:rsid w:val="5F2E6828"/>
    <w:rsid w:val="5F37766E"/>
    <w:rsid w:val="5F4725B8"/>
    <w:rsid w:val="5F4955F3"/>
    <w:rsid w:val="5F593A88"/>
    <w:rsid w:val="5F5C5FB8"/>
    <w:rsid w:val="5F6124AF"/>
    <w:rsid w:val="5F6474FD"/>
    <w:rsid w:val="5F6B37BB"/>
    <w:rsid w:val="5F7A39FE"/>
    <w:rsid w:val="5F7C32D2"/>
    <w:rsid w:val="5F896220"/>
    <w:rsid w:val="5F8B1768"/>
    <w:rsid w:val="5FA32F55"/>
    <w:rsid w:val="5FB837BB"/>
    <w:rsid w:val="5FBE38EB"/>
    <w:rsid w:val="5FC133DB"/>
    <w:rsid w:val="5FC52ECB"/>
    <w:rsid w:val="5FCC1FAC"/>
    <w:rsid w:val="5FD56E87"/>
    <w:rsid w:val="5FDA624B"/>
    <w:rsid w:val="5FDB04D8"/>
    <w:rsid w:val="5FDC03E0"/>
    <w:rsid w:val="5FDE5D3B"/>
    <w:rsid w:val="5FE62E42"/>
    <w:rsid w:val="5FF11F12"/>
    <w:rsid w:val="5FF732A1"/>
    <w:rsid w:val="5FF75E46"/>
    <w:rsid w:val="600D3B89"/>
    <w:rsid w:val="600F3BC5"/>
    <w:rsid w:val="601D461E"/>
    <w:rsid w:val="60454C9A"/>
    <w:rsid w:val="60455DBA"/>
    <w:rsid w:val="604662CE"/>
    <w:rsid w:val="60471B32"/>
    <w:rsid w:val="604A517F"/>
    <w:rsid w:val="605129B1"/>
    <w:rsid w:val="605424A1"/>
    <w:rsid w:val="606C1599"/>
    <w:rsid w:val="6082700E"/>
    <w:rsid w:val="60883EF9"/>
    <w:rsid w:val="608A1A1F"/>
    <w:rsid w:val="608A1CA5"/>
    <w:rsid w:val="609A7072"/>
    <w:rsid w:val="609D79A4"/>
    <w:rsid w:val="60A725D1"/>
    <w:rsid w:val="60B60A66"/>
    <w:rsid w:val="60C469EE"/>
    <w:rsid w:val="60C56EFB"/>
    <w:rsid w:val="60C70EC5"/>
    <w:rsid w:val="60CC2038"/>
    <w:rsid w:val="60CC405A"/>
    <w:rsid w:val="60CF38D6"/>
    <w:rsid w:val="60DB671F"/>
    <w:rsid w:val="60E76E71"/>
    <w:rsid w:val="60FA6BA5"/>
    <w:rsid w:val="61045C75"/>
    <w:rsid w:val="6106379C"/>
    <w:rsid w:val="6119542D"/>
    <w:rsid w:val="611B4D6D"/>
    <w:rsid w:val="61234CD3"/>
    <w:rsid w:val="612400C6"/>
    <w:rsid w:val="61291238"/>
    <w:rsid w:val="61317B79"/>
    <w:rsid w:val="613F7EC3"/>
    <w:rsid w:val="614147D4"/>
    <w:rsid w:val="61414AD6"/>
    <w:rsid w:val="614442C4"/>
    <w:rsid w:val="61481727"/>
    <w:rsid w:val="615564D1"/>
    <w:rsid w:val="61684974"/>
    <w:rsid w:val="61691F7C"/>
    <w:rsid w:val="616B35FF"/>
    <w:rsid w:val="61731EE4"/>
    <w:rsid w:val="618C17C7"/>
    <w:rsid w:val="61AD00BB"/>
    <w:rsid w:val="61AD1E69"/>
    <w:rsid w:val="61B431F8"/>
    <w:rsid w:val="61BF1B9C"/>
    <w:rsid w:val="61BF7DEE"/>
    <w:rsid w:val="61C827FF"/>
    <w:rsid w:val="61C930FF"/>
    <w:rsid w:val="61CC20BB"/>
    <w:rsid w:val="61CD6067"/>
    <w:rsid w:val="61D54F1C"/>
    <w:rsid w:val="61E215D8"/>
    <w:rsid w:val="61ED6709"/>
    <w:rsid w:val="61F25ACE"/>
    <w:rsid w:val="621041A6"/>
    <w:rsid w:val="621B3775"/>
    <w:rsid w:val="621C0D9D"/>
    <w:rsid w:val="62364782"/>
    <w:rsid w:val="62426A55"/>
    <w:rsid w:val="62526006"/>
    <w:rsid w:val="625E3163"/>
    <w:rsid w:val="6271733B"/>
    <w:rsid w:val="628F5B29"/>
    <w:rsid w:val="629D1EDE"/>
    <w:rsid w:val="62A019CE"/>
    <w:rsid w:val="62A3326C"/>
    <w:rsid w:val="62AA0157"/>
    <w:rsid w:val="62B426CA"/>
    <w:rsid w:val="62B66AFB"/>
    <w:rsid w:val="62B92A90"/>
    <w:rsid w:val="62D358FF"/>
    <w:rsid w:val="62D376AD"/>
    <w:rsid w:val="62EF64B1"/>
    <w:rsid w:val="62F15D85"/>
    <w:rsid w:val="62F260C5"/>
    <w:rsid w:val="631A352E"/>
    <w:rsid w:val="631B2E02"/>
    <w:rsid w:val="632048BD"/>
    <w:rsid w:val="6329551F"/>
    <w:rsid w:val="63422443"/>
    <w:rsid w:val="63462575"/>
    <w:rsid w:val="634C56B2"/>
    <w:rsid w:val="634E31D8"/>
    <w:rsid w:val="63500CFE"/>
    <w:rsid w:val="63590D8D"/>
    <w:rsid w:val="63664ED9"/>
    <w:rsid w:val="637A5D7B"/>
    <w:rsid w:val="637C7D45"/>
    <w:rsid w:val="638D3657"/>
    <w:rsid w:val="6394356A"/>
    <w:rsid w:val="639C2195"/>
    <w:rsid w:val="63B84AF5"/>
    <w:rsid w:val="63BA6A4B"/>
    <w:rsid w:val="63BE65AF"/>
    <w:rsid w:val="63C61B2C"/>
    <w:rsid w:val="63C90AB0"/>
    <w:rsid w:val="63CD05A1"/>
    <w:rsid w:val="63D27965"/>
    <w:rsid w:val="63D40BE9"/>
    <w:rsid w:val="63D86F45"/>
    <w:rsid w:val="63DC6A36"/>
    <w:rsid w:val="63FF2724"/>
    <w:rsid w:val="64102431"/>
    <w:rsid w:val="64107E22"/>
    <w:rsid w:val="64127E15"/>
    <w:rsid w:val="6416019A"/>
    <w:rsid w:val="64185E08"/>
    <w:rsid w:val="64224927"/>
    <w:rsid w:val="642301C1"/>
    <w:rsid w:val="64290917"/>
    <w:rsid w:val="642F3009"/>
    <w:rsid w:val="643423CE"/>
    <w:rsid w:val="643B7C00"/>
    <w:rsid w:val="64405216"/>
    <w:rsid w:val="6477050C"/>
    <w:rsid w:val="64917820"/>
    <w:rsid w:val="649A3A1C"/>
    <w:rsid w:val="649E4056"/>
    <w:rsid w:val="64A05CB5"/>
    <w:rsid w:val="64A5243A"/>
    <w:rsid w:val="64A6511C"/>
    <w:rsid w:val="64AC3E47"/>
    <w:rsid w:val="64B74DAD"/>
    <w:rsid w:val="64B902C0"/>
    <w:rsid w:val="64C574CA"/>
    <w:rsid w:val="64CD45D0"/>
    <w:rsid w:val="64CE639C"/>
    <w:rsid w:val="64DA6254"/>
    <w:rsid w:val="64E9765C"/>
    <w:rsid w:val="64F102BF"/>
    <w:rsid w:val="64F360F8"/>
    <w:rsid w:val="64F531DE"/>
    <w:rsid w:val="64F61D79"/>
    <w:rsid w:val="65071890"/>
    <w:rsid w:val="651E4E2C"/>
    <w:rsid w:val="65202952"/>
    <w:rsid w:val="6530163A"/>
    <w:rsid w:val="65373578"/>
    <w:rsid w:val="653B3C30"/>
    <w:rsid w:val="65436640"/>
    <w:rsid w:val="654B3E73"/>
    <w:rsid w:val="65574DC9"/>
    <w:rsid w:val="65757142"/>
    <w:rsid w:val="659868BE"/>
    <w:rsid w:val="6598698C"/>
    <w:rsid w:val="659C46CE"/>
    <w:rsid w:val="65B0017A"/>
    <w:rsid w:val="65B67155"/>
    <w:rsid w:val="65BB267B"/>
    <w:rsid w:val="65BF03BD"/>
    <w:rsid w:val="65C02498"/>
    <w:rsid w:val="65C459D3"/>
    <w:rsid w:val="65D35C16"/>
    <w:rsid w:val="65D74CE7"/>
    <w:rsid w:val="65E05075"/>
    <w:rsid w:val="65E87914"/>
    <w:rsid w:val="66044434"/>
    <w:rsid w:val="662446C4"/>
    <w:rsid w:val="662621EA"/>
    <w:rsid w:val="663302AE"/>
    <w:rsid w:val="663B7F8E"/>
    <w:rsid w:val="664802EF"/>
    <w:rsid w:val="66495ED8"/>
    <w:rsid w:val="6655487D"/>
    <w:rsid w:val="665B6338"/>
    <w:rsid w:val="665E1984"/>
    <w:rsid w:val="665F74AA"/>
    <w:rsid w:val="66676D2D"/>
    <w:rsid w:val="666B5E4F"/>
    <w:rsid w:val="66756CCD"/>
    <w:rsid w:val="6684707D"/>
    <w:rsid w:val="66954647"/>
    <w:rsid w:val="669C24AC"/>
    <w:rsid w:val="66A55805"/>
    <w:rsid w:val="66D73BDC"/>
    <w:rsid w:val="66D9725C"/>
    <w:rsid w:val="66DB1226"/>
    <w:rsid w:val="66E867D7"/>
    <w:rsid w:val="6700022A"/>
    <w:rsid w:val="671B1623"/>
    <w:rsid w:val="671F124A"/>
    <w:rsid w:val="672636AE"/>
    <w:rsid w:val="67277FC8"/>
    <w:rsid w:val="67281F92"/>
    <w:rsid w:val="672C7CD4"/>
    <w:rsid w:val="67317098"/>
    <w:rsid w:val="67342DD7"/>
    <w:rsid w:val="673B3F29"/>
    <w:rsid w:val="673C7B87"/>
    <w:rsid w:val="67584625"/>
    <w:rsid w:val="675D1C3B"/>
    <w:rsid w:val="6760797E"/>
    <w:rsid w:val="67616FAC"/>
    <w:rsid w:val="676254A4"/>
    <w:rsid w:val="677A33C6"/>
    <w:rsid w:val="678278F4"/>
    <w:rsid w:val="67AC671F"/>
    <w:rsid w:val="67AE1CEA"/>
    <w:rsid w:val="67C779FD"/>
    <w:rsid w:val="67C972D1"/>
    <w:rsid w:val="67CD5013"/>
    <w:rsid w:val="67D00572"/>
    <w:rsid w:val="67DF6AF4"/>
    <w:rsid w:val="68010AE0"/>
    <w:rsid w:val="68064081"/>
    <w:rsid w:val="680D7083"/>
    <w:rsid w:val="681F6961"/>
    <w:rsid w:val="68336E40"/>
    <w:rsid w:val="683F5EFA"/>
    <w:rsid w:val="68582403"/>
    <w:rsid w:val="685A43CD"/>
    <w:rsid w:val="68610A2F"/>
    <w:rsid w:val="686F60CA"/>
    <w:rsid w:val="687436E1"/>
    <w:rsid w:val="68805514"/>
    <w:rsid w:val="688D47A2"/>
    <w:rsid w:val="6897756F"/>
    <w:rsid w:val="68996CA3"/>
    <w:rsid w:val="689B5F43"/>
    <w:rsid w:val="68A044D6"/>
    <w:rsid w:val="68AB4C28"/>
    <w:rsid w:val="68AF3B46"/>
    <w:rsid w:val="68B00491"/>
    <w:rsid w:val="68B166E3"/>
    <w:rsid w:val="68B41D2F"/>
    <w:rsid w:val="68C3471D"/>
    <w:rsid w:val="68C55CEA"/>
    <w:rsid w:val="68C55FCD"/>
    <w:rsid w:val="68CE384C"/>
    <w:rsid w:val="68D0468F"/>
    <w:rsid w:val="68D979E8"/>
    <w:rsid w:val="68EB3277"/>
    <w:rsid w:val="68EF2D67"/>
    <w:rsid w:val="68F24AF6"/>
    <w:rsid w:val="69104274"/>
    <w:rsid w:val="69196036"/>
    <w:rsid w:val="691B1DAE"/>
    <w:rsid w:val="691B3B5C"/>
    <w:rsid w:val="692109E6"/>
    <w:rsid w:val="69316E2F"/>
    <w:rsid w:val="693966D8"/>
    <w:rsid w:val="693E784B"/>
    <w:rsid w:val="69435FE9"/>
    <w:rsid w:val="69482477"/>
    <w:rsid w:val="694A4441"/>
    <w:rsid w:val="694E2071"/>
    <w:rsid w:val="694F48C3"/>
    <w:rsid w:val="69567D33"/>
    <w:rsid w:val="69586B5E"/>
    <w:rsid w:val="69653029"/>
    <w:rsid w:val="6969287D"/>
    <w:rsid w:val="696A6892"/>
    <w:rsid w:val="69725F19"/>
    <w:rsid w:val="69766163"/>
    <w:rsid w:val="697A3B33"/>
    <w:rsid w:val="69821E2D"/>
    <w:rsid w:val="69836B84"/>
    <w:rsid w:val="69AF3217"/>
    <w:rsid w:val="69B1626F"/>
    <w:rsid w:val="69B30239"/>
    <w:rsid w:val="69D44760"/>
    <w:rsid w:val="69D94E59"/>
    <w:rsid w:val="69DA7573"/>
    <w:rsid w:val="69E43118"/>
    <w:rsid w:val="69E91EAC"/>
    <w:rsid w:val="69EB79D2"/>
    <w:rsid w:val="69EC54F9"/>
    <w:rsid w:val="69F85C4B"/>
    <w:rsid w:val="6A022F6E"/>
    <w:rsid w:val="6A0942FC"/>
    <w:rsid w:val="6A107439"/>
    <w:rsid w:val="6A1A02B8"/>
    <w:rsid w:val="6A2E78BF"/>
    <w:rsid w:val="6A334ED5"/>
    <w:rsid w:val="6A3A2708"/>
    <w:rsid w:val="6A3D5D54"/>
    <w:rsid w:val="6A425119"/>
    <w:rsid w:val="6A466ADA"/>
    <w:rsid w:val="6A48145B"/>
    <w:rsid w:val="6A4B0471"/>
    <w:rsid w:val="6A4B66C3"/>
    <w:rsid w:val="6A4D243B"/>
    <w:rsid w:val="6A4D41E9"/>
    <w:rsid w:val="6A513BED"/>
    <w:rsid w:val="6A520EC7"/>
    <w:rsid w:val="6A674B7F"/>
    <w:rsid w:val="6A731776"/>
    <w:rsid w:val="6A7D43A3"/>
    <w:rsid w:val="6A8B6AC0"/>
    <w:rsid w:val="6A90057A"/>
    <w:rsid w:val="6A94006A"/>
    <w:rsid w:val="6A9516EC"/>
    <w:rsid w:val="6A95793E"/>
    <w:rsid w:val="6AA03569"/>
    <w:rsid w:val="6AA162E3"/>
    <w:rsid w:val="6AB04778"/>
    <w:rsid w:val="6AB73D58"/>
    <w:rsid w:val="6AC326FD"/>
    <w:rsid w:val="6AE663EC"/>
    <w:rsid w:val="6AF01018"/>
    <w:rsid w:val="6AF87E20"/>
    <w:rsid w:val="6AFE3735"/>
    <w:rsid w:val="6B005CDC"/>
    <w:rsid w:val="6B040620"/>
    <w:rsid w:val="6B15282D"/>
    <w:rsid w:val="6B3158B9"/>
    <w:rsid w:val="6B322639"/>
    <w:rsid w:val="6B3811CB"/>
    <w:rsid w:val="6B3B6738"/>
    <w:rsid w:val="6B4A697B"/>
    <w:rsid w:val="6B655563"/>
    <w:rsid w:val="6B685053"/>
    <w:rsid w:val="6B767770"/>
    <w:rsid w:val="6B8005EE"/>
    <w:rsid w:val="6B811C71"/>
    <w:rsid w:val="6B9876E6"/>
    <w:rsid w:val="6BA22313"/>
    <w:rsid w:val="6BA53054"/>
    <w:rsid w:val="6BB27B85"/>
    <w:rsid w:val="6BBF2EC5"/>
    <w:rsid w:val="6BD44496"/>
    <w:rsid w:val="6BDF70C3"/>
    <w:rsid w:val="6C026E9C"/>
    <w:rsid w:val="6C092392"/>
    <w:rsid w:val="6C101972"/>
    <w:rsid w:val="6C1C49E1"/>
    <w:rsid w:val="6C2471CC"/>
    <w:rsid w:val="6C272818"/>
    <w:rsid w:val="6C276CBC"/>
    <w:rsid w:val="6C2E2F51"/>
    <w:rsid w:val="6C2F0215"/>
    <w:rsid w:val="6C3D028D"/>
    <w:rsid w:val="6C3E3329"/>
    <w:rsid w:val="6C636C38"/>
    <w:rsid w:val="6C727F37"/>
    <w:rsid w:val="6C735A5D"/>
    <w:rsid w:val="6C7D68DC"/>
    <w:rsid w:val="6C944351"/>
    <w:rsid w:val="6C9500C9"/>
    <w:rsid w:val="6C983AD9"/>
    <w:rsid w:val="6CA66D11"/>
    <w:rsid w:val="6CBA457B"/>
    <w:rsid w:val="6CBE13CE"/>
    <w:rsid w:val="6CBF0CA2"/>
    <w:rsid w:val="6CC241C4"/>
    <w:rsid w:val="6CCB3AEB"/>
    <w:rsid w:val="6CD10828"/>
    <w:rsid w:val="6CD97FB6"/>
    <w:rsid w:val="6CEC0037"/>
    <w:rsid w:val="6CF84E59"/>
    <w:rsid w:val="6CFA617E"/>
    <w:rsid w:val="6D0112BB"/>
    <w:rsid w:val="6D1E3C1B"/>
    <w:rsid w:val="6D284A9A"/>
    <w:rsid w:val="6D2A08D5"/>
    <w:rsid w:val="6D512242"/>
    <w:rsid w:val="6D566C13"/>
    <w:rsid w:val="6D5C4209"/>
    <w:rsid w:val="6D611D5A"/>
    <w:rsid w:val="6D6D06FE"/>
    <w:rsid w:val="6D733672"/>
    <w:rsid w:val="6D793547"/>
    <w:rsid w:val="6D901DEE"/>
    <w:rsid w:val="6DAC7BC8"/>
    <w:rsid w:val="6DAD31F1"/>
    <w:rsid w:val="6DB34098"/>
    <w:rsid w:val="6DB36A59"/>
    <w:rsid w:val="6DB545B6"/>
    <w:rsid w:val="6DC02F24"/>
    <w:rsid w:val="6DC20A4A"/>
    <w:rsid w:val="6DCF4F15"/>
    <w:rsid w:val="6DDB1B0C"/>
    <w:rsid w:val="6DE02FB4"/>
    <w:rsid w:val="6DE67331"/>
    <w:rsid w:val="6E027099"/>
    <w:rsid w:val="6E0C6169"/>
    <w:rsid w:val="6E0F17B6"/>
    <w:rsid w:val="6E14501E"/>
    <w:rsid w:val="6E146DCC"/>
    <w:rsid w:val="6E1804E6"/>
    <w:rsid w:val="6E1A123E"/>
    <w:rsid w:val="6E1B015A"/>
    <w:rsid w:val="6E1E24BD"/>
    <w:rsid w:val="6E25722B"/>
    <w:rsid w:val="6E301E58"/>
    <w:rsid w:val="6E3A1C14"/>
    <w:rsid w:val="6E3F7222"/>
    <w:rsid w:val="6E412457"/>
    <w:rsid w:val="6E46167B"/>
    <w:rsid w:val="6E473E9E"/>
    <w:rsid w:val="6E4E2FDB"/>
    <w:rsid w:val="6E4E6782"/>
    <w:rsid w:val="6E514CED"/>
    <w:rsid w:val="6E5C415A"/>
    <w:rsid w:val="6E755ABD"/>
    <w:rsid w:val="6E841359"/>
    <w:rsid w:val="6E8E6B7E"/>
    <w:rsid w:val="6E957F0D"/>
    <w:rsid w:val="6EA2262A"/>
    <w:rsid w:val="6EA52E3A"/>
    <w:rsid w:val="6EAB14DE"/>
    <w:rsid w:val="6EB5308F"/>
    <w:rsid w:val="6EB563D5"/>
    <w:rsid w:val="6EBA7973"/>
    <w:rsid w:val="6EC16F54"/>
    <w:rsid w:val="6EC24A7A"/>
    <w:rsid w:val="6ECB4795"/>
    <w:rsid w:val="6ECC0578"/>
    <w:rsid w:val="6ED70525"/>
    <w:rsid w:val="6ED8604B"/>
    <w:rsid w:val="6ED91271"/>
    <w:rsid w:val="6ED92677"/>
    <w:rsid w:val="6EDA0016"/>
    <w:rsid w:val="6EE669BA"/>
    <w:rsid w:val="6EE71853"/>
    <w:rsid w:val="6EEE586F"/>
    <w:rsid w:val="6EF07839"/>
    <w:rsid w:val="6EF530A1"/>
    <w:rsid w:val="6F0926A9"/>
    <w:rsid w:val="6F0A0AD3"/>
    <w:rsid w:val="6F135451"/>
    <w:rsid w:val="6F174DC6"/>
    <w:rsid w:val="6F225983"/>
    <w:rsid w:val="6F383CBE"/>
    <w:rsid w:val="6F3A0AB4"/>
    <w:rsid w:val="6F4251EF"/>
    <w:rsid w:val="6F437969"/>
    <w:rsid w:val="6F467459"/>
    <w:rsid w:val="6F4A333A"/>
    <w:rsid w:val="6F513CB1"/>
    <w:rsid w:val="6F525DFE"/>
    <w:rsid w:val="6F5A2F04"/>
    <w:rsid w:val="6F997ED1"/>
    <w:rsid w:val="6FA51ACE"/>
    <w:rsid w:val="6FA7614A"/>
    <w:rsid w:val="6FC15127"/>
    <w:rsid w:val="6FC50CC6"/>
    <w:rsid w:val="6FDB5DF3"/>
    <w:rsid w:val="6FFC5590"/>
    <w:rsid w:val="70271038"/>
    <w:rsid w:val="705C333F"/>
    <w:rsid w:val="70666005"/>
    <w:rsid w:val="706D1DD0"/>
    <w:rsid w:val="7080699B"/>
    <w:rsid w:val="70856B87"/>
    <w:rsid w:val="70A72179"/>
    <w:rsid w:val="70AE52B6"/>
    <w:rsid w:val="70C60851"/>
    <w:rsid w:val="70C66AA3"/>
    <w:rsid w:val="70CB230C"/>
    <w:rsid w:val="70D50A94"/>
    <w:rsid w:val="70D527EE"/>
    <w:rsid w:val="70D867D7"/>
    <w:rsid w:val="70DD1E39"/>
    <w:rsid w:val="70DE203F"/>
    <w:rsid w:val="70EA3307"/>
    <w:rsid w:val="70EB475C"/>
    <w:rsid w:val="70EC5626"/>
    <w:rsid w:val="70F125D6"/>
    <w:rsid w:val="70F27898"/>
    <w:rsid w:val="70F84925"/>
    <w:rsid w:val="711A294B"/>
    <w:rsid w:val="711F7F62"/>
    <w:rsid w:val="71202BA5"/>
    <w:rsid w:val="71257ACF"/>
    <w:rsid w:val="713A123F"/>
    <w:rsid w:val="713A6AF4"/>
    <w:rsid w:val="7140674B"/>
    <w:rsid w:val="714874B8"/>
    <w:rsid w:val="714A76D4"/>
    <w:rsid w:val="715144B4"/>
    <w:rsid w:val="715B5300"/>
    <w:rsid w:val="716D33C3"/>
    <w:rsid w:val="717464FF"/>
    <w:rsid w:val="71792BF4"/>
    <w:rsid w:val="717C7162"/>
    <w:rsid w:val="7189187F"/>
    <w:rsid w:val="718C1A9B"/>
    <w:rsid w:val="71950224"/>
    <w:rsid w:val="719C5A56"/>
    <w:rsid w:val="71B44B4E"/>
    <w:rsid w:val="71BE777B"/>
    <w:rsid w:val="71C22401"/>
    <w:rsid w:val="71CF7BDA"/>
    <w:rsid w:val="71D27F8A"/>
    <w:rsid w:val="71D64AC4"/>
    <w:rsid w:val="71D90A58"/>
    <w:rsid w:val="71DC40A5"/>
    <w:rsid w:val="71E57304"/>
    <w:rsid w:val="720F7FD6"/>
    <w:rsid w:val="721F290F"/>
    <w:rsid w:val="72255A4C"/>
    <w:rsid w:val="723978A8"/>
    <w:rsid w:val="724E257A"/>
    <w:rsid w:val="72553024"/>
    <w:rsid w:val="725A3947"/>
    <w:rsid w:val="725B2B9B"/>
    <w:rsid w:val="725E4ABA"/>
    <w:rsid w:val="726301BA"/>
    <w:rsid w:val="727B156D"/>
    <w:rsid w:val="727E3CE5"/>
    <w:rsid w:val="72824C4C"/>
    <w:rsid w:val="728C1627"/>
    <w:rsid w:val="72987FCC"/>
    <w:rsid w:val="729C3F60"/>
    <w:rsid w:val="72A2709C"/>
    <w:rsid w:val="72CB66EC"/>
    <w:rsid w:val="72D27981"/>
    <w:rsid w:val="72FC279F"/>
    <w:rsid w:val="72FD6976"/>
    <w:rsid w:val="730E028E"/>
    <w:rsid w:val="73122968"/>
    <w:rsid w:val="731F5D5E"/>
    <w:rsid w:val="732E26DE"/>
    <w:rsid w:val="733221CE"/>
    <w:rsid w:val="734B3290"/>
    <w:rsid w:val="735743F6"/>
    <w:rsid w:val="73612AB3"/>
    <w:rsid w:val="73853978"/>
    <w:rsid w:val="73AB01D2"/>
    <w:rsid w:val="73B07597"/>
    <w:rsid w:val="73BA21C4"/>
    <w:rsid w:val="73C51AD5"/>
    <w:rsid w:val="73C848E1"/>
    <w:rsid w:val="740A4EF9"/>
    <w:rsid w:val="741E793C"/>
    <w:rsid w:val="74381A66"/>
    <w:rsid w:val="74510BC5"/>
    <w:rsid w:val="745E3944"/>
    <w:rsid w:val="74673E70"/>
    <w:rsid w:val="7472484C"/>
    <w:rsid w:val="747B1953"/>
    <w:rsid w:val="748051BB"/>
    <w:rsid w:val="74890514"/>
    <w:rsid w:val="748A6630"/>
    <w:rsid w:val="74982505"/>
    <w:rsid w:val="74A569D0"/>
    <w:rsid w:val="74A94475"/>
    <w:rsid w:val="74B041AC"/>
    <w:rsid w:val="74B44EC7"/>
    <w:rsid w:val="74B530B7"/>
    <w:rsid w:val="74B66E2F"/>
    <w:rsid w:val="74BB5B1E"/>
    <w:rsid w:val="74C94DB4"/>
    <w:rsid w:val="74D3353D"/>
    <w:rsid w:val="74D55507"/>
    <w:rsid w:val="74DA48CB"/>
    <w:rsid w:val="74DC4AE7"/>
    <w:rsid w:val="74DF1EE2"/>
    <w:rsid w:val="74E41BEE"/>
    <w:rsid w:val="74F17E67"/>
    <w:rsid w:val="74FE15AB"/>
    <w:rsid w:val="75134281"/>
    <w:rsid w:val="753B10E2"/>
    <w:rsid w:val="753F6E24"/>
    <w:rsid w:val="754C0670"/>
    <w:rsid w:val="754E52B9"/>
    <w:rsid w:val="755A5A0C"/>
    <w:rsid w:val="75662603"/>
    <w:rsid w:val="7592164A"/>
    <w:rsid w:val="75952EE8"/>
    <w:rsid w:val="75A44ED9"/>
    <w:rsid w:val="75B07D22"/>
    <w:rsid w:val="75CA545C"/>
    <w:rsid w:val="75D2632D"/>
    <w:rsid w:val="75F75951"/>
    <w:rsid w:val="75FE5C0C"/>
    <w:rsid w:val="760F4A49"/>
    <w:rsid w:val="76144E41"/>
    <w:rsid w:val="76261D92"/>
    <w:rsid w:val="76277FE4"/>
    <w:rsid w:val="762F0C47"/>
    <w:rsid w:val="7635099D"/>
    <w:rsid w:val="763B575E"/>
    <w:rsid w:val="765039BD"/>
    <w:rsid w:val="76524935"/>
    <w:rsid w:val="765661D4"/>
    <w:rsid w:val="766052A4"/>
    <w:rsid w:val="767E1BCE"/>
    <w:rsid w:val="7681158E"/>
    <w:rsid w:val="7682521B"/>
    <w:rsid w:val="768D4D1F"/>
    <w:rsid w:val="769211D6"/>
    <w:rsid w:val="769E5415"/>
    <w:rsid w:val="76A2766B"/>
    <w:rsid w:val="76A53F01"/>
    <w:rsid w:val="76AF3B36"/>
    <w:rsid w:val="76BD471F"/>
    <w:rsid w:val="76C738D8"/>
    <w:rsid w:val="76CF5F86"/>
    <w:rsid w:val="76E934EC"/>
    <w:rsid w:val="76EB1A60"/>
    <w:rsid w:val="76EF2922"/>
    <w:rsid w:val="76F24FF3"/>
    <w:rsid w:val="771147F0"/>
    <w:rsid w:val="7718592D"/>
    <w:rsid w:val="772B7660"/>
    <w:rsid w:val="772E227A"/>
    <w:rsid w:val="7731279D"/>
    <w:rsid w:val="773D3837"/>
    <w:rsid w:val="774B1AB0"/>
    <w:rsid w:val="774E15A1"/>
    <w:rsid w:val="7750356B"/>
    <w:rsid w:val="77560ABE"/>
    <w:rsid w:val="77674410"/>
    <w:rsid w:val="776A0342"/>
    <w:rsid w:val="77762421"/>
    <w:rsid w:val="77894387"/>
    <w:rsid w:val="778969A8"/>
    <w:rsid w:val="779571D0"/>
    <w:rsid w:val="779F1DFC"/>
    <w:rsid w:val="77AC60C5"/>
    <w:rsid w:val="77B56B1F"/>
    <w:rsid w:val="77C15580"/>
    <w:rsid w:val="77CE623E"/>
    <w:rsid w:val="77D25D2E"/>
    <w:rsid w:val="77E14132"/>
    <w:rsid w:val="77F55EC0"/>
    <w:rsid w:val="780460F6"/>
    <w:rsid w:val="780F09F4"/>
    <w:rsid w:val="781639F1"/>
    <w:rsid w:val="78177BE5"/>
    <w:rsid w:val="78197E01"/>
    <w:rsid w:val="781F40D3"/>
    <w:rsid w:val="782B18E2"/>
    <w:rsid w:val="78411105"/>
    <w:rsid w:val="784671A4"/>
    <w:rsid w:val="784A620C"/>
    <w:rsid w:val="784D7AAA"/>
    <w:rsid w:val="78546E24"/>
    <w:rsid w:val="78570929"/>
    <w:rsid w:val="78593726"/>
    <w:rsid w:val="785D2852"/>
    <w:rsid w:val="785D5F3F"/>
    <w:rsid w:val="787B0173"/>
    <w:rsid w:val="78850FF2"/>
    <w:rsid w:val="78861271"/>
    <w:rsid w:val="788A6608"/>
    <w:rsid w:val="78911745"/>
    <w:rsid w:val="789254BD"/>
    <w:rsid w:val="789B6A68"/>
    <w:rsid w:val="78A90480"/>
    <w:rsid w:val="78C7785D"/>
    <w:rsid w:val="78E57CE3"/>
    <w:rsid w:val="78E75809"/>
    <w:rsid w:val="78EC72C3"/>
    <w:rsid w:val="79206F6D"/>
    <w:rsid w:val="792425B9"/>
    <w:rsid w:val="792541B8"/>
    <w:rsid w:val="792F71B0"/>
    <w:rsid w:val="79434761"/>
    <w:rsid w:val="79554E68"/>
    <w:rsid w:val="79627585"/>
    <w:rsid w:val="79674B9C"/>
    <w:rsid w:val="79694470"/>
    <w:rsid w:val="79780B57"/>
    <w:rsid w:val="79786DA9"/>
    <w:rsid w:val="797C0647"/>
    <w:rsid w:val="797F1CD4"/>
    <w:rsid w:val="798E3ED6"/>
    <w:rsid w:val="7993773F"/>
    <w:rsid w:val="79951709"/>
    <w:rsid w:val="79A27982"/>
    <w:rsid w:val="79AD6A52"/>
    <w:rsid w:val="79B109F5"/>
    <w:rsid w:val="79C97604"/>
    <w:rsid w:val="79CE69C9"/>
    <w:rsid w:val="79DC10E6"/>
    <w:rsid w:val="79E166FC"/>
    <w:rsid w:val="79F0693F"/>
    <w:rsid w:val="79F301DD"/>
    <w:rsid w:val="79F50C10"/>
    <w:rsid w:val="79FD5908"/>
    <w:rsid w:val="7A0D418F"/>
    <w:rsid w:val="7A0F40D4"/>
    <w:rsid w:val="7A1268B5"/>
    <w:rsid w:val="7A195BF9"/>
    <w:rsid w:val="7A1B7E60"/>
    <w:rsid w:val="7A24780B"/>
    <w:rsid w:val="7A2B3E1B"/>
    <w:rsid w:val="7A320D06"/>
    <w:rsid w:val="7A3251AA"/>
    <w:rsid w:val="7A356A48"/>
    <w:rsid w:val="7A3613CA"/>
    <w:rsid w:val="7A364017"/>
    <w:rsid w:val="7A3643D4"/>
    <w:rsid w:val="7A4F18B8"/>
    <w:rsid w:val="7A543372"/>
    <w:rsid w:val="7A555E8C"/>
    <w:rsid w:val="7A5944E4"/>
    <w:rsid w:val="7A650521"/>
    <w:rsid w:val="7A652E89"/>
    <w:rsid w:val="7A6B246A"/>
    <w:rsid w:val="7A8265E1"/>
    <w:rsid w:val="7A9479AC"/>
    <w:rsid w:val="7A996FD7"/>
    <w:rsid w:val="7AD4000F"/>
    <w:rsid w:val="7ADC6EC3"/>
    <w:rsid w:val="7AEE7323"/>
    <w:rsid w:val="7AF1471D"/>
    <w:rsid w:val="7AF4245F"/>
    <w:rsid w:val="7AF430BB"/>
    <w:rsid w:val="7AFA5109"/>
    <w:rsid w:val="7B004F54"/>
    <w:rsid w:val="7B00565C"/>
    <w:rsid w:val="7B18439F"/>
    <w:rsid w:val="7B1B3E90"/>
    <w:rsid w:val="7B204C45"/>
    <w:rsid w:val="7B271119"/>
    <w:rsid w:val="7B3D3241"/>
    <w:rsid w:val="7B4B7649"/>
    <w:rsid w:val="7B5724BB"/>
    <w:rsid w:val="7B58479C"/>
    <w:rsid w:val="7B686D42"/>
    <w:rsid w:val="7B6E5D6D"/>
    <w:rsid w:val="7B7C4E33"/>
    <w:rsid w:val="7B841746"/>
    <w:rsid w:val="7B845591"/>
    <w:rsid w:val="7B867C36"/>
    <w:rsid w:val="7B8732D3"/>
    <w:rsid w:val="7B9559F0"/>
    <w:rsid w:val="7B9571A7"/>
    <w:rsid w:val="7B974A82"/>
    <w:rsid w:val="7B9B0B2D"/>
    <w:rsid w:val="7BA06143"/>
    <w:rsid w:val="7BA46E03"/>
    <w:rsid w:val="7BA7127F"/>
    <w:rsid w:val="7BAB5214"/>
    <w:rsid w:val="7BC736D0"/>
    <w:rsid w:val="7BD06A28"/>
    <w:rsid w:val="7BDC53CD"/>
    <w:rsid w:val="7BEA38B4"/>
    <w:rsid w:val="7BF32717"/>
    <w:rsid w:val="7C077F70"/>
    <w:rsid w:val="7C0B5CB2"/>
    <w:rsid w:val="7C0C0BAF"/>
    <w:rsid w:val="7C1D098D"/>
    <w:rsid w:val="7C26489A"/>
    <w:rsid w:val="7C2B3C5E"/>
    <w:rsid w:val="7C2F7BF3"/>
    <w:rsid w:val="7C377F63"/>
    <w:rsid w:val="7C423C8F"/>
    <w:rsid w:val="7C431520"/>
    <w:rsid w:val="7C482A62"/>
    <w:rsid w:val="7C501917"/>
    <w:rsid w:val="7C596A1E"/>
    <w:rsid w:val="7C5F7DAC"/>
    <w:rsid w:val="7C675037"/>
    <w:rsid w:val="7C694787"/>
    <w:rsid w:val="7C6A53A9"/>
    <w:rsid w:val="7C6B04FF"/>
    <w:rsid w:val="7C6C5AC7"/>
    <w:rsid w:val="7C6F7FEF"/>
    <w:rsid w:val="7C75137E"/>
    <w:rsid w:val="7C8A1DD9"/>
    <w:rsid w:val="7C8E62B7"/>
    <w:rsid w:val="7C9712F4"/>
    <w:rsid w:val="7C9E6CC4"/>
    <w:rsid w:val="7CA53A11"/>
    <w:rsid w:val="7CB43349"/>
    <w:rsid w:val="7CBC51FE"/>
    <w:rsid w:val="7CC6544B"/>
    <w:rsid w:val="7CCA0125"/>
    <w:rsid w:val="7CD04806"/>
    <w:rsid w:val="7CD341EB"/>
    <w:rsid w:val="7CD47820"/>
    <w:rsid w:val="7CE309DD"/>
    <w:rsid w:val="7CEA1476"/>
    <w:rsid w:val="7CEE5606"/>
    <w:rsid w:val="7CF16C56"/>
    <w:rsid w:val="7CFD0DDD"/>
    <w:rsid w:val="7D0239FF"/>
    <w:rsid w:val="7D164121"/>
    <w:rsid w:val="7D1D5C9D"/>
    <w:rsid w:val="7D276B1C"/>
    <w:rsid w:val="7D4274B2"/>
    <w:rsid w:val="7D43322A"/>
    <w:rsid w:val="7D5A23B4"/>
    <w:rsid w:val="7D5E40CD"/>
    <w:rsid w:val="7D62010B"/>
    <w:rsid w:val="7D741635"/>
    <w:rsid w:val="7D7D2BE0"/>
    <w:rsid w:val="7D845D1C"/>
    <w:rsid w:val="7D8471D9"/>
    <w:rsid w:val="7DA43CC8"/>
    <w:rsid w:val="7DAE2D99"/>
    <w:rsid w:val="7DC12ACC"/>
    <w:rsid w:val="7DCD56F2"/>
    <w:rsid w:val="7DD722F0"/>
    <w:rsid w:val="7DD86068"/>
    <w:rsid w:val="7DE1316F"/>
    <w:rsid w:val="7DE93DD1"/>
    <w:rsid w:val="7DF47BAF"/>
    <w:rsid w:val="7DF52776"/>
    <w:rsid w:val="7DF54524"/>
    <w:rsid w:val="7DFD5ACF"/>
    <w:rsid w:val="7E07340F"/>
    <w:rsid w:val="7E1150D6"/>
    <w:rsid w:val="7E222935"/>
    <w:rsid w:val="7E237B36"/>
    <w:rsid w:val="7E2A7744"/>
    <w:rsid w:val="7E521BF9"/>
    <w:rsid w:val="7E525E1A"/>
    <w:rsid w:val="7E5F4093"/>
    <w:rsid w:val="7E742EE1"/>
    <w:rsid w:val="7E832F35"/>
    <w:rsid w:val="7E865AC4"/>
    <w:rsid w:val="7E925CCF"/>
    <w:rsid w:val="7EA71F32"/>
    <w:rsid w:val="7EA91828"/>
    <w:rsid w:val="7ECF1219"/>
    <w:rsid w:val="7ED24865"/>
    <w:rsid w:val="7ED444FD"/>
    <w:rsid w:val="7ED44A81"/>
    <w:rsid w:val="7ED500EA"/>
    <w:rsid w:val="7ED93E46"/>
    <w:rsid w:val="7EF84FD8"/>
    <w:rsid w:val="7F001CE7"/>
    <w:rsid w:val="7F005876"/>
    <w:rsid w:val="7F032C71"/>
    <w:rsid w:val="7F04073A"/>
    <w:rsid w:val="7F066F18"/>
    <w:rsid w:val="7F0B7D77"/>
    <w:rsid w:val="7F1C285B"/>
    <w:rsid w:val="7F21571F"/>
    <w:rsid w:val="7F2350C1"/>
    <w:rsid w:val="7F2D4191"/>
    <w:rsid w:val="7F54171E"/>
    <w:rsid w:val="7F5931D8"/>
    <w:rsid w:val="7F6236CF"/>
    <w:rsid w:val="7F631961"/>
    <w:rsid w:val="7F707618"/>
    <w:rsid w:val="7F7D7358"/>
    <w:rsid w:val="7F961D37"/>
    <w:rsid w:val="7F985AAF"/>
    <w:rsid w:val="7FB977D3"/>
    <w:rsid w:val="7FBD72C3"/>
    <w:rsid w:val="7FC22B2C"/>
    <w:rsid w:val="7FCF6FF7"/>
    <w:rsid w:val="7FD05249"/>
    <w:rsid w:val="7FE151A1"/>
    <w:rsid w:val="7FE47E50"/>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semiHidden="0" w:name="heading 2" w:locked="1"/>
    <w:lsdException w:qFormat="1" w:uiPriority="9" w:semiHidden="0" w:name="heading 3" w:locked="1"/>
    <w:lsdException w:qFormat="1" w:uiPriority="9" w:semiHidden="0" w:name="heading 4" w:locked="1"/>
    <w:lsdException w:qFormat="1" w:uiPriority="9" w:name="heading 5" w:locked="1"/>
    <w:lsdException w:qFormat="1" w:uiPriority="9" w:semiHidden="0"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35" w:name="caption" w:locked="1"/>
    <w:lsdException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qFormat="1"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zh-CN" w:bidi="ar-SA"/>
    </w:rPr>
  </w:style>
  <w:style w:type="paragraph" w:styleId="2">
    <w:name w:val="heading 1"/>
    <w:basedOn w:val="1"/>
    <w:next w:val="1"/>
    <w:link w:val="47"/>
    <w:qFormat/>
    <w:locked/>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link w:val="48"/>
    <w:unhideWhenUsed/>
    <w:qFormat/>
    <w:locked/>
    <w:uiPriority w:val="9"/>
    <w:pPr>
      <w:keepNext/>
      <w:keepLines/>
      <w:spacing w:before="40" w:after="0"/>
      <w:outlineLvl w:val="1"/>
    </w:pPr>
    <w:rPr>
      <w:rFonts w:asciiTheme="majorHAnsi" w:hAnsiTheme="majorHAnsi" w:eastAsiaTheme="majorEastAsia" w:cstheme="majorBidi"/>
      <w:color w:val="376092" w:themeColor="accent1" w:themeShade="BF"/>
      <w:sz w:val="28"/>
      <w:szCs w:val="28"/>
    </w:rPr>
  </w:style>
  <w:style w:type="paragraph" w:styleId="4">
    <w:name w:val="heading 3"/>
    <w:basedOn w:val="1"/>
    <w:next w:val="1"/>
    <w:link w:val="73"/>
    <w:unhideWhenUsed/>
    <w:qFormat/>
    <w:locked/>
    <w:uiPriority w:val="9"/>
    <w:pPr>
      <w:keepNext/>
      <w:keepLines/>
      <w:spacing w:before="40" w:after="0"/>
      <w:outlineLvl w:val="2"/>
    </w:pPr>
    <w:rPr>
      <w:rFonts w:asciiTheme="majorHAnsi" w:hAnsiTheme="majorHAnsi" w:eastAsiaTheme="majorEastAsia" w:cstheme="majorBidi"/>
      <w:color w:val="254061" w:themeColor="accent1" w:themeShade="80"/>
      <w:sz w:val="24"/>
      <w:szCs w:val="24"/>
    </w:rPr>
  </w:style>
  <w:style w:type="paragraph" w:styleId="5">
    <w:name w:val="heading 4"/>
    <w:basedOn w:val="1"/>
    <w:next w:val="1"/>
    <w:link w:val="193"/>
    <w:unhideWhenUsed/>
    <w:qFormat/>
    <w:locked/>
    <w:uiPriority w:val="9"/>
    <w:pPr>
      <w:keepNext/>
      <w:keepLines/>
      <w:spacing w:before="40" w:after="0"/>
      <w:outlineLvl w:val="3"/>
    </w:pPr>
    <w:rPr>
      <w:rFonts w:asciiTheme="majorHAnsi" w:hAnsiTheme="majorHAnsi" w:eastAsiaTheme="majorEastAsia" w:cstheme="majorBidi"/>
      <w:i/>
      <w:iCs/>
      <w:color w:val="376092" w:themeColor="accent1" w:themeShade="BF"/>
    </w:rPr>
  </w:style>
  <w:style w:type="paragraph" w:styleId="6">
    <w:name w:val="heading 5"/>
    <w:basedOn w:val="1"/>
    <w:next w:val="1"/>
    <w:link w:val="194"/>
    <w:semiHidden/>
    <w:unhideWhenUsed/>
    <w:qFormat/>
    <w:locked/>
    <w:uiPriority w:val="9"/>
    <w:pPr>
      <w:keepNext/>
      <w:keepLines/>
      <w:spacing w:before="40" w:after="0"/>
      <w:outlineLvl w:val="4"/>
    </w:pPr>
    <w:rPr>
      <w:rFonts w:asciiTheme="majorHAnsi" w:hAnsiTheme="majorHAnsi" w:eastAsiaTheme="majorEastAsia" w:cstheme="majorBidi"/>
      <w:color w:val="376092" w:themeColor="accent1" w:themeShade="BF"/>
    </w:rPr>
  </w:style>
  <w:style w:type="paragraph" w:styleId="7">
    <w:name w:val="heading 6"/>
    <w:basedOn w:val="1"/>
    <w:next w:val="1"/>
    <w:link w:val="195"/>
    <w:unhideWhenUsed/>
    <w:qFormat/>
    <w:locked/>
    <w:uiPriority w:val="9"/>
    <w:pPr>
      <w:keepNext/>
      <w:keepLines/>
      <w:spacing w:before="40" w:after="0"/>
      <w:outlineLvl w:val="5"/>
    </w:pPr>
    <w:rPr>
      <w:rFonts w:asciiTheme="majorHAnsi" w:hAnsiTheme="majorHAnsi" w:eastAsiaTheme="majorEastAsia" w:cstheme="majorBidi"/>
      <w:color w:val="254061" w:themeColor="accent1" w:themeShade="80"/>
    </w:rPr>
  </w:style>
  <w:style w:type="paragraph" w:styleId="8">
    <w:name w:val="heading 7"/>
    <w:basedOn w:val="1"/>
    <w:next w:val="1"/>
    <w:link w:val="196"/>
    <w:semiHidden/>
    <w:unhideWhenUsed/>
    <w:qFormat/>
    <w:locked/>
    <w:uiPriority w:val="9"/>
    <w:pPr>
      <w:keepNext/>
      <w:keepLines/>
      <w:spacing w:before="40" w:after="0"/>
      <w:outlineLvl w:val="6"/>
    </w:pPr>
    <w:rPr>
      <w:rFonts w:asciiTheme="majorHAnsi" w:hAnsiTheme="majorHAnsi" w:eastAsiaTheme="majorEastAsia" w:cstheme="majorBidi"/>
      <w:i/>
      <w:iCs/>
      <w:color w:val="254061" w:themeColor="accent1" w:themeShade="80"/>
    </w:rPr>
  </w:style>
  <w:style w:type="paragraph" w:styleId="9">
    <w:name w:val="heading 8"/>
    <w:basedOn w:val="1"/>
    <w:next w:val="1"/>
    <w:link w:val="197"/>
    <w:semiHidden/>
    <w:unhideWhenUsed/>
    <w:qFormat/>
    <w:locked/>
    <w:uiPriority w:val="9"/>
    <w:pPr>
      <w:keepNext/>
      <w:keepLines/>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198"/>
    <w:semiHidden/>
    <w:unhideWhenUsed/>
    <w:qFormat/>
    <w:locked/>
    <w:uiPriority w:val="9"/>
    <w:pPr>
      <w:keepNext/>
      <w:keepLines/>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locked/>
    <w:uiPriority w:val="0"/>
    <w:pPr>
      <w:ind w:left="1260"/>
    </w:pPr>
    <w:rPr>
      <w:rFonts w:ascii="Calibri" w:hAnsi="Calibri" w:cs="Calibri"/>
      <w:sz w:val="18"/>
      <w:szCs w:val="18"/>
    </w:rPr>
  </w:style>
  <w:style w:type="paragraph" w:styleId="12">
    <w:name w:val="table of authorities"/>
    <w:basedOn w:val="1"/>
    <w:next w:val="1"/>
    <w:semiHidden/>
    <w:qFormat/>
    <w:locked/>
    <w:uiPriority w:val="0"/>
    <w:pPr>
      <w:ind w:left="420" w:leftChars="200"/>
    </w:pPr>
  </w:style>
  <w:style w:type="paragraph" w:styleId="13">
    <w:name w:val="Note Heading"/>
    <w:basedOn w:val="1"/>
    <w:next w:val="1"/>
    <w:qFormat/>
    <w:locked/>
    <w:uiPriority w:val="0"/>
  </w:style>
  <w:style w:type="paragraph" w:styleId="14">
    <w:name w:val="Normal Indent"/>
    <w:basedOn w:val="1"/>
    <w:link w:val="49"/>
    <w:qFormat/>
    <w:locked/>
    <w:uiPriority w:val="99"/>
    <w:pPr>
      <w:spacing w:line="360" w:lineRule="auto"/>
      <w:ind w:firstLine="200" w:firstLineChars="200"/>
    </w:pPr>
    <w:rPr>
      <w:szCs w:val="20"/>
    </w:rPr>
  </w:style>
  <w:style w:type="paragraph" w:styleId="15">
    <w:name w:val="caption"/>
    <w:basedOn w:val="1"/>
    <w:next w:val="1"/>
    <w:semiHidden/>
    <w:unhideWhenUsed/>
    <w:qFormat/>
    <w:locked/>
    <w:uiPriority w:val="35"/>
    <w:pPr>
      <w:spacing w:after="200" w:line="240" w:lineRule="auto"/>
    </w:pPr>
    <w:rPr>
      <w:i/>
      <w:iCs/>
      <w:color w:val="1F497D" w:themeColor="text2"/>
      <w:sz w:val="18"/>
      <w:szCs w:val="18"/>
      <w14:textFill>
        <w14:solidFill>
          <w14:schemeClr w14:val="tx2"/>
        </w14:solidFill>
      </w14:textFill>
    </w:rPr>
  </w:style>
  <w:style w:type="paragraph" w:styleId="16">
    <w:name w:val="Document Map"/>
    <w:basedOn w:val="1"/>
    <w:link w:val="51"/>
    <w:qFormat/>
    <w:locked/>
    <w:uiPriority w:val="0"/>
    <w:rPr>
      <w:rFonts w:ascii="宋体"/>
      <w:sz w:val="18"/>
      <w:szCs w:val="18"/>
    </w:rPr>
  </w:style>
  <w:style w:type="paragraph" w:styleId="17">
    <w:name w:val="annotation text"/>
    <w:basedOn w:val="1"/>
    <w:link w:val="52"/>
    <w:semiHidden/>
    <w:qFormat/>
    <w:uiPriority w:val="0"/>
    <w:pPr>
      <w:spacing w:line="360" w:lineRule="auto"/>
      <w:ind w:firstLine="200" w:firstLineChars="200"/>
    </w:pPr>
    <w:rPr>
      <w:szCs w:val="20"/>
    </w:rPr>
  </w:style>
  <w:style w:type="paragraph" w:styleId="18">
    <w:name w:val="Salutation"/>
    <w:next w:val="1"/>
    <w:unhideWhenUsed/>
    <w:qFormat/>
    <w:locked/>
    <w:uiPriority w:val="99"/>
    <w:pPr>
      <w:widowControl w:val="0"/>
      <w:spacing w:after="160" w:line="307" w:lineRule="auto"/>
      <w:jc w:val="both"/>
    </w:pPr>
    <w:rPr>
      <w:rFonts w:ascii="Times New Roman" w:hAnsi="Times New Roman" w:eastAsia="宋体" w:cs="Times New Roman"/>
      <w:kern w:val="2"/>
      <w:sz w:val="21"/>
      <w:szCs w:val="24"/>
      <w:lang w:val="en-US" w:eastAsia="zh-CN" w:bidi="ar-SA"/>
    </w:rPr>
  </w:style>
  <w:style w:type="paragraph" w:styleId="19">
    <w:name w:val="Body Text"/>
    <w:basedOn w:val="1"/>
    <w:link w:val="50"/>
    <w:qFormat/>
    <w:uiPriority w:val="0"/>
    <w:pPr>
      <w:snapToGrid w:val="0"/>
      <w:spacing w:before="60"/>
      <w:ind w:right="113"/>
    </w:pPr>
    <w:rPr>
      <w:sz w:val="18"/>
      <w:szCs w:val="20"/>
    </w:rPr>
  </w:style>
  <w:style w:type="paragraph" w:styleId="20">
    <w:name w:val="Body Text Indent"/>
    <w:basedOn w:val="1"/>
    <w:next w:val="21"/>
    <w:link w:val="53"/>
    <w:qFormat/>
    <w:uiPriority w:val="0"/>
    <w:pPr>
      <w:spacing w:after="120"/>
      <w:ind w:left="420" w:leftChars="200"/>
    </w:pPr>
    <w:rPr>
      <w:szCs w:val="20"/>
    </w:rPr>
  </w:style>
  <w:style w:type="paragraph" w:styleId="21">
    <w:name w:val="Body Text First Indent 2"/>
    <w:basedOn w:val="1"/>
    <w:next w:val="22"/>
    <w:qFormat/>
    <w:locked/>
    <w:uiPriority w:val="0"/>
    <w:pPr>
      <w:ind w:firstLine="420" w:firstLineChars="200"/>
    </w:pPr>
    <w:rPr>
      <w:sz w:val="21"/>
    </w:rPr>
  </w:style>
  <w:style w:type="paragraph" w:styleId="22">
    <w:name w:val="Body Text First Indent"/>
    <w:basedOn w:val="19"/>
    <w:next w:val="1"/>
    <w:qFormat/>
    <w:locked/>
    <w:uiPriority w:val="0"/>
    <w:pPr>
      <w:spacing w:line="360" w:lineRule="auto"/>
      <w:ind w:right="0" w:firstLine="720" w:firstLineChars="200"/>
    </w:pPr>
    <w:rPr>
      <w:sz w:val="21"/>
    </w:rPr>
  </w:style>
  <w:style w:type="paragraph" w:styleId="23">
    <w:name w:val="index 4"/>
    <w:basedOn w:val="1"/>
    <w:next w:val="1"/>
    <w:qFormat/>
    <w:locked/>
    <w:uiPriority w:val="0"/>
    <w:pPr>
      <w:ind w:left="600" w:leftChars="600"/>
    </w:pPr>
    <w:rPr>
      <w:sz w:val="21"/>
    </w:rPr>
  </w:style>
  <w:style w:type="paragraph" w:styleId="24">
    <w:name w:val="Plain Text"/>
    <w:basedOn w:val="1"/>
    <w:next w:val="19"/>
    <w:qFormat/>
    <w:locked/>
    <w:uiPriority w:val="0"/>
    <w:rPr>
      <w:rFonts w:ascii="宋体" w:hAnsi="Courier New"/>
    </w:rPr>
  </w:style>
  <w:style w:type="paragraph" w:styleId="25">
    <w:name w:val="Date"/>
    <w:basedOn w:val="1"/>
    <w:next w:val="1"/>
    <w:link w:val="54"/>
    <w:qFormat/>
    <w:uiPriority w:val="0"/>
    <w:pPr>
      <w:ind w:left="100" w:leftChars="2500"/>
    </w:pPr>
    <w:rPr>
      <w:szCs w:val="20"/>
    </w:rPr>
  </w:style>
  <w:style w:type="paragraph" w:styleId="26">
    <w:name w:val="Body Text Indent 2"/>
    <w:basedOn w:val="1"/>
    <w:next w:val="1"/>
    <w:qFormat/>
    <w:locked/>
    <w:uiPriority w:val="0"/>
    <w:pPr>
      <w:adjustRightInd w:val="0"/>
      <w:snapToGrid w:val="0"/>
      <w:spacing w:line="360" w:lineRule="auto"/>
      <w:ind w:firstLine="1944" w:firstLineChars="1080"/>
    </w:pPr>
    <w:rPr>
      <w:sz w:val="18"/>
    </w:rPr>
  </w:style>
  <w:style w:type="paragraph" w:styleId="27">
    <w:name w:val="Balloon Text"/>
    <w:basedOn w:val="1"/>
    <w:link w:val="55"/>
    <w:semiHidden/>
    <w:qFormat/>
    <w:uiPriority w:val="0"/>
    <w:rPr>
      <w:sz w:val="18"/>
      <w:szCs w:val="20"/>
    </w:rPr>
  </w:style>
  <w:style w:type="paragraph" w:styleId="28">
    <w:name w:val="footer"/>
    <w:basedOn w:val="1"/>
    <w:next w:val="29"/>
    <w:link w:val="56"/>
    <w:qFormat/>
    <w:uiPriority w:val="99"/>
    <w:pPr>
      <w:tabs>
        <w:tab w:val="center" w:pos="4153"/>
        <w:tab w:val="right" w:pos="8306"/>
      </w:tabs>
      <w:snapToGrid w:val="0"/>
    </w:pPr>
    <w:rPr>
      <w:sz w:val="18"/>
      <w:szCs w:val="20"/>
    </w:rPr>
  </w:style>
  <w:style w:type="paragraph" w:styleId="29">
    <w:name w:val="Normal (Web)"/>
    <w:basedOn w:val="1"/>
    <w:link w:val="58"/>
    <w:qFormat/>
    <w:uiPriority w:val="0"/>
    <w:pPr>
      <w:spacing w:before="100" w:beforeAutospacing="1" w:after="100" w:afterAutospacing="1"/>
    </w:pPr>
    <w:rPr>
      <w:rFonts w:ascii="宋体" w:hAnsi="宋体"/>
      <w:szCs w:val="20"/>
    </w:rPr>
  </w:style>
  <w:style w:type="paragraph" w:styleId="30">
    <w:name w:val="envelope return"/>
    <w:basedOn w:val="1"/>
    <w:qFormat/>
    <w:locked/>
    <w:uiPriority w:val="0"/>
    <w:pPr>
      <w:adjustRightInd w:val="0"/>
      <w:snapToGrid w:val="0"/>
    </w:pPr>
    <w:rPr>
      <w:rFonts w:ascii="Arial" w:hAnsi="Arial"/>
    </w:rPr>
  </w:style>
  <w:style w:type="paragraph" w:styleId="31">
    <w:name w:val="header"/>
    <w:basedOn w:val="1"/>
    <w:link w:val="57"/>
    <w:qFormat/>
    <w:uiPriority w:val="0"/>
    <w:pPr>
      <w:pBdr>
        <w:bottom w:val="single" w:color="auto" w:sz="6" w:space="1"/>
      </w:pBdr>
      <w:tabs>
        <w:tab w:val="center" w:pos="4153"/>
        <w:tab w:val="right" w:pos="8306"/>
      </w:tabs>
      <w:snapToGrid w:val="0"/>
      <w:jc w:val="center"/>
    </w:pPr>
    <w:rPr>
      <w:sz w:val="18"/>
      <w:szCs w:val="20"/>
    </w:rPr>
  </w:style>
  <w:style w:type="paragraph" w:styleId="32">
    <w:name w:val="toc 1"/>
    <w:basedOn w:val="1"/>
    <w:next w:val="1"/>
    <w:unhideWhenUsed/>
    <w:qFormat/>
    <w:locked/>
    <w:uiPriority w:val="39"/>
    <w:pPr>
      <w:spacing w:before="360"/>
    </w:pPr>
    <w:rPr>
      <w:rFonts w:ascii="等线 Light" w:eastAsia="等线 Light"/>
      <w:b/>
      <w:bCs/>
      <w:caps/>
    </w:rPr>
  </w:style>
  <w:style w:type="paragraph" w:styleId="33">
    <w:name w:val="Subtitle"/>
    <w:basedOn w:val="1"/>
    <w:next w:val="1"/>
    <w:link w:val="200"/>
    <w:qFormat/>
    <w:locked/>
    <w:uiPriority w:val="11"/>
    <w:rPr>
      <w:color w:val="595959" w:themeColor="text1" w:themeTint="A6"/>
      <w:spacing w:val="15"/>
      <w14:textFill>
        <w14:solidFill>
          <w14:schemeClr w14:val="tx1">
            <w14:lumMod w14:val="65000"/>
            <w14:lumOff w14:val="35000"/>
          </w14:schemeClr>
        </w14:solidFill>
      </w14:textFill>
    </w:rPr>
  </w:style>
  <w:style w:type="paragraph" w:styleId="34">
    <w:name w:val="toc 2"/>
    <w:basedOn w:val="1"/>
    <w:next w:val="1"/>
    <w:qFormat/>
    <w:locked/>
    <w:uiPriority w:val="0"/>
    <w:pPr>
      <w:ind w:left="420" w:leftChars="200"/>
    </w:pPr>
  </w:style>
  <w:style w:type="paragraph" w:styleId="35">
    <w:name w:val="Title"/>
    <w:basedOn w:val="1"/>
    <w:next w:val="1"/>
    <w:link w:val="199"/>
    <w:qFormat/>
    <w:locked/>
    <w:uiPriority w:val="10"/>
    <w:pPr>
      <w:spacing w:after="0" w:line="240" w:lineRule="auto"/>
      <w:contextualSpacing/>
    </w:pPr>
    <w:rPr>
      <w:rFonts w:asciiTheme="majorHAnsi" w:hAnsiTheme="majorHAnsi" w:eastAsiaTheme="majorEastAsia" w:cstheme="majorBidi"/>
      <w:spacing w:val="-10"/>
      <w:sz w:val="56"/>
      <w:szCs w:val="56"/>
    </w:rPr>
  </w:style>
  <w:style w:type="paragraph" w:styleId="36">
    <w:name w:val="annotation subject"/>
    <w:basedOn w:val="17"/>
    <w:next w:val="17"/>
    <w:link w:val="59"/>
    <w:semiHidden/>
    <w:qFormat/>
    <w:uiPriority w:val="0"/>
    <w:rPr>
      <w:b/>
    </w:rPr>
  </w:style>
  <w:style w:type="table" w:styleId="38">
    <w:name w:val="Table Grid"/>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locked/>
    <w:uiPriority w:val="22"/>
    <w:rPr>
      <w:b/>
      <w:bCs/>
      <w:color w:val="auto"/>
    </w:rPr>
  </w:style>
  <w:style w:type="character" w:styleId="41">
    <w:name w:val="page number"/>
    <w:qFormat/>
    <w:locked/>
    <w:uiPriority w:val="0"/>
  </w:style>
  <w:style w:type="character" w:styleId="42">
    <w:name w:val="Emphasis"/>
    <w:basedOn w:val="39"/>
    <w:qFormat/>
    <w:locked/>
    <w:uiPriority w:val="20"/>
    <w:rPr>
      <w:i/>
      <w:iCs/>
      <w:color w:val="auto"/>
    </w:rPr>
  </w:style>
  <w:style w:type="character" w:styleId="43">
    <w:name w:val="Hyperlink"/>
    <w:qFormat/>
    <w:locked/>
    <w:uiPriority w:val="0"/>
    <w:rPr>
      <w:color w:val="0000FF"/>
      <w:u w:val="single"/>
    </w:rPr>
  </w:style>
  <w:style w:type="character" w:styleId="44">
    <w:name w:val="annotation reference"/>
    <w:semiHidden/>
    <w:qFormat/>
    <w:uiPriority w:val="0"/>
    <w:rPr>
      <w:sz w:val="21"/>
    </w:rPr>
  </w:style>
  <w:style w:type="paragraph" w:customStyle="1" w:styleId="45">
    <w:name w:val="Default"/>
    <w:basedOn w:val="46"/>
    <w:next w:val="11"/>
    <w:unhideWhenUsed/>
    <w:qFormat/>
    <w:uiPriority w:val="0"/>
    <w:pPr>
      <w:widowControl w:val="0"/>
      <w:autoSpaceDE w:val="0"/>
      <w:autoSpaceDN w:val="0"/>
      <w:adjustRightInd w:val="0"/>
    </w:pPr>
    <w:rPr>
      <w:rFonts w:hint="eastAsia" w:ascii="Calibri" w:hAnsi="Calibri" w:eastAsia="Times New Roman" w:cs="Times New Roman"/>
      <w:color w:val="000000"/>
      <w:sz w:val="24"/>
      <w:szCs w:val="22"/>
    </w:rPr>
  </w:style>
  <w:style w:type="paragraph" w:customStyle="1" w:styleId="46">
    <w:name w:val="标题 段落4级"/>
    <w:qFormat/>
    <w:uiPriority w:val="0"/>
    <w:pPr>
      <w:spacing w:after="160" w:line="500" w:lineRule="exact"/>
      <w:outlineLvl w:val="3"/>
    </w:pPr>
    <w:rPr>
      <w:rFonts w:ascii="Times New Roman" w:hAnsi="Times New Roman" w:eastAsia="仿宋_GB2312" w:cs="Calibri"/>
      <w:b/>
      <w:kern w:val="2"/>
      <w:sz w:val="28"/>
      <w:szCs w:val="24"/>
      <w:lang w:val="en-US" w:eastAsia="zh-CN" w:bidi="ar-SA"/>
    </w:rPr>
  </w:style>
  <w:style w:type="character" w:customStyle="1" w:styleId="47">
    <w:name w:val="标题 1 字符"/>
    <w:basedOn w:val="39"/>
    <w:link w:val="2"/>
    <w:qFormat/>
    <w:uiPriority w:val="9"/>
    <w:rPr>
      <w:rFonts w:asciiTheme="majorHAnsi" w:hAnsiTheme="majorHAnsi" w:eastAsiaTheme="majorEastAsia" w:cstheme="majorBidi"/>
      <w:color w:val="376092" w:themeColor="accent1" w:themeShade="BF"/>
      <w:sz w:val="32"/>
      <w:szCs w:val="32"/>
    </w:rPr>
  </w:style>
  <w:style w:type="character" w:customStyle="1" w:styleId="48">
    <w:name w:val="标题 2 字符"/>
    <w:basedOn w:val="39"/>
    <w:link w:val="3"/>
    <w:qFormat/>
    <w:uiPriority w:val="9"/>
    <w:rPr>
      <w:rFonts w:asciiTheme="majorHAnsi" w:hAnsiTheme="majorHAnsi" w:eastAsiaTheme="majorEastAsia" w:cstheme="majorBidi"/>
      <w:color w:val="376092" w:themeColor="accent1" w:themeShade="BF"/>
      <w:sz w:val="28"/>
      <w:szCs w:val="28"/>
    </w:rPr>
  </w:style>
  <w:style w:type="character" w:customStyle="1" w:styleId="49">
    <w:name w:val="正文缩进 字符"/>
    <w:link w:val="14"/>
    <w:qFormat/>
    <w:uiPriority w:val="0"/>
    <w:rPr>
      <w:rFonts w:hint="eastAsia" w:ascii="黑体" w:hAnsi="宋体" w:eastAsia="黑体" w:cs="黑体"/>
      <w:kern w:val="2"/>
      <w:sz w:val="24"/>
    </w:rPr>
  </w:style>
  <w:style w:type="character" w:customStyle="1" w:styleId="50">
    <w:name w:val="正文文本 字符"/>
    <w:link w:val="19"/>
    <w:qFormat/>
    <w:locked/>
    <w:uiPriority w:val="0"/>
    <w:rPr>
      <w:sz w:val="18"/>
    </w:rPr>
  </w:style>
  <w:style w:type="character" w:customStyle="1" w:styleId="51">
    <w:name w:val="文档结构图 字符"/>
    <w:link w:val="16"/>
    <w:qFormat/>
    <w:uiPriority w:val="0"/>
    <w:rPr>
      <w:rFonts w:ascii="宋体"/>
      <w:kern w:val="2"/>
      <w:sz w:val="18"/>
      <w:szCs w:val="18"/>
    </w:rPr>
  </w:style>
  <w:style w:type="character" w:customStyle="1" w:styleId="52">
    <w:name w:val="批注文字 字符"/>
    <w:link w:val="17"/>
    <w:qFormat/>
    <w:locked/>
    <w:uiPriority w:val="0"/>
    <w:rPr>
      <w:rFonts w:ascii="Times New Roman" w:hAnsi="Times New Roman" w:eastAsia="宋体"/>
      <w:sz w:val="24"/>
    </w:rPr>
  </w:style>
  <w:style w:type="character" w:customStyle="1" w:styleId="53">
    <w:name w:val="正文文本缩进 字符1"/>
    <w:link w:val="20"/>
    <w:qFormat/>
    <w:uiPriority w:val="0"/>
    <w:rPr>
      <w:rFonts w:ascii="宋体" w:hAnsi="宋体" w:eastAsia="仿宋_GB2312" w:cs="Courier New"/>
      <w:kern w:val="2"/>
      <w:sz w:val="28"/>
      <w:szCs w:val="32"/>
      <w:lang w:val="en-US" w:eastAsia="zh-CN" w:bidi="ar-SA"/>
    </w:rPr>
  </w:style>
  <w:style w:type="character" w:customStyle="1" w:styleId="54">
    <w:name w:val="日期 字符1"/>
    <w:link w:val="25"/>
    <w:qFormat/>
    <w:locked/>
    <w:uiPriority w:val="0"/>
    <w:rPr>
      <w:rFonts w:ascii="Times New Roman" w:hAnsi="Times New Roman" w:eastAsia="宋体"/>
      <w:sz w:val="24"/>
    </w:rPr>
  </w:style>
  <w:style w:type="character" w:customStyle="1" w:styleId="55">
    <w:name w:val="批注框文本 字符"/>
    <w:link w:val="27"/>
    <w:semiHidden/>
    <w:qFormat/>
    <w:locked/>
    <w:uiPriority w:val="0"/>
    <w:rPr>
      <w:rFonts w:ascii="Times New Roman" w:hAnsi="Times New Roman" w:eastAsia="宋体"/>
      <w:sz w:val="18"/>
    </w:rPr>
  </w:style>
  <w:style w:type="character" w:customStyle="1" w:styleId="56">
    <w:name w:val="页脚 字符1"/>
    <w:link w:val="28"/>
    <w:qFormat/>
    <w:locked/>
    <w:uiPriority w:val="99"/>
    <w:rPr>
      <w:sz w:val="18"/>
    </w:rPr>
  </w:style>
  <w:style w:type="character" w:customStyle="1" w:styleId="57">
    <w:name w:val="页眉 字符"/>
    <w:link w:val="31"/>
    <w:qFormat/>
    <w:locked/>
    <w:uiPriority w:val="0"/>
    <w:rPr>
      <w:sz w:val="18"/>
    </w:rPr>
  </w:style>
  <w:style w:type="character" w:customStyle="1" w:styleId="58">
    <w:name w:val="普通(网站) 字符"/>
    <w:link w:val="29"/>
    <w:qFormat/>
    <w:locked/>
    <w:uiPriority w:val="0"/>
    <w:rPr>
      <w:rFonts w:ascii="宋体" w:hAnsi="宋体" w:eastAsia="宋体"/>
      <w:sz w:val="24"/>
    </w:rPr>
  </w:style>
  <w:style w:type="character" w:customStyle="1" w:styleId="59">
    <w:name w:val="批注主题 字符"/>
    <w:link w:val="36"/>
    <w:semiHidden/>
    <w:qFormat/>
    <w:locked/>
    <w:uiPriority w:val="0"/>
    <w:rPr>
      <w:rFonts w:ascii="Times New Roman" w:hAnsi="Times New Roman" w:eastAsia="宋体"/>
      <w:b/>
      <w:kern w:val="2"/>
      <w:sz w:val="24"/>
    </w:rPr>
  </w:style>
  <w:style w:type="character" w:customStyle="1" w:styleId="60">
    <w:name w:val="font61"/>
    <w:qFormat/>
    <w:uiPriority w:val="0"/>
    <w:rPr>
      <w:rFonts w:hint="eastAsia" w:ascii="宋体" w:hAnsi="宋体" w:eastAsia="宋体" w:cs="宋体"/>
      <w:color w:val="000000"/>
      <w:sz w:val="18"/>
      <w:szCs w:val="18"/>
      <w:u w:val="none"/>
    </w:rPr>
  </w:style>
  <w:style w:type="character" w:customStyle="1" w:styleId="61">
    <w:name w:val="Q表格标题 Char"/>
    <w:link w:val="62"/>
    <w:qFormat/>
    <w:uiPriority w:val="0"/>
    <w:rPr>
      <w:b/>
      <w:kern w:val="2"/>
      <w:sz w:val="24"/>
      <w:szCs w:val="24"/>
    </w:rPr>
  </w:style>
  <w:style w:type="paragraph" w:customStyle="1" w:styleId="62">
    <w:name w:val="Q表格标题"/>
    <w:basedOn w:val="1"/>
    <w:link w:val="61"/>
    <w:qFormat/>
    <w:uiPriority w:val="0"/>
    <w:pPr>
      <w:spacing w:line="360" w:lineRule="auto"/>
      <w:jc w:val="center"/>
      <w:outlineLvl w:val="4"/>
    </w:pPr>
    <w:rPr>
      <w:b/>
    </w:rPr>
  </w:style>
  <w:style w:type="character" w:customStyle="1" w:styleId="63">
    <w:name w:val="Font Style92"/>
    <w:qFormat/>
    <w:uiPriority w:val="0"/>
    <w:rPr>
      <w:rFonts w:hint="eastAsia" w:ascii="宋体" w:hAnsi="宋体" w:eastAsia="宋体" w:cs="宋体"/>
      <w:spacing w:val="10"/>
      <w:sz w:val="26"/>
      <w:szCs w:val="26"/>
    </w:rPr>
  </w:style>
  <w:style w:type="character" w:customStyle="1" w:styleId="64">
    <w:name w:val="font31"/>
    <w:qFormat/>
    <w:uiPriority w:val="0"/>
    <w:rPr>
      <w:rFonts w:hint="default" w:ascii="Times New Roman" w:hAnsi="Times New Roman" w:cs="Times New Roman"/>
      <w:color w:val="000000"/>
      <w:sz w:val="21"/>
      <w:szCs w:val="21"/>
      <w:u w:val="none"/>
      <w:vertAlign w:val="superscript"/>
    </w:rPr>
  </w:style>
  <w:style w:type="character" w:customStyle="1" w:styleId="65">
    <w:name w:val="font21"/>
    <w:qFormat/>
    <w:uiPriority w:val="0"/>
    <w:rPr>
      <w:rFonts w:hint="eastAsia" w:ascii="宋体" w:hAnsi="宋体" w:eastAsia="宋体" w:cs="宋体"/>
      <w:color w:val="000000"/>
      <w:sz w:val="21"/>
      <w:szCs w:val="21"/>
      <w:u w:val="none"/>
    </w:rPr>
  </w:style>
  <w:style w:type="character" w:customStyle="1" w:styleId="66">
    <w:name w:val="表格 Char"/>
    <w:link w:val="67"/>
    <w:qFormat/>
    <w:locked/>
    <w:uiPriority w:val="0"/>
    <w:rPr>
      <w:rFonts w:ascii="宋体"/>
      <w:sz w:val="21"/>
    </w:rPr>
  </w:style>
  <w:style w:type="paragraph" w:customStyle="1" w:styleId="67">
    <w:name w:val="表格"/>
    <w:basedOn w:val="1"/>
    <w:next w:val="1"/>
    <w:link w:val="66"/>
    <w:qFormat/>
    <w:uiPriority w:val="0"/>
    <w:pPr>
      <w:adjustRightInd w:val="0"/>
      <w:snapToGrid w:val="0"/>
      <w:spacing w:beforeLines="10" w:afterLines="10"/>
      <w:jc w:val="center"/>
    </w:pPr>
    <w:rPr>
      <w:rFonts w:ascii="宋体"/>
      <w:szCs w:val="20"/>
    </w:rPr>
  </w:style>
  <w:style w:type="character" w:customStyle="1" w:styleId="68">
    <w:name w:val="表格内容 Char1"/>
    <w:qFormat/>
    <w:uiPriority w:val="0"/>
    <w:rPr>
      <w:rFonts w:hint="eastAsia" w:ascii="宋体" w:hAnsi="宋体" w:eastAsia="宋体" w:cs="宋体"/>
      <w:kern w:val="0"/>
      <w:sz w:val="21"/>
    </w:rPr>
  </w:style>
  <w:style w:type="character" w:customStyle="1" w:styleId="69">
    <w:name w:val="表格标题QQ Char"/>
    <w:link w:val="70"/>
    <w:qFormat/>
    <w:uiPriority w:val="0"/>
    <w:rPr>
      <w:b/>
    </w:rPr>
  </w:style>
  <w:style w:type="paragraph" w:customStyle="1" w:styleId="70">
    <w:name w:val="表格标题QQ"/>
    <w:basedOn w:val="1"/>
    <w:link w:val="69"/>
    <w:qFormat/>
    <w:uiPriority w:val="0"/>
    <w:pPr>
      <w:jc w:val="center"/>
      <w:outlineLvl w:val="4"/>
    </w:pPr>
    <w:rPr>
      <w:b/>
      <w:sz w:val="20"/>
      <w:szCs w:val="20"/>
    </w:rPr>
  </w:style>
  <w:style w:type="character" w:customStyle="1" w:styleId="71">
    <w:name w:val="页脚 字符"/>
    <w:qFormat/>
    <w:uiPriority w:val="99"/>
  </w:style>
  <w:style w:type="character" w:customStyle="1" w:styleId="72">
    <w:name w:val="批注文字 字符1"/>
    <w:semiHidden/>
    <w:qFormat/>
    <w:uiPriority w:val="0"/>
    <w:rPr>
      <w:rFonts w:ascii="Times New Roman" w:hAnsi="Times New Roman" w:eastAsia="宋体"/>
      <w:sz w:val="24"/>
    </w:rPr>
  </w:style>
  <w:style w:type="character" w:customStyle="1" w:styleId="73">
    <w:name w:val="标题 3 字符"/>
    <w:basedOn w:val="39"/>
    <w:link w:val="4"/>
    <w:qFormat/>
    <w:uiPriority w:val="9"/>
    <w:rPr>
      <w:rFonts w:asciiTheme="majorHAnsi" w:hAnsiTheme="majorHAnsi" w:eastAsiaTheme="majorEastAsia" w:cstheme="majorBidi"/>
      <w:color w:val="254061" w:themeColor="accent1" w:themeShade="80"/>
      <w:sz w:val="24"/>
      <w:szCs w:val="24"/>
    </w:rPr>
  </w:style>
  <w:style w:type="character" w:customStyle="1" w:styleId="74">
    <w:name w:val="样式 zhang正文 + 宋体 小四 Char"/>
    <w:link w:val="75"/>
    <w:qFormat/>
    <w:uiPriority w:val="0"/>
    <w:rPr>
      <w:rFonts w:ascii="宋体" w:hAnsi="宋体" w:eastAsia="宋体" w:cs="Courier New"/>
      <w:kern w:val="0"/>
      <w:sz w:val="24"/>
      <w:szCs w:val="32"/>
      <w:lang w:val="en-US" w:eastAsia="zh-CN" w:bidi="ar-SA"/>
    </w:rPr>
  </w:style>
  <w:style w:type="paragraph" w:customStyle="1" w:styleId="75">
    <w:name w:val="样式 zhang正文 + 宋体 小四"/>
    <w:basedOn w:val="76"/>
    <w:link w:val="74"/>
    <w:qFormat/>
    <w:uiPriority w:val="0"/>
    <w:rPr>
      <w:rFonts w:ascii="宋体" w:hAnsi="宋体" w:eastAsia="宋体"/>
    </w:rPr>
  </w:style>
  <w:style w:type="paragraph" w:customStyle="1" w:styleId="76">
    <w:name w:val="zhang正文"/>
    <w:basedOn w:val="20"/>
    <w:next w:val="1"/>
    <w:link w:val="77"/>
    <w:qFormat/>
    <w:uiPriority w:val="0"/>
    <w:pPr>
      <w:autoSpaceDE w:val="0"/>
      <w:autoSpaceDN w:val="0"/>
      <w:adjustRightInd w:val="0"/>
      <w:snapToGrid w:val="0"/>
      <w:spacing w:line="500" w:lineRule="exact"/>
      <w:ind w:firstLine="539"/>
      <w:textAlignment w:val="baseline"/>
    </w:pPr>
    <w:rPr>
      <w:rFonts w:eastAsia="楷体_GB2312"/>
    </w:rPr>
  </w:style>
  <w:style w:type="character" w:customStyle="1" w:styleId="77">
    <w:name w:val="zhang正文 Char1"/>
    <w:link w:val="76"/>
    <w:qFormat/>
    <w:uiPriority w:val="0"/>
    <w:rPr>
      <w:rFonts w:ascii="宋体" w:hAnsi="宋体" w:eastAsia="楷体_GB2312" w:cs="Courier New"/>
      <w:kern w:val="0"/>
      <w:sz w:val="28"/>
      <w:szCs w:val="32"/>
      <w:lang w:val="en-US" w:eastAsia="zh-CN" w:bidi="ar-SA"/>
    </w:rPr>
  </w:style>
  <w:style w:type="character" w:customStyle="1" w:styleId="78">
    <w:name w:val="font41"/>
    <w:qFormat/>
    <w:uiPriority w:val="0"/>
    <w:rPr>
      <w:rFonts w:hint="default" w:ascii="Times New Roman" w:hAnsi="Times New Roman" w:cs="Times New Roman"/>
      <w:color w:val="000000"/>
      <w:sz w:val="22"/>
      <w:szCs w:val="22"/>
      <w:u w:val="none"/>
    </w:rPr>
  </w:style>
  <w:style w:type="character" w:customStyle="1" w:styleId="79">
    <w:name w:val="正文文本缩进 字符"/>
    <w:semiHidden/>
    <w:qFormat/>
    <w:locked/>
    <w:uiPriority w:val="0"/>
    <w:rPr>
      <w:rFonts w:ascii="Times New Roman" w:hAnsi="Times New Roman" w:eastAsia="宋体"/>
      <w:sz w:val="24"/>
    </w:rPr>
  </w:style>
  <w:style w:type="character" w:customStyle="1" w:styleId="80">
    <w:name w:val="表格标题CCW Char"/>
    <w:qFormat/>
    <w:uiPriority w:val="0"/>
    <w:rPr>
      <w:b/>
      <w:sz w:val="24"/>
    </w:rPr>
  </w:style>
  <w:style w:type="character" w:customStyle="1" w:styleId="81">
    <w:name w:val="font81"/>
    <w:qFormat/>
    <w:uiPriority w:val="0"/>
    <w:rPr>
      <w:rFonts w:hint="eastAsia" w:ascii="宋体" w:hAnsi="宋体" w:eastAsia="宋体" w:cs="宋体"/>
      <w:color w:val="000000"/>
      <w:sz w:val="18"/>
      <w:szCs w:val="18"/>
      <w:u w:val="none"/>
    </w:rPr>
  </w:style>
  <w:style w:type="character" w:customStyle="1" w:styleId="82">
    <w:name w:val="15"/>
    <w:qFormat/>
    <w:uiPriority w:val="0"/>
    <w:rPr>
      <w:rFonts w:hint="eastAsia" w:ascii="宋体" w:hAnsi="宋体" w:eastAsia="宋体"/>
      <w:spacing w:val="10"/>
      <w:sz w:val="26"/>
      <w:szCs w:val="26"/>
    </w:rPr>
  </w:style>
  <w:style w:type="character" w:customStyle="1" w:styleId="83">
    <w:name w:val="表格内正文1 Char Char"/>
    <w:link w:val="84"/>
    <w:qFormat/>
    <w:uiPriority w:val="0"/>
    <w:rPr>
      <w:sz w:val="21"/>
    </w:rPr>
  </w:style>
  <w:style w:type="paragraph" w:customStyle="1" w:styleId="84">
    <w:name w:val="表格内正文1"/>
    <w:basedOn w:val="1"/>
    <w:next w:val="1"/>
    <w:link w:val="83"/>
    <w:qFormat/>
    <w:uiPriority w:val="0"/>
    <w:pPr>
      <w:adjustRightInd w:val="0"/>
      <w:snapToGrid w:val="0"/>
      <w:jc w:val="center"/>
    </w:pPr>
    <w:rPr>
      <w:sz w:val="21"/>
    </w:rPr>
  </w:style>
  <w:style w:type="character" w:customStyle="1" w:styleId="85">
    <w:name w:val="font11"/>
    <w:qFormat/>
    <w:uiPriority w:val="0"/>
    <w:rPr>
      <w:rFonts w:hint="eastAsia" w:ascii="宋体" w:hAnsi="宋体" w:eastAsia="宋体" w:cs="宋体"/>
      <w:color w:val="000000"/>
      <w:sz w:val="21"/>
      <w:szCs w:val="21"/>
      <w:u w:val="none"/>
    </w:rPr>
  </w:style>
  <w:style w:type="character" w:customStyle="1" w:styleId="86">
    <w:name w:val="正文文本 字符1"/>
    <w:semiHidden/>
    <w:qFormat/>
    <w:uiPriority w:val="0"/>
    <w:rPr>
      <w:rFonts w:ascii="Times New Roman" w:hAnsi="Times New Roman" w:eastAsia="宋体"/>
      <w:sz w:val="24"/>
    </w:rPr>
  </w:style>
  <w:style w:type="character" w:customStyle="1" w:styleId="87">
    <w:name w:val="表格内容 Char Char"/>
    <w:qFormat/>
    <w:uiPriority w:val="0"/>
    <w:rPr>
      <w:rFonts w:ascii="Times New Roman" w:hAnsi="Times New Roman" w:eastAsia="宋体" w:cs="Times New Roman"/>
      <w:kern w:val="2"/>
      <w:sz w:val="21"/>
      <w:szCs w:val="22"/>
    </w:rPr>
  </w:style>
  <w:style w:type="character" w:customStyle="1" w:styleId="88">
    <w:name w:val="font01"/>
    <w:qFormat/>
    <w:uiPriority w:val="0"/>
    <w:rPr>
      <w:rFonts w:hint="eastAsia" w:ascii="宋体" w:hAnsi="宋体" w:eastAsia="宋体" w:cs="宋体"/>
      <w:color w:val="000000"/>
      <w:sz w:val="21"/>
      <w:szCs w:val="21"/>
      <w:u w:val="none"/>
    </w:rPr>
  </w:style>
  <w:style w:type="character" w:customStyle="1" w:styleId="89">
    <w:name w:val="font71"/>
    <w:qFormat/>
    <w:uiPriority w:val="0"/>
    <w:rPr>
      <w:rFonts w:ascii="微软雅黑" w:hAnsi="微软雅黑" w:eastAsia="微软雅黑" w:cs="微软雅黑"/>
      <w:color w:val="333333"/>
      <w:sz w:val="24"/>
      <w:szCs w:val="24"/>
      <w:u w:val="none"/>
    </w:rPr>
  </w:style>
  <w:style w:type="character" w:customStyle="1" w:styleId="90">
    <w:name w:val="font51"/>
    <w:qFormat/>
    <w:uiPriority w:val="0"/>
    <w:rPr>
      <w:rFonts w:hint="eastAsia" w:ascii="微软雅黑" w:hAnsi="微软雅黑" w:eastAsia="微软雅黑" w:cs="微软雅黑"/>
      <w:color w:val="333333"/>
      <w:sz w:val="24"/>
      <w:szCs w:val="24"/>
      <w:u w:val="none"/>
    </w:rPr>
  </w:style>
  <w:style w:type="character" w:customStyle="1" w:styleId="91">
    <w:name w:val="正文文本首行缩进 2 字符"/>
    <w:qFormat/>
    <w:uiPriority w:val="0"/>
    <w:rPr>
      <w:kern w:val="2"/>
      <w:sz w:val="24"/>
      <w:szCs w:val="24"/>
    </w:rPr>
  </w:style>
  <w:style w:type="character" w:customStyle="1" w:styleId="92">
    <w:name w:val="日期 字符"/>
    <w:semiHidden/>
    <w:qFormat/>
    <w:uiPriority w:val="0"/>
    <w:rPr>
      <w:rFonts w:ascii="Times New Roman" w:hAnsi="Times New Roman" w:eastAsia="宋体"/>
      <w:sz w:val="24"/>
    </w:rPr>
  </w:style>
  <w:style w:type="character" w:customStyle="1" w:styleId="93">
    <w:name w:val="正文（小四） Char"/>
    <w:qFormat/>
    <w:uiPriority w:val="0"/>
    <w:rPr>
      <w:bCs/>
      <w:color w:val="000000"/>
      <w:kern w:val="2"/>
      <w:sz w:val="24"/>
      <w:szCs w:val="32"/>
    </w:rPr>
  </w:style>
  <w:style w:type="paragraph" w:customStyle="1" w:styleId="94">
    <w:name w:val="xl57"/>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b/>
      <w:bCs/>
      <w:sz w:val="20"/>
      <w:szCs w:val="20"/>
    </w:rPr>
  </w:style>
  <w:style w:type="paragraph" w:customStyle="1" w:styleId="95">
    <w:name w:val="表格正文"/>
    <w:basedOn w:val="1"/>
    <w:qFormat/>
    <w:uiPriority w:val="0"/>
    <w:pPr>
      <w:jc w:val="center"/>
    </w:pPr>
    <w:rPr>
      <w:sz w:val="21"/>
    </w:rPr>
  </w:style>
  <w:style w:type="paragraph" w:styleId="96">
    <w:name w:val="List Paragraph"/>
    <w:basedOn w:val="1"/>
    <w:next w:val="1"/>
    <w:qFormat/>
    <w:uiPriority w:val="34"/>
    <w:pPr>
      <w:ind w:firstLine="420" w:firstLineChars="200"/>
    </w:pPr>
  </w:style>
  <w:style w:type="paragraph" w:styleId="97">
    <w:name w:val="Quote"/>
    <w:basedOn w:val="1"/>
    <w:next w:val="1"/>
    <w:link w:val="201"/>
    <w:qFormat/>
    <w:uiPriority w:val="29"/>
    <w:pPr>
      <w:spacing w:before="200"/>
      <w:ind w:left="864" w:right="864"/>
    </w:pPr>
    <w:rPr>
      <w:i/>
      <w:iCs/>
      <w:color w:val="404040" w:themeColor="text1" w:themeTint="BF"/>
      <w14:textFill>
        <w14:solidFill>
          <w14:schemeClr w14:val="tx1">
            <w14:lumMod w14:val="75000"/>
            <w14:lumOff w14:val="25000"/>
          </w14:schemeClr>
        </w14:solidFill>
      </w14:textFill>
    </w:rPr>
  </w:style>
  <w:style w:type="paragraph" w:customStyle="1" w:styleId="98">
    <w:name w:val="J标题二"/>
    <w:next w:val="99"/>
    <w:qFormat/>
    <w:uiPriority w:val="0"/>
    <w:pPr>
      <w:spacing w:after="160" w:line="360" w:lineRule="auto"/>
    </w:pPr>
    <w:rPr>
      <w:rFonts w:ascii="Times New Roman" w:hAnsi="Times New Roman" w:eastAsia="宋体" w:cs="宋体"/>
      <w:b/>
      <w:snapToGrid w:val="0"/>
      <w:sz w:val="21"/>
      <w:szCs w:val="22"/>
      <w:lang w:val="en-US" w:eastAsia="zh-CN" w:bidi="ar-SA"/>
    </w:rPr>
  </w:style>
  <w:style w:type="paragraph" w:customStyle="1" w:styleId="99">
    <w:name w:val="J报告表正文"/>
    <w:qFormat/>
    <w:uiPriority w:val="0"/>
    <w:pPr>
      <w:spacing w:after="160" w:line="360" w:lineRule="auto"/>
      <w:ind w:firstLine="200" w:firstLineChars="200"/>
      <w:jc w:val="both"/>
    </w:pPr>
    <w:rPr>
      <w:rFonts w:ascii="Times New Roman" w:hAnsi="Times New Roman" w:eastAsia="宋体" w:cs="宋体"/>
      <w:snapToGrid w:val="0"/>
      <w:sz w:val="21"/>
      <w:szCs w:val="22"/>
      <w:lang w:val="en-US" w:eastAsia="zh-CN" w:bidi="ar-SA"/>
    </w:rPr>
  </w:style>
  <w:style w:type="paragraph" w:customStyle="1" w:styleId="100">
    <w:name w:val="图表标题"/>
    <w:basedOn w:val="1"/>
    <w:next w:val="1"/>
    <w:qFormat/>
    <w:uiPriority w:val="0"/>
    <w:pPr>
      <w:jc w:val="center"/>
    </w:pPr>
    <w:rPr>
      <w:b/>
    </w:rPr>
  </w:style>
  <w:style w:type="paragraph" w:customStyle="1" w:styleId="101">
    <w:name w:val="4表格标题"/>
    <w:basedOn w:val="102"/>
    <w:next w:val="103"/>
    <w:qFormat/>
    <w:uiPriority w:val="0"/>
    <w:pPr>
      <w:spacing w:before="100" w:beforeAutospacing="1" w:after="100" w:afterAutospacing="1"/>
      <w:jc w:val="center"/>
    </w:pPr>
    <w:rPr>
      <w:rFonts w:cs="宋体"/>
      <w:b/>
      <w:szCs w:val="21"/>
    </w:rPr>
  </w:style>
  <w:style w:type="paragraph" w:customStyle="1" w:styleId="102">
    <w:name w:val="段落"/>
    <w:basedOn w:val="1"/>
    <w:qFormat/>
    <w:uiPriority w:val="0"/>
    <w:pPr>
      <w:adjustRightInd w:val="0"/>
      <w:snapToGrid w:val="0"/>
      <w:spacing w:line="360" w:lineRule="auto"/>
      <w:ind w:firstLine="420" w:firstLineChars="200"/>
    </w:pPr>
    <w:rPr>
      <w:rFonts w:ascii="gbsnu54" w:hAnsi="gbsnu54" w:cs="gbsnu54"/>
      <w:bCs/>
      <w:color w:val="000000"/>
      <w:szCs w:val="16"/>
    </w:rPr>
  </w:style>
  <w:style w:type="paragraph" w:customStyle="1" w:styleId="103">
    <w:name w:val="5段落"/>
    <w:basedOn w:val="1"/>
    <w:qFormat/>
    <w:uiPriority w:val="0"/>
    <w:pPr>
      <w:spacing w:line="360" w:lineRule="auto"/>
      <w:ind w:firstLine="200" w:firstLineChars="200"/>
    </w:pPr>
    <w:rPr>
      <w:szCs w:val="21"/>
    </w:rPr>
  </w:style>
  <w:style w:type="paragraph" w:customStyle="1" w:styleId="104">
    <w:name w:val="表格内容Q1"/>
    <w:basedOn w:val="1"/>
    <w:qFormat/>
    <w:uiPriority w:val="0"/>
    <w:pPr>
      <w:jc w:val="center"/>
    </w:pPr>
    <w:rPr>
      <w:sz w:val="18"/>
      <w:szCs w:val="20"/>
    </w:rPr>
  </w:style>
  <w:style w:type="paragraph" w:customStyle="1" w:styleId="105">
    <w:name w:val="表内文字"/>
    <w:basedOn w:val="1"/>
    <w:qFormat/>
    <w:uiPriority w:val="0"/>
    <w:pPr>
      <w:adjustRightInd w:val="0"/>
      <w:snapToGrid w:val="0"/>
      <w:jc w:val="center"/>
    </w:pPr>
    <w:rPr>
      <w:sz w:val="20"/>
      <w:szCs w:val="20"/>
    </w:rPr>
  </w:style>
  <w:style w:type="paragraph" w:customStyle="1" w:styleId="106">
    <w:name w:val="样式 样式 样式 样式 首行缩进:  2 字符 + 居中 + (中文) 黑体 五号 首行缩进:  2 字符 + 首行缩进:  2..."/>
    <w:basedOn w:val="1"/>
    <w:qFormat/>
    <w:uiPriority w:val="0"/>
    <w:pPr>
      <w:adjustRightInd w:val="0"/>
      <w:snapToGrid w:val="0"/>
      <w:spacing w:before="156" w:beforeLines="50" w:line="360" w:lineRule="auto"/>
      <w:jc w:val="center"/>
    </w:pPr>
    <w:rPr>
      <w:rFonts w:eastAsia="黑体"/>
    </w:rPr>
  </w:style>
  <w:style w:type="paragraph" w:customStyle="1" w:styleId="107">
    <w:name w:val="正文2"/>
    <w:qFormat/>
    <w:uiPriority w:val="0"/>
    <w:pPr>
      <w:spacing w:after="160" w:line="259" w:lineRule="auto"/>
      <w:jc w:val="both"/>
    </w:pPr>
    <w:rPr>
      <w:rFonts w:ascii="Times New Roman" w:hAnsi="Times New Roman" w:eastAsia="宋体" w:cs="Times New Roman"/>
      <w:kern w:val="2"/>
      <w:sz w:val="21"/>
      <w:szCs w:val="21"/>
      <w:lang w:val="en-US" w:eastAsia="zh-CN" w:bidi="ar-SA"/>
    </w:rPr>
  </w:style>
  <w:style w:type="paragraph" w:customStyle="1" w:styleId="108">
    <w:name w:val="_Style 96"/>
    <w:unhideWhenUsed/>
    <w:qFormat/>
    <w:uiPriority w:val="99"/>
    <w:pPr>
      <w:spacing w:after="160" w:line="259" w:lineRule="auto"/>
    </w:pPr>
    <w:rPr>
      <w:rFonts w:ascii="Times New Roman" w:hAnsi="Times New Roman" w:eastAsia="宋体" w:cs="Times New Roman"/>
      <w:kern w:val="2"/>
      <w:sz w:val="24"/>
      <w:szCs w:val="24"/>
      <w:lang w:val="en-US" w:eastAsia="zh-CN" w:bidi="ar-SA"/>
    </w:rPr>
  </w:style>
  <w:style w:type="paragraph" w:customStyle="1" w:styleId="109">
    <w:name w:val="表内容"/>
    <w:qFormat/>
    <w:uiPriority w:val="0"/>
    <w:pPr>
      <w:adjustRightInd w:val="0"/>
      <w:spacing w:after="160" w:line="259" w:lineRule="auto"/>
      <w:jc w:val="center"/>
    </w:pPr>
    <w:rPr>
      <w:rFonts w:ascii="Times New Roman" w:hAnsi="Times New Roman" w:eastAsia="宋体" w:cs="Times New Roman"/>
      <w:kern w:val="2"/>
      <w:sz w:val="21"/>
      <w:szCs w:val="21"/>
      <w:lang w:val="en-US" w:eastAsia="zh-CN" w:bidi="ar-SA"/>
    </w:rPr>
  </w:style>
  <w:style w:type="paragraph" w:customStyle="1" w:styleId="110">
    <w:name w:val="表格内容"/>
    <w:basedOn w:val="111"/>
    <w:next w:val="19"/>
    <w:qFormat/>
    <w:uiPriority w:val="0"/>
    <w:pPr>
      <w:spacing w:line="340" w:lineRule="exact"/>
    </w:pPr>
    <w:rPr>
      <w:iCs/>
      <w:szCs w:val="21"/>
    </w:rPr>
  </w:style>
  <w:style w:type="paragraph" w:customStyle="1" w:styleId="111">
    <w:name w:val="表头（图表题）"/>
    <w:basedOn w:val="1"/>
    <w:next w:val="1"/>
    <w:qFormat/>
    <w:uiPriority w:val="0"/>
    <w:pPr>
      <w:jc w:val="center"/>
    </w:pPr>
    <w:rPr>
      <w:b/>
      <w:szCs w:val="20"/>
    </w:rPr>
  </w:style>
  <w:style w:type="paragraph" w:customStyle="1" w:styleId="112">
    <w:name w:val="图标标题"/>
    <w:basedOn w:val="7"/>
    <w:qFormat/>
    <w:uiPriority w:val="0"/>
    <w:pPr>
      <w:keepNext w:val="0"/>
      <w:spacing w:before="50" w:beforeLines="50" w:line="360" w:lineRule="auto"/>
      <w:jc w:val="center"/>
    </w:pPr>
    <w:rPr>
      <w:szCs w:val="20"/>
    </w:rPr>
  </w:style>
  <w:style w:type="paragraph" w:customStyle="1" w:styleId="113">
    <w:name w:val="6表格"/>
    <w:basedOn w:val="1"/>
    <w:qFormat/>
    <w:uiPriority w:val="0"/>
    <w:pPr>
      <w:jc w:val="center"/>
    </w:pPr>
  </w:style>
  <w:style w:type="paragraph" w:customStyle="1" w:styleId="114">
    <w:name w:val="样式2"/>
    <w:basedOn w:val="23"/>
    <w:next w:val="5"/>
    <w:qFormat/>
    <w:uiPriority w:val="0"/>
    <w:pPr>
      <w:spacing w:line="360" w:lineRule="auto"/>
      <w:ind w:firstLine="482" w:firstLineChars="200"/>
    </w:pPr>
    <w:rPr>
      <w:b/>
      <w:sz w:val="24"/>
    </w:rPr>
  </w:style>
  <w:style w:type="paragraph" w:customStyle="1" w:styleId="115">
    <w:name w:val="1.表格标题CM"/>
    <w:basedOn w:val="1"/>
    <w:qFormat/>
    <w:uiPriority w:val="0"/>
    <w:pPr>
      <w:adjustRightInd w:val="0"/>
      <w:snapToGrid w:val="0"/>
      <w:jc w:val="center"/>
      <w:outlineLvl w:val="6"/>
    </w:pPr>
    <w:rPr>
      <w:b/>
      <w:lang w:val="zh-CN"/>
    </w:rPr>
  </w:style>
  <w:style w:type="paragraph" w:customStyle="1" w:styleId="116">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117">
    <w:name w:val="表格的字"/>
    <w:next w:val="1"/>
    <w:qFormat/>
    <w:uiPriority w:val="0"/>
    <w:pPr>
      <w:spacing w:after="160" w:line="259" w:lineRule="auto"/>
      <w:jc w:val="center"/>
    </w:pPr>
    <w:rPr>
      <w:rFonts w:ascii="Times New Roman" w:hAnsi="Times New Roman" w:eastAsia="宋体" w:cs="Times New Roman"/>
      <w:kern w:val="2"/>
      <w:sz w:val="21"/>
      <w:szCs w:val="21"/>
      <w:lang w:val="en-US" w:eastAsia="zh-CN" w:bidi="ar-SA"/>
    </w:rPr>
  </w:style>
  <w:style w:type="paragraph" w:customStyle="1" w:styleId="118">
    <w:name w:val="表格内文字"/>
    <w:basedOn w:val="1"/>
    <w:qFormat/>
    <w:uiPriority w:val="0"/>
    <w:pPr>
      <w:jc w:val="center"/>
    </w:pPr>
    <w:rPr>
      <w:color w:val="000000"/>
      <w:szCs w:val="21"/>
    </w:rPr>
  </w:style>
  <w:style w:type="paragraph" w:customStyle="1" w:styleId="119">
    <w:name w:val="正文（无网格）"/>
    <w:basedOn w:val="1"/>
    <w:qFormat/>
    <w:uiPriority w:val="0"/>
    <w:pPr>
      <w:adjustRightInd w:val="0"/>
      <w:snapToGrid w:val="0"/>
      <w:spacing w:line="360" w:lineRule="auto"/>
      <w:ind w:firstLine="480" w:firstLineChars="200"/>
    </w:pPr>
    <w:rPr>
      <w:rFonts w:cs="宋体"/>
      <w:szCs w:val="20"/>
    </w:rPr>
  </w:style>
  <w:style w:type="paragraph" w:customStyle="1" w:styleId="120">
    <w:name w:val="3表内文字"/>
    <w:basedOn w:val="1"/>
    <w:qFormat/>
    <w:uiPriority w:val="0"/>
    <w:pPr>
      <w:jc w:val="center"/>
    </w:pPr>
    <w:rPr>
      <w:color w:val="000000"/>
      <w:sz w:val="18"/>
    </w:rPr>
  </w:style>
  <w:style w:type="paragraph" w:customStyle="1" w:styleId="121">
    <w:name w:val="2图标名称"/>
    <w:basedOn w:val="1"/>
    <w:qFormat/>
    <w:uiPriority w:val="0"/>
    <w:pPr>
      <w:autoSpaceDE w:val="0"/>
      <w:autoSpaceDN w:val="0"/>
      <w:adjustRightInd w:val="0"/>
      <w:snapToGrid w:val="0"/>
      <w:ind w:firstLine="420"/>
      <w:jc w:val="center"/>
    </w:pPr>
    <w:rPr>
      <w:rFonts w:ascii="宋体" w:hAnsi="宋体"/>
      <w:b/>
      <w:szCs w:val="21"/>
    </w:rPr>
  </w:style>
  <w:style w:type="paragraph" w:customStyle="1" w:styleId="122">
    <w:name w:val="标题3"/>
    <w:basedOn w:val="1"/>
    <w:qFormat/>
    <w:uiPriority w:val="0"/>
  </w:style>
  <w:style w:type="paragraph" w:customStyle="1" w:styleId="123">
    <w:name w:val="H标题3"/>
    <w:basedOn w:val="1"/>
    <w:qFormat/>
    <w:uiPriority w:val="0"/>
    <w:pPr>
      <w:spacing w:before="120" w:beforeLines="50" w:after="120" w:afterLines="50" w:line="360" w:lineRule="auto"/>
      <w:outlineLvl w:val="2"/>
    </w:pPr>
    <w:rPr>
      <w:b/>
      <w:szCs w:val="20"/>
    </w:rPr>
  </w:style>
  <w:style w:type="paragraph" w:customStyle="1" w:styleId="124">
    <w:name w:val="无间隔1"/>
    <w:qFormat/>
    <w:uiPriority w:val="1"/>
    <w:pPr>
      <w:widowControl w:val="0"/>
      <w:spacing w:after="160" w:line="259" w:lineRule="auto"/>
      <w:ind w:firstLine="200" w:firstLineChars="200"/>
      <w:jc w:val="both"/>
    </w:pPr>
    <w:rPr>
      <w:rFonts w:ascii="Calibri" w:hAnsi="Calibri" w:eastAsia="宋体" w:cs="Calibri"/>
      <w:kern w:val="2"/>
      <w:sz w:val="24"/>
      <w:szCs w:val="24"/>
      <w:lang w:val="en-US" w:eastAsia="zh-CN" w:bidi="ar-SA"/>
    </w:rPr>
  </w:style>
  <w:style w:type="paragraph" w:customStyle="1" w:styleId="125">
    <w:name w:val="金皇-正文"/>
    <w:basedOn w:val="1"/>
    <w:qFormat/>
    <w:uiPriority w:val="0"/>
    <w:pPr>
      <w:spacing w:line="360" w:lineRule="auto"/>
      <w:ind w:firstLine="200" w:firstLineChars="200"/>
    </w:pPr>
  </w:style>
  <w:style w:type="paragraph" w:customStyle="1" w:styleId="126">
    <w:name w:val="2 图表标题"/>
    <w:basedOn w:val="121"/>
    <w:qFormat/>
    <w:uiPriority w:val="0"/>
    <w:pPr>
      <w:ind w:firstLine="0"/>
    </w:pPr>
    <w:rPr>
      <w:rFonts w:ascii="Times New Roman" w:hAnsi="Times New Roman"/>
    </w:rPr>
  </w:style>
  <w:style w:type="paragraph" w:customStyle="1" w:styleId="127">
    <w:name w:val="标题2"/>
    <w:basedOn w:val="12"/>
    <w:qFormat/>
    <w:uiPriority w:val="0"/>
    <w:pPr>
      <w:spacing w:beforeLines="50" w:afterLines="50"/>
      <w:ind w:left="0" w:leftChars="0"/>
    </w:pPr>
    <w:rPr>
      <w:rFonts w:ascii="宋体" w:hAnsi="宋体"/>
      <w:b/>
      <w:sz w:val="28"/>
      <w:szCs w:val="28"/>
    </w:rPr>
  </w:style>
  <w:style w:type="paragraph" w:customStyle="1" w:styleId="128">
    <w:name w:val="H图表标题"/>
    <w:basedOn w:val="1"/>
    <w:qFormat/>
    <w:uiPriority w:val="0"/>
    <w:pPr>
      <w:spacing w:before="120" w:beforeLines="50" w:line="360" w:lineRule="auto"/>
      <w:outlineLvl w:val="3"/>
    </w:pPr>
    <w:rPr>
      <w:b/>
      <w:snapToGrid w:val="0"/>
      <w:szCs w:val="30"/>
    </w:rPr>
  </w:style>
  <w:style w:type="paragraph" w:customStyle="1" w:styleId="129">
    <w:name w:val="自定义标题2"/>
    <w:basedOn w:val="1"/>
    <w:qFormat/>
    <w:uiPriority w:val="0"/>
    <w:pPr>
      <w:spacing w:before="50" w:beforeLines="50" w:after="50" w:afterLines="50" w:line="360" w:lineRule="auto"/>
      <w:ind w:firstLine="480" w:firstLineChars="200"/>
    </w:pPr>
    <w:rPr>
      <w:b/>
      <w:sz w:val="30"/>
      <w:szCs w:val="20"/>
    </w:rPr>
  </w:style>
  <w:style w:type="paragraph" w:customStyle="1" w:styleId="130">
    <w:name w:val="5.正文内容"/>
    <w:basedOn w:val="1"/>
    <w:qFormat/>
    <w:uiPriority w:val="0"/>
    <w:pPr>
      <w:adjustRightInd w:val="0"/>
      <w:snapToGrid w:val="0"/>
    </w:pPr>
    <w:rPr>
      <w:rFonts w:cs="宋体"/>
      <w:szCs w:val="20"/>
    </w:rPr>
  </w:style>
  <w:style w:type="paragraph" w:customStyle="1" w:styleId="131">
    <w:name w:val="5文章(金皇)"/>
    <w:basedOn w:val="1"/>
    <w:qFormat/>
    <w:uiPriority w:val="0"/>
    <w:pPr>
      <w:spacing w:line="360" w:lineRule="auto"/>
      <w:ind w:firstLine="480" w:firstLineChars="200"/>
    </w:pPr>
  </w:style>
  <w:style w:type="paragraph" w:customStyle="1" w:styleId="132">
    <w:name w:val="J报告表大文字"/>
    <w:qFormat/>
    <w:uiPriority w:val="0"/>
    <w:pPr>
      <w:adjustRightInd w:val="0"/>
      <w:snapToGrid w:val="0"/>
      <w:spacing w:after="160" w:line="259" w:lineRule="auto"/>
      <w:jc w:val="center"/>
    </w:pPr>
    <w:rPr>
      <w:rFonts w:ascii="Times New Roman" w:hAnsi="Times New Roman" w:eastAsia="宋体" w:cs="宋体"/>
      <w:color w:val="000000"/>
      <w:kern w:val="2"/>
      <w:sz w:val="21"/>
      <w:szCs w:val="21"/>
      <w:lang w:val="en-US" w:eastAsia="zh-CN" w:bidi="ar-SA"/>
    </w:rPr>
  </w:style>
  <w:style w:type="paragraph" w:customStyle="1" w:styleId="133">
    <w:name w:val="样式 标题 1 + 首行缩进:  0 字符"/>
    <w:basedOn w:val="2"/>
    <w:next w:val="94"/>
    <w:qFormat/>
    <w:uiPriority w:val="99"/>
    <w:pPr>
      <w:spacing w:before="0" w:line="520" w:lineRule="exact"/>
    </w:pPr>
    <w:rPr>
      <w:rFonts w:ascii="Arial" w:hAnsi="Arial" w:cs="宋体"/>
      <w:color w:val="auto"/>
      <w:szCs w:val="20"/>
    </w:rPr>
  </w:style>
  <w:style w:type="paragraph" w:customStyle="1" w:styleId="134">
    <w:name w:val="H标题2"/>
    <w:basedOn w:val="3"/>
    <w:qFormat/>
    <w:uiPriority w:val="0"/>
    <w:pPr>
      <w:keepNext w:val="0"/>
      <w:keepLines w:val="0"/>
      <w:tabs>
        <w:tab w:val="left" w:pos="5400"/>
      </w:tabs>
      <w:spacing w:before="120" w:after="120"/>
    </w:pPr>
  </w:style>
  <w:style w:type="paragraph" w:customStyle="1" w:styleId="135">
    <w:name w:val="3级标题"/>
    <w:basedOn w:val="102"/>
    <w:qFormat/>
    <w:uiPriority w:val="0"/>
    <w:pPr>
      <w:numPr>
        <w:ilvl w:val="2"/>
        <w:numId w:val="1"/>
      </w:numPr>
      <w:adjustRightInd/>
      <w:snapToGrid/>
      <w:ind w:firstLineChars="0"/>
    </w:pPr>
    <w:rPr>
      <w:b/>
    </w:rPr>
  </w:style>
  <w:style w:type="paragraph" w:customStyle="1" w:styleId="136">
    <w:name w:val="6表格后段落"/>
    <w:basedOn w:val="103"/>
    <w:qFormat/>
    <w:uiPriority w:val="0"/>
    <w:pPr>
      <w:spacing w:beforeLines="50" w:after="100" w:afterAutospacing="1"/>
    </w:pPr>
    <w:rPr>
      <w:rFonts w:cs="宋体"/>
    </w:rPr>
  </w:style>
  <w:style w:type="paragraph" w:customStyle="1" w:styleId="137">
    <w:name w:val="Table Paragraph"/>
    <w:basedOn w:val="1"/>
    <w:qFormat/>
    <w:uiPriority w:val="0"/>
    <w:rPr>
      <w:rFonts w:ascii="Calibri" w:hAnsi="Calibri"/>
    </w:rPr>
  </w:style>
  <w:style w:type="paragraph" w:customStyle="1" w:styleId="138">
    <w:name w:val="2表内正文CM"/>
    <w:basedOn w:val="1"/>
    <w:next w:val="1"/>
    <w:qFormat/>
    <w:uiPriority w:val="0"/>
    <w:pPr>
      <w:adjustRightInd w:val="0"/>
      <w:snapToGrid w:val="0"/>
      <w:jc w:val="center"/>
    </w:pPr>
    <w:rPr>
      <w:rFonts w:cs="宋体"/>
      <w:szCs w:val="21"/>
    </w:rPr>
  </w:style>
  <w:style w:type="paragraph" w:customStyle="1" w:styleId="139">
    <w:name w:val="表格标题CCW"/>
    <w:basedOn w:val="1"/>
    <w:next w:val="1"/>
    <w:qFormat/>
    <w:uiPriority w:val="0"/>
    <w:pPr>
      <w:spacing w:line="360" w:lineRule="auto"/>
      <w:jc w:val="center"/>
      <w:outlineLvl w:val="4"/>
    </w:pPr>
    <w:rPr>
      <w:b/>
    </w:rPr>
  </w:style>
  <w:style w:type="paragraph" w:customStyle="1" w:styleId="140">
    <w:name w:val="普通(网站)2"/>
    <w:basedOn w:val="1"/>
    <w:qFormat/>
    <w:uiPriority w:val="0"/>
    <w:pPr>
      <w:spacing w:before="100" w:beforeAutospacing="1" w:after="100" w:afterAutospacing="1"/>
    </w:pPr>
    <w:rPr>
      <w:rFonts w:ascii="宋体" w:hAnsi="宋体"/>
      <w:szCs w:val="20"/>
    </w:rPr>
  </w:style>
  <w:style w:type="paragraph" w:customStyle="1" w:styleId="141">
    <w:name w:val="正文（小四）"/>
    <w:qFormat/>
    <w:uiPriority w:val="0"/>
    <w:pPr>
      <w:spacing w:after="160"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142">
    <w:name w:val="CM11"/>
    <w:basedOn w:val="1"/>
    <w:next w:val="1"/>
    <w:qFormat/>
    <w:uiPriority w:val="0"/>
    <w:pPr>
      <w:autoSpaceDE w:val="0"/>
      <w:autoSpaceDN w:val="0"/>
      <w:adjustRightInd w:val="0"/>
      <w:spacing w:line="520" w:lineRule="atLeast"/>
    </w:pPr>
    <w:rPr>
      <w:rFonts w:ascii="宋体"/>
    </w:rPr>
  </w:style>
  <w:style w:type="paragraph" w:customStyle="1" w:styleId="143">
    <w:name w:val="常用"/>
    <w:basedOn w:val="1"/>
    <w:qFormat/>
    <w:uiPriority w:val="0"/>
    <w:pPr>
      <w:spacing w:line="360" w:lineRule="auto"/>
      <w:ind w:firstLine="200" w:firstLineChars="200"/>
    </w:pPr>
    <w:rPr>
      <w:rFonts w:ascii="宋体" w:hAnsi="宋体"/>
      <w:szCs w:val="28"/>
    </w:rPr>
  </w:style>
  <w:style w:type="paragraph" w:customStyle="1" w:styleId="144">
    <w:name w:val="表格内容Q"/>
    <w:basedOn w:val="1"/>
    <w:qFormat/>
    <w:uiPriority w:val="0"/>
    <w:pPr>
      <w:jc w:val="center"/>
    </w:pPr>
    <w:rPr>
      <w:szCs w:val="21"/>
    </w:rPr>
  </w:style>
  <w:style w:type="paragraph" w:customStyle="1" w:styleId="145">
    <w:name w:val="正文1"/>
    <w:basedOn w:val="20"/>
    <w:qFormat/>
    <w:uiPriority w:val="0"/>
    <w:pPr>
      <w:ind w:firstLine="200" w:firstLineChars="200"/>
    </w:pPr>
    <w:rPr>
      <w:rFonts w:cs="宋体"/>
    </w:rPr>
  </w:style>
  <w:style w:type="paragraph" w:customStyle="1" w:styleId="146">
    <w:name w:val="正文(首行缩进)"/>
    <w:basedOn w:val="1"/>
    <w:qFormat/>
    <w:uiPriority w:val="0"/>
    <w:pPr>
      <w:adjustRightInd w:val="0"/>
      <w:snapToGrid w:val="0"/>
    </w:pPr>
    <w:rPr>
      <w:rFonts w:ascii="宋体" w:hAnsi="宋体" w:cs="宋体"/>
      <w:snapToGrid w:val="0"/>
    </w:rPr>
  </w:style>
  <w:style w:type="paragraph" w:customStyle="1" w:styleId="147">
    <w:name w:val="表正文"/>
    <w:basedOn w:val="1"/>
    <w:qFormat/>
    <w:uiPriority w:val="0"/>
    <w:pPr>
      <w:spacing w:line="360" w:lineRule="auto"/>
      <w:ind w:firstLine="200" w:firstLineChars="200"/>
    </w:pPr>
  </w:style>
  <w:style w:type="paragraph" w:customStyle="1" w:styleId="148">
    <w:name w:val="Default1"/>
    <w:qFormat/>
    <w:uiPriority w:val="0"/>
    <w:pPr>
      <w:widowControl w:val="0"/>
      <w:autoSpaceDE w:val="0"/>
      <w:autoSpaceDN w:val="0"/>
      <w:adjustRightInd w:val="0"/>
      <w:spacing w:after="160" w:line="259" w:lineRule="auto"/>
    </w:pPr>
    <w:rPr>
      <w:rFonts w:ascii="宋体" w:hAnsi="Times New Roman" w:eastAsia="宋体" w:cs="宋体"/>
      <w:color w:val="000000"/>
      <w:sz w:val="24"/>
      <w:szCs w:val="24"/>
      <w:lang w:val="en-US" w:eastAsia="zh-CN" w:bidi="ar-SA"/>
    </w:rPr>
  </w:style>
  <w:style w:type="paragraph" w:customStyle="1" w:styleId="149">
    <w:name w:val="足乐正文"/>
    <w:basedOn w:val="1"/>
    <w:qFormat/>
    <w:uiPriority w:val="0"/>
    <w:pPr>
      <w:spacing w:line="360" w:lineRule="auto"/>
      <w:ind w:firstLine="720" w:firstLineChars="200"/>
    </w:pPr>
    <w:rPr>
      <w:sz w:val="20"/>
      <w:szCs w:val="20"/>
    </w:rPr>
  </w:style>
  <w:style w:type="paragraph" w:customStyle="1" w:styleId="150">
    <w:name w:val="表格内容CCW"/>
    <w:basedOn w:val="1"/>
    <w:qFormat/>
    <w:uiPriority w:val="0"/>
    <w:pPr>
      <w:jc w:val="center"/>
    </w:pPr>
    <w:rPr>
      <w:szCs w:val="21"/>
    </w:rPr>
  </w:style>
  <w:style w:type="paragraph" w:customStyle="1" w:styleId="151">
    <w:name w:val="足乐表格"/>
    <w:basedOn w:val="1"/>
    <w:qFormat/>
    <w:uiPriority w:val="0"/>
    <w:pPr>
      <w:adjustRightInd w:val="0"/>
      <w:snapToGrid w:val="0"/>
      <w:jc w:val="center"/>
    </w:pPr>
    <w:rPr>
      <w:sz w:val="21"/>
    </w:rPr>
  </w:style>
  <w:style w:type="paragraph" w:customStyle="1" w:styleId="152">
    <w:name w:val="文本"/>
    <w:basedOn w:val="1"/>
    <w:qFormat/>
    <w:uiPriority w:val="0"/>
    <w:pPr>
      <w:spacing w:line="360" w:lineRule="auto"/>
      <w:ind w:firstLine="200" w:firstLineChars="200"/>
    </w:pPr>
    <w:rPr>
      <w:rFonts w:cs="宋体"/>
    </w:rPr>
  </w:style>
  <w:style w:type="paragraph" w:customStyle="1" w:styleId="153">
    <w:name w:val="J标题一"/>
    <w:next w:val="99"/>
    <w:qFormat/>
    <w:uiPriority w:val="0"/>
    <w:pPr>
      <w:spacing w:after="160" w:line="360" w:lineRule="auto"/>
      <w:outlineLvl w:val="1"/>
    </w:pPr>
    <w:rPr>
      <w:rFonts w:ascii="Times New Roman" w:hAnsi="Times New Roman" w:eastAsia="宋体" w:cs="Times New Roman"/>
      <w:b/>
      <w:kern w:val="2"/>
      <w:sz w:val="24"/>
      <w:szCs w:val="22"/>
      <w:lang w:val="en-US" w:eastAsia="zh-CN" w:bidi="ar-SA"/>
    </w:rPr>
  </w:style>
  <w:style w:type="paragraph" w:customStyle="1" w:styleId="154">
    <w:name w:val="表格名称1"/>
    <w:basedOn w:val="1"/>
    <w:qFormat/>
    <w:uiPriority w:val="0"/>
    <w:pPr>
      <w:adjustRightInd w:val="0"/>
      <w:snapToGrid w:val="0"/>
      <w:jc w:val="center"/>
    </w:pPr>
    <w:rPr>
      <w:b/>
      <w:sz w:val="21"/>
    </w:rPr>
  </w:style>
  <w:style w:type="paragraph" w:customStyle="1" w:styleId="155">
    <w:name w:val="H图表内容"/>
    <w:basedOn w:val="1"/>
    <w:qFormat/>
    <w:uiPriority w:val="0"/>
    <w:rPr>
      <w:szCs w:val="20"/>
    </w:rPr>
  </w:style>
  <w:style w:type="paragraph" w:customStyle="1" w:styleId="156">
    <w:name w:val="7表格内容"/>
    <w:basedOn w:val="103"/>
    <w:qFormat/>
    <w:uiPriority w:val="0"/>
    <w:pPr>
      <w:spacing w:line="240" w:lineRule="auto"/>
      <w:ind w:firstLine="0" w:firstLineChars="0"/>
      <w:jc w:val="center"/>
    </w:pPr>
  </w:style>
  <w:style w:type="paragraph" w:customStyle="1" w:styleId="157">
    <w:name w:val="正文_10"/>
    <w:qFormat/>
    <w:uiPriority w:val="0"/>
    <w:pPr>
      <w:widowControl w:val="0"/>
      <w:spacing w:after="160" w:line="259" w:lineRule="auto"/>
      <w:jc w:val="both"/>
    </w:pPr>
    <w:rPr>
      <w:rFonts w:ascii="Times New Roman" w:hAnsi="Times New Roman" w:eastAsia="宋体" w:cs="Times New Roman"/>
      <w:kern w:val="2"/>
      <w:sz w:val="21"/>
      <w:szCs w:val="22"/>
      <w:lang w:val="en-US" w:eastAsia="zh-CN" w:bidi="ar-SA"/>
    </w:rPr>
  </w:style>
  <w:style w:type="paragraph" w:styleId="158">
    <w:name w:val="No Spacing"/>
    <w:basedOn w:val="1"/>
    <w:qFormat/>
    <w:uiPriority w:val="1"/>
  </w:style>
  <w:style w:type="paragraph" w:customStyle="1" w:styleId="159">
    <w:name w:val="环评 表格"/>
    <w:basedOn w:val="124"/>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160">
    <w:name w:val="表格标题1111111"/>
    <w:basedOn w:val="1"/>
    <w:qFormat/>
    <w:uiPriority w:val="0"/>
    <w:pPr>
      <w:adjustRightInd w:val="0"/>
      <w:snapToGrid w:val="0"/>
      <w:spacing w:line="360" w:lineRule="auto"/>
      <w:jc w:val="center"/>
      <w:outlineLvl w:val="5"/>
    </w:pPr>
    <w:rPr>
      <w:rFonts w:eastAsia="黑体"/>
      <w:b/>
    </w:rPr>
  </w:style>
  <w:style w:type="paragraph" w:customStyle="1" w:styleId="161">
    <w:name w:val="正文内容"/>
    <w:basedOn w:val="1"/>
    <w:qFormat/>
    <w:uiPriority w:val="0"/>
    <w:pPr>
      <w:adjustRightInd w:val="0"/>
      <w:snapToGrid w:val="0"/>
      <w:spacing w:line="360" w:lineRule="auto"/>
      <w:ind w:firstLine="200" w:firstLineChars="200"/>
    </w:pPr>
    <w:rPr>
      <w:szCs w:val="20"/>
    </w:rPr>
  </w:style>
  <w:style w:type="paragraph" w:customStyle="1" w:styleId="162">
    <w:name w:val="表头"/>
    <w:basedOn w:val="1"/>
    <w:qFormat/>
    <w:uiPriority w:val="0"/>
    <w:pPr>
      <w:jc w:val="center"/>
    </w:pPr>
    <w:rPr>
      <w:b/>
      <w:szCs w:val="21"/>
    </w:rPr>
  </w:style>
  <w:style w:type="paragraph" w:customStyle="1" w:styleId="163">
    <w:name w:val="0.正文内容"/>
    <w:basedOn w:val="1"/>
    <w:qFormat/>
    <w:uiPriority w:val="0"/>
    <w:pPr>
      <w:adjustRightInd w:val="0"/>
      <w:snapToGrid w:val="0"/>
    </w:pPr>
    <w:rPr>
      <w:rFonts w:ascii="TimesNewRoman" w:hAnsi="TimesNewRoman" w:cs="宋体"/>
      <w:szCs w:val="20"/>
    </w:rPr>
  </w:style>
  <w:style w:type="paragraph" w:customStyle="1" w:styleId="164">
    <w:name w:val="Char Char Char Char Char Char Char Char Char1 Char"/>
    <w:basedOn w:val="1"/>
    <w:semiHidden/>
    <w:qFormat/>
    <w:uiPriority w:val="0"/>
    <w:rPr>
      <w:rFonts w:ascii="宋体" w:hAnsi="宋体" w:cs="Courier New"/>
      <w:sz w:val="32"/>
      <w:szCs w:val="32"/>
    </w:rPr>
  </w:style>
  <w:style w:type="paragraph" w:customStyle="1" w:styleId="165">
    <w:name w:val="表格标题"/>
    <w:basedOn w:val="1"/>
    <w:qFormat/>
    <w:uiPriority w:val="0"/>
    <w:pPr>
      <w:adjustRightInd w:val="0"/>
      <w:snapToGrid w:val="0"/>
      <w:spacing w:beforeLines="50" w:line="360" w:lineRule="auto"/>
      <w:jc w:val="center"/>
    </w:pPr>
    <w:rPr>
      <w:rFonts w:eastAsia="黑体"/>
      <w:b/>
    </w:rPr>
  </w:style>
  <w:style w:type="table" w:customStyle="1" w:styleId="166">
    <w:name w:val="表格样式刘"/>
    <w:basedOn w:val="37"/>
    <w:qFormat/>
    <w:uiPriority w:val="99"/>
    <w:tblPr>
      <w:tblBorders>
        <w:top w:val="single" w:color="auto" w:sz="12" w:space="0"/>
        <w:bottom w:val="single" w:color="auto" w:sz="12" w:space="0"/>
        <w:insideH w:val="single" w:color="auto" w:sz="4" w:space="0"/>
        <w:insideV w:val="single" w:color="auto" w:sz="4" w:space="0"/>
      </w:tblBorders>
    </w:tblPr>
  </w:style>
  <w:style w:type="table" w:customStyle="1" w:styleId="167">
    <w:name w:val="表格样式"/>
    <w:basedOn w:val="37"/>
    <w:qFormat/>
    <w:uiPriority w:val="0"/>
    <w:pPr>
      <w:jc w:val="center"/>
    </w:pPr>
    <w:rPr>
      <w:sz w:val="21"/>
      <w:szCs w:val="21"/>
    </w:rPr>
    <w:tblPr>
      <w:tblBorders>
        <w:top w:val="single" w:color="auto" w:sz="18" w:space="0"/>
        <w:bottom w:val="single" w:color="auto" w:sz="18" w:space="0"/>
        <w:insideH w:val="single" w:color="auto" w:sz="4" w:space="0"/>
        <w:insideV w:val="single" w:color="auto" w:sz="4" w:space="0"/>
      </w:tblBorders>
    </w:tblPr>
    <w:tcPr>
      <w:vAlign w:val="center"/>
    </w:tcPr>
  </w:style>
  <w:style w:type="table" w:customStyle="1" w:styleId="168">
    <w:name w:val="网格型7"/>
    <w:basedOn w:val="37"/>
    <w:qFormat/>
    <w:uiPriority w:val="0"/>
    <w:pPr>
      <w:widowControl w:val="0"/>
      <w:jc w:val="both"/>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169">
    <w:name w:val="标题111"/>
    <w:basedOn w:val="29"/>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170">
    <w:name w:val="111正文的格式"/>
    <w:basedOn w:val="1"/>
    <w:qFormat/>
    <w:uiPriority w:val="0"/>
    <w:pPr>
      <w:adjustRightInd w:val="0"/>
      <w:snapToGrid w:val="0"/>
      <w:spacing w:line="360" w:lineRule="auto"/>
      <w:ind w:firstLine="200" w:firstLineChars="200"/>
    </w:pPr>
    <w:rPr>
      <w:color w:val="0000FF"/>
    </w:rPr>
  </w:style>
  <w:style w:type="paragraph" w:customStyle="1" w:styleId="171">
    <w:name w:val="Table Text"/>
    <w:basedOn w:val="1"/>
    <w:semiHidden/>
    <w:qFormat/>
    <w:uiPriority w:val="0"/>
    <w:rPr>
      <w:rFonts w:ascii="宋体" w:hAnsi="宋体" w:cs="宋体"/>
      <w:lang w:eastAsia="en-US"/>
    </w:rPr>
  </w:style>
  <w:style w:type="table" w:customStyle="1" w:styleId="172">
    <w:name w:val="Table Normal"/>
    <w:unhideWhenUsed/>
    <w:qFormat/>
    <w:uiPriority w:val="0"/>
    <w:tblPr>
      <w:tblCellMar>
        <w:top w:w="0" w:type="dxa"/>
        <w:left w:w="0" w:type="dxa"/>
        <w:bottom w:w="0" w:type="dxa"/>
        <w:right w:w="0" w:type="dxa"/>
      </w:tblCellMar>
    </w:tblPr>
  </w:style>
  <w:style w:type="paragraph" w:customStyle="1" w:styleId="173">
    <w:name w:val="11111表土"/>
    <w:basedOn w:val="1"/>
    <w:qFormat/>
    <w:uiPriority w:val="0"/>
    <w:pPr>
      <w:adjustRightInd w:val="0"/>
      <w:snapToGrid w:val="0"/>
      <w:jc w:val="center"/>
    </w:pPr>
    <w:rPr>
      <w:rFonts w:eastAsia="黑体"/>
    </w:rPr>
  </w:style>
  <w:style w:type="paragraph" w:customStyle="1" w:styleId="174">
    <w:name w:val="11正文"/>
    <w:basedOn w:val="175"/>
    <w:qFormat/>
    <w:uiPriority w:val="0"/>
  </w:style>
  <w:style w:type="paragraph" w:customStyle="1" w:styleId="175">
    <w:name w:val="正文111"/>
    <w:basedOn w:val="176"/>
    <w:qFormat/>
    <w:uiPriority w:val="0"/>
    <w:pPr>
      <w:ind w:firstLine="480"/>
    </w:pPr>
  </w:style>
  <w:style w:type="paragraph" w:customStyle="1" w:styleId="176">
    <w:name w:val="正文的格式52"/>
    <w:basedOn w:val="1"/>
    <w:qFormat/>
    <w:uiPriority w:val="0"/>
    <w:pPr>
      <w:spacing w:line="360" w:lineRule="auto"/>
      <w:ind w:firstLine="200" w:firstLineChars="200"/>
    </w:pPr>
    <w:rPr>
      <w:szCs w:val="20"/>
    </w:rPr>
  </w:style>
  <w:style w:type="paragraph" w:customStyle="1" w:styleId="177">
    <w:name w:val="111表头"/>
    <w:basedOn w:val="178"/>
    <w:qFormat/>
    <w:uiPriority w:val="0"/>
    <w:pPr>
      <w:adjustRightInd w:val="0"/>
      <w:snapToGrid w:val="0"/>
    </w:pPr>
  </w:style>
  <w:style w:type="paragraph" w:customStyle="1" w:styleId="178">
    <w:name w:val="表头 ylp"/>
    <w:basedOn w:val="1"/>
    <w:qFormat/>
    <w:uiPriority w:val="0"/>
    <w:pPr>
      <w:jc w:val="center"/>
    </w:pPr>
    <w:rPr>
      <w:rFonts w:eastAsia="黑体"/>
      <w:color w:val="0000FF"/>
      <w:lang w:bidi="he-IL"/>
    </w:rPr>
  </w:style>
  <w:style w:type="paragraph" w:customStyle="1" w:styleId="179">
    <w:name w:val="111表格的格式"/>
    <w:basedOn w:val="1"/>
    <w:qFormat/>
    <w:uiPriority w:val="0"/>
    <w:pPr>
      <w:adjustRightInd w:val="0"/>
      <w:snapToGrid w:val="0"/>
      <w:jc w:val="center"/>
    </w:pPr>
  </w:style>
  <w:style w:type="paragraph" w:customStyle="1" w:styleId="180">
    <w:name w:val="44标题444"/>
    <w:basedOn w:val="1"/>
    <w:qFormat/>
    <w:uiPriority w:val="0"/>
    <w:pPr>
      <w:adjustRightInd w:val="0"/>
      <w:snapToGrid w:val="0"/>
      <w:spacing w:line="360" w:lineRule="auto"/>
      <w:outlineLvl w:val="3"/>
    </w:pPr>
    <w:rPr>
      <w:rFonts w:eastAsia="黑体" w:cs="宋体"/>
      <w:bCs/>
      <w:spacing w:val="-10"/>
      <w:szCs w:val="21"/>
    </w:rPr>
  </w:style>
  <w:style w:type="paragraph" w:customStyle="1" w:styleId="181">
    <w:name w:val="22表格"/>
    <w:basedOn w:val="182"/>
    <w:qFormat/>
    <w:uiPriority w:val="0"/>
    <w:pPr>
      <w:adjustRightInd w:val="0"/>
      <w:snapToGrid w:val="0"/>
      <w:textAlignment w:val="center"/>
    </w:pPr>
    <w:rPr>
      <w:rFonts w:eastAsia="宋体"/>
      <w:color w:val="000000"/>
    </w:rPr>
  </w:style>
  <w:style w:type="paragraph" w:customStyle="1" w:styleId="182">
    <w:name w:val="表表表表"/>
    <w:basedOn w:val="183"/>
    <w:qFormat/>
    <w:uiPriority w:val="0"/>
    <w:rPr>
      <w:rFonts w:eastAsia="方正楷体简体"/>
    </w:rPr>
  </w:style>
  <w:style w:type="paragraph" w:customStyle="1" w:styleId="183">
    <w:name w:val="表格文字"/>
    <w:basedOn w:val="158"/>
    <w:next w:val="1"/>
    <w:qFormat/>
    <w:uiPriority w:val="0"/>
    <w:pPr>
      <w:spacing w:before="60" w:after="60" w:line="240" w:lineRule="atLeast"/>
      <w:jc w:val="center"/>
    </w:pPr>
  </w:style>
  <w:style w:type="paragraph" w:customStyle="1" w:styleId="184">
    <w:name w:val="0正文"/>
    <w:unhideWhenUsed/>
    <w:qFormat/>
    <w:uiPriority w:val="0"/>
    <w:pPr>
      <w:widowControl w:val="0"/>
      <w:spacing w:after="160" w:line="360" w:lineRule="auto"/>
      <w:ind w:firstLine="720" w:firstLineChars="200"/>
    </w:pPr>
    <w:rPr>
      <w:rFonts w:ascii="Times New Roman" w:hAnsi="Times New Roman" w:eastAsia="宋体" w:cs="Times New Roman"/>
      <w:sz w:val="24"/>
      <w:szCs w:val="22"/>
      <w:lang w:val="en-US" w:eastAsia="zh-CN" w:bidi="ar-SA"/>
    </w:rPr>
  </w:style>
  <w:style w:type="paragraph" w:customStyle="1" w:styleId="185">
    <w:name w:val="【表格文字】"/>
    <w:basedOn w:val="1"/>
    <w:next w:val="1"/>
    <w:qFormat/>
    <w:uiPriority w:val="0"/>
    <w:pPr>
      <w:adjustRightInd w:val="0"/>
      <w:snapToGrid w:val="0"/>
      <w:jc w:val="center"/>
    </w:pPr>
  </w:style>
  <w:style w:type="paragraph" w:customStyle="1" w:styleId="186">
    <w:name w:val="111zhengwen"/>
    <w:basedOn w:val="1"/>
    <w:qFormat/>
    <w:uiPriority w:val="0"/>
    <w:pPr>
      <w:adjustRightInd w:val="0"/>
      <w:snapToGrid w:val="0"/>
      <w:spacing w:line="360" w:lineRule="auto"/>
      <w:ind w:firstLine="200" w:firstLineChars="200"/>
    </w:pPr>
    <w:rPr>
      <w:szCs w:val="20"/>
    </w:rPr>
  </w:style>
  <w:style w:type="paragraph" w:customStyle="1" w:styleId="187">
    <w:name w:val="5文章(治) + 黑色"/>
    <w:basedOn w:val="188"/>
    <w:qFormat/>
    <w:uiPriority w:val="0"/>
    <w:pPr>
      <w:ind w:firstLine="560"/>
    </w:pPr>
    <w:rPr>
      <w:rFonts w:ascii="Arial" w:hAnsi="Arial" w:cs="Tahoma"/>
      <w:snapToGrid w:val="0"/>
      <w:color w:val="000000"/>
      <w:szCs w:val="21"/>
    </w:rPr>
  </w:style>
  <w:style w:type="paragraph" w:customStyle="1" w:styleId="188">
    <w:name w:val="5文章(治)"/>
    <w:basedOn w:val="1"/>
    <w:qFormat/>
    <w:uiPriority w:val="0"/>
    <w:pPr>
      <w:spacing w:line="360" w:lineRule="auto"/>
      <w:ind w:firstLine="561"/>
    </w:pPr>
    <w:rPr>
      <w:rFonts w:ascii="Calibri" w:hAnsi="Calibri" w:cs="黑体"/>
    </w:rPr>
  </w:style>
  <w:style w:type="paragraph" w:customStyle="1" w:styleId="189">
    <w:name w:val="WPSOffice手动目录 1"/>
    <w:qFormat/>
    <w:uiPriority w:val="0"/>
    <w:pPr>
      <w:spacing w:after="160" w:line="259" w:lineRule="auto"/>
    </w:pPr>
    <w:rPr>
      <w:rFonts w:ascii="Times New Roman" w:hAnsi="Times New Roman" w:eastAsia="宋体" w:cs="Times New Roman"/>
      <w:sz w:val="22"/>
      <w:szCs w:val="22"/>
      <w:lang w:val="en-US" w:eastAsia="zh-CN" w:bidi="ar-SA"/>
    </w:rPr>
  </w:style>
  <w:style w:type="paragraph" w:customStyle="1" w:styleId="190">
    <w:name w:val="WPSOffice手动目录 2"/>
    <w:qFormat/>
    <w:uiPriority w:val="0"/>
    <w:pPr>
      <w:spacing w:after="160" w:line="259" w:lineRule="auto"/>
      <w:ind w:left="200" w:leftChars="200"/>
    </w:pPr>
    <w:rPr>
      <w:rFonts w:ascii="Times New Roman" w:hAnsi="Times New Roman" w:eastAsia="宋体" w:cs="Times New Roman"/>
      <w:sz w:val="22"/>
      <w:szCs w:val="22"/>
      <w:lang w:val="en-US" w:eastAsia="zh-CN" w:bidi="ar-SA"/>
    </w:rPr>
  </w:style>
  <w:style w:type="paragraph" w:customStyle="1" w:styleId="191">
    <w:name w:val="111正文"/>
    <w:basedOn w:val="1"/>
    <w:qFormat/>
    <w:uiPriority w:val="0"/>
    <w:pPr>
      <w:tabs>
        <w:tab w:val="left" w:pos="7276"/>
      </w:tabs>
      <w:adjustRightInd w:val="0"/>
      <w:snapToGrid w:val="0"/>
      <w:spacing w:line="360" w:lineRule="auto"/>
      <w:ind w:firstLine="480" w:firstLineChars="200"/>
    </w:pPr>
    <w:rPr>
      <w:color w:val="C00000"/>
      <w:szCs w:val="32"/>
    </w:rPr>
  </w:style>
  <w:style w:type="paragraph" w:customStyle="1" w:styleId="192">
    <w:name w:val="彪哥文本"/>
    <w:basedOn w:val="1"/>
    <w:next w:val="1"/>
    <w:qFormat/>
    <w:uiPriority w:val="0"/>
    <w:pPr>
      <w:adjustRightInd w:val="0"/>
      <w:snapToGrid w:val="0"/>
      <w:spacing w:before="10" w:beforeLines="10" w:after="10" w:afterLines="10"/>
      <w:jc w:val="center"/>
    </w:pPr>
    <w:rPr>
      <w:szCs w:val="20"/>
    </w:rPr>
  </w:style>
  <w:style w:type="character" w:customStyle="1" w:styleId="193">
    <w:name w:val="标题 4 字符"/>
    <w:basedOn w:val="39"/>
    <w:link w:val="5"/>
    <w:qFormat/>
    <w:uiPriority w:val="9"/>
    <w:rPr>
      <w:rFonts w:asciiTheme="majorHAnsi" w:hAnsiTheme="majorHAnsi" w:eastAsiaTheme="majorEastAsia" w:cstheme="majorBidi"/>
      <w:i/>
      <w:iCs/>
      <w:color w:val="376092" w:themeColor="accent1" w:themeShade="BF"/>
    </w:rPr>
  </w:style>
  <w:style w:type="character" w:customStyle="1" w:styleId="194">
    <w:name w:val="标题 5 字符"/>
    <w:basedOn w:val="39"/>
    <w:link w:val="6"/>
    <w:semiHidden/>
    <w:qFormat/>
    <w:uiPriority w:val="9"/>
    <w:rPr>
      <w:rFonts w:asciiTheme="majorHAnsi" w:hAnsiTheme="majorHAnsi" w:eastAsiaTheme="majorEastAsia" w:cstheme="majorBidi"/>
      <w:color w:val="376092" w:themeColor="accent1" w:themeShade="BF"/>
    </w:rPr>
  </w:style>
  <w:style w:type="character" w:customStyle="1" w:styleId="195">
    <w:name w:val="标题 6 字符"/>
    <w:basedOn w:val="39"/>
    <w:link w:val="7"/>
    <w:qFormat/>
    <w:uiPriority w:val="9"/>
    <w:rPr>
      <w:rFonts w:asciiTheme="majorHAnsi" w:hAnsiTheme="majorHAnsi" w:eastAsiaTheme="majorEastAsia" w:cstheme="majorBidi"/>
      <w:color w:val="254061" w:themeColor="accent1" w:themeShade="80"/>
    </w:rPr>
  </w:style>
  <w:style w:type="character" w:customStyle="1" w:styleId="196">
    <w:name w:val="标题 7 字符"/>
    <w:basedOn w:val="39"/>
    <w:link w:val="8"/>
    <w:semiHidden/>
    <w:qFormat/>
    <w:uiPriority w:val="9"/>
    <w:rPr>
      <w:rFonts w:asciiTheme="majorHAnsi" w:hAnsiTheme="majorHAnsi" w:eastAsiaTheme="majorEastAsia" w:cstheme="majorBidi"/>
      <w:i/>
      <w:iCs/>
      <w:color w:val="254061" w:themeColor="accent1" w:themeShade="80"/>
    </w:rPr>
  </w:style>
  <w:style w:type="character" w:customStyle="1" w:styleId="197">
    <w:name w:val="标题 8 字符"/>
    <w:basedOn w:val="39"/>
    <w:link w:val="9"/>
    <w:semiHidden/>
    <w:qFormat/>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198">
    <w:name w:val="标题 9 字符"/>
    <w:basedOn w:val="39"/>
    <w:link w:val="10"/>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199">
    <w:name w:val="标题 字符"/>
    <w:basedOn w:val="39"/>
    <w:link w:val="35"/>
    <w:qFormat/>
    <w:uiPriority w:val="10"/>
    <w:rPr>
      <w:rFonts w:asciiTheme="majorHAnsi" w:hAnsiTheme="majorHAnsi" w:eastAsiaTheme="majorEastAsia" w:cstheme="majorBidi"/>
      <w:spacing w:val="-10"/>
      <w:sz w:val="56"/>
      <w:szCs w:val="56"/>
    </w:rPr>
  </w:style>
  <w:style w:type="character" w:customStyle="1" w:styleId="200">
    <w:name w:val="副标题 字符"/>
    <w:basedOn w:val="39"/>
    <w:link w:val="33"/>
    <w:qFormat/>
    <w:uiPriority w:val="11"/>
    <w:rPr>
      <w:color w:val="595959" w:themeColor="text1" w:themeTint="A6"/>
      <w:spacing w:val="15"/>
      <w14:textFill>
        <w14:solidFill>
          <w14:schemeClr w14:val="tx1">
            <w14:lumMod w14:val="65000"/>
            <w14:lumOff w14:val="35000"/>
          </w14:schemeClr>
        </w14:solidFill>
      </w14:textFill>
    </w:rPr>
  </w:style>
  <w:style w:type="character" w:customStyle="1" w:styleId="201">
    <w:name w:val="引用 字符"/>
    <w:basedOn w:val="39"/>
    <w:link w:val="97"/>
    <w:qFormat/>
    <w:uiPriority w:val="29"/>
    <w:rPr>
      <w:i/>
      <w:iCs/>
      <w:color w:val="404040" w:themeColor="text1" w:themeTint="BF"/>
      <w14:textFill>
        <w14:solidFill>
          <w14:schemeClr w14:val="tx1">
            <w14:lumMod w14:val="75000"/>
            <w14:lumOff w14:val="25000"/>
          </w14:schemeClr>
        </w14:solidFill>
      </w14:textFill>
    </w:rPr>
  </w:style>
  <w:style w:type="paragraph" w:styleId="202">
    <w:name w:val="Intense Quote"/>
    <w:basedOn w:val="1"/>
    <w:next w:val="1"/>
    <w:link w:val="203"/>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203">
    <w:name w:val="明显引用 字符"/>
    <w:basedOn w:val="39"/>
    <w:link w:val="202"/>
    <w:qFormat/>
    <w:uiPriority w:val="30"/>
    <w:rPr>
      <w:i/>
      <w:iCs/>
      <w:color w:val="4F81BD" w:themeColor="accent1"/>
      <w14:textFill>
        <w14:solidFill>
          <w14:schemeClr w14:val="accent1"/>
        </w14:solidFill>
      </w14:textFill>
    </w:rPr>
  </w:style>
  <w:style w:type="character" w:customStyle="1" w:styleId="204">
    <w:name w:val="不明显强调1"/>
    <w:basedOn w:val="39"/>
    <w:qFormat/>
    <w:uiPriority w:val="19"/>
    <w:rPr>
      <w:i/>
      <w:iCs/>
      <w:color w:val="404040" w:themeColor="text1" w:themeTint="BF"/>
      <w14:textFill>
        <w14:solidFill>
          <w14:schemeClr w14:val="tx1">
            <w14:lumMod w14:val="75000"/>
            <w14:lumOff w14:val="25000"/>
          </w14:schemeClr>
        </w14:solidFill>
      </w14:textFill>
    </w:rPr>
  </w:style>
  <w:style w:type="character" w:customStyle="1" w:styleId="205">
    <w:name w:val="明显强调1"/>
    <w:basedOn w:val="39"/>
    <w:qFormat/>
    <w:uiPriority w:val="21"/>
    <w:rPr>
      <w:i/>
      <w:iCs/>
      <w:color w:val="4F81BD" w:themeColor="accent1"/>
      <w14:textFill>
        <w14:solidFill>
          <w14:schemeClr w14:val="accent1"/>
        </w14:solidFill>
      </w14:textFill>
    </w:rPr>
  </w:style>
  <w:style w:type="character" w:customStyle="1" w:styleId="206">
    <w:name w:val="不明显参考1"/>
    <w:basedOn w:val="39"/>
    <w:qFormat/>
    <w:uiPriority w:val="31"/>
    <w:rPr>
      <w:smallCaps/>
      <w:color w:val="404040" w:themeColor="text1" w:themeTint="BF"/>
      <w14:textFill>
        <w14:solidFill>
          <w14:schemeClr w14:val="tx1">
            <w14:lumMod w14:val="75000"/>
            <w14:lumOff w14:val="25000"/>
          </w14:schemeClr>
        </w14:solidFill>
      </w14:textFill>
    </w:rPr>
  </w:style>
  <w:style w:type="character" w:customStyle="1" w:styleId="207">
    <w:name w:val="明显参考1"/>
    <w:basedOn w:val="39"/>
    <w:qFormat/>
    <w:uiPriority w:val="32"/>
    <w:rPr>
      <w:b/>
      <w:bCs/>
      <w:smallCaps/>
      <w:color w:val="4F81BD" w:themeColor="accent1"/>
      <w:spacing w:val="5"/>
      <w14:textFill>
        <w14:solidFill>
          <w14:schemeClr w14:val="accent1"/>
        </w14:solidFill>
      </w14:textFill>
    </w:rPr>
  </w:style>
  <w:style w:type="character" w:customStyle="1" w:styleId="208">
    <w:name w:val="书籍标题1"/>
    <w:basedOn w:val="39"/>
    <w:qFormat/>
    <w:uiPriority w:val="33"/>
    <w:rPr>
      <w:b/>
      <w:bCs/>
      <w:i/>
      <w:iCs/>
      <w:spacing w:val="5"/>
    </w:rPr>
  </w:style>
  <w:style w:type="paragraph" w:customStyle="1" w:styleId="209">
    <w:name w:val="TOC 标题1"/>
    <w:basedOn w:val="2"/>
    <w:next w:val="1"/>
    <w:semiHidden/>
    <w:unhideWhenUsed/>
    <w:qFormat/>
    <w:uiPriority w:val="39"/>
    <w:pPr>
      <w:outlineLvl w:val="9"/>
    </w:pPr>
  </w:style>
  <w:style w:type="paragraph" w:customStyle="1" w:styleId="210">
    <w:name w:val="修订1"/>
    <w:hidden/>
    <w:semiHidden/>
    <w:qFormat/>
    <w:uiPriority w:val="99"/>
    <w:rPr>
      <w:rFonts w:asciiTheme="minorHAnsi" w:hAnsiTheme="minorHAnsi" w:eastAsiaTheme="minorEastAsia" w:cstheme="minorBidi"/>
      <w:sz w:val="22"/>
      <w:szCs w:val="22"/>
      <w:lang w:val="en-US" w:eastAsia="zh-CN" w:bidi="ar-SA"/>
    </w:rPr>
  </w:style>
  <w:style w:type="paragraph" w:customStyle="1" w:styleId="211">
    <w:name w:val="10、表格内容"/>
    <w:basedOn w:val="19"/>
    <w:qFormat/>
    <w:uiPriority w:val="0"/>
    <w:pPr>
      <w:widowControl w:val="0"/>
      <w:adjustRightInd w:val="0"/>
      <w:spacing w:before="0" w:after="0" w:line="280" w:lineRule="exact"/>
      <w:ind w:right="0"/>
      <w:jc w:val="center"/>
    </w:pPr>
    <w:rPr>
      <w:color w:val="000000"/>
      <w:kern w:val="2"/>
      <w:sz w:val="21"/>
      <w:szCs w:val="24"/>
    </w:rPr>
  </w:style>
  <w:style w:type="paragraph" w:customStyle="1" w:styleId="212">
    <w:name w:val="Revision"/>
    <w:hidden/>
    <w:semiHidden/>
    <w:qFormat/>
    <w:uiPriority w:val="99"/>
    <w:rPr>
      <w:rFonts w:asciiTheme="minorHAnsi" w:hAnsiTheme="minorHAnsi" w:eastAsiaTheme="minorEastAsia" w:cstheme="minorBidi"/>
      <w:sz w:val="22"/>
      <w:szCs w:val="22"/>
      <w:lang w:val="en-US" w:eastAsia="zh-CN" w:bidi="ar-SA"/>
    </w:rPr>
  </w:style>
  <w:style w:type="paragraph" w:customStyle="1" w:styleId="213">
    <w:name w:val="标题33"/>
    <w:basedOn w:val="1"/>
    <w:qFormat/>
    <w:uiPriority w:val="0"/>
    <w:pPr>
      <w:tabs>
        <w:tab w:val="left" w:pos="3840"/>
      </w:tabs>
      <w:spacing w:line="360" w:lineRule="auto"/>
      <w:ind w:firstLine="0"/>
      <w:outlineLvl w:val="2"/>
    </w:pPr>
    <w:rPr>
      <w:rFonts w:eastAsia="黑体"/>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k2ODc2NzY5NTYxIiwKCSJHcm91cElkIiA6ICI2NzAyODUzNTkiLAoJIkltYWdlIiA6ICJpVkJPUncwS0dnb0FBQUFOU1VoRVVnQUFCYndBQUFHR0NBWUFBQUN3aUVlV0FBQUFBWE5TUjBJQXJzNGM2UUFBSUFCSlJFRlVlSnpzM1h1WUhGV1pQL0R2VzFWelNVSWlDVUZZaVJnd01xR1Q2YTV6Mmd1TEtCZEJRSkdMV1c2S0tJb29MQ0NLeW1WeFZSWnhWUVFWUlBHTzRuSlpGQVZaWUZVdWdoZlFybFBkSVFOeFI1MWR3ODBnZ1VsSTVsYjEvdjZZNnZ5YVNVL1BUREl6R1dhK24rZkprNTZ1VTFXbloycDZ1dDd6bnZj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92di9PaE44Zm1OWHUyRUFBQUFBU1VWT1JLNUNZSUk9IiwKCSJUaGVtZSIgOiAiIiwKCSJUeXBlIiA6ICJmbG93IiwKCSJWZXJzaW9uIiA6ICI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4FF810-0B2D-4B17-806D-7BF206B3F30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51</Pages>
  <Words>24375</Words>
  <Characters>28630</Characters>
  <Lines>229</Lines>
  <Paragraphs>64</Paragraphs>
  <TotalTime>5</TotalTime>
  <ScaleCrop>false</ScaleCrop>
  <LinksUpToDate>false</LinksUpToDate>
  <CharactersWithSpaces>30382</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2024-08-27T02:13:00Z</dcterms:created>
  <dc:creator>lhj</dc:creator>
  <cp:lastModifiedBy>NTKO</cp:lastModifiedBy>
  <cp:lastPrinted>2024-05-31T06:14:00Z</cp:lastPrinted>
  <dcterms:modified xsi:type="dcterms:W3CDTF">2024-11-12T06:56:02Z</dcterms:modified>
  <dc:title>附件2</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4C3A1CE95E2644BA8749B7DBA5B4E889_13</vt:lpwstr>
  </property>
</Properties>
</file>