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b/>
          <w:bCs/>
          <w:color w:val="auto"/>
          <w:sz w:val="32"/>
          <w:szCs w:val="32"/>
          <w:lang w:eastAsia="zh-CN"/>
        </w:rPr>
      </w:pPr>
      <w:r>
        <w:rPr>
          <w:rFonts w:hint="eastAsia" w:ascii="Times New Roman" w:hAnsi="Times New Roman" w:eastAsia="宋体" w:cs="Times New Roman"/>
          <w:b/>
          <w:bCs/>
          <w:color w:val="auto"/>
          <w:sz w:val="32"/>
          <w:szCs w:val="32"/>
          <w:lang w:eastAsia="zh-CN"/>
        </w:rPr>
        <w:drawing>
          <wp:inline distT="0" distB="0" distL="114300" distR="114300">
            <wp:extent cx="5758815" cy="8148955"/>
            <wp:effectExtent l="0" t="0" r="13335" b="4445"/>
            <wp:docPr id="16" name="图片 16" descr="福清安耐达2024-10-18 (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福清安耐达2024-10-18 (1)(1)_03"/>
                    <pic:cNvPicPr>
                      <a:picLocks noChangeAspect="1"/>
                    </pic:cNvPicPr>
                  </pic:nvPicPr>
                  <pic:blipFill>
                    <a:blip r:embed="rId10"/>
                    <a:stretch>
                      <a:fillRect/>
                    </a:stretch>
                  </pic:blipFill>
                  <pic:spPr>
                    <a:xfrm>
                      <a:off x="0" y="0"/>
                      <a:ext cx="5758815" cy="8148955"/>
                    </a:xfrm>
                    <a:prstGeom prst="rect">
                      <a:avLst/>
                    </a:prstGeom>
                  </pic:spPr>
                </pic:pic>
              </a:graphicData>
            </a:graphic>
          </wp:inline>
        </w:drawing>
      </w:r>
    </w:p>
    <w:p>
      <w:pPr>
        <w:rPr>
          <w:rFonts w:hint="eastAsia" w:ascii="Times New Roman" w:hAnsi="Times New Roman" w:eastAsia="宋体" w:cs="Times New Roman"/>
          <w:b/>
          <w:bCs/>
          <w:color w:val="auto"/>
          <w:sz w:val="32"/>
          <w:szCs w:val="32"/>
          <w:lang w:eastAsia="zh-CN"/>
        </w:rPr>
      </w:pPr>
      <w:r>
        <w:rPr>
          <w:rFonts w:hint="eastAsia" w:ascii="Times New Roman" w:hAnsi="Times New Roman" w:eastAsia="宋体" w:cs="Times New Roman"/>
          <w:b/>
          <w:bCs/>
          <w:color w:val="auto"/>
          <w:sz w:val="32"/>
          <w:szCs w:val="32"/>
          <w:lang w:eastAsia="zh-CN"/>
        </w:rPr>
        <w:br w:type="page"/>
      </w:r>
    </w:p>
    <w:p>
      <w:pPr>
        <w:jc w:val="center"/>
        <w:rPr>
          <w:rFonts w:hint="eastAsia" w:ascii="Times New Roman" w:hAnsi="Times New Roman" w:eastAsia="宋体" w:cs="Times New Roman"/>
          <w:b/>
          <w:bCs/>
          <w:color w:val="auto"/>
          <w:sz w:val="32"/>
          <w:szCs w:val="32"/>
          <w:lang w:eastAsia="zh-CN"/>
        </w:rPr>
      </w:pPr>
    </w:p>
    <w:sdt>
      <w:sdtPr>
        <w:rPr>
          <w:rFonts w:hint="default" w:ascii="Times New Roman" w:hAnsi="Times New Roman" w:eastAsia="宋体" w:cs="Times New Roman"/>
          <w:b/>
          <w:bCs/>
          <w:color w:val="auto"/>
          <w:sz w:val="32"/>
          <w:szCs w:val="32"/>
        </w:rPr>
        <w:id w:val="147462587"/>
        <w15:color w:val="DBDBDB"/>
        <w:docPartObj>
          <w:docPartGallery w:val="Table of Contents"/>
          <w:docPartUnique/>
        </w:docPartObj>
      </w:sdtPr>
      <w:sdtEndPr>
        <w:rPr>
          <w:rFonts w:hint="default" w:ascii="Times New Roman" w:hAnsi="Times New Roman" w:eastAsia="宋体" w:cs="Times New Roman"/>
          <w:b/>
          <w:bCs/>
          <w:color w:val="auto"/>
          <w:sz w:val="30"/>
          <w:szCs w:val="30"/>
        </w:rPr>
      </w:sdtEndPr>
      <w:sdtContent>
        <w:p>
          <w:pPr>
            <w:jc w:val="center"/>
            <w:rPr>
              <w:rFonts w:hint="default" w:ascii="Times New Roman" w:hAnsi="Times New Roman" w:eastAsia="宋体" w:cs="Times New Roman"/>
              <w:b/>
              <w:bCs/>
              <w:color w:val="auto"/>
              <w:sz w:val="32"/>
              <w:szCs w:val="32"/>
            </w:rPr>
          </w:pPr>
          <w:bookmarkStart w:id="0" w:name="_Toc25484"/>
        </w:p>
        <w:p>
          <w:pPr>
            <w:rPr>
              <w:rFonts w:hint="default" w:ascii="Times New Roman" w:hAnsi="Times New Roman" w:eastAsia="宋体" w:cs="Times New Roman"/>
              <w:b/>
              <w:bCs/>
              <w:color w:val="auto"/>
              <w:sz w:val="32"/>
              <w:szCs w:val="32"/>
            </w:rPr>
          </w:pPr>
          <w:r>
            <w:rPr>
              <w:rFonts w:hint="default" w:ascii="Times New Roman" w:hAnsi="Times New Roman" w:eastAsia="宋体" w:cs="Times New Roman"/>
              <w:b/>
              <w:bCs/>
              <w:color w:val="auto"/>
              <w:sz w:val="32"/>
              <w:szCs w:val="32"/>
            </w:rPr>
            <w:br w:type="page"/>
          </w:r>
        </w:p>
        <w:p>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bCs/>
              <w:color w:val="auto"/>
              <w:sz w:val="32"/>
              <w:szCs w:val="32"/>
            </w:rPr>
            <w:t>目录</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"1-2" \h \u </w:instrText>
          </w:r>
          <w:r>
            <w:rPr>
              <w:rFonts w:hint="default" w:ascii="Times New Roman" w:hAnsi="Times New Roman" w:eastAsia="宋体" w:cs="Times New Roman"/>
              <w:color w:val="auto"/>
              <w:sz w:val="24"/>
              <w:szCs w:val="24"/>
            </w:rPr>
            <w:fldChar w:fldCharType="separate"/>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_Toc32727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一、建设项目基本情况</w:t>
          </w:r>
          <w:r>
            <w:rPr>
              <w:color w:val="auto"/>
            </w:rPr>
            <w:tab/>
          </w:r>
          <w:r>
            <w:rPr>
              <w:color w:val="auto"/>
            </w:rPr>
            <w:fldChar w:fldCharType="begin"/>
          </w:r>
          <w:r>
            <w:rPr>
              <w:color w:val="auto"/>
            </w:rPr>
            <w:instrText xml:space="preserve"> PAGEREF _Toc32727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_Toc27663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二、建设项目工程分析</w:t>
          </w:r>
          <w:r>
            <w:rPr>
              <w:color w:val="auto"/>
            </w:rPr>
            <w:tab/>
          </w:r>
          <w:r>
            <w:rPr>
              <w:color w:val="auto"/>
            </w:rPr>
            <w:fldChar w:fldCharType="begin"/>
          </w:r>
          <w:r>
            <w:rPr>
              <w:color w:val="auto"/>
            </w:rPr>
            <w:instrText xml:space="preserve"> PAGEREF _Toc27663 \h </w:instrText>
          </w:r>
          <w:r>
            <w:rPr>
              <w:color w:val="auto"/>
            </w:rPr>
            <w:fldChar w:fldCharType="separate"/>
          </w:r>
          <w:r>
            <w:rPr>
              <w:color w:val="auto"/>
            </w:rPr>
            <w:t>15</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_Toc25202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三、区域环境质量现状、环境保护目标及评价标准</w:t>
          </w:r>
          <w:r>
            <w:rPr>
              <w:color w:val="auto"/>
            </w:rPr>
            <w:tab/>
          </w:r>
          <w:r>
            <w:rPr>
              <w:color w:val="auto"/>
            </w:rPr>
            <w:fldChar w:fldCharType="begin"/>
          </w:r>
          <w:r>
            <w:rPr>
              <w:color w:val="auto"/>
            </w:rPr>
            <w:instrText xml:space="preserve"> PAGEREF _Toc25202 \h </w:instrText>
          </w:r>
          <w:r>
            <w:rPr>
              <w:color w:val="auto"/>
            </w:rPr>
            <w:fldChar w:fldCharType="separate"/>
          </w:r>
          <w:r>
            <w:rPr>
              <w:color w:val="auto"/>
            </w:rPr>
            <w:t>32</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_Toc20245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四、主要环境影响和保护措施</w:t>
          </w:r>
          <w:r>
            <w:rPr>
              <w:color w:val="auto"/>
            </w:rPr>
            <w:tab/>
          </w:r>
          <w:r>
            <w:rPr>
              <w:color w:val="auto"/>
            </w:rPr>
            <w:fldChar w:fldCharType="begin"/>
          </w:r>
          <w:r>
            <w:rPr>
              <w:color w:val="auto"/>
            </w:rPr>
            <w:instrText xml:space="preserve"> PAGEREF _Toc20245 \h </w:instrText>
          </w:r>
          <w:r>
            <w:rPr>
              <w:color w:val="auto"/>
            </w:rPr>
            <w:fldChar w:fldCharType="separate"/>
          </w:r>
          <w:r>
            <w:rPr>
              <w:color w:val="auto"/>
            </w:rPr>
            <w:t>39</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_Toc22260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五、环境保护措施监督检查清单</w:t>
          </w:r>
          <w:r>
            <w:rPr>
              <w:color w:val="auto"/>
            </w:rPr>
            <w:tab/>
          </w:r>
          <w:r>
            <w:rPr>
              <w:color w:val="auto"/>
            </w:rPr>
            <w:fldChar w:fldCharType="begin"/>
          </w:r>
          <w:r>
            <w:rPr>
              <w:color w:val="auto"/>
            </w:rPr>
            <w:instrText xml:space="preserve"> PAGEREF _Toc22260 \h </w:instrText>
          </w:r>
          <w:r>
            <w:rPr>
              <w:color w:val="auto"/>
            </w:rPr>
            <w:fldChar w:fldCharType="separate"/>
          </w:r>
          <w:r>
            <w:rPr>
              <w:color w:val="auto"/>
            </w:rPr>
            <w:t>66</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_Toc24176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36"/>
            </w:rPr>
            <w:t>附表</w:t>
          </w:r>
          <w:r>
            <w:rPr>
              <w:color w:val="auto"/>
            </w:rPr>
            <w:tab/>
          </w:r>
          <w:r>
            <w:rPr>
              <w:color w:val="auto"/>
            </w:rPr>
            <w:fldChar w:fldCharType="begin"/>
          </w:r>
          <w:r>
            <w:rPr>
              <w:color w:val="auto"/>
            </w:rPr>
            <w:instrText xml:space="preserve"> PAGEREF _Toc24176 \h </w:instrText>
          </w:r>
          <w:r>
            <w:rPr>
              <w:color w:val="auto"/>
            </w:rPr>
            <w:fldChar w:fldCharType="separate"/>
          </w:r>
          <w:r>
            <w:rPr>
              <w:color w:val="auto"/>
            </w:rPr>
            <w:t>70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_Toc4446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30"/>
            </w:rPr>
            <w:t>建设项目污染物排放量汇总表</w:t>
          </w:r>
          <w:r>
            <w:rPr>
              <w:color w:val="auto"/>
            </w:rPr>
            <w:tab/>
          </w:r>
          <w:r>
            <w:rPr>
              <w:color w:val="auto"/>
            </w:rPr>
            <w:fldChar w:fldCharType="begin"/>
          </w:r>
          <w:r>
            <w:rPr>
              <w:color w:val="auto"/>
            </w:rPr>
            <w:instrText xml:space="preserve"> PAGEREF _Toc4446 \h </w:instrText>
          </w:r>
          <w:r>
            <w:rPr>
              <w:color w:val="auto"/>
            </w:rPr>
            <w:fldChar w:fldCharType="separate"/>
          </w:r>
          <w:r>
            <w:rPr>
              <w:color w:val="auto"/>
            </w:rPr>
            <w:t>70</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_Toc26718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36"/>
            </w:rPr>
            <w:t>附图</w:t>
          </w:r>
          <w:r>
            <w:rPr>
              <w:color w:val="auto"/>
            </w:rPr>
            <w:tab/>
          </w:r>
          <w:r>
            <w:rPr>
              <w:color w:val="auto"/>
            </w:rPr>
            <w:fldChar w:fldCharType="begin"/>
          </w:r>
          <w:r>
            <w:rPr>
              <w:color w:val="auto"/>
            </w:rPr>
            <w:instrText xml:space="preserve"> PAGEREF _Toc26718 \h </w:instrText>
          </w:r>
          <w:r>
            <w:rPr>
              <w:color w:val="auto"/>
            </w:rPr>
            <w:fldChar w:fldCharType="separate"/>
          </w:r>
          <w:r>
            <w:rPr>
              <w:color w:val="auto"/>
            </w:rPr>
            <w:t>71</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_Toc28723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附图1 建设项目地理位置图</w:t>
          </w:r>
          <w:r>
            <w:rPr>
              <w:color w:val="auto"/>
            </w:rPr>
            <w:tab/>
          </w:r>
          <w:r>
            <w:rPr>
              <w:color w:val="auto"/>
            </w:rPr>
            <w:fldChar w:fldCharType="begin"/>
          </w:r>
          <w:r>
            <w:rPr>
              <w:color w:val="auto"/>
            </w:rPr>
            <w:instrText xml:space="preserve"> PAGEREF _Toc28723 \h </w:instrText>
          </w:r>
          <w:r>
            <w:rPr>
              <w:color w:val="auto"/>
            </w:rPr>
            <w:fldChar w:fldCharType="separate"/>
          </w:r>
          <w:r>
            <w:rPr>
              <w:color w:val="auto"/>
            </w:rPr>
            <w:t>71</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_Toc23975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附图2 周边位置关系以及周边环境敏感目标</w:t>
          </w:r>
          <w:r>
            <w:rPr>
              <w:color w:val="auto"/>
            </w:rPr>
            <w:tab/>
          </w:r>
          <w:r>
            <w:rPr>
              <w:color w:val="auto"/>
            </w:rPr>
            <w:fldChar w:fldCharType="begin"/>
          </w:r>
          <w:r>
            <w:rPr>
              <w:color w:val="auto"/>
            </w:rPr>
            <w:instrText xml:space="preserve"> PAGEREF _Toc23975 \h </w:instrText>
          </w:r>
          <w:r>
            <w:rPr>
              <w:color w:val="auto"/>
            </w:rPr>
            <w:fldChar w:fldCharType="separate"/>
          </w:r>
          <w:r>
            <w:rPr>
              <w:color w:val="auto"/>
            </w:rPr>
            <w:t>72</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_Toc17442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附图3 平面布置图</w:t>
          </w:r>
          <w:r>
            <w:rPr>
              <w:color w:val="auto"/>
            </w:rPr>
            <w:tab/>
          </w:r>
          <w:r>
            <w:rPr>
              <w:color w:val="auto"/>
            </w:rPr>
            <w:fldChar w:fldCharType="begin"/>
          </w:r>
          <w:r>
            <w:rPr>
              <w:color w:val="auto"/>
            </w:rPr>
            <w:instrText xml:space="preserve"> PAGEREF _Toc17442 \h </w:instrText>
          </w:r>
          <w:r>
            <w:rPr>
              <w:color w:val="auto"/>
            </w:rPr>
            <w:fldChar w:fldCharType="separate"/>
          </w:r>
          <w:r>
            <w:rPr>
              <w:color w:val="auto"/>
            </w:rPr>
            <w:t>74</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_Toc2850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color w:val="auto"/>
              <w:kern w:val="0"/>
              <w:szCs w:val="32"/>
            </w:rPr>
            <w:t>附图4</w:t>
          </w:r>
          <w:r>
            <w:rPr>
              <w:rFonts w:hint="eastAsia" w:eastAsia="宋体" w:cs="Times New Roman"/>
              <w:bCs/>
              <w:color w:val="auto"/>
              <w:kern w:val="0"/>
              <w:szCs w:val="32"/>
              <w:lang w:val="en-US" w:eastAsia="zh-CN"/>
            </w:rPr>
            <w:t>监测</w:t>
          </w:r>
          <w:r>
            <w:rPr>
              <w:rFonts w:hint="eastAsia" w:cs="Times New Roman"/>
              <w:bCs/>
              <w:color w:val="auto"/>
              <w:kern w:val="0"/>
              <w:szCs w:val="32"/>
              <w:lang w:val="en-US" w:eastAsia="zh-CN"/>
            </w:rPr>
            <w:t>计划点位</w:t>
          </w:r>
          <w:r>
            <w:rPr>
              <w:rFonts w:hint="default" w:ascii="Times New Roman" w:hAnsi="Times New Roman" w:eastAsia="宋体" w:cs="Times New Roman"/>
              <w:color w:val="auto"/>
              <w:szCs w:val="32"/>
            </w:rPr>
            <w:t>图</w:t>
          </w:r>
          <w:r>
            <w:rPr>
              <w:color w:val="auto"/>
            </w:rPr>
            <w:tab/>
          </w:r>
          <w:r>
            <w:rPr>
              <w:color w:val="auto"/>
            </w:rPr>
            <w:fldChar w:fldCharType="begin"/>
          </w:r>
          <w:r>
            <w:rPr>
              <w:color w:val="auto"/>
            </w:rPr>
            <w:instrText xml:space="preserve"> PAGEREF _Toc2850 \h </w:instrText>
          </w:r>
          <w:r>
            <w:rPr>
              <w:color w:val="auto"/>
            </w:rPr>
            <w:fldChar w:fldCharType="separate"/>
          </w:r>
          <w:r>
            <w:rPr>
              <w:color w:val="auto"/>
            </w:rPr>
            <w:t>75</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_Toc29182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color w:val="auto"/>
              <w:kern w:val="0"/>
              <w:szCs w:val="32"/>
            </w:rPr>
            <w:t>附图</w:t>
          </w:r>
          <w:r>
            <w:rPr>
              <w:rFonts w:hint="eastAsia" w:cs="Times New Roman"/>
              <w:bCs/>
              <w:color w:val="auto"/>
              <w:kern w:val="0"/>
              <w:szCs w:val="32"/>
              <w:lang w:val="en-US" w:eastAsia="zh-CN"/>
            </w:rPr>
            <w:t>5</w:t>
          </w:r>
          <w:r>
            <w:rPr>
              <w:rFonts w:hint="default" w:ascii="Times New Roman" w:hAnsi="Times New Roman" w:eastAsia="宋体" w:cs="Times New Roman"/>
              <w:bCs/>
              <w:color w:val="auto"/>
              <w:kern w:val="0"/>
              <w:szCs w:val="32"/>
            </w:rPr>
            <w:t>《福州市元洪投资区总体规划(2016-2030)》</w:t>
          </w:r>
          <w:r>
            <w:rPr>
              <w:rFonts w:hint="default" w:ascii="Times New Roman" w:hAnsi="Times New Roman" w:eastAsia="宋体" w:cs="Times New Roman"/>
              <w:color w:val="auto"/>
              <w:szCs w:val="32"/>
            </w:rPr>
            <w:t>规划结构图</w:t>
          </w:r>
          <w:r>
            <w:rPr>
              <w:color w:val="auto"/>
            </w:rPr>
            <w:tab/>
          </w:r>
          <w:r>
            <w:rPr>
              <w:color w:val="auto"/>
            </w:rPr>
            <w:fldChar w:fldCharType="begin"/>
          </w:r>
          <w:r>
            <w:rPr>
              <w:color w:val="auto"/>
            </w:rPr>
            <w:instrText xml:space="preserve"> PAGEREF _Toc29182 \h </w:instrText>
          </w:r>
          <w:r>
            <w:rPr>
              <w:color w:val="auto"/>
            </w:rPr>
            <w:fldChar w:fldCharType="separate"/>
          </w:r>
          <w:r>
            <w:rPr>
              <w:color w:val="auto"/>
            </w:rPr>
            <w:t>77</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_Toc18499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color w:val="auto"/>
            </w:rPr>
            <w:tab/>
          </w:r>
          <w:r>
            <w:rPr>
              <w:color w:val="auto"/>
            </w:rPr>
            <w:fldChar w:fldCharType="begin"/>
          </w:r>
          <w:r>
            <w:rPr>
              <w:color w:val="auto"/>
            </w:rPr>
            <w:instrText xml:space="preserve"> PAGEREF _Toc18499 \h </w:instrText>
          </w:r>
          <w:r>
            <w:rPr>
              <w:color w:val="auto"/>
            </w:rPr>
            <w:fldChar w:fldCharType="separate"/>
          </w:r>
          <w:r>
            <w:rPr>
              <w:color w:val="auto"/>
            </w:rPr>
            <w:t>78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_Toc10648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附件1委托书</w:t>
          </w:r>
          <w:r>
            <w:rPr>
              <w:color w:val="auto"/>
            </w:rPr>
            <w:tab/>
          </w:r>
          <w:r>
            <w:rPr>
              <w:color w:val="auto"/>
            </w:rPr>
            <w:fldChar w:fldCharType="begin"/>
          </w:r>
          <w:r>
            <w:rPr>
              <w:color w:val="auto"/>
            </w:rPr>
            <w:instrText xml:space="preserve"> PAGEREF _Toc10648 \h </w:instrText>
          </w:r>
          <w:r>
            <w:rPr>
              <w:color w:val="auto"/>
            </w:rPr>
            <w:fldChar w:fldCharType="separate"/>
          </w:r>
          <w:r>
            <w:rPr>
              <w:color w:val="auto"/>
            </w:rPr>
            <w:t>79</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_Toc2845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附件2备案表</w:t>
          </w:r>
          <w:r>
            <w:rPr>
              <w:color w:val="auto"/>
            </w:rPr>
            <w:tab/>
          </w:r>
          <w:r>
            <w:rPr>
              <w:color w:val="auto"/>
            </w:rPr>
            <w:fldChar w:fldCharType="begin"/>
          </w:r>
          <w:r>
            <w:rPr>
              <w:color w:val="auto"/>
            </w:rPr>
            <w:instrText xml:space="preserve"> PAGEREF _Toc2845 \h </w:instrText>
          </w:r>
          <w:r>
            <w:rPr>
              <w:color w:val="auto"/>
            </w:rPr>
            <w:fldChar w:fldCharType="separate"/>
          </w:r>
          <w:r>
            <w:rPr>
              <w:color w:val="auto"/>
            </w:rPr>
            <w:t>80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_Toc47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附件3营业执照</w:t>
          </w:r>
          <w:r>
            <w:rPr>
              <w:rFonts w:hint="eastAsia" w:cs="Times New Roman"/>
              <w:color w:val="auto"/>
              <w:lang w:val="en-US" w:eastAsia="zh-CN"/>
            </w:rPr>
            <w:t>及法人身份证</w:t>
          </w:r>
          <w:r>
            <w:rPr>
              <w:color w:val="auto"/>
            </w:rPr>
            <w:tab/>
          </w:r>
          <w:r>
            <w:rPr>
              <w:color w:val="auto"/>
            </w:rPr>
            <w:fldChar w:fldCharType="begin"/>
          </w:r>
          <w:r>
            <w:rPr>
              <w:color w:val="auto"/>
            </w:rPr>
            <w:instrText xml:space="preserve"> PAGEREF _Toc47 \h </w:instrText>
          </w:r>
          <w:r>
            <w:rPr>
              <w:color w:val="auto"/>
            </w:rPr>
            <w:fldChar w:fldCharType="separate"/>
          </w:r>
          <w:r>
            <w:rPr>
              <w:color w:val="auto"/>
            </w:rPr>
            <w:t>81</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_Toc5510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附件4</w:t>
          </w:r>
          <w:r>
            <w:rPr>
              <w:rFonts w:hint="eastAsia" w:cs="Times New Roman"/>
              <w:color w:val="auto"/>
              <w:lang w:val="en-US" w:eastAsia="zh-CN"/>
            </w:rPr>
            <w:t>现有工程环保手续</w:t>
          </w:r>
          <w:r>
            <w:rPr>
              <w:color w:val="auto"/>
            </w:rPr>
            <w:tab/>
          </w:r>
          <w:r>
            <w:rPr>
              <w:color w:val="auto"/>
            </w:rPr>
            <w:fldChar w:fldCharType="begin"/>
          </w:r>
          <w:r>
            <w:rPr>
              <w:color w:val="auto"/>
            </w:rPr>
            <w:instrText xml:space="preserve"> PAGEREF _Toc5510 \h </w:instrText>
          </w:r>
          <w:r>
            <w:rPr>
              <w:color w:val="auto"/>
            </w:rPr>
            <w:fldChar w:fldCharType="separate"/>
          </w:r>
          <w:r>
            <w:rPr>
              <w:color w:val="auto"/>
            </w:rPr>
            <w:t>83</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_Toc29584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附件5</w:t>
          </w:r>
          <w:r>
            <w:rPr>
              <w:rFonts w:hint="eastAsia" w:cs="Times New Roman"/>
              <w:color w:val="auto"/>
              <w:lang w:val="en-US" w:eastAsia="zh-CN"/>
            </w:rPr>
            <w:t>用地材料</w:t>
          </w:r>
          <w:r>
            <w:rPr>
              <w:rFonts w:hint="default" w:ascii="Times New Roman" w:hAnsi="Times New Roman" w:eastAsia="宋体" w:cs="Times New Roman"/>
              <w:color w:val="auto"/>
            </w:rPr>
            <w:t>及厂房租赁合同</w:t>
          </w:r>
          <w:r>
            <w:rPr>
              <w:color w:val="auto"/>
            </w:rPr>
            <w:tab/>
          </w:r>
          <w:r>
            <w:rPr>
              <w:color w:val="auto"/>
            </w:rPr>
            <w:fldChar w:fldCharType="begin"/>
          </w:r>
          <w:r>
            <w:rPr>
              <w:color w:val="auto"/>
            </w:rPr>
            <w:instrText xml:space="preserve"> PAGEREF _Toc29584 \h </w:instrText>
          </w:r>
          <w:r>
            <w:rPr>
              <w:color w:val="auto"/>
            </w:rPr>
            <w:fldChar w:fldCharType="separate"/>
          </w:r>
          <w:r>
            <w:rPr>
              <w:color w:val="auto"/>
            </w:rPr>
            <w:t>99</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_Toc19510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关于《</w:t>
          </w:r>
          <w:r>
            <w:rPr>
              <w:rFonts w:hint="default" w:ascii="Times New Roman" w:hAnsi="Times New Roman" w:eastAsia="宋体" w:cs="Times New Roman"/>
              <w:color w:val="auto"/>
              <w:lang w:val="en-US" w:eastAsia="zh-CN"/>
            </w:rPr>
            <w:t>福州元洪投资区总体规划（2016~2030）</w:t>
          </w:r>
          <w:r>
            <w:rPr>
              <w:rFonts w:hint="default" w:ascii="Times New Roman" w:hAnsi="Times New Roman" w:eastAsia="宋体" w:cs="Times New Roman"/>
              <w:color w:val="auto"/>
            </w:rPr>
            <w:t>环境影响报告书》的审查意见</w:t>
          </w:r>
          <w:r>
            <w:rPr>
              <w:color w:val="auto"/>
            </w:rPr>
            <w:tab/>
          </w:r>
          <w:r>
            <w:rPr>
              <w:color w:val="auto"/>
            </w:rPr>
            <w:fldChar w:fldCharType="begin"/>
          </w:r>
          <w:r>
            <w:rPr>
              <w:color w:val="auto"/>
            </w:rPr>
            <w:instrText xml:space="preserve"> PAGEREF _Toc19510 \h </w:instrText>
          </w:r>
          <w:r>
            <w:rPr>
              <w:color w:val="auto"/>
            </w:rPr>
            <w:fldChar w:fldCharType="separate"/>
          </w:r>
          <w:r>
            <w:rPr>
              <w:color w:val="auto"/>
            </w:rPr>
            <w:t>113</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_Toc17189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原辅料成分分析报告</w:t>
          </w:r>
          <w:r>
            <w:rPr>
              <w:color w:val="auto"/>
            </w:rPr>
            <w:tab/>
          </w:r>
          <w:r>
            <w:rPr>
              <w:color w:val="auto"/>
            </w:rPr>
            <w:fldChar w:fldCharType="begin"/>
          </w:r>
          <w:r>
            <w:rPr>
              <w:color w:val="auto"/>
            </w:rPr>
            <w:instrText xml:space="preserve"> PAGEREF _Toc17189 \h </w:instrText>
          </w:r>
          <w:r>
            <w:rPr>
              <w:color w:val="auto"/>
            </w:rPr>
            <w:fldChar w:fldCharType="separate"/>
          </w:r>
          <w:r>
            <w:rPr>
              <w:color w:val="auto"/>
            </w:rPr>
            <w:t>120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_Toc4131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三线一单查询报告</w:t>
          </w:r>
          <w:r>
            <w:rPr>
              <w:color w:val="auto"/>
            </w:rPr>
            <w:tab/>
          </w:r>
          <w:r>
            <w:rPr>
              <w:color w:val="auto"/>
            </w:rPr>
            <w:fldChar w:fldCharType="begin"/>
          </w:r>
          <w:r>
            <w:rPr>
              <w:color w:val="auto"/>
            </w:rPr>
            <w:instrText xml:space="preserve"> PAGEREF _Toc4131 \h </w:instrText>
          </w:r>
          <w:r>
            <w:rPr>
              <w:color w:val="auto"/>
            </w:rPr>
            <w:fldChar w:fldCharType="separate"/>
          </w:r>
          <w:r>
            <w:rPr>
              <w:color w:val="auto"/>
            </w:rPr>
            <w:t>128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_Toc13949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9环境现状监测报告</w:t>
          </w:r>
          <w:r>
            <w:rPr>
              <w:color w:val="auto"/>
            </w:rPr>
            <w:tab/>
          </w:r>
          <w:r>
            <w:rPr>
              <w:color w:val="auto"/>
            </w:rPr>
            <w:fldChar w:fldCharType="begin"/>
          </w:r>
          <w:r>
            <w:rPr>
              <w:color w:val="auto"/>
            </w:rPr>
            <w:instrText xml:space="preserve"> PAGEREF _Toc13949 \h </w:instrText>
          </w:r>
          <w:r>
            <w:rPr>
              <w:color w:val="auto"/>
            </w:rPr>
            <w:fldChar w:fldCharType="separate"/>
          </w:r>
          <w:r>
            <w:rPr>
              <w:color w:val="auto"/>
            </w:rPr>
            <w:t>135</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_Toc29536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w:t>
          </w:r>
          <w:r>
            <w:rPr>
              <w:rFonts w:hint="default" w:ascii="Times New Roman" w:hAnsi="Times New Roman" w:eastAsia="宋体" w:cs="Times New Roman"/>
              <w:color w:val="auto"/>
              <w:highlight w:val="none"/>
              <w:lang w:val="en-US" w:eastAsia="zh-CN"/>
            </w:rPr>
            <w:t>10厂房情况说</w:t>
          </w:r>
          <w:r>
            <w:rPr>
              <w:rFonts w:hint="default" w:ascii="Times New Roman" w:hAnsi="Times New Roman" w:eastAsia="宋体" w:cs="Times New Roman"/>
              <w:color w:val="auto"/>
              <w:highlight w:val="none"/>
            </w:rPr>
            <w:t>明</w:t>
          </w:r>
          <w:r>
            <w:rPr>
              <w:color w:val="auto"/>
            </w:rPr>
            <w:tab/>
          </w:r>
          <w:r>
            <w:rPr>
              <w:color w:val="auto"/>
            </w:rPr>
            <w:fldChar w:fldCharType="begin"/>
          </w:r>
          <w:r>
            <w:rPr>
              <w:color w:val="auto"/>
            </w:rPr>
            <w:instrText xml:space="preserve"> PAGEREF _Toc29536 \h </w:instrText>
          </w:r>
          <w:r>
            <w:rPr>
              <w:color w:val="auto"/>
            </w:rPr>
            <w:fldChar w:fldCharType="separate"/>
          </w:r>
          <w:r>
            <w:rPr>
              <w:color w:val="auto"/>
            </w:rPr>
            <w:t>142</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_Toc25878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11生活污水情况说明</w:t>
          </w:r>
          <w:r>
            <w:rPr>
              <w:color w:val="auto"/>
            </w:rPr>
            <w:tab/>
          </w:r>
          <w:r>
            <w:rPr>
              <w:color w:val="auto"/>
            </w:rPr>
            <w:fldChar w:fldCharType="begin"/>
          </w:r>
          <w:r>
            <w:rPr>
              <w:color w:val="auto"/>
            </w:rPr>
            <w:instrText xml:space="preserve"> PAGEREF _Toc25878 \h </w:instrText>
          </w:r>
          <w:r>
            <w:rPr>
              <w:color w:val="auto"/>
            </w:rPr>
            <w:fldChar w:fldCharType="separate"/>
          </w:r>
          <w:r>
            <w:rPr>
              <w:color w:val="auto"/>
            </w:rPr>
            <w:t>143</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_Toc11846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lang w:val="en-US" w:eastAsia="zh-CN"/>
            </w:rPr>
            <w:t>附件12</w:t>
          </w:r>
          <w:r>
            <w:rPr>
              <w:rFonts w:hint="eastAsia" w:cs="Times New Roman"/>
              <w:color w:val="auto"/>
              <w:highlight w:val="none"/>
              <w:lang w:val="en-US" w:eastAsia="zh-CN"/>
            </w:rPr>
            <w:t>排污指标</w:t>
          </w:r>
          <w:r>
            <w:rPr>
              <w:rFonts w:hint="default" w:ascii="Times New Roman" w:hAnsi="Times New Roman" w:eastAsia="宋体" w:cs="Times New Roman"/>
              <w:color w:val="auto"/>
              <w:highlight w:val="none"/>
              <w:lang w:val="en-US" w:eastAsia="zh-CN"/>
            </w:rPr>
            <w:t>承诺书</w:t>
          </w:r>
          <w:r>
            <w:rPr>
              <w:color w:val="auto"/>
            </w:rPr>
            <w:tab/>
          </w:r>
          <w:r>
            <w:rPr>
              <w:color w:val="auto"/>
            </w:rPr>
            <w:fldChar w:fldCharType="begin"/>
          </w:r>
          <w:r>
            <w:rPr>
              <w:color w:val="auto"/>
            </w:rPr>
            <w:instrText xml:space="preserve"> PAGEREF _Toc11846 \h </w:instrText>
          </w:r>
          <w:r>
            <w:rPr>
              <w:color w:val="auto"/>
            </w:rPr>
            <w:fldChar w:fldCharType="separate"/>
          </w:r>
          <w:r>
            <w:rPr>
              <w:color w:val="auto"/>
            </w:rPr>
            <w:t>144</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_Toc29038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3是否涉密说明</w:t>
          </w:r>
          <w:r>
            <w:rPr>
              <w:color w:val="auto"/>
            </w:rPr>
            <w:tab/>
          </w:r>
          <w:r>
            <w:rPr>
              <w:color w:val="auto"/>
            </w:rPr>
            <w:fldChar w:fldCharType="begin"/>
          </w:r>
          <w:r>
            <w:rPr>
              <w:color w:val="auto"/>
            </w:rPr>
            <w:instrText xml:space="preserve"> PAGEREF _Toc29038 \h </w:instrText>
          </w:r>
          <w:r>
            <w:rPr>
              <w:color w:val="auto"/>
            </w:rPr>
            <w:fldChar w:fldCharType="separate"/>
          </w:r>
          <w:r>
            <w:rPr>
              <w:color w:val="auto"/>
            </w:rPr>
            <w:t>145</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_Toc7870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4公示说明</w:t>
          </w:r>
          <w:r>
            <w:rPr>
              <w:color w:val="auto"/>
            </w:rPr>
            <w:tab/>
          </w:r>
          <w:r>
            <w:rPr>
              <w:color w:val="auto"/>
            </w:rPr>
            <w:fldChar w:fldCharType="begin"/>
          </w:r>
          <w:r>
            <w:rPr>
              <w:color w:val="auto"/>
            </w:rPr>
            <w:instrText xml:space="preserve"> PAGEREF _Toc7870 \h </w:instrText>
          </w:r>
          <w:r>
            <w:rPr>
              <w:color w:val="auto"/>
            </w:rPr>
            <w:fldChar w:fldCharType="separate"/>
          </w:r>
          <w:r>
            <w:rPr>
              <w:color w:val="auto"/>
            </w:rPr>
            <w:t>147</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_Toc31142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5批复申请报告</w:t>
          </w:r>
          <w:r>
            <w:rPr>
              <w:color w:val="auto"/>
            </w:rPr>
            <w:tab/>
          </w:r>
          <w:r>
            <w:rPr>
              <w:color w:val="auto"/>
            </w:rPr>
            <w:fldChar w:fldCharType="begin"/>
          </w:r>
          <w:r>
            <w:rPr>
              <w:color w:val="auto"/>
            </w:rPr>
            <w:instrText xml:space="preserve"> PAGEREF _Toc31142 \h </w:instrText>
          </w:r>
          <w:r>
            <w:rPr>
              <w:color w:val="auto"/>
            </w:rPr>
            <w:fldChar w:fldCharType="separate"/>
          </w:r>
          <w:r>
            <w:rPr>
              <w:color w:val="auto"/>
            </w:rPr>
            <w:t>148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_Toc10965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6授权委托书及授权人身份证</w:t>
          </w:r>
          <w:r>
            <w:rPr>
              <w:color w:val="auto"/>
            </w:rPr>
            <w:tab/>
          </w:r>
          <w:r>
            <w:rPr>
              <w:color w:val="auto"/>
            </w:rPr>
            <w:fldChar w:fldCharType="begin"/>
          </w:r>
          <w:r>
            <w:rPr>
              <w:color w:val="auto"/>
            </w:rPr>
            <w:instrText xml:space="preserve"> PAGEREF _Toc10965 \h </w:instrText>
          </w:r>
          <w:r>
            <w:rPr>
              <w:color w:val="auto"/>
            </w:rPr>
            <w:fldChar w:fldCharType="separate"/>
          </w:r>
          <w:r>
            <w:rPr>
              <w:color w:val="auto"/>
            </w:rPr>
            <w:t>149</w:t>
          </w:r>
          <w:r>
            <w:rPr>
              <w:color w:val="auto"/>
            </w:rPr>
            <w:fldChar w:fldCharType="end"/>
          </w:r>
          <w:r>
            <w:rPr>
              <w:rFonts w:hint="default" w:ascii="Times New Roman" w:hAnsi="Times New Roman" w:eastAsia="宋体" w:cs="Times New Roman"/>
              <w:color w:val="auto"/>
              <w:szCs w:val="24"/>
            </w:rPr>
            <w:fldChar w:fldCharType="end"/>
          </w:r>
          <w:r>
            <w:rPr>
              <w:rFonts w:hint="default" w:ascii="Times New Roman" w:hAnsi="Times New Roman" w:eastAsia="宋体" w:cs="Times New Roman"/>
              <w:color w:val="auto"/>
              <w:szCs w:val="24"/>
            </w:rPr>
            <w:fldChar w:fldCharType="end"/>
          </w:r>
        </w:p>
      </w:sdtContent>
    </w:sdt>
    <w:p>
      <w:pPr>
        <w:pStyle w:val="27"/>
        <w:jc w:val="center"/>
        <w:outlineLvl w:val="0"/>
        <w:rPr>
          <w:rFonts w:hint="default" w:ascii="Times New Roman" w:hAnsi="Times New Roman" w:eastAsia="宋体" w:cs="Times New Roman"/>
          <w:b/>
          <w:bCs/>
          <w:snapToGrid w:val="0"/>
          <w:color w:val="auto"/>
          <w:sz w:val="32"/>
          <w:szCs w:val="32"/>
        </w:rPr>
        <w:sectPr>
          <w:headerReference r:id="rId3" w:type="default"/>
          <w:footerReference r:id="rId4" w:type="default"/>
          <w:pgSz w:w="11906" w:h="16838"/>
          <w:pgMar w:top="1417" w:right="1417" w:bottom="1417" w:left="1417" w:header="992" w:footer="992"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1" w:name="_Toc32727"/>
      <w:r>
        <w:rPr>
          <w:rFonts w:hint="default" w:ascii="Times New Roman" w:hAnsi="Times New Roman" w:eastAsia="宋体" w:cs="Times New Roman"/>
          <w:b/>
          <w:bCs/>
          <w:snapToGrid w:val="0"/>
          <w:color w:val="auto"/>
          <w:sz w:val="32"/>
          <w:szCs w:val="32"/>
        </w:rPr>
        <w:t>一、建设项目基本情况</w:t>
      </w:r>
      <w:bookmarkEnd w:id="0"/>
      <w:bookmarkEnd w:id="1"/>
    </w:p>
    <w:tbl>
      <w:tblPr>
        <w:tblStyle w:val="32"/>
        <w:tblpPr w:leftFromText="180" w:rightFromText="180" w:vertAnchor="text" w:horzAnchor="page" w:tblpX="1469" w:tblpY="212"/>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11"/>
        <w:gridCol w:w="2908"/>
        <w:gridCol w:w="1740"/>
        <w:gridCol w:w="3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建设项目名称</w:t>
            </w:r>
          </w:p>
        </w:tc>
        <w:tc>
          <w:tcPr>
            <w:tcW w:w="7759" w:type="dxa"/>
            <w:gridSpan w:val="3"/>
            <w:vAlign w:val="center"/>
          </w:tcPr>
          <w:p>
            <w:pPr>
              <w:pStyle w:val="89"/>
              <w:jc w:val="center"/>
              <w:rPr>
                <w:rFonts w:hint="eastAsia" w:ascii="Times New Roman" w:hAnsi="Times New Roman" w:eastAsia="宋体" w:cs="Times New Roman"/>
                <w:color w:val="auto"/>
                <w:sz w:val="24"/>
                <w:lang w:eastAsia="zh-CN"/>
              </w:rPr>
            </w:pPr>
            <w:r>
              <w:rPr>
                <w:rFonts w:hint="eastAsia" w:cs="Times New Roman"/>
                <w:color w:val="auto"/>
                <w:sz w:val="24"/>
                <w:lang w:eastAsia="zh-CN"/>
              </w:rPr>
              <w:t>福清市安耐达密封材料有限公司年加工汽车零配件3200万件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9"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项目代码</w:t>
            </w:r>
          </w:p>
        </w:tc>
        <w:tc>
          <w:tcPr>
            <w:tcW w:w="7759" w:type="dxa"/>
            <w:gridSpan w:val="3"/>
            <w:vAlign w:val="center"/>
          </w:tcPr>
          <w:p>
            <w:pPr>
              <w:pStyle w:val="89"/>
              <w:rPr>
                <w:rFonts w:hint="eastAsia" w:ascii="Times New Roman" w:hAnsi="Times New Roman" w:eastAsia="宋体" w:cs="Times New Roman"/>
                <w:color w:val="auto"/>
                <w:sz w:val="24"/>
                <w:lang w:eastAsia="zh-CN"/>
              </w:rPr>
            </w:pPr>
            <w:r>
              <w:rPr>
                <w:rFonts w:hint="eastAsia" w:cs="Times New Roman"/>
                <w:color w:val="auto"/>
                <w:sz w:val="24"/>
                <w:lang w:eastAsia="zh-CN"/>
              </w:rPr>
              <w:t>2409-350181-04-01-437105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建设单位联系人</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庄雷</w:t>
            </w:r>
          </w:p>
        </w:tc>
        <w:tc>
          <w:tcPr>
            <w:tcW w:w="1740"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联系方式</w:t>
            </w:r>
          </w:p>
        </w:tc>
        <w:tc>
          <w:tcPr>
            <w:tcW w:w="3111" w:type="dxa"/>
            <w:vAlign w:val="center"/>
          </w:tcPr>
          <w:p>
            <w:pPr>
              <w:adjustRightInd w:val="0"/>
              <w:snapToGrid w:val="0"/>
              <w:jc w:val="center"/>
              <w:rPr>
                <w:rFonts w:hint="default" w:ascii="Times New Roman" w:hAnsi="Times New Roman" w:eastAsia="宋体"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建设地点</w:t>
            </w:r>
          </w:p>
        </w:tc>
        <w:tc>
          <w:tcPr>
            <w:tcW w:w="7759" w:type="dxa"/>
            <w:gridSpan w:val="3"/>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福建省福州市福清市元洪投资区城头镇黄墩村</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地理坐标</w:t>
            </w:r>
          </w:p>
        </w:tc>
        <w:tc>
          <w:tcPr>
            <w:tcW w:w="7759" w:type="dxa"/>
            <w:gridSpan w:val="3"/>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东经119°28′49.500″，北纬25°42′47.121″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国民经济行业类别</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C3670汽车零部件及配件制造</w:t>
            </w:r>
          </w:p>
        </w:tc>
        <w:tc>
          <w:tcPr>
            <w:tcW w:w="1740" w:type="dxa"/>
            <w:vAlign w:val="center"/>
          </w:tcPr>
          <w:p>
            <w:pPr>
              <w:adjustRightInd w:val="0"/>
              <w:snapToGrid w:val="0"/>
              <w:jc w:val="center"/>
              <w:rPr>
                <w:rFonts w:hint="default" w:ascii="Times New Roman" w:hAnsi="Times New Roman" w:eastAsia="宋体" w:cs="Times New Roman"/>
                <w:color w:val="auto"/>
              </w:rPr>
            </w:pPr>
            <w:bookmarkStart w:id="2" w:name="_Hlk49843745"/>
            <w:r>
              <w:rPr>
                <w:rFonts w:hint="default" w:ascii="Times New Roman" w:hAnsi="Times New Roman" w:eastAsia="宋体" w:cs="Times New Roman"/>
                <w:color w:val="auto"/>
              </w:rPr>
              <w:t>建设项目</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行业类别</w:t>
            </w:r>
            <w:bookmarkEnd w:id="2"/>
          </w:p>
        </w:tc>
        <w:tc>
          <w:tcPr>
            <w:tcW w:w="3111" w:type="dxa"/>
            <w:vAlign w:val="center"/>
          </w:tcPr>
          <w:p>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szCs w:val="21"/>
              </w:rPr>
              <w:t>三十三、汽车制造业36；汽车零部件及配件制造367-其它（年用非溶剂型低VOCs含量涂料10吨以下的除外）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建设性质</w:t>
            </w:r>
          </w:p>
        </w:tc>
        <w:tc>
          <w:tcPr>
            <w:tcW w:w="2908" w:type="dxa"/>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新建（迁建）</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改建</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Cs w:val="21"/>
                <w:lang w:val="en-US" w:eastAsia="zh-CN"/>
              </w:rPr>
              <w:t>扩</w:t>
            </w:r>
            <w:r>
              <w:rPr>
                <w:rFonts w:hint="default" w:ascii="Times New Roman" w:hAnsi="Times New Roman" w:eastAsia="宋体" w:cs="Times New Roman"/>
                <w:color w:val="auto"/>
                <w:szCs w:val="21"/>
              </w:rPr>
              <w:t>建</w:t>
            </w:r>
          </w:p>
          <w:p>
            <w:pPr>
              <w:rPr>
                <w:rFonts w:hint="default" w:ascii="Times New Roman" w:hAnsi="Times New Roman" w:eastAsia="宋体" w:cs="Times New Roman"/>
                <w:color w:val="auto"/>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技术改造</w:t>
            </w:r>
          </w:p>
        </w:tc>
        <w:tc>
          <w:tcPr>
            <w:tcW w:w="1740"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建设项目</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申报情形</w:t>
            </w:r>
          </w:p>
        </w:tc>
        <w:tc>
          <w:tcPr>
            <w:tcW w:w="3111" w:type="dxa"/>
            <w:vAlign w:val="center"/>
          </w:tcPr>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Cs w:val="21"/>
              </w:rPr>
              <w:t xml:space="preserve">首次申报项目             </w:t>
            </w: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不予批准后再次申报项目</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超五年重新审核项目</w:t>
            </w:r>
          </w:p>
          <w:p>
            <w:pPr>
              <w:jc w:val="left"/>
              <w:rPr>
                <w:rFonts w:hint="default" w:ascii="Times New Roman" w:hAnsi="Times New Roman" w:eastAsia="宋体" w:cs="Times New Roman"/>
                <w:color w:val="auto"/>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项目审批（核准/备案）部门（选填）</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福清市工业和信息化局</w:t>
            </w:r>
          </w:p>
        </w:tc>
        <w:tc>
          <w:tcPr>
            <w:tcW w:w="1740"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项目审批（核准/</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备案）文号（选填）</w:t>
            </w:r>
          </w:p>
        </w:tc>
        <w:tc>
          <w:tcPr>
            <w:tcW w:w="3111" w:type="dxa"/>
            <w:vAlign w:val="center"/>
          </w:tcPr>
          <w:p>
            <w:pPr>
              <w:adjustRightInd w:val="0"/>
              <w:snapToGrid w:val="0"/>
              <w:jc w:val="center"/>
              <w:rPr>
                <w:rFonts w:hint="eastAsia" w:ascii="Times New Roman" w:hAnsi="Times New Roman" w:eastAsia="宋体" w:cs="Times New Roman"/>
                <w:color w:val="auto"/>
                <w:lang w:eastAsia="zh-CN"/>
              </w:rPr>
            </w:pPr>
            <w:r>
              <w:rPr>
                <w:rFonts w:hint="eastAsia" w:cs="Times New Roman"/>
                <w:color w:val="auto"/>
                <w:lang w:eastAsia="zh-CN"/>
              </w:rPr>
              <w:t>闽工信备[2024]A060090号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总投资（万元）</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239.7</w:t>
            </w:r>
          </w:p>
        </w:tc>
        <w:tc>
          <w:tcPr>
            <w:tcW w:w="174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环保投资（万元）</w:t>
            </w:r>
          </w:p>
        </w:tc>
        <w:tc>
          <w:tcPr>
            <w:tcW w:w="3111"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环保投资占比（%）</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21</w:t>
            </w:r>
          </w:p>
        </w:tc>
        <w:tc>
          <w:tcPr>
            <w:tcW w:w="174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施工工期</w:t>
            </w:r>
          </w:p>
        </w:tc>
        <w:tc>
          <w:tcPr>
            <w:tcW w:w="3111" w:type="dxa"/>
            <w:vAlign w:val="center"/>
          </w:tcPr>
          <w:p>
            <w:pPr>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12</w:t>
            </w:r>
            <w:r>
              <w:rPr>
                <w:rFonts w:hint="default" w:ascii="Times New Roman" w:hAnsi="Times New Roman" w:eastAsia="宋体" w:cs="Times New Roman"/>
                <w:color w:val="auto"/>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是否开工建设</w:t>
            </w:r>
          </w:p>
        </w:tc>
        <w:tc>
          <w:tcPr>
            <w:tcW w:w="2908" w:type="dxa"/>
            <w:vAlign w:val="center"/>
          </w:tcPr>
          <w:p>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F052"/>
            </w:r>
            <w:r>
              <w:rPr>
                <w:rFonts w:hint="default" w:ascii="Times New Roman" w:hAnsi="Times New Roman" w:eastAsia="宋体" w:cs="Times New Roman"/>
                <w:color w:val="auto"/>
                <w:szCs w:val="21"/>
              </w:rPr>
              <w:t>否</w:t>
            </w:r>
          </w:p>
          <w:p>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是</w:t>
            </w:r>
            <w:r>
              <w:rPr>
                <w:rFonts w:hint="default" w:ascii="Times New Roman" w:hAnsi="Times New Roman" w:eastAsia="宋体" w:cs="Times New Roman"/>
                <w:color w:val="auto"/>
              </w:rPr>
              <w:t>：</w:t>
            </w:r>
            <w:r>
              <w:rPr>
                <w:rFonts w:hint="default" w:ascii="Times New Roman" w:hAnsi="Times New Roman" w:eastAsia="宋体" w:cs="Times New Roman"/>
                <w:color w:val="auto"/>
                <w:u w:val="single"/>
              </w:rPr>
              <w:t xml:space="preserve">           </w:t>
            </w:r>
          </w:p>
        </w:tc>
        <w:tc>
          <w:tcPr>
            <w:tcW w:w="174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用地</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面积（m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tc>
        <w:tc>
          <w:tcPr>
            <w:tcW w:w="3111" w:type="dxa"/>
            <w:vAlign w:val="center"/>
          </w:tcPr>
          <w:p>
            <w:pPr>
              <w:pStyle w:val="28"/>
              <w:spacing w:before="120"/>
              <w:jc w:val="center"/>
              <w:outlineLvl w:val="9"/>
              <w:rPr>
                <w:rFonts w:hint="default" w:ascii="Times New Roman" w:hAnsi="Times New Roman" w:eastAsia="宋体" w:cs="Times New Roman"/>
                <w:color w:val="auto"/>
              </w:rPr>
            </w:pPr>
            <w:r>
              <w:rPr>
                <w:rFonts w:hint="default" w:ascii="Times New Roman" w:hAnsi="Times New Roman" w:eastAsia="宋体" w:cs="Times New Roman"/>
                <w:b w:val="0"/>
                <w:bCs w:val="0"/>
                <w:color w:val="auto"/>
              </w:rPr>
              <w:t>3801.4m</w:t>
            </w:r>
            <w:r>
              <w:rPr>
                <w:rFonts w:hint="default" w:ascii="Times New Roman" w:hAnsi="Times New Roman" w:eastAsia="宋体" w:cs="Times New Roman"/>
                <w:b w:val="0"/>
                <w:bCs w:val="0"/>
                <w:color w:val="auto"/>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专项评价设置情况</w:t>
            </w:r>
          </w:p>
        </w:tc>
        <w:tc>
          <w:tcPr>
            <w:tcW w:w="7759" w:type="dxa"/>
            <w:gridSpan w:val="3"/>
            <w:vAlign w:val="center"/>
          </w:tcPr>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对照《建设项目环境影响报告表编制建设指南——污染影响类》专题评价设置原则表，本项目专题评价设置情况判定如表1.1-1，经判定，本项目无需设置专项评价。</w:t>
            </w:r>
          </w:p>
          <w:p>
            <w:pPr>
              <w:autoSpaceDE w:val="0"/>
              <w:autoSpaceDN w:val="0"/>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表1.1-1  项目专项评价设置情况一览表</w:t>
            </w:r>
          </w:p>
          <w:tbl>
            <w:tblPr>
              <w:tblStyle w:val="32"/>
              <w:tblW w:w="4999" w:type="pct"/>
              <w:tblInd w:w="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194"/>
              <w:gridCol w:w="2076"/>
              <w:gridCol w:w="128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专项评价类别</w:t>
                  </w:r>
                </w:p>
              </w:tc>
              <w:tc>
                <w:tcPr>
                  <w:tcW w:w="2117"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设置原则</w:t>
                  </w:r>
                </w:p>
              </w:tc>
              <w:tc>
                <w:tcPr>
                  <w:tcW w:w="1376"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项目情况</w:t>
                  </w:r>
                </w:p>
              </w:tc>
              <w:tc>
                <w:tcPr>
                  <w:tcW w:w="850"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判定结果</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排放废气含有毒有害污染物、二噁英、苯并芘、氰化物、氯气，且厂界外500米范围内有环境空气保护目标的项目</w:t>
                  </w:r>
                </w:p>
              </w:tc>
              <w:tc>
                <w:tcPr>
                  <w:tcW w:w="1376" w:type="pct"/>
                  <w:tcBorders>
                    <w:tl2br w:val="nil"/>
                    <w:tr2bl w:val="nil"/>
                  </w:tcBorders>
                  <w:vAlign w:val="center"/>
                </w:tcPr>
                <w:p>
                  <w:pPr>
                    <w:autoSpaceDE w:val="0"/>
                    <w:autoSpaceDN w:val="0"/>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废气排放不含有毒有害污染物、二噁英、苯并芘、氰化物、氯气</w:t>
                  </w:r>
                </w:p>
              </w:tc>
              <w:tc>
                <w:tcPr>
                  <w:tcW w:w="850"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新增工业废水直排建设项目（槽罐车外送污水处理厂的除外），新增废水直排的污水集中处理厂</w:t>
                  </w:r>
                </w:p>
              </w:tc>
              <w:tc>
                <w:tcPr>
                  <w:tcW w:w="1376" w:type="pct"/>
                  <w:tcBorders>
                    <w:tl2br w:val="nil"/>
                    <w:tr2bl w:val="nil"/>
                  </w:tcBorders>
                  <w:vAlign w:val="center"/>
                </w:tcPr>
                <w:p>
                  <w:pPr>
                    <w:autoSpaceDE w:val="0"/>
                    <w:autoSpaceDN w:val="0"/>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项目生产废水经厂内污水处理设施预处理后接入污水管网纳入元洪投资区污水处理厂处理后排放</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有毒有害和易燃易爆危险物质存储量超过临界量的建设项目</w:t>
                  </w:r>
                </w:p>
              </w:tc>
              <w:tc>
                <w:tcPr>
                  <w:tcW w:w="1376" w:type="pct"/>
                  <w:tcBorders>
                    <w:tl2br w:val="nil"/>
                    <w:tr2bl w:val="nil"/>
                  </w:tcBorders>
                  <w:vAlign w:val="center"/>
                </w:tcPr>
                <w:p>
                  <w:pPr>
                    <w:autoSpaceDE w:val="0"/>
                    <w:autoSpaceDN w:val="0"/>
                    <w:adjustRightInd w:val="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color w:val="auto"/>
                      <w:kern w:val="0"/>
                      <w:sz w:val="21"/>
                      <w:szCs w:val="21"/>
                    </w:rPr>
                    <w:t>项目</w:t>
                  </w:r>
                  <w:r>
                    <w:rPr>
                      <w:rFonts w:hint="eastAsia" w:cs="Times New Roman"/>
                      <w:color w:val="auto"/>
                      <w:kern w:val="0"/>
                      <w:sz w:val="21"/>
                      <w:szCs w:val="21"/>
                      <w:lang w:val="en-US" w:eastAsia="zh-CN"/>
                    </w:rPr>
                    <w:t>使用的软化剂和金属橡胶胶粘剂涉及二甲苯成分，厂内最大贮存量合计为7.125t，</w:t>
                  </w:r>
                  <w:r>
                    <w:rPr>
                      <w:rFonts w:hint="default" w:ascii="Times New Roman" w:hAnsi="Times New Roman" w:eastAsia="宋体" w:cs="Times New Roman"/>
                      <w:color w:val="auto"/>
                      <w:kern w:val="0"/>
                      <w:sz w:val="21"/>
                      <w:szCs w:val="21"/>
                    </w:rPr>
                    <w:t>未超过临界量</w:t>
                  </w:r>
                  <w:r>
                    <w:rPr>
                      <w:rFonts w:hint="eastAsia" w:cs="Times New Roman"/>
                      <w:color w:val="auto"/>
                      <w:kern w:val="0"/>
                      <w:sz w:val="21"/>
                      <w:szCs w:val="21"/>
                      <w:lang w:val="en-US" w:eastAsia="zh-CN"/>
                    </w:rPr>
                    <w:t>10t，危险物质数量与临界量的比值Q0.7125，小于1，直接判定风险潜势为Ⅰ，需进行简要分析，</w:t>
                  </w:r>
                  <w:r>
                    <w:rPr>
                      <w:rFonts w:hint="default" w:ascii="Times New Roman" w:hAnsi="Times New Roman" w:eastAsia="宋体" w:cs="Times New Roman"/>
                      <w:color w:val="auto"/>
                      <w:kern w:val="0"/>
                      <w:sz w:val="21"/>
                      <w:szCs w:val="21"/>
                    </w:rPr>
                    <w:t>无需开展环境风险</w:t>
                  </w:r>
                  <w:r>
                    <w:rPr>
                      <w:rFonts w:hint="eastAsia" w:cs="Times New Roman"/>
                      <w:color w:val="auto"/>
                      <w:kern w:val="0"/>
                      <w:sz w:val="21"/>
                      <w:szCs w:val="21"/>
                      <w:lang w:val="en-US" w:eastAsia="zh-CN"/>
                    </w:rPr>
                    <w:t>专项评价。</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取水口下游500米范围内有重要水生生物的自然产卵场、索饵场、越冬场和洄游通道的新增河道取水的污染类建设项目</w:t>
                  </w:r>
                </w:p>
              </w:tc>
              <w:tc>
                <w:tcPr>
                  <w:tcW w:w="1376"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kern w:val="0"/>
                      <w:sz w:val="21"/>
                      <w:szCs w:val="21"/>
                      <w:lang w:val="en-US" w:eastAsia="zh-CN"/>
                    </w:rPr>
                    <w:t>由市政给水系统供水</w:t>
                  </w:r>
                  <w:r>
                    <w:rPr>
                      <w:rFonts w:hint="default" w:ascii="Times New Roman" w:hAnsi="Times New Roman" w:eastAsia="宋体" w:cs="Times New Roman"/>
                      <w:color w:val="auto"/>
                      <w:kern w:val="0"/>
                      <w:sz w:val="21"/>
                      <w:szCs w:val="21"/>
                    </w:rPr>
                    <w:t>，无设置取水口</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海洋</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直接向海排放污染物的海洋工程建设项目</w:t>
                  </w:r>
                </w:p>
              </w:tc>
              <w:tc>
                <w:tcPr>
                  <w:tcW w:w="1376"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本项目不属于海洋工程建设项目</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bl>
          <w:p>
            <w:pPr>
              <w:pStyle w:val="10"/>
              <w:ind w:firstLine="0" w:firstLineChars="0"/>
              <w:jc w:val="left"/>
              <w:rPr>
                <w:rFonts w:hint="default" w:ascii="Times New Roman" w:hAnsi="Times New Roman" w:eastAsia="宋体" w:cs="Times New Roman"/>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rPr>
              <w:t>规划情况</w:t>
            </w:r>
          </w:p>
        </w:tc>
        <w:tc>
          <w:tcPr>
            <w:tcW w:w="7759" w:type="dxa"/>
            <w:gridSpan w:val="3"/>
            <w:vAlign w:val="center"/>
          </w:tcPr>
          <w:p>
            <w:pPr>
              <w:pStyle w:val="187"/>
              <w:ind w:firstLine="0" w:firstLineChars="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规划名称：《福州市元洪投资区总体规划》（2016-2030）</w:t>
            </w:r>
          </w:p>
          <w:p>
            <w:pPr>
              <w:pStyle w:val="187"/>
              <w:ind w:firstLine="0" w:firstLineChars="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审批机关：福州市人民政府  </w:t>
            </w:r>
          </w:p>
          <w:p>
            <w:pPr>
              <w:spacing w:line="360" w:lineRule="auto"/>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szCs w:val="21"/>
              </w:rPr>
              <w:t>审批文件名称及文号：无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111" w:type="dxa"/>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rPr>
              <w:t>规划环境影响评价情况</w:t>
            </w:r>
          </w:p>
        </w:tc>
        <w:tc>
          <w:tcPr>
            <w:tcW w:w="7759" w:type="dxa"/>
            <w:gridSpan w:val="3"/>
            <w:vAlign w:val="center"/>
          </w:tcPr>
          <w:p>
            <w:pPr>
              <w:pStyle w:val="188"/>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规划环评文件名称：《福州市元洪投资区总体规划(2016～2030)环境影响评价报告书》</w:t>
            </w:r>
          </w:p>
          <w:p>
            <w:pPr>
              <w:pStyle w:val="188"/>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审查机关：中华人民共和国</w:t>
            </w:r>
            <w:bookmarkStart w:id="26" w:name="_GoBack"/>
            <w:bookmarkEnd w:id="26"/>
            <w:r>
              <w:rPr>
                <w:rFonts w:hint="default" w:ascii="Times New Roman" w:hAnsi="Times New Roman" w:eastAsia="宋体" w:cs="Times New Roman"/>
                <w:color w:val="auto"/>
              </w:rPr>
              <w:t>生态环境部</w:t>
            </w:r>
          </w:p>
          <w:p>
            <w:pPr>
              <w:spacing w:line="360" w:lineRule="auto"/>
              <w:rPr>
                <w:rFonts w:hint="default" w:ascii="Times New Roman" w:hAnsi="Times New Roman" w:eastAsia="宋体" w:cs="Times New Roman"/>
                <w:color w:val="auto"/>
                <w:kern w:val="0"/>
              </w:rPr>
            </w:pPr>
            <w:r>
              <w:rPr>
                <w:rFonts w:hint="default" w:ascii="Times New Roman" w:hAnsi="Times New Roman" w:eastAsia="宋体" w:cs="Times New Roman"/>
                <w:color w:val="auto"/>
              </w:rPr>
              <w:t>审批文件名称及文号：《关于&lt;福州元洪投资区总体规划(2016~2030)环境影响报告书》&gt;的审查意见》(环审〔2019〕86号)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规划及规划环境影响评价符合性分析</w:t>
            </w:r>
          </w:p>
        </w:tc>
        <w:tc>
          <w:tcPr>
            <w:tcW w:w="7759" w:type="dxa"/>
            <w:gridSpan w:val="3"/>
            <w:vAlign w:val="center"/>
          </w:tcPr>
          <w:p>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outlineLvl w:val="9"/>
              <w:rPr>
                <w:rFonts w:hint="default" w:ascii="Times New Roman" w:hAnsi="Times New Roman" w:eastAsia="宋体" w:cs="Times New Roman"/>
                <w:b/>
                <w:color w:val="auto"/>
              </w:rPr>
            </w:pPr>
            <w:bookmarkStart w:id="3" w:name="_Toc5080"/>
            <w:r>
              <w:rPr>
                <w:rFonts w:hint="default" w:ascii="Times New Roman" w:hAnsi="Times New Roman" w:eastAsia="宋体" w:cs="Times New Roman"/>
                <w:b/>
                <w:color w:val="auto"/>
              </w:rPr>
              <w:t>1.1项目与《福州市元洪投资区总体规划(2016～2030)》符合性分析</w:t>
            </w:r>
            <w:bookmarkEnd w:id="3"/>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根据《福州市元洪投资区总体规划（2016-2030）》，元洪投资区作为福州重要的产业基地之一，以科技研发、电子信息技术、食品、无污染轻工业、港口物流为主要产业职能功能定位为现代临港综合性物流产业园。</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产业布局原则与产业发展的基础条件，进行功能片区分设，即形成相对集中的三个产业集群区，分别是东部食品加工产业区，中部机械电子、能源化工产业区以及西部轻工、汽摩配产业区。产业分区之间进行隔离，两园之间用地可动态发展，并为片区将来的完善和更新发展留有余地。</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西区工业园：主要发展轻工、电子、纺织、服装、机械、化工、新能源等产业。抓好龙头项目建设，配套引进上下游项目，尽快形成产品链接关系密切的多产品多链条的生态工业网状结构。</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东区食品园：主要发展粮食、油脂、饮料、食品、果蔬加工、物流等产业。挖掘当地民营传统企业潜力，重点做大做强粮油饲料加工和码头物流产业。</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中区机械电子、能源化工产生区：本区功能配置主要面对园区发展的内部设施配置，其中包括产业用地和职工生活区。</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本项目为汽车零部件及配件制造，位于西部轻工、汽摩配产业区，符合《福州市元洪投资区总体规划（2016-2030）》产业布局和规划要求。</w:t>
            </w:r>
          </w:p>
          <w:p>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outlineLvl w:val="9"/>
              <w:rPr>
                <w:rFonts w:hint="default" w:ascii="Times New Roman" w:hAnsi="Times New Roman" w:eastAsia="宋体" w:cs="Times New Roman"/>
                <w:b/>
                <w:color w:val="auto"/>
              </w:rPr>
            </w:pPr>
            <w:bookmarkStart w:id="4" w:name="_Toc3484"/>
            <w:r>
              <w:rPr>
                <w:rFonts w:hint="default" w:ascii="Times New Roman" w:hAnsi="Times New Roman" w:eastAsia="宋体" w:cs="Times New Roman"/>
                <w:b/>
                <w:color w:val="auto"/>
              </w:rPr>
              <w:t>1.2与《福州市元洪投资区总体规划（2016～2030）环境影响评价报告书》</w:t>
            </w:r>
            <w:r>
              <w:rPr>
                <w:rFonts w:hint="eastAsia" w:cs="Times New Roman"/>
                <w:b/>
                <w:color w:val="auto"/>
                <w:lang w:val="en-US" w:eastAsia="zh-CN"/>
              </w:rPr>
              <w:t>及</w:t>
            </w:r>
            <w:r>
              <w:rPr>
                <w:rFonts w:hint="default" w:ascii="Times New Roman" w:hAnsi="Times New Roman" w:eastAsia="宋体" w:cs="Times New Roman"/>
                <w:b/>
                <w:color w:val="auto"/>
              </w:rPr>
              <w:t>环评审查意见的符合性分析</w:t>
            </w:r>
            <w:bookmarkEnd w:id="4"/>
          </w:p>
          <w:p>
            <w:pPr>
              <w:pStyle w:val="126"/>
              <w:spacing w:line="360" w:lineRule="auto"/>
              <w:ind w:firstLine="480" w:firstLineChars="200"/>
              <w:jc w:val="both"/>
              <w:rPr>
                <w:rFonts w:hint="eastAsia"/>
                <w:color w:val="auto"/>
                <w:sz w:val="24"/>
                <w:szCs w:val="24"/>
              </w:rPr>
            </w:pPr>
            <w:r>
              <w:rPr>
                <w:rFonts w:hint="eastAsia"/>
                <w:color w:val="auto"/>
                <w:sz w:val="24"/>
                <w:szCs w:val="24"/>
              </w:rPr>
              <w:t>根据《福州市元洪投资区总体规划（2016～2030）环境影响报告书》及其审查意见（环审〔2019〕86号）：“严格入区项目生态环境准入。优先发展粮油食品加工、电子信息和其他无污染的轻工等产业”。</w:t>
            </w:r>
          </w:p>
          <w:p>
            <w:pPr>
              <w:pStyle w:val="126"/>
              <w:spacing w:line="360" w:lineRule="auto"/>
              <w:ind w:firstLine="480" w:firstLineChars="200"/>
              <w:jc w:val="both"/>
              <w:rPr>
                <w:color w:val="auto"/>
                <w:sz w:val="24"/>
                <w:szCs w:val="24"/>
              </w:rPr>
            </w:pPr>
            <w:r>
              <w:rPr>
                <w:rFonts w:hint="eastAsia"/>
                <w:color w:val="auto"/>
                <w:sz w:val="24"/>
                <w:szCs w:val="24"/>
              </w:rPr>
              <w:t>本项目为汽车零部件及配件制造，位于西部轻工、汽摩配产业区</w:t>
            </w:r>
            <w:r>
              <w:rPr>
                <w:rFonts w:hint="eastAsia" w:cs="Times New Roman"/>
                <w:snapToGrid w:val="0"/>
                <w:color w:val="auto"/>
                <w:kern w:val="18"/>
                <w:sz w:val="24"/>
                <w:szCs w:val="24"/>
              </w:rPr>
              <w:t>。通过对照</w:t>
            </w:r>
            <w:r>
              <w:rPr>
                <w:rFonts w:hint="eastAsia"/>
                <w:color w:val="auto"/>
                <w:sz w:val="24"/>
                <w:szCs w:val="24"/>
              </w:rPr>
              <w:t>元洪投资区规划环评空间布局管控要求可知，本项目不属于规划环评禁止准入的项目，项目属于允许准入项目，项目符合《福州市元洪投资区总体规划环境影响报告书（2016-2030）》要求。详见表</w:t>
            </w:r>
            <w:r>
              <w:rPr>
                <w:rFonts w:cs="Times New Roman"/>
                <w:color w:val="auto"/>
                <w:sz w:val="24"/>
                <w:szCs w:val="24"/>
              </w:rPr>
              <w:t>1.</w:t>
            </w:r>
            <w:r>
              <w:rPr>
                <w:rFonts w:hint="eastAsia" w:cs="Times New Roman"/>
                <w:color w:val="auto"/>
                <w:sz w:val="24"/>
                <w:szCs w:val="24"/>
                <w:lang w:val="en-US" w:eastAsia="zh-CN"/>
              </w:rPr>
              <w:t>1</w:t>
            </w:r>
            <w:r>
              <w:rPr>
                <w:rFonts w:cs="Times New Roman"/>
                <w:color w:val="auto"/>
                <w:sz w:val="24"/>
                <w:szCs w:val="24"/>
              </w:rPr>
              <w:t>-</w:t>
            </w:r>
            <w:r>
              <w:rPr>
                <w:rFonts w:hint="eastAsia" w:cs="Times New Roman"/>
                <w:color w:val="auto"/>
                <w:sz w:val="24"/>
                <w:szCs w:val="24"/>
                <w:lang w:val="en-US" w:eastAsia="zh-CN"/>
              </w:rPr>
              <w:t>2</w:t>
            </w:r>
            <w:r>
              <w:rPr>
                <w:rFonts w:cs="Times New Roman"/>
                <w:color w:val="auto"/>
                <w:sz w:val="24"/>
                <w:szCs w:val="24"/>
              </w:rPr>
              <w:t>。</w:t>
            </w:r>
          </w:p>
          <w:p>
            <w:pPr>
              <w:pStyle w:val="126"/>
              <w:spacing w:line="240" w:lineRule="atLeast"/>
              <w:rPr>
                <w:rFonts w:hint="eastAsia"/>
                <w:b/>
                <w:bCs/>
                <w:color w:val="auto"/>
              </w:rPr>
            </w:pPr>
            <w:r>
              <w:rPr>
                <w:rFonts w:hint="eastAsia"/>
                <w:b/>
                <w:bCs/>
                <w:color w:val="auto"/>
                <w:sz w:val="24"/>
                <w:szCs w:val="24"/>
              </w:rPr>
              <w:t>表</w:t>
            </w:r>
            <w:r>
              <w:rPr>
                <w:b/>
                <w:bCs/>
                <w:color w:val="auto"/>
                <w:sz w:val="24"/>
                <w:szCs w:val="24"/>
              </w:rPr>
              <w:t>1.</w:t>
            </w:r>
            <w:r>
              <w:rPr>
                <w:rFonts w:hint="eastAsia"/>
                <w:b/>
                <w:bCs/>
                <w:color w:val="auto"/>
                <w:sz w:val="24"/>
                <w:szCs w:val="24"/>
                <w:lang w:val="en-US" w:eastAsia="zh-CN"/>
              </w:rPr>
              <w:t>1</w:t>
            </w:r>
            <w:r>
              <w:rPr>
                <w:b/>
                <w:bCs/>
                <w:color w:val="auto"/>
                <w:sz w:val="24"/>
                <w:szCs w:val="24"/>
              </w:rPr>
              <w:t>-</w:t>
            </w:r>
            <w:r>
              <w:rPr>
                <w:rFonts w:hint="eastAsia"/>
                <w:b/>
                <w:bCs/>
                <w:color w:val="auto"/>
                <w:sz w:val="24"/>
                <w:szCs w:val="24"/>
                <w:lang w:val="en-US" w:eastAsia="zh-CN"/>
              </w:rPr>
              <w:t>2</w:t>
            </w:r>
            <w:r>
              <w:rPr>
                <w:rFonts w:hint="eastAsia"/>
                <w:b/>
                <w:bCs/>
                <w:color w:val="auto"/>
                <w:sz w:val="24"/>
                <w:szCs w:val="24"/>
              </w:rPr>
              <w:t xml:space="preserve">  园区环境准入基本要求及生态环境准入清单一览表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71"/>
              <w:gridCol w:w="788"/>
              <w:gridCol w:w="2959"/>
              <w:gridCol w:w="1038"/>
              <w:gridCol w:w="1274"/>
              <w:gridCol w:w="51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116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类别</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生态环境准入清单</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管理要求</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投资区现状产业(主要形成了粮油食品、纺织化纤、轻工机械、能源精化四大产业)</w:t>
                  </w: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1.生态红线约束下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围填海及相应的海洋工程</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除国家重大战略项目外，严禁新增围填海</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本项目不涉及围填海及相应的海洋工程</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2环境质量底线约束下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ascii="宋体" w:hAnsi="宋体" w:eastAsia="宋体" w:cs="宋体"/>
                      <w:color w:val="auto"/>
                      <w:sz w:val="21"/>
                      <w:szCs w:val="21"/>
                    </w:rPr>
                    <w:t>①</w:t>
                  </w:r>
                  <w:r>
                    <w:rPr>
                      <w:rFonts w:cs="Times New Roman"/>
                      <w:color w:val="auto"/>
                      <w:sz w:val="21"/>
                      <w:szCs w:val="21"/>
                    </w:rPr>
                    <w:t>机械加工行业带有表面处理的产业(含电镀、磷化、喷涂、酸洗、热镀锌、喷油等)</w:t>
                  </w:r>
                  <w:r>
                    <w:rPr>
                      <w:rFonts w:hint="eastAsia" w:ascii="宋体" w:hAnsi="宋体" w:eastAsia="宋体" w:cs="宋体"/>
                      <w:color w:val="auto"/>
                      <w:sz w:val="21"/>
                      <w:szCs w:val="21"/>
                    </w:rPr>
                    <w:t>②</w:t>
                  </w:r>
                  <w:r>
                    <w:rPr>
                      <w:rFonts w:cs="Times New Roman"/>
                      <w:color w:val="auto"/>
                      <w:sz w:val="21"/>
                      <w:szCs w:val="21"/>
                    </w:rPr>
                    <w:t>化工产业(含基础原料的有机及无机化工、带有反应釜装置的精细化工等)</w:t>
                  </w:r>
                  <w:r>
                    <w:rPr>
                      <w:rFonts w:hint="eastAsia" w:ascii="宋体" w:hAnsi="宋体" w:eastAsia="宋体" w:cs="宋体"/>
                      <w:color w:val="auto"/>
                      <w:sz w:val="21"/>
                      <w:szCs w:val="21"/>
                    </w:rPr>
                    <w:t>③</w:t>
                  </w:r>
                  <w:r>
                    <w:rPr>
                      <w:rFonts w:cs="Times New Roman"/>
                      <w:color w:val="auto"/>
                      <w:sz w:val="21"/>
                      <w:szCs w:val="21"/>
                    </w:rPr>
                    <w:t>水泥制造、水泥粉磨站④燃煤火力发电⑤化纤纺织(带有前端聚合、纺丝等)、印染⑥废旧资源回收利用(包括轮胎橡胶再生、废线路板回收加工、废油回收加工等)</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规模不扩大；其中化工产业逐步退出</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宋体" w:cs="Times New Roman"/>
                      <w:color w:val="auto"/>
                      <w:sz w:val="21"/>
                      <w:szCs w:val="21"/>
                      <w:lang w:eastAsia="zh-CN"/>
                    </w:rPr>
                  </w:pPr>
                  <w:r>
                    <w:rPr>
                      <w:rFonts w:hint="eastAsia" w:cs="Times New Roman"/>
                      <w:color w:val="auto"/>
                      <w:sz w:val="21"/>
                      <w:szCs w:val="21"/>
                      <w:lang w:val="en-US" w:eastAsia="zh-CN"/>
                    </w:rPr>
                    <w:t>本项目不属于机械加工行业</w:t>
                  </w:r>
                  <w:r>
                    <w:rPr>
                      <w:rFonts w:cs="Times New Roman"/>
                      <w:color w:val="auto"/>
                      <w:sz w:val="21"/>
                      <w:szCs w:val="21"/>
                    </w:rPr>
                    <w:t>带有表面处理的产业(含电镀、磷化、喷涂、酸洗、热镀锌、喷油等)</w:t>
                  </w:r>
                  <w:r>
                    <w:rPr>
                      <w:rFonts w:hint="eastAsia" w:cs="Times New Roman"/>
                      <w:color w:val="auto"/>
                      <w:sz w:val="21"/>
                      <w:szCs w:val="21"/>
                      <w:lang w:eastAsia="zh-CN"/>
                    </w:rPr>
                    <w:t>。</w:t>
                  </w:r>
                  <w:r>
                    <w:rPr>
                      <w:rFonts w:hint="eastAsia" w:cs="Times New Roman"/>
                      <w:color w:val="auto"/>
                      <w:sz w:val="21"/>
                      <w:szCs w:val="21"/>
                      <w:lang w:val="en-US" w:eastAsia="zh-CN"/>
                    </w:rPr>
                    <w:t>且表面处理是通过物理、化学或机械方法改变材料表面的性能和外观。这种处理可以增强材料的某些特性，如耐蚀性、耐磨性、耐热性、硬度、润滑性等，同时也可以赋予材料表面特定的颜色、光泽或其他装饰性效果。</w:t>
                  </w:r>
                  <w:r>
                    <w:rPr>
                      <w:rFonts w:cs="Times New Roman"/>
                      <w:color w:val="auto"/>
                      <w:sz w:val="21"/>
                      <w:szCs w:val="21"/>
                    </w:rPr>
                    <w:t>本项目</w:t>
                  </w:r>
                  <w:r>
                    <w:rPr>
                      <w:rFonts w:hint="eastAsia" w:cs="Times New Roman"/>
                      <w:color w:val="auto"/>
                      <w:sz w:val="21"/>
                      <w:szCs w:val="21"/>
                      <w:lang w:val="en-US" w:eastAsia="zh-CN"/>
                    </w:rPr>
                    <w:t>生产工艺中涂覆</w:t>
                  </w:r>
                  <w:r>
                    <w:rPr>
                      <w:rFonts w:hint="eastAsia" w:cs="Times New Roman"/>
                      <w:color w:val="auto"/>
                      <w:sz w:val="21"/>
                      <w:szCs w:val="21"/>
                    </w:rPr>
                    <w:t>指通过涂胶机将研磨后的橡胶均匀涂抹覆盖于金属板上，</w:t>
                  </w:r>
                  <w:r>
                    <w:rPr>
                      <w:rFonts w:hint="eastAsia" w:cs="Times New Roman"/>
                      <w:color w:val="auto"/>
                      <w:sz w:val="21"/>
                      <w:szCs w:val="21"/>
                      <w:lang w:val="en-US" w:eastAsia="zh-CN"/>
                    </w:rPr>
                    <w:t>橡胶是本项目产品生产的主要成分，不属于</w:t>
                  </w:r>
                  <w:r>
                    <w:rPr>
                      <w:rFonts w:hint="eastAsia" w:cs="Times New Roman"/>
                      <w:color w:val="auto"/>
                      <w:sz w:val="21"/>
                      <w:szCs w:val="21"/>
                    </w:rPr>
                    <w:t>表面处理工序</w:t>
                  </w:r>
                  <w:r>
                    <w:rPr>
                      <w:rFonts w:hint="eastAsia" w:cs="Times New Roman"/>
                      <w:color w:val="auto"/>
                      <w:sz w:val="21"/>
                      <w:szCs w:val="21"/>
                      <w:lang w:eastAsia="zh-CN"/>
                    </w:rPr>
                    <w:t>，</w:t>
                  </w:r>
                  <w:r>
                    <w:rPr>
                      <w:rFonts w:hint="eastAsia" w:cs="Times New Roman"/>
                      <w:color w:val="auto"/>
                      <w:sz w:val="21"/>
                      <w:szCs w:val="21"/>
                    </w:rPr>
                    <w:t>不是同种类型</w:t>
                  </w:r>
                  <w:r>
                    <w:rPr>
                      <w:rFonts w:cs="Times New Roman"/>
                      <w:color w:val="auto"/>
                      <w:sz w:val="21"/>
                      <w:szCs w:val="21"/>
                    </w:rPr>
                    <w:t>，</w:t>
                  </w:r>
                  <w:r>
                    <w:rPr>
                      <w:rFonts w:hint="eastAsia" w:cs="Times New Roman"/>
                      <w:color w:val="auto"/>
                      <w:sz w:val="21"/>
                      <w:szCs w:val="21"/>
                      <w:lang w:val="en-US" w:eastAsia="zh-CN"/>
                    </w:rPr>
                    <w:t>故本项目</w:t>
                  </w:r>
                  <w:r>
                    <w:rPr>
                      <w:rFonts w:cs="Times New Roman"/>
                      <w:color w:val="auto"/>
                      <w:sz w:val="21"/>
                      <w:szCs w:val="21"/>
                    </w:rPr>
                    <w:t>未涉及清单提及项目</w:t>
                  </w:r>
                  <w:r>
                    <w:rPr>
                      <w:rFonts w:hint="eastAsia" w:cs="Times New Roman"/>
                      <w:color w:val="auto"/>
                      <w:sz w:val="21"/>
                      <w:szCs w:val="21"/>
                      <w:lang w:eastAsia="zh-CN"/>
                    </w:rPr>
                    <w:t>。</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3.资源利用上限约束下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围填海及相应的海洋工程</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除国家重大战略项目外，严禁新增围填海</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本项目不涉及围填海及相应的海洋工程</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投资区规划产业(以研发、电子信息技术、食品、无污染轻工业、港口物流为主导，以海洋产业、新材料产业为补充)</w:t>
                  </w: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1.生态红线约束下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①化学药品制造，生物生化制品制造，中成药制造、中药饮片加工，含医药、化工类等专业中试内容的研发基地②涉及电镀、酸洗、磷化工序的金属制品表面处理</w:t>
                  </w:r>
                  <w:r>
                    <w:rPr>
                      <w:rFonts w:hint="eastAsia" w:cs="Times New Roman"/>
                      <w:color w:val="auto"/>
                      <w:sz w:val="21"/>
                      <w:szCs w:val="21"/>
                      <w:lang w:eastAsia="zh-CN"/>
                    </w:rPr>
                    <w:t>；</w:t>
                  </w:r>
                  <w:r>
                    <w:rPr>
                      <w:rFonts w:cs="Times New Roman"/>
                      <w:color w:val="auto"/>
                      <w:sz w:val="21"/>
                      <w:szCs w:val="21"/>
                    </w:rPr>
                    <w:t>有电镀工艺的锯材③印刷线路板制造④基本化学原料制造、化学肥料制造、农药制造，涂料、燃料、颜料、油墨及其类似产品制造，合成材料制造，专用化学品制造，饲料添加剂、食品添加剂和水处理及等制、日用化学品制造⑤人造板制造投资区规划产业⑥人造革、合成革制造(以研发、电子信息⑦轮胎制造、再生橡胶制造、橡胶加工、橡技术、食品、无污胶制品翻新染轻工业、港口物⑧禁止废塑料、废轮胎、废油再生利用</w:t>
                  </w:r>
                </w:p>
              </w:tc>
              <w:tc>
                <w:tcPr>
                  <w:tcW w:w="688"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禁止准入</w:t>
                  </w:r>
                </w:p>
              </w:tc>
              <w:tc>
                <w:tcPr>
                  <w:tcW w:w="844"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本</w:t>
                  </w:r>
                  <w:r>
                    <w:rPr>
                      <w:rFonts w:cs="Times New Roman"/>
                      <w:color w:val="auto"/>
                      <w:sz w:val="21"/>
                      <w:szCs w:val="21"/>
                    </w:rPr>
                    <w:t>项目为</w:t>
                  </w:r>
                  <w:r>
                    <w:rPr>
                      <w:rFonts w:hint="eastAsia" w:cs="Times New Roman"/>
                      <w:color w:val="auto"/>
                      <w:sz w:val="21"/>
                      <w:szCs w:val="21"/>
                    </w:rPr>
                    <w:t>汽车零部件及配件制造</w:t>
                  </w:r>
                  <w:r>
                    <w:rPr>
                      <w:rFonts w:cs="Times New Roman"/>
                      <w:color w:val="auto"/>
                      <w:sz w:val="21"/>
                      <w:szCs w:val="21"/>
                    </w:rPr>
                    <w:t>项目，未涉及清单提及</w:t>
                  </w:r>
                  <w:r>
                    <w:rPr>
                      <w:rFonts w:hint="eastAsia" w:cs="Times New Roman"/>
                      <w:color w:val="auto"/>
                      <w:sz w:val="21"/>
                      <w:szCs w:val="21"/>
                    </w:rPr>
                    <w:t>项目</w:t>
                  </w:r>
                </w:p>
              </w:tc>
              <w:tc>
                <w:tcPr>
                  <w:tcW w:w="338"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2环境质量底线约束下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屠宰②原糖生产③酒精饮料及酒类制造④含发酵工艺的粮食及饲料加工⑤含发酵工艺的淀粉、淀粉糖⑥新建含印染工序的纺织加工、化纤纺织(带有前端聚合、纺丝等)⑦新增水泥制造、水泥粉磨站、玻璃及玻璃制品、陶瓷制品、耐火材料及其制品⑧新增危险废物（含医疗废物）利用及处置⑨新增各类燃煤、燃生物质锅炉、窑炉</w:t>
                  </w:r>
                </w:p>
              </w:tc>
              <w:tc>
                <w:tcPr>
                  <w:tcW w:w="6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8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33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3.资源利用上限约束下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①卷烟、纸浆、溶解浆、纤维浆等制造；造纸(含废纸造纸)②皮革、皮毛制品</w:t>
                  </w:r>
                </w:p>
              </w:tc>
              <w:tc>
                <w:tcPr>
                  <w:tcW w:w="6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8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33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116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相关行业制定的准入清单</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①《产业结构调整指导目录》</w:t>
                  </w:r>
                  <w:r>
                    <w:rPr>
                      <w:rFonts w:hint="eastAsia" w:cs="Times New Roman"/>
                      <w:color w:val="auto"/>
                      <w:sz w:val="21"/>
                      <w:szCs w:val="21"/>
                    </w:rPr>
                    <w:t>（</w:t>
                  </w:r>
                  <w:r>
                    <w:rPr>
                      <w:rFonts w:cs="Times New Roman"/>
                      <w:color w:val="auto"/>
                      <w:sz w:val="21"/>
                      <w:szCs w:val="21"/>
                    </w:rPr>
                    <w:t>2013年修改</w:t>
                  </w:r>
                  <w:r>
                    <w:rPr>
                      <w:rFonts w:hint="eastAsia" w:cs="Times New Roman"/>
                      <w:color w:val="auto"/>
                      <w:sz w:val="21"/>
                      <w:szCs w:val="21"/>
                    </w:rPr>
                    <w:t>）</w:t>
                  </w:r>
                  <w:r>
                    <w:rPr>
                      <w:rFonts w:cs="Times New Roman"/>
                      <w:color w:val="auto"/>
                      <w:sz w:val="21"/>
                      <w:szCs w:val="21"/>
                    </w:rPr>
                    <w:t>以及福建省产业政策中明确列入淘汰或限制的项目②外商投资准入特别管理措施</w:t>
                  </w:r>
                  <w:r>
                    <w:rPr>
                      <w:rFonts w:hint="eastAsia" w:cs="Times New Roman"/>
                      <w:color w:val="auto"/>
                      <w:sz w:val="21"/>
                      <w:szCs w:val="21"/>
                    </w:rPr>
                    <w:t>（</w:t>
                  </w:r>
                  <w:r>
                    <w:rPr>
                      <w:rFonts w:cs="Times New Roman"/>
                      <w:color w:val="auto"/>
                      <w:sz w:val="21"/>
                      <w:szCs w:val="21"/>
                    </w:rPr>
                    <w:t>负面清单</w:t>
                  </w:r>
                  <w:r>
                    <w:rPr>
                      <w:rFonts w:hint="eastAsia" w:cs="Times New Roman"/>
                      <w:color w:val="auto"/>
                      <w:sz w:val="21"/>
                      <w:szCs w:val="21"/>
                    </w:rPr>
                    <w:t>）</w:t>
                  </w:r>
                  <w:r>
                    <w:rPr>
                      <w:rFonts w:cs="Times New Roman"/>
                      <w:color w:val="auto"/>
                      <w:sz w:val="21"/>
                      <w:szCs w:val="21"/>
                    </w:rPr>
                    <w:t>2018年版中禁止或限制的项目③严格落实《福建省重点行业挥发性有机物排放控制要求（试行）》中要求</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其中禁止准入项目参照相关行业要求执行</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ascii="宋体" w:hAnsi="宋体" w:eastAsia="宋体" w:cs="宋体"/>
                      <w:color w:val="auto"/>
                      <w:sz w:val="21"/>
                      <w:szCs w:val="21"/>
                    </w:rPr>
                    <w:t>①</w:t>
                  </w:r>
                  <w:r>
                    <w:rPr>
                      <w:rFonts w:cs="Times New Roman"/>
                      <w:color w:val="auto"/>
                      <w:sz w:val="21"/>
                      <w:szCs w:val="21"/>
                    </w:rPr>
                    <w:t>本项目主要从事</w:t>
                  </w:r>
                  <w:r>
                    <w:rPr>
                      <w:rFonts w:hint="eastAsia" w:cs="Times New Roman"/>
                      <w:color w:val="auto"/>
                      <w:sz w:val="21"/>
                      <w:szCs w:val="21"/>
                    </w:rPr>
                    <w:t>汽车零部件及配件制造，通过对照《产业结构调整指导目录（2024年本）》，项目不属于淘汰类或限制类项目</w:t>
                  </w:r>
                </w:p>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auto"/>
                      <w:sz w:val="21"/>
                      <w:szCs w:val="21"/>
                    </w:rPr>
                  </w:pPr>
                  <w:r>
                    <w:rPr>
                      <w:rFonts w:hint="eastAsia" w:ascii="宋体" w:hAnsi="宋体" w:eastAsia="宋体" w:cs="宋体"/>
                      <w:color w:val="auto"/>
                      <w:sz w:val="21"/>
                      <w:szCs w:val="21"/>
                    </w:rPr>
                    <w:t>②</w:t>
                  </w:r>
                  <w:r>
                    <w:rPr>
                      <w:rFonts w:hint="eastAsia" w:cs="Times New Roman"/>
                      <w:color w:val="auto"/>
                      <w:sz w:val="21"/>
                      <w:szCs w:val="21"/>
                    </w:rPr>
                    <w:t>本项目不属于外商投资</w:t>
                  </w:r>
                </w:p>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auto"/>
                      <w:sz w:val="21"/>
                      <w:szCs w:val="21"/>
                    </w:rPr>
                  </w:pPr>
                  <w:r>
                    <w:rPr>
                      <w:rFonts w:hint="eastAsia" w:ascii="宋体" w:hAnsi="宋体" w:eastAsia="宋体" w:cs="宋体"/>
                      <w:color w:val="auto"/>
                      <w:sz w:val="21"/>
                      <w:szCs w:val="21"/>
                    </w:rPr>
                    <w:t>③</w:t>
                  </w:r>
                  <w:r>
                    <w:rPr>
                      <w:rFonts w:hint="eastAsia" w:cs="Times New Roman"/>
                      <w:color w:val="auto"/>
                      <w:sz w:val="21"/>
                      <w:szCs w:val="21"/>
                    </w:rPr>
                    <w:t>本项目</w:t>
                  </w:r>
                  <w:r>
                    <w:rPr>
                      <w:color w:val="auto"/>
                      <w:sz w:val="21"/>
                      <w:szCs w:val="21"/>
                    </w:rPr>
                    <w:t>已落实《福建省重点行业挥发性有机物排放控制要求（试行）》中要求</w:t>
                  </w:r>
                  <w:r>
                    <w:rPr>
                      <w:rFonts w:hint="eastAsia"/>
                      <w:color w:val="auto"/>
                      <w:sz w:val="21"/>
                      <w:szCs w:val="21"/>
                    </w:rPr>
                    <w:t>。</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bl>
          <w:p>
            <w:pPr>
              <w:pStyle w:val="187"/>
              <w:ind w:firstLine="480"/>
              <w:rPr>
                <w:color w:val="auto"/>
              </w:rPr>
            </w:pPr>
            <w:r>
              <w:rPr>
                <w:rFonts w:hint="eastAsia"/>
                <w:color w:val="auto"/>
              </w:rPr>
              <w:t>通过对照</w:t>
            </w:r>
            <w:r>
              <w:rPr>
                <w:color w:val="auto"/>
              </w:rPr>
              <w:t>《福州市元洪投资区总体规划环境影响报告书（2016-2030）》审查意见</w:t>
            </w:r>
            <w:r>
              <w:rPr>
                <w:rFonts w:hint="eastAsia"/>
                <w:color w:val="auto"/>
              </w:rPr>
              <w:t>的分析可知</w:t>
            </w:r>
            <w:r>
              <w:rPr>
                <w:color w:val="auto"/>
              </w:rPr>
              <w:t>，项目符合</w:t>
            </w:r>
            <w:r>
              <w:rPr>
                <w:rFonts w:hint="eastAsia"/>
                <w:color w:val="auto"/>
              </w:rPr>
              <w:t>规划环评</w:t>
            </w:r>
            <w:r>
              <w:rPr>
                <w:color w:val="auto"/>
              </w:rPr>
              <w:t>审查意见要求，项目与</w:t>
            </w:r>
            <w:r>
              <w:rPr>
                <w:rFonts w:hint="eastAsia"/>
                <w:color w:val="auto"/>
              </w:rPr>
              <w:t>规划环评</w:t>
            </w:r>
            <w:r>
              <w:rPr>
                <w:color w:val="auto"/>
              </w:rPr>
              <w:t>审查意见符合性见表1.</w:t>
            </w:r>
            <w:r>
              <w:rPr>
                <w:rFonts w:hint="eastAsia"/>
                <w:color w:val="auto"/>
                <w:lang w:val="en-US" w:eastAsia="zh-CN"/>
              </w:rPr>
              <w:t>1</w:t>
            </w:r>
            <w:r>
              <w:rPr>
                <w:color w:val="auto"/>
              </w:rPr>
              <w:t>-</w:t>
            </w:r>
            <w:r>
              <w:rPr>
                <w:rFonts w:hint="eastAsia"/>
                <w:color w:val="auto"/>
                <w:lang w:val="en-US" w:eastAsia="zh-CN"/>
              </w:rPr>
              <w:t>3</w:t>
            </w:r>
            <w:r>
              <w:rPr>
                <w:color w:val="auto"/>
              </w:rPr>
              <w:t>。</w:t>
            </w:r>
          </w:p>
          <w:p>
            <w:pPr>
              <w:pStyle w:val="196"/>
              <w:keepNext w:val="0"/>
              <w:keepLines w:val="0"/>
              <w:pageBreakBefore w:val="0"/>
              <w:widowControl/>
              <w:kinsoku/>
              <w:wordWrap/>
              <w:overflowPunct/>
              <w:topLinePunct w:val="0"/>
              <w:autoSpaceDE/>
              <w:autoSpaceDN/>
              <w:bidi w:val="0"/>
              <w:adjustRightInd/>
              <w:snapToGrid/>
              <w:spacing w:after="120" w:line="240" w:lineRule="auto"/>
              <w:ind w:firstLine="0" w:firstLineChars="0"/>
              <w:textAlignment w:val="auto"/>
              <w:rPr>
                <w:rFonts w:eastAsia="宋体"/>
                <w:b/>
                <w:bCs/>
                <w:color w:val="auto"/>
                <w:lang w:val="en-US" w:bidi="ar-SA"/>
              </w:rPr>
            </w:pPr>
            <w:r>
              <w:rPr>
                <w:rFonts w:eastAsia="宋体"/>
                <w:b/>
                <w:bCs/>
                <w:color w:val="auto"/>
                <w:lang w:val="en-US" w:bidi="ar-SA"/>
              </w:rPr>
              <w:t>表1.</w:t>
            </w:r>
            <w:r>
              <w:rPr>
                <w:rFonts w:hint="eastAsia" w:eastAsia="宋体"/>
                <w:b/>
                <w:bCs/>
                <w:color w:val="auto"/>
                <w:lang w:val="en-US" w:eastAsia="zh-CN" w:bidi="ar-SA"/>
              </w:rPr>
              <w:t>1</w:t>
            </w:r>
            <w:r>
              <w:rPr>
                <w:rFonts w:eastAsia="宋体"/>
                <w:b/>
                <w:bCs/>
                <w:color w:val="auto"/>
                <w:lang w:val="en-US" w:bidi="ar-SA"/>
              </w:rPr>
              <w:t>-</w:t>
            </w:r>
            <w:r>
              <w:rPr>
                <w:rFonts w:hint="eastAsia" w:eastAsia="宋体"/>
                <w:b/>
                <w:bCs/>
                <w:color w:val="auto"/>
                <w:lang w:val="en-US" w:eastAsia="zh-CN" w:bidi="ar-SA"/>
              </w:rPr>
              <w:t>3</w:t>
            </w:r>
            <w:r>
              <w:rPr>
                <w:rFonts w:hint="eastAsia" w:eastAsia="宋体"/>
                <w:b/>
                <w:bCs/>
                <w:color w:val="auto"/>
                <w:lang w:val="en-US" w:bidi="ar-SA"/>
              </w:rPr>
              <w:t xml:space="preserve"> 项目</w:t>
            </w:r>
            <w:r>
              <w:rPr>
                <w:rFonts w:eastAsia="宋体"/>
                <w:b/>
                <w:bCs/>
                <w:color w:val="auto"/>
                <w:lang w:val="en-US" w:bidi="ar-SA"/>
              </w:rPr>
              <w:t>与规划</w:t>
            </w:r>
            <w:r>
              <w:rPr>
                <w:rFonts w:hint="eastAsia" w:eastAsia="宋体"/>
                <w:b/>
                <w:bCs/>
                <w:color w:val="auto"/>
                <w:lang w:val="en-US" w:bidi="ar-SA"/>
              </w:rPr>
              <w:t>环评</w:t>
            </w:r>
            <w:r>
              <w:rPr>
                <w:rFonts w:eastAsia="宋体"/>
                <w:b/>
                <w:bCs/>
                <w:color w:val="auto"/>
                <w:lang w:val="en-US" w:bidi="ar-SA"/>
              </w:rPr>
              <w:t>审查意见符合性</w:t>
            </w:r>
            <w:r>
              <w:rPr>
                <w:rFonts w:hint="eastAsia" w:eastAsia="宋体"/>
                <w:b/>
                <w:bCs/>
                <w:color w:val="auto"/>
                <w:lang w:val="en-US" w:bidi="ar-SA"/>
              </w:rPr>
              <w:t>分析一览表</w:t>
            </w:r>
          </w:p>
          <w:tbl>
            <w:tblPr>
              <w:tblStyle w:val="3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72"/>
              <w:gridCol w:w="2145"/>
              <w:gridCol w:w="82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审查意见</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项目情况</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加强《规划》引导，坚持绿色、高质量发展。根据国家、区域发展战略，坚持生态优先、集约发展，进一步优化《规划》的发展定位、功能布局、产业结构等，根据《国务院关于加强滨海湿地保护严格管控围填海的通知》，除国家重大战略项目外，严禁新增围填海，现有违规围填海应依法依规尽快整改。以改善区域环境质量为核心，推动投资区产业转型升级和结构调整，实现产业发展与生态环境保护、人居环境安全相协调。</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auto"/>
                      <w:sz w:val="21"/>
                      <w:szCs w:val="21"/>
                    </w:rPr>
                  </w:pPr>
                  <w:r>
                    <w:rPr>
                      <w:rFonts w:cs="Times New Roman"/>
                      <w:color w:val="auto"/>
                      <w:sz w:val="21"/>
                      <w:szCs w:val="21"/>
                    </w:rPr>
                    <w:t>项目不涉及围填海</w:t>
                  </w:r>
                  <w:r>
                    <w:rPr>
                      <w:rFonts w:hint="eastAsia" w:cs="Times New Roman"/>
                      <w:color w:val="auto"/>
                      <w:sz w:val="21"/>
                      <w:szCs w:val="21"/>
                    </w:rPr>
                    <w:t>。</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优化空间布局，强化保护优先。优化《规划》范围，确保避让福清湾重要滨海湿地生态保护区红线区、福清湾湿地保护区、沿海基干林带等生态敏感区，加强河口湿地和红树林的保护。落实《报告书》提出的现状企业环境防护距离内村庄的搬迁要求和用地布局的调整建议，切实解决居住与工业布局混杂问题，确保人居环境质量安全。</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项目不涉及福清湾重要滨海湿地生态保护区红线区、福清湾湿地保护区、沿海基干林带等生态敏感区。</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严守环境质量底线。根据国家和福建省、福州市关于大气、水、土壤等污染防治攻坚战的相关要求，进一步强化污染物总量控制，采取有效措施减少主要污染物和挥发性有机物（VOCs）等特征污染物的排放量，确保区域环境质量改善目标。推动现有企业转型升级，现有化工、电镀、印染、建材等产业尽快制定退出方案并落实。</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项目</w:t>
                  </w:r>
                  <w:r>
                    <w:rPr>
                      <w:rFonts w:hint="eastAsia" w:cs="Times New Roman"/>
                      <w:color w:val="auto"/>
                      <w:sz w:val="21"/>
                      <w:szCs w:val="21"/>
                    </w:rPr>
                    <w:t>不属于</w:t>
                  </w:r>
                  <w:r>
                    <w:rPr>
                      <w:rFonts w:cs="Times New Roman"/>
                      <w:color w:val="auto"/>
                      <w:sz w:val="21"/>
                      <w:szCs w:val="21"/>
                    </w:rPr>
                    <w:t>化工、电镀、印染、建材等产业，生产过程产生的VOCs经环保措施处理后可达标排放。</w:t>
                  </w:r>
                  <w:r>
                    <w:rPr>
                      <w:rFonts w:hint="eastAsia" w:cs="Times New Roman"/>
                      <w:color w:val="auto"/>
                      <w:sz w:val="21"/>
                      <w:szCs w:val="21"/>
                    </w:rPr>
                    <w:t>生产废水、生活污水经处理后排入市政污水管网进入元洪投资区污水处理厂</w:t>
                  </w:r>
                  <w:r>
                    <w:rPr>
                      <w:rFonts w:cs="Times New Roman"/>
                      <w:color w:val="auto"/>
                      <w:sz w:val="21"/>
                      <w:szCs w:val="21"/>
                    </w:rPr>
                    <w:t>。</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严格入区项目生态环境准入。优先发展粮油食品加工、电子信息和其他无污染的轻工等产业。落实《报告书》提出的生态环境准入要求，引进项目的生产工艺、设备，以及单位产品能耗、水耗、污染物排放和资源利用等均需达到同行业国际先进水平。</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项目符合入区项目生态环境准入要求。</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完善开发区环境基础设施建设。加快推进污水处理厂及污水管网建设，强化现有企业废水预处理要求，优化污水处理厂排污口选址，确保符合《福建省近岸海域环境功能区划》等相关管理要求。固体废物应集中处理处置，危险废物交由有资质的单位统一收集处理。</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hint="eastAsia" w:cs="Times New Roman"/>
                      <w:color w:val="auto"/>
                      <w:sz w:val="21"/>
                      <w:szCs w:val="21"/>
                    </w:rPr>
                    <w:t>生产废水、生活污水经处理后排入市政污水管网进入元洪投资区污水处理厂</w:t>
                  </w:r>
                  <w:r>
                    <w:rPr>
                      <w:rFonts w:cs="Times New Roman"/>
                      <w:color w:val="auto"/>
                      <w:sz w:val="21"/>
                      <w:szCs w:val="21"/>
                    </w:rPr>
                    <w:t>。固体废物妥善</w:t>
                  </w:r>
                  <w:r>
                    <w:rPr>
                      <w:rFonts w:hint="eastAsia" w:cs="Times New Roman"/>
                      <w:color w:val="auto"/>
                      <w:sz w:val="21"/>
                      <w:szCs w:val="21"/>
                    </w:rPr>
                    <w:t>收集后</w:t>
                  </w:r>
                  <w:r>
                    <w:rPr>
                      <w:rFonts w:hint="eastAsia" w:cs="Times New Roman"/>
                      <w:color w:val="auto"/>
                      <w:sz w:val="21"/>
                      <w:szCs w:val="21"/>
                      <w:lang w:val="en-US" w:eastAsia="zh-CN"/>
                    </w:rPr>
                    <w:t>外售</w:t>
                  </w:r>
                  <w:r>
                    <w:rPr>
                      <w:rFonts w:hint="eastAsia" w:cs="Times New Roman"/>
                      <w:color w:val="auto"/>
                      <w:sz w:val="21"/>
                      <w:szCs w:val="21"/>
                    </w:rPr>
                    <w:t>，危险废物暂存于</w:t>
                  </w:r>
                  <w:r>
                    <w:rPr>
                      <w:rFonts w:hint="eastAsia" w:cs="Times New Roman"/>
                      <w:color w:val="auto"/>
                      <w:sz w:val="21"/>
                      <w:szCs w:val="21"/>
                      <w:lang w:val="en-US" w:eastAsia="zh-CN"/>
                    </w:rPr>
                    <w:t>危险废物贮存库</w:t>
                  </w:r>
                  <w:r>
                    <w:rPr>
                      <w:rFonts w:hint="eastAsia" w:cs="Times New Roman"/>
                      <w:color w:val="auto"/>
                      <w:sz w:val="21"/>
                      <w:szCs w:val="21"/>
                    </w:rPr>
                    <w:t>，后定期委托</w:t>
                  </w:r>
                  <w:r>
                    <w:rPr>
                      <w:rFonts w:cs="Times New Roman"/>
                      <w:color w:val="auto"/>
                      <w:sz w:val="21"/>
                      <w:szCs w:val="21"/>
                    </w:rPr>
                    <w:t>有资质的单位统一收集处理。</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bl>
          <w:p>
            <w:pPr>
              <w:pStyle w:val="187"/>
              <w:ind w:firstLine="480"/>
              <w:rPr>
                <w:rFonts w:hint="default" w:ascii="Times New Roman" w:hAnsi="Times New Roman" w:eastAsia="宋体" w:cs="Times New Roman"/>
                <w:color w:val="auto"/>
              </w:rPr>
            </w:pPr>
            <w:r>
              <w:rPr>
                <w:rFonts w:hint="eastAsia"/>
                <w:snapToGrid w:val="0"/>
                <w:color w:val="auto"/>
                <w:kern w:val="18"/>
                <w:szCs w:val="20"/>
              </w:rPr>
              <w:t>综上分析，本项目符合《福州市元洪投资区总体规划（2016～2030）环境影响报告书》及其审查意见（环审[2019]86号）中的相关要求</w:t>
            </w:r>
            <w:r>
              <w:rPr>
                <w:rFonts w:hint="eastAsia"/>
                <w:snapToGrid w:val="0"/>
                <w:color w:val="auto"/>
                <w:kern w:val="18"/>
                <w:szCs w:val="20"/>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其他符合性分析</w:t>
            </w:r>
          </w:p>
        </w:tc>
        <w:tc>
          <w:tcPr>
            <w:tcW w:w="7759" w:type="dxa"/>
            <w:gridSpan w:val="3"/>
            <w:vAlign w:val="center"/>
          </w:tcPr>
          <w:p>
            <w:pPr>
              <w:pStyle w:val="10"/>
              <w:ind w:left="480" w:leftChars="200" w:firstLine="0" w:firstLineChars="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1、产业政策符合性分析</w:t>
            </w:r>
          </w:p>
          <w:p>
            <w:pPr>
              <w:autoSpaceDE w:val="0"/>
              <w:autoSpaceDN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本项目主要从事</w:t>
            </w:r>
            <w:r>
              <w:rPr>
                <w:rFonts w:hint="default" w:ascii="Times New Roman" w:hAnsi="Times New Roman" w:eastAsia="宋体" w:cs="Times New Roman"/>
                <w:color w:val="auto"/>
              </w:rPr>
              <w:t>汽车零部件及配件制造</w:t>
            </w:r>
            <w:r>
              <w:rPr>
                <w:rFonts w:hint="default" w:ascii="Times New Roman" w:hAnsi="Times New Roman" w:eastAsia="宋体" w:cs="Times New Roman"/>
                <w:color w:val="auto"/>
                <w:kern w:val="0"/>
                <w:szCs w:val="21"/>
              </w:rPr>
              <w:t>，不属于《产业结构调整指导目录（2024年本）》中限制和淘汰类的项目，且通过了</w:t>
            </w:r>
            <w:r>
              <w:rPr>
                <w:rFonts w:hint="default" w:ascii="Times New Roman" w:hAnsi="Times New Roman" w:eastAsia="宋体" w:cs="Times New Roman"/>
                <w:color w:val="auto"/>
              </w:rPr>
              <w:t>福清市工业和信息化局</w:t>
            </w:r>
            <w:r>
              <w:rPr>
                <w:rFonts w:hint="default" w:ascii="Times New Roman" w:hAnsi="Times New Roman" w:eastAsia="宋体" w:cs="Times New Roman"/>
                <w:color w:val="auto"/>
                <w:kern w:val="0"/>
                <w:szCs w:val="21"/>
              </w:rPr>
              <w:t>的备案（</w:t>
            </w:r>
            <w:r>
              <w:rPr>
                <w:rFonts w:hint="eastAsia" w:cs="Times New Roman"/>
                <w:color w:val="auto"/>
                <w:szCs w:val="21"/>
                <w:lang w:eastAsia="zh-CN"/>
              </w:rPr>
              <w:t>闽工信备[2024]A060090号</w:t>
            </w:r>
            <w:r>
              <w:rPr>
                <w:rFonts w:hint="default" w:ascii="Times New Roman" w:hAnsi="Times New Roman" w:eastAsia="宋体" w:cs="Times New Roman"/>
                <w:color w:val="auto"/>
                <w:kern w:val="0"/>
                <w:szCs w:val="21"/>
              </w:rPr>
              <w:t>，详见附件2），因此项目的建设内容符合</w:t>
            </w:r>
            <w:r>
              <w:rPr>
                <w:rFonts w:hint="default" w:ascii="Times New Roman" w:hAnsi="Times New Roman" w:eastAsia="宋体" w:cs="Times New Roman"/>
                <w:color w:val="auto"/>
              </w:rPr>
              <w:t>国家和地方相关产业政策要求。</w:t>
            </w:r>
          </w:p>
          <w:p>
            <w:pPr>
              <w:autoSpaceDE w:val="0"/>
              <w:autoSpaceDN w:val="0"/>
              <w:spacing w:line="360" w:lineRule="auto"/>
              <w:ind w:firstLine="482" w:firstLineChars="200"/>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2、土地利用总体规划符合性分析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本项目位于福建省福州市福清市元洪投资区城头镇黄墩村，租赁福州元洪投资区建设有限公司5</w:t>
            </w:r>
            <w:r>
              <w:rPr>
                <w:rFonts w:hint="default" w:ascii="Times New Roman" w:hAnsi="Times New Roman" w:eastAsia="宋体" w:cs="Times New Roman"/>
                <w:color w:val="auto"/>
                <w:lang w:val="en-US" w:eastAsia="zh-CN"/>
              </w:rPr>
              <w:t>号</w:t>
            </w:r>
            <w:r>
              <w:rPr>
                <w:rFonts w:hint="default" w:ascii="Times New Roman" w:hAnsi="Times New Roman" w:eastAsia="宋体" w:cs="Times New Roman"/>
                <w:color w:val="auto"/>
              </w:rPr>
              <w:t>厂房，福州元洪投资区建设有限公司持有该</w:t>
            </w:r>
            <w:r>
              <w:rPr>
                <w:rFonts w:hint="eastAsia" w:cs="Times New Roman"/>
                <w:color w:val="auto"/>
                <w:lang w:val="en-US" w:eastAsia="zh-CN"/>
              </w:rPr>
              <w:t>地块的土地证</w:t>
            </w:r>
            <w:r>
              <w:rPr>
                <w:rFonts w:hint="default" w:ascii="Times New Roman" w:hAnsi="Times New Roman" w:eastAsia="宋体" w:cs="Times New Roman"/>
                <w:color w:val="auto"/>
              </w:rPr>
              <w:t>（融城用(2013)第B1496号，详见附件5），</w:t>
            </w:r>
            <w:r>
              <w:rPr>
                <w:rFonts w:hint="eastAsia" w:cs="Times New Roman"/>
                <w:color w:val="auto"/>
                <w:lang w:val="en-US" w:eastAsia="zh-CN"/>
              </w:rPr>
              <w:t>地类（用途）为</w:t>
            </w:r>
            <w:r>
              <w:rPr>
                <w:rFonts w:hint="default" w:ascii="Times New Roman" w:hAnsi="Times New Roman" w:eastAsia="宋体" w:cs="Times New Roman"/>
                <w:color w:val="auto"/>
              </w:rPr>
              <w:t>工业。</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根据《福州市元洪投资区总体规划(2016-2030)—土地利用规划图》，项目所在地土地用途规划为二类工业用地（详见附图4）。因此，建设单位于此地进行</w:t>
            </w:r>
            <w:r>
              <w:rPr>
                <w:rFonts w:hint="eastAsia" w:cs="Times New Roman"/>
                <w:color w:val="auto"/>
                <w:lang w:eastAsia="zh-CN"/>
              </w:rPr>
              <w:t>年加工汽车密封缸垫及消音片3200万件</w:t>
            </w:r>
            <w:r>
              <w:rPr>
                <w:rFonts w:hint="default" w:ascii="Times New Roman" w:hAnsi="Times New Roman" w:eastAsia="宋体" w:cs="Times New Roman"/>
                <w:color w:val="auto"/>
              </w:rPr>
              <w:t>生产活动，与土地利用总体规划并不冲突，符合土地利用的总体规划。</w:t>
            </w:r>
          </w:p>
          <w:p>
            <w:pPr>
              <w:pStyle w:val="10"/>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3、所在地“三线一单”分析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（1）所在地“三线一单”分析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①生态保护红线符合性分析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对照《福建省生态保护红线划定方案》及其调整方案，本项目位于福清市</w:t>
            </w:r>
            <w:r>
              <w:rPr>
                <w:rFonts w:hint="default" w:ascii="Times New Roman" w:hAnsi="Times New Roman" w:eastAsia="宋体" w:cs="Times New Roman"/>
                <w:color w:val="auto"/>
                <w:lang w:val="en-US" w:eastAsia="zh-CN"/>
              </w:rPr>
              <w:t>城头</w:t>
            </w:r>
            <w:r>
              <w:rPr>
                <w:rFonts w:hint="default" w:ascii="Times New Roman" w:hAnsi="Times New Roman" w:eastAsia="宋体" w:cs="Times New Roman"/>
                <w:color w:val="auto"/>
              </w:rPr>
              <w:t>镇。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②环境质量底线符合性分析</w:t>
            </w:r>
          </w:p>
          <w:p>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周边水系大坝溪，各因子均符合《地表水环境质量标准》（GB3838-2002）中IV类标准；项目所在区域的环境空气质量现状符合《环境空气质量标准》（GB3095-2012）二级标准，属于达标区；项目所在区域声环境质量现状符合《声环境质量标准》（GB3096-2008）中3类标准。因此，项目所在区域环境现状质量良好。</w:t>
            </w:r>
          </w:p>
          <w:p>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本次</w:t>
            </w:r>
            <w:r>
              <w:rPr>
                <w:rFonts w:hint="eastAsia" w:cs="Times New Roman"/>
                <w:color w:val="auto"/>
                <w:lang w:val="en-US" w:eastAsia="zh-CN"/>
              </w:rPr>
              <w:t>扩</w:t>
            </w:r>
            <w:r>
              <w:rPr>
                <w:rFonts w:hint="default" w:ascii="Times New Roman" w:hAnsi="Times New Roman" w:eastAsia="宋体" w:cs="Times New Roman"/>
                <w:color w:val="auto"/>
              </w:rPr>
              <w:t>建项目运营期生产废水、生活污水经处理后排入市政污水管网进入元洪投资区污水处理厂；项目废气经处理达标后对周围大气环境影响较小；各生产设备产生的噪声经隔声、减震等降噪措施处理后也不会对周边声环境造成重大影响。综上分析，项目在采取本环评提出的防治措施后，运营期排放的污染物不会对区域环境质量底线造成冲击。</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③资源利用上线符合性分析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本项目原料均从正规合法单位购得，工业用地为合法租赁，水和电等公共资源由当地相关单位供应，项目所用资源相对较小，不会突破当地资源利用上限。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（2）与《福州市人民政府关于实施“三线一单”生态分区管控的通知》符合性分析</w:t>
            </w:r>
          </w:p>
          <w:p>
            <w:pPr>
              <w:adjustRightInd w:val="0"/>
              <w:snapToGrid w:val="0"/>
              <w:spacing w:line="360" w:lineRule="auto"/>
              <w:ind w:firstLine="480" w:firstLineChars="200"/>
              <w:contextualSpacing/>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福州元洪投资区建设有限公司5号厂房），因此本项目对照</w:t>
            </w:r>
            <w:r>
              <w:rPr>
                <w:rFonts w:hint="default" w:ascii="Times New Roman" w:hAnsi="Times New Roman" w:eastAsia="宋体" w:cs="Times New Roman"/>
                <w:color w:val="auto"/>
                <w:szCs w:val="20"/>
              </w:rPr>
              <w:t>福州市人民政府办公厅关于印发《福州市生态环境分区管控方案（2023年更新）》的通知（榕政办规〔2024〕20号）相关要求分析，本项目所在位置属于福州市陆域区域、福清市生态环境准入清单-重点管控单元-ZH35018120004（</w:t>
            </w:r>
            <w:r>
              <w:rPr>
                <w:rFonts w:hint="eastAsia" w:cs="Times New Roman"/>
                <w:color w:val="auto"/>
                <w:szCs w:val="20"/>
                <w:lang w:val="en-US" w:eastAsia="zh-CN"/>
              </w:rPr>
              <w:t>福建省生态环境分区管控数据应用平台查询结果</w:t>
            </w:r>
            <w:r>
              <w:rPr>
                <w:rFonts w:hint="default" w:ascii="Times New Roman" w:hAnsi="Times New Roman" w:eastAsia="宋体" w:cs="Times New Roman"/>
                <w:color w:val="auto"/>
                <w:szCs w:val="20"/>
              </w:rPr>
              <w:t>详见附件</w:t>
            </w:r>
            <w:r>
              <w:rPr>
                <w:rFonts w:hint="default" w:ascii="Times New Roman" w:hAnsi="Times New Roman" w:eastAsia="宋体" w:cs="Times New Roman"/>
                <w:color w:val="auto"/>
                <w:szCs w:val="20"/>
                <w:lang w:val="en-US" w:eastAsia="zh-CN"/>
              </w:rPr>
              <w:t>8</w:t>
            </w:r>
            <w:r>
              <w:rPr>
                <w:rFonts w:hint="default" w:ascii="Times New Roman" w:hAnsi="Times New Roman" w:eastAsia="宋体" w:cs="Times New Roman"/>
                <w:color w:val="auto"/>
                <w:szCs w:val="20"/>
              </w:rPr>
              <w:t>）。因此，具体见表1.1-</w:t>
            </w:r>
            <w:r>
              <w:rPr>
                <w:rFonts w:hint="eastAsia" w:cs="Times New Roman"/>
                <w:color w:val="auto"/>
                <w:szCs w:val="20"/>
                <w:lang w:val="en-US" w:eastAsia="zh-CN"/>
              </w:rPr>
              <w:t>4</w:t>
            </w:r>
            <w:r>
              <w:rPr>
                <w:rFonts w:hint="default" w:ascii="Times New Roman" w:hAnsi="Times New Roman" w:eastAsia="宋体" w:cs="Times New Roman"/>
                <w:color w:val="auto"/>
                <w:szCs w:val="20"/>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表1.1-</w:t>
            </w:r>
            <w:r>
              <w:rPr>
                <w:rFonts w:hint="eastAsia" w:cs="Times New Roman"/>
                <w:b/>
                <w:bCs/>
                <w:color w:val="auto"/>
                <w:shd w:val="clear" w:color="auto" w:fill="FFFFFF"/>
                <w:lang w:val="en-US" w:eastAsia="zh-CN"/>
              </w:rPr>
              <w:t>4</w:t>
            </w:r>
            <w:r>
              <w:rPr>
                <w:rFonts w:hint="default" w:ascii="Times New Roman" w:hAnsi="Times New Roman" w:eastAsia="宋体" w:cs="Times New Roman"/>
                <w:b/>
                <w:bCs/>
                <w:color w:val="auto"/>
                <w:shd w:val="clear" w:color="auto" w:fill="FFFFFF"/>
              </w:rPr>
              <w:t xml:space="preserve">  福州市生态环境准入要求一览表</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19"/>
              <w:gridCol w:w="668"/>
              <w:gridCol w:w="3292"/>
              <w:gridCol w:w="1506"/>
              <w:gridCol w:w="45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适用范围</w:t>
                  </w:r>
                </w:p>
              </w:tc>
              <w:tc>
                <w:tcPr>
                  <w:tcW w:w="2809" w:type="pct"/>
                  <w:gridSpan w:val="2"/>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准入要求</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restar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福州市陆域</w:t>
                  </w:r>
                </w:p>
              </w:tc>
              <w:tc>
                <w:tcPr>
                  <w:tcW w:w="535"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3292" w:type="dxa"/>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三、其它要求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1.福州市石化中上游项目重点在福州江阴港城经济区、可门港经济区化工新材料产业园布局。</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2.禁止在闽江马尾罗星塔以上流域范围新、扩建制革项目，严控新（扩）建植物制浆、印染、合成革及人造革、电镀项目。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3.禁止在通风廊道和主导风向的上风向布局大气重污染企业，推进建成区大气重污染企业搬迁或升级改造、环境风险企业搬迁或关闭退出。</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4.禁止新、改、扩建生产高VOCs 含量有机溶剂型涂料、油墨和胶黏剂的项目。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5.持续加强闽清等地建陶产业的环境综合治理，充分衔接国土空间规划和生态环境分区管控，并对照产业政策、城市总体发展规划等要求，进一步明确发展定位，优化产业布局和规模。</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6.新建、扩建的涉及重点重金属污染物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 年底专业电镀企业入园率达到90%以上。</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7.禁止在流域上游新建、扩建重污染企业和项目。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8.重要敏感水体及富营养化湖库生态缓冲带除相关政府部门批准的科学研究活动外，禁止其它可能对保护区构成危害或不良影响的大规模生产、建设活动。</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9.新、改、扩建煤电、钢铁、建材、石化、化工等“两高”项目，严格落实国家、省、市产业规划、产业政策、“三线一单”、规划环评，以及产能置换、煤炭消费减量替代、区域污染削减等相关要求。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10.单元内涉及永久基本农田的，应按照《福建省基本农田保护条例》（2010 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本项目主要从事汽车零部件及配件制造，位于福清市元洪投资区城头镇黄墩村，项目建设与空间布局约束要求不相冲突。</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3292" w:type="dxa"/>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 号”等相关文件执行。</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 VOCs 排放项目污染物排放量应满足《福州市“十四五”空气质量持续改善计划》（榕环保综〔2023〕40号），应从源头加强控制，使用低（无）VOCs 含量的原辅材料。</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7.水泥行业新改扩建项目严格对照超低排放、能效标杆水平建设实施；现有项目超低排放改造应按文件（闽环规〔2023〕2号）的时限要求分步推进，2025年底前全面完成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1、本项目涉及VOC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排放，未涉及排放二氧化硫、氮氧化物。</w:t>
                  </w:r>
                </w:p>
                <w:p>
                  <w:pPr>
                    <w:pBdr>
                      <w:top w:val="none" w:color="auto" w:sz="0" w:space="1"/>
                      <w:left w:val="none" w:color="auto" w:sz="0" w:space="4"/>
                      <w:bottom w:val="none" w:color="auto" w:sz="0" w:space="1"/>
                      <w:right w:val="none" w:color="auto" w:sz="0" w:space="4"/>
                    </w:pBd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2、项目位于福清市元洪投资区城头镇黄墩村，不属于其规定的污染物管控区域。项目涉VOC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排放，建设单位将严格按照文件规定要求对VOC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排放实行倍量替代。</w:t>
                  </w:r>
                </w:p>
                <w:p>
                  <w:pPr>
                    <w:pBdr>
                      <w:top w:val="none" w:color="auto" w:sz="0" w:space="1"/>
                      <w:left w:val="none" w:color="auto" w:sz="0" w:space="4"/>
                      <w:bottom w:val="none" w:color="auto" w:sz="0" w:space="1"/>
                      <w:right w:val="none" w:color="auto" w:sz="0" w:space="4"/>
                    </w:pBdr>
                    <w:adjustRightInd w:val="0"/>
                    <w:snapToGrid w:val="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3、本项目为新建项目，主要从事汽车零部件及配件制造，不属于钢铁、水泥、平板玻璃、有色金属冶炼、化工等工业项目</w:t>
                  </w:r>
                  <w:r>
                    <w:rPr>
                      <w:rFonts w:hint="eastAsia" w:eastAsia="宋体" w:cs="Times New Roman"/>
                      <w:color w:val="auto"/>
                      <w:sz w:val="21"/>
                      <w:szCs w:val="21"/>
                      <w:lang w:eastAsia="zh-CN"/>
                    </w:rPr>
                    <w:t>。</w:t>
                  </w:r>
                </w:p>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4、本项目不属于</w:t>
                  </w:r>
                  <w:r>
                    <w:rPr>
                      <w:rFonts w:hint="default" w:ascii="Times New Roman" w:hAnsi="Times New Roman" w:eastAsia="宋体" w:cs="Times New Roman"/>
                      <w:color w:val="auto"/>
                      <w:sz w:val="21"/>
                      <w:szCs w:val="21"/>
                    </w:rPr>
                    <w:t>氟化工、印染、电镀等行业。</w:t>
                  </w:r>
                </w:p>
                <w:p>
                  <w:pPr>
                    <w:pStyle w:val="31"/>
                    <w:ind w:left="0" w:leftChars="0" w:firstLine="0" w:firstLineChars="0"/>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项目新增VOCs排放，将严格按照文件规定要求对VOC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排放实行倍量替代。</w:t>
                  </w:r>
                </w:p>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6、本项目不涉及锅炉</w:t>
                  </w:r>
                  <w:r>
                    <w:rPr>
                      <w:rFonts w:hint="default" w:ascii="Times New Roman" w:hAnsi="Times New Roman" w:eastAsia="宋体" w:cs="Times New Roman"/>
                      <w:color w:val="auto"/>
                      <w:sz w:val="21"/>
                      <w:szCs w:val="21"/>
                    </w:rPr>
                    <w:t>。</w:t>
                  </w:r>
                </w:p>
                <w:p>
                  <w:pPr>
                    <w:pStyle w:val="31"/>
                    <w:keepNext w:val="0"/>
                    <w:keepLines w:val="0"/>
                    <w:pageBreakBefore w:val="0"/>
                    <w:kinsoku/>
                    <w:wordWrap/>
                    <w:overflowPunct/>
                    <w:topLinePunct w:val="0"/>
                    <w:autoSpaceDE/>
                    <w:autoSpaceDN/>
                    <w:bidi w:val="0"/>
                    <w:adjustRightInd/>
                    <w:spacing w:line="240" w:lineRule="auto"/>
                    <w:ind w:firstLine="0" w:firstLine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7、本项目不属于水泥行业。</w:t>
                  </w:r>
                </w:p>
                <w:p>
                  <w:pPr>
                    <w:pStyle w:val="30"/>
                    <w:keepNext w:val="0"/>
                    <w:keepLines w:val="0"/>
                    <w:pageBreakBefore w:val="0"/>
                    <w:kinsoku/>
                    <w:wordWrap/>
                    <w:overflowPunct/>
                    <w:topLinePunct w:val="0"/>
                    <w:autoSpaceDE/>
                    <w:autoSpaceDN/>
                    <w:bidi w:val="0"/>
                    <w:adjustRightInd/>
                    <w:spacing w:before="0" w:after="0" w:line="240" w:lineRule="auto"/>
                    <w:ind w:firstLine="0" w:firstLineChars="0"/>
                    <w:textAlignment w:val="auto"/>
                    <w:rPr>
                      <w:rFonts w:hint="default"/>
                      <w:color w:val="auto"/>
                      <w:lang w:val="en-US" w:eastAsia="zh-CN"/>
                    </w:rPr>
                  </w:pPr>
                  <w:r>
                    <w:rPr>
                      <w:rFonts w:hint="eastAsia" w:eastAsia="宋体" w:cs="Times New Roman"/>
                      <w:color w:val="auto"/>
                      <w:sz w:val="21"/>
                      <w:szCs w:val="21"/>
                      <w:lang w:val="en-US" w:eastAsia="zh-CN"/>
                    </w:rPr>
                    <w:t>8、</w:t>
                  </w:r>
                  <w:r>
                    <w:rPr>
                      <w:rFonts w:hint="default" w:ascii="Times New Roman" w:hAnsi="Times New Roman" w:eastAsia="宋体" w:cs="Times New Roman"/>
                      <w:color w:val="auto"/>
                      <w:kern w:val="0"/>
                      <w:sz w:val="21"/>
                      <w:szCs w:val="21"/>
                    </w:rPr>
                    <w:t>项目</w:t>
                  </w:r>
                  <w:r>
                    <w:rPr>
                      <w:rFonts w:hint="eastAsia" w:cs="Times New Roman"/>
                      <w:color w:val="auto"/>
                      <w:kern w:val="0"/>
                      <w:sz w:val="21"/>
                      <w:szCs w:val="21"/>
                      <w:lang w:val="en-US" w:eastAsia="zh-CN"/>
                    </w:rPr>
                    <w:t>使用的软化剂和金属橡胶胶粘剂涉及二甲苯成分，厂内最大贮存量合计为7.125t，</w:t>
                  </w:r>
                  <w:r>
                    <w:rPr>
                      <w:rFonts w:hint="default" w:ascii="Times New Roman" w:hAnsi="Times New Roman" w:eastAsia="宋体" w:cs="Times New Roman"/>
                      <w:color w:val="auto"/>
                      <w:kern w:val="0"/>
                      <w:sz w:val="21"/>
                      <w:szCs w:val="21"/>
                    </w:rPr>
                    <w:t>未超过临界量</w:t>
                  </w:r>
                  <w:r>
                    <w:rPr>
                      <w:rFonts w:hint="eastAsia" w:cs="Times New Roman"/>
                      <w:color w:val="auto"/>
                      <w:kern w:val="0"/>
                      <w:sz w:val="21"/>
                      <w:szCs w:val="21"/>
                      <w:lang w:val="en-US" w:eastAsia="zh-CN"/>
                    </w:rPr>
                    <w:t>10t，不涉及有毒有害化学物质。</w:t>
                  </w:r>
                </w:p>
                <w:p>
                  <w:pPr>
                    <w:pStyle w:val="30"/>
                    <w:rPr>
                      <w:rFonts w:hint="eastAsia"/>
                      <w:color w:val="auto"/>
                      <w:lang w:val="en-US" w:eastAsia="zh-CN"/>
                    </w:rPr>
                  </w:pP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资源开发效率要求</w:t>
                  </w:r>
                </w:p>
              </w:tc>
              <w:tc>
                <w:tcPr>
                  <w:tcW w:w="3292" w:type="dxa"/>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1.到2024年底，全市范围内每小时 10蒸吨及以下燃煤锅炉全面淘汰；到2025年底，全市范围内每小时 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2.按照“提气、转电、控煤”的发展思路，推动陶瓷行业进一步优化用能结构，实现能源消费清洁低碳化。</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本项目不涉及锅炉。</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restar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福州新区元洪功能区（中印尼“两国双园”）-重点管控单元-ZH35018120004</w:t>
                  </w: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布局约束</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1.推动现有企业转型升级，现有化工、电镀、印染、建材等产业尽快制定退出方案并落实。</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2.投资区内涉及基本农田的区域在土地性质调整及占补措施落实前应暂缓开发。</w:t>
                  </w:r>
                </w:p>
              </w:tc>
              <w:tc>
                <w:tcPr>
                  <w:tcW w:w="109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本项目属于新建汽车零部件及配件制造项目，不属于需转型的现有产业；项目选址为已建厂房，不涉及基本农田。</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1.完善建设污水收集管网，确保园区内所有工业废水、生活污水纳入污水处理厂处理并达标排放。</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2.涉新增VOCs排放项目，VOCs排放实行区域内倍量替代。</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3.采取有效措施，加强食品加工业产生的恶臭气体的收集处理。</w:t>
                  </w:r>
                </w:p>
              </w:tc>
              <w:tc>
                <w:tcPr>
                  <w:tcW w:w="109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1、项目厂区落实雨污分流并接入市政管网，污水纳入元洪投资区污水处理厂处理。</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2、项目新增VOCs排放，将严格按照文件规定要求对VOC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排放实行倍量替代。</w:t>
                  </w:r>
                </w:p>
                <w:p>
                  <w:pPr>
                    <w:pStyle w:val="21"/>
                    <w:jc w:val="both"/>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3、项目不属于食品加工产业。</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1.建立健全环境风险防控体系，制定环境风险应急预案，建设事故应急池，成立应急组织机构，防止在处理安全生产事故过程中产生的可能严重污染水体的消防废水、废液直接排入水体。</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2.应采取有效措施防止园区建设对区域地下水、土壤造成污染。</w:t>
                  </w:r>
                </w:p>
              </w:tc>
              <w:tc>
                <w:tcPr>
                  <w:tcW w:w="1090" w:type="pct"/>
                  <w:tcBorders>
                    <w:tl2br w:val="nil"/>
                    <w:tr2bl w:val="nil"/>
                  </w:tcBorders>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r>
                    <w:rPr>
                      <w:rFonts w:hint="default" w:ascii="Times New Roman" w:hAnsi="Times New Roman" w:eastAsia="宋体" w:cs="Times New Roman"/>
                      <w:color w:val="auto"/>
                      <w:szCs w:val="21"/>
                      <w:lang w:val="en-US" w:eastAsia="zh-CN"/>
                    </w:rPr>
                    <w:t>拟根据风险防控要求制定环境风险应急预案，建设事故应急池、成立应急组织机构，确保事故废水不</w:t>
                  </w:r>
                  <w:r>
                    <w:rPr>
                      <w:rFonts w:hint="default" w:ascii="Times New Roman" w:hAnsi="Times New Roman" w:eastAsia="宋体" w:cs="Times New Roman"/>
                      <w:color w:val="auto"/>
                      <w:szCs w:val="21"/>
                    </w:rPr>
                    <w:t>外排；</w:t>
                  </w:r>
                  <w:r>
                    <w:rPr>
                      <w:rFonts w:hint="default" w:ascii="Times New Roman" w:hAnsi="Times New Roman" w:eastAsia="宋体" w:cs="Times New Roman"/>
                      <w:color w:val="auto"/>
                      <w:szCs w:val="21"/>
                      <w:lang w:val="en-US" w:eastAsia="zh-CN"/>
                    </w:rPr>
                    <w:t>项目</w:t>
                  </w:r>
                  <w:r>
                    <w:rPr>
                      <w:rFonts w:hint="default" w:ascii="Times New Roman" w:hAnsi="Times New Roman" w:eastAsia="宋体" w:cs="Times New Roman"/>
                      <w:color w:val="auto"/>
                      <w:szCs w:val="21"/>
                    </w:rPr>
                    <w:t>风险物质贮存不突破临界量，且厂房地面硬化措施已完善。</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加大产业区集中供热覆盖范围，逐步取消已批燃煤供热锅炉、不新增供热锅炉。</w:t>
                  </w:r>
                </w:p>
              </w:tc>
              <w:tc>
                <w:tcPr>
                  <w:tcW w:w="109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项目生产设备使用电能，不涉及其它供热方式。</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autoSpaceDE w:val="0"/>
              <w:autoSpaceDN w:val="0"/>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根据上述分析，本项目与《福州市人民政府关于实施“三线一单”生态分区管控的通知》（</w:t>
            </w:r>
            <w:r>
              <w:rPr>
                <w:rFonts w:hint="eastAsia" w:cs="Times New Roman"/>
                <w:color w:val="auto"/>
                <w:lang w:eastAsia="zh-CN"/>
              </w:rPr>
              <w:t>榕政办规〔2024〕20号</w:t>
            </w:r>
            <w:r>
              <w:rPr>
                <w:rFonts w:hint="default" w:ascii="Times New Roman" w:hAnsi="Times New Roman" w:eastAsia="宋体" w:cs="Times New Roman"/>
                <w:color w:val="auto"/>
              </w:rPr>
              <w:t>）中的相关规定是符合的。</w:t>
            </w:r>
          </w:p>
          <w:p>
            <w:pPr>
              <w:pStyle w:val="10"/>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4、与污染防治相关政策符合性分析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本项目与挥发性有机物污染防治政策相关内容符合性分析，符合性分析详见表1.1-3。</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表1.1-3 挥发性有机物污染防治政策相关内容</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98"/>
              <w:gridCol w:w="1508"/>
              <w:gridCol w:w="2977"/>
              <w:gridCol w:w="2390"/>
              <w:gridCol w:w="36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相关文件名称</w:t>
                  </w:r>
                </w:p>
              </w:tc>
              <w:tc>
                <w:tcPr>
                  <w:tcW w:w="2977"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相关内容</w:t>
                  </w:r>
                </w:p>
              </w:tc>
              <w:tc>
                <w:tcPr>
                  <w:tcW w:w="2390"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本项目情况</w:t>
                  </w:r>
                </w:p>
              </w:tc>
              <w:tc>
                <w:tcPr>
                  <w:tcW w:w="367"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1508" w:type="dxa"/>
                  <w:tcBorders>
                    <w:tl2br w:val="nil"/>
                    <w:tr2bl w:val="nil"/>
                  </w:tcBorders>
                  <w:vAlign w:val="center"/>
                </w:tcPr>
                <w:p>
                  <w:pPr>
                    <w:pStyle w:val="104"/>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生态环境部关于印发《重点行业挥发性有机物综合治理方案》的通知</w:t>
                  </w:r>
                </w:p>
              </w:tc>
              <w:tc>
                <w:tcPr>
                  <w:tcW w:w="2977" w:type="dxa"/>
                  <w:tcBorders>
                    <w:tl2br w:val="nil"/>
                    <w:tr2bl w:val="nil"/>
                  </w:tcBorders>
                  <w:vAlign w:val="center"/>
                </w:tcPr>
                <w:p>
                  <w:pPr>
                    <w:pStyle w:val="114"/>
                    <w:keepNext w:val="0"/>
                    <w:keepLines w:val="0"/>
                    <w:pageBreakBefore w:val="0"/>
                    <w:numPr>
                      <w:ilvl w:val="0"/>
                      <w:numId w:val="2"/>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iCs w:val="0"/>
                      <w:color w:val="auto"/>
                      <w:spacing w:val="0"/>
                      <w:kern w:val="2"/>
                      <w:position w:val="0"/>
                      <w:sz w:val="21"/>
                      <w:szCs w:val="21"/>
                      <w:highlight w:val="none"/>
                      <w:lang w:val="en-US" w:eastAsia="zh-CN" w:bidi="ar-SA"/>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pPr>
                    <w:pStyle w:val="114"/>
                    <w:keepNext w:val="0"/>
                    <w:keepLines w:val="0"/>
                    <w:pageBreakBefore w:val="0"/>
                    <w:numPr>
                      <w:ilvl w:val="0"/>
                      <w:numId w:val="2"/>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iCs w:val="0"/>
                      <w:color w:val="auto"/>
                      <w:spacing w:val="0"/>
                      <w:kern w:val="2"/>
                      <w:position w:val="0"/>
                      <w:sz w:val="21"/>
                      <w:szCs w:val="21"/>
                      <w:highlight w:val="none"/>
                      <w:lang w:val="en-US" w:eastAsia="zh-CN" w:bidi="ar-SA"/>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pStyle w:val="114"/>
                    <w:keepNext w:val="0"/>
                    <w:keepLines w:val="0"/>
                    <w:pageBreakBefore w:val="0"/>
                    <w:numPr>
                      <w:ilvl w:val="0"/>
                      <w:numId w:val="2"/>
                    </w:numPr>
                    <w:suppressLineNumbers w:val="0"/>
                    <w:kinsoku/>
                    <w:wordWrap/>
                    <w:overflowPunct/>
                    <w:topLinePunct w:val="0"/>
                    <w:autoSpaceDE/>
                    <w:autoSpaceDN/>
                    <w:bidi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2390" w:type="dxa"/>
                  <w:tcBorders>
                    <w:tl2br w:val="nil"/>
                    <w:tr2bl w:val="nil"/>
                  </w:tcBorders>
                  <w:vAlign w:val="center"/>
                </w:tcPr>
                <w:p>
                  <w:pPr>
                    <w:pStyle w:val="114"/>
                    <w:keepNext w:val="0"/>
                    <w:keepLines w:val="0"/>
                    <w:pageBreakBefore w:val="0"/>
                    <w:numPr>
                      <w:ilvl w:val="0"/>
                      <w:numId w:val="3"/>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color w:val="auto"/>
                      <w:spacing w:val="0"/>
                      <w:position w:val="0"/>
                      <w:sz w:val="21"/>
                      <w:szCs w:val="21"/>
                      <w:highlight w:val="none"/>
                    </w:rPr>
                  </w:pPr>
                  <w:r>
                    <w:rPr>
                      <w:rFonts w:hint="default" w:ascii="Times New Roman" w:hAnsi="Times New Roman" w:eastAsia="宋体" w:cs="Times New Roman"/>
                      <w:bCs/>
                      <w:color w:val="auto"/>
                      <w:sz w:val="21"/>
                      <w:szCs w:val="21"/>
                      <w:lang w:eastAsia="zh-CN"/>
                    </w:rPr>
                    <w:t>根据《胶粘剂挥发性有机化合物限量》（GB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700g/L</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及附件7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w:t>
                  </w:r>
                  <w:r>
                    <w:rPr>
                      <w:rFonts w:hint="default" w:ascii="Times New Roman" w:hAnsi="Times New Roman" w:eastAsia="宋体" w:cs="Times New Roman"/>
                      <w:bCs/>
                      <w:color w:val="auto"/>
                      <w:sz w:val="21"/>
                      <w:szCs w:val="21"/>
                      <w:lang w:eastAsia="zh-CN"/>
                    </w:rPr>
                    <w:t>，</w:t>
                  </w:r>
                  <w:r>
                    <w:rPr>
                      <w:rFonts w:hint="eastAsia"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项目使用的胶粘剂符合VOCs含量限值标准</w:t>
                  </w:r>
                  <w:r>
                    <w:rPr>
                      <w:rFonts w:hint="eastAsia"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 w:val="0"/>
                      <w:bCs/>
                      <w:color w:val="auto"/>
                      <w:spacing w:val="0"/>
                      <w:position w:val="0"/>
                      <w:sz w:val="21"/>
                      <w:szCs w:val="21"/>
                      <w:highlight w:val="none"/>
                      <w:lang w:eastAsia="zh-CN"/>
                    </w:rPr>
                    <w:t>。</w:t>
                  </w:r>
                </w:p>
                <w:p>
                  <w:pPr>
                    <w:pStyle w:val="114"/>
                    <w:keepNext w:val="0"/>
                    <w:keepLines w:val="0"/>
                    <w:pageBreakBefore w:val="0"/>
                    <w:numPr>
                      <w:ilvl w:val="0"/>
                      <w:numId w:val="3"/>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lang w:val="en-US" w:eastAsia="zh-CN"/>
                    </w:rPr>
                    <w:t>本项目中含有挥发性有机化合物（VOCs）的原辅材料主要为</w:t>
                  </w:r>
                  <w:r>
                    <w:rPr>
                      <w:rFonts w:hint="eastAsia" w:cs="Times New Roman"/>
                      <w:b w:val="0"/>
                      <w:bCs/>
                      <w:color w:val="auto"/>
                      <w:spacing w:val="0"/>
                      <w:position w:val="0"/>
                      <w:sz w:val="21"/>
                      <w:szCs w:val="21"/>
                      <w:highlight w:val="none"/>
                      <w:lang w:val="en-US" w:eastAsia="zh-CN"/>
                    </w:rPr>
                    <w:t>混炼胶、</w:t>
                  </w:r>
                  <w:r>
                    <w:rPr>
                      <w:rFonts w:hint="default" w:ascii="Times New Roman" w:hAnsi="Times New Roman" w:eastAsia="宋体" w:cs="Times New Roman"/>
                      <w:color w:val="auto"/>
                      <w:kern w:val="0"/>
                      <w:sz w:val="21"/>
                      <w:szCs w:val="21"/>
                      <w:lang w:bidi="ar"/>
                    </w:rPr>
                    <w:t>金属橡胶胶粘剂</w:t>
                  </w:r>
                  <w:r>
                    <w:rPr>
                      <w:rFonts w:hint="eastAsia" w:eastAsia="宋体" w:cs="Times New Roman"/>
                      <w:color w:val="auto"/>
                      <w:kern w:val="0"/>
                      <w:sz w:val="21"/>
                      <w:szCs w:val="21"/>
                      <w:lang w:eastAsia="zh-CN" w:bidi="ar"/>
                    </w:rPr>
                    <w:t>、</w:t>
                  </w:r>
                  <w:r>
                    <w:rPr>
                      <w:rFonts w:hint="eastAsia" w:eastAsia="宋体" w:cs="Times New Roman"/>
                      <w:color w:val="auto"/>
                      <w:kern w:val="0"/>
                      <w:sz w:val="21"/>
                      <w:szCs w:val="21"/>
                      <w:lang w:val="en-US" w:eastAsia="zh-CN" w:bidi="ar"/>
                    </w:rPr>
                    <w:t>橡胶软化剂、橡胶隔离剂</w:t>
                  </w:r>
                  <w:r>
                    <w:rPr>
                      <w:rFonts w:hint="default" w:ascii="Times New Roman" w:hAnsi="Times New Roman" w:eastAsia="宋体" w:cs="Times New Roman"/>
                      <w:b w:val="0"/>
                      <w:bCs/>
                      <w:color w:val="auto"/>
                      <w:spacing w:val="0"/>
                      <w:position w:val="0"/>
                      <w:sz w:val="21"/>
                      <w:szCs w:val="21"/>
                      <w:highlight w:val="none"/>
                      <w:lang w:val="en-US" w:eastAsia="zh-CN"/>
                    </w:rPr>
                    <w:t>。VOCs的无组织排放主要来自橡胶软化、</w:t>
                  </w:r>
                  <w:r>
                    <w:rPr>
                      <w:rFonts w:hint="eastAsia" w:cs="Times New Roman"/>
                      <w:b w:val="0"/>
                      <w:bCs/>
                      <w:color w:val="auto"/>
                      <w:spacing w:val="0"/>
                      <w:position w:val="0"/>
                      <w:sz w:val="21"/>
                      <w:szCs w:val="21"/>
                      <w:highlight w:val="none"/>
                      <w:lang w:val="en-US" w:eastAsia="zh-CN"/>
                    </w:rPr>
                    <w:t>研磨、</w:t>
                  </w:r>
                  <w:r>
                    <w:rPr>
                      <w:rFonts w:hint="default" w:ascii="Times New Roman" w:hAnsi="Times New Roman" w:eastAsia="宋体" w:cs="Times New Roman"/>
                      <w:b w:val="0"/>
                      <w:bCs/>
                      <w:color w:val="auto"/>
                      <w:spacing w:val="0"/>
                      <w:position w:val="0"/>
                      <w:sz w:val="21"/>
                      <w:szCs w:val="21"/>
                      <w:highlight w:val="none"/>
                      <w:lang w:val="en-US" w:eastAsia="zh-CN"/>
                    </w:rPr>
                    <w:t>涂覆、烘干</w:t>
                  </w:r>
                  <w:r>
                    <w:rPr>
                      <w:rFonts w:hint="eastAsia" w:cs="Times New Roman"/>
                      <w:b w:val="0"/>
                      <w:bCs/>
                      <w:color w:val="auto"/>
                      <w:spacing w:val="0"/>
                      <w:position w:val="0"/>
                      <w:sz w:val="21"/>
                      <w:szCs w:val="21"/>
                      <w:highlight w:val="none"/>
                      <w:lang w:val="en-US" w:eastAsia="zh-CN"/>
                    </w:rPr>
                    <w:t>、涂胶固化、硫化、隔离固化等</w:t>
                  </w:r>
                  <w:r>
                    <w:rPr>
                      <w:rFonts w:hint="default" w:ascii="Times New Roman" w:hAnsi="Times New Roman" w:eastAsia="宋体" w:cs="Times New Roman"/>
                      <w:b w:val="0"/>
                      <w:bCs/>
                      <w:color w:val="auto"/>
                      <w:spacing w:val="0"/>
                      <w:position w:val="0"/>
                      <w:sz w:val="21"/>
                      <w:szCs w:val="21"/>
                      <w:highlight w:val="none"/>
                      <w:lang w:val="en-US" w:eastAsia="zh-CN"/>
                    </w:rPr>
                    <w:t>过程中未收集的废气。</w:t>
                  </w:r>
                  <w:r>
                    <w:rPr>
                      <w:rFonts w:hint="eastAsia" w:cs="Times New Roman"/>
                      <w:b w:val="0"/>
                      <w:bCs/>
                      <w:color w:val="auto"/>
                      <w:spacing w:val="0"/>
                      <w:position w:val="0"/>
                      <w:sz w:val="21"/>
                      <w:szCs w:val="21"/>
                      <w:highlight w:val="none"/>
                      <w:lang w:val="en-US" w:eastAsia="zh-CN"/>
                    </w:rPr>
                    <w:t>车间采取密闭措施，</w:t>
                  </w:r>
                  <w:r>
                    <w:rPr>
                      <w:rFonts w:hint="default" w:ascii="Times New Roman" w:hAnsi="Times New Roman" w:eastAsia="宋体" w:cs="Times New Roman"/>
                      <w:b w:val="0"/>
                      <w:bCs/>
                      <w:color w:val="auto"/>
                      <w:spacing w:val="0"/>
                      <w:position w:val="0"/>
                      <w:sz w:val="21"/>
                      <w:szCs w:val="21"/>
                      <w:highlight w:val="none"/>
                      <w:lang w:val="en-US" w:eastAsia="zh-CN"/>
                    </w:rPr>
                    <w:t>拟在</w:t>
                  </w:r>
                  <w:r>
                    <w:rPr>
                      <w:rFonts w:hint="eastAsia" w:cs="Times New Roman"/>
                      <w:b w:val="0"/>
                      <w:bCs/>
                      <w:color w:val="auto"/>
                      <w:spacing w:val="0"/>
                      <w:position w:val="0"/>
                      <w:sz w:val="21"/>
                      <w:szCs w:val="21"/>
                      <w:highlight w:val="none"/>
                      <w:lang w:val="en-US" w:eastAsia="zh-CN"/>
                    </w:rPr>
                    <w:t>产气设备上方设置集气罩</w:t>
                  </w:r>
                  <w:r>
                    <w:rPr>
                      <w:rFonts w:hint="default" w:ascii="Times New Roman" w:hAnsi="Times New Roman" w:eastAsia="宋体" w:cs="Times New Roman"/>
                      <w:b w:val="0"/>
                      <w:bCs/>
                      <w:color w:val="auto"/>
                      <w:spacing w:val="0"/>
                      <w:position w:val="0"/>
                      <w:sz w:val="21"/>
                      <w:szCs w:val="21"/>
                      <w:highlight w:val="none"/>
                      <w:lang w:val="en-US" w:eastAsia="zh-CN"/>
                    </w:rPr>
                    <w:t>，并合理设计风机风量，以减少挥发性有机物的逸散，从而实现废气的有效收集，收集效率可达90%</w:t>
                  </w:r>
                  <w:r>
                    <w:rPr>
                      <w:rFonts w:hint="eastAsia" w:ascii="Times New Roman" w:hAnsi="Times New Roman" w:eastAsia="宋体" w:cs="Times New Roman"/>
                      <w:b w:val="0"/>
                      <w:bCs/>
                      <w:color w:val="auto"/>
                      <w:spacing w:val="0"/>
                      <w:position w:val="0"/>
                      <w:sz w:val="21"/>
                      <w:szCs w:val="21"/>
                      <w:highlight w:val="none"/>
                      <w:lang w:val="en-US" w:eastAsia="zh-CN"/>
                    </w:rPr>
                    <w:t>。</w:t>
                  </w:r>
                </w:p>
                <w:p>
                  <w:pPr>
                    <w:adjustRightInd w:val="0"/>
                    <w:snapToGrid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color w:val="auto"/>
                      <w:spacing w:val="0"/>
                      <w:position w:val="0"/>
                      <w:sz w:val="21"/>
                      <w:szCs w:val="21"/>
                      <w:highlight w:val="none"/>
                    </w:rPr>
                    <w:t>本项目采用</w:t>
                  </w:r>
                  <w:r>
                    <w:rPr>
                      <w:rFonts w:hint="eastAsia" w:cs="Times New Roman"/>
                      <w:b w:val="0"/>
                      <w:bCs/>
                      <w:color w:val="auto"/>
                      <w:spacing w:val="0"/>
                      <w:position w:val="0"/>
                      <w:sz w:val="21"/>
                      <w:szCs w:val="21"/>
                      <w:highlight w:val="none"/>
                      <w:lang w:val="en-US" w:eastAsia="zh-CN"/>
                    </w:rPr>
                    <w:t>喷淋除雾+</w:t>
                  </w:r>
                  <w:r>
                    <w:rPr>
                      <w:rFonts w:hint="default" w:ascii="Times New Roman" w:hAnsi="Times New Roman" w:eastAsia="宋体" w:cs="Times New Roman"/>
                      <w:b w:val="0"/>
                      <w:bCs/>
                      <w:color w:val="auto"/>
                      <w:spacing w:val="0"/>
                      <w:position w:val="0"/>
                      <w:sz w:val="21"/>
                      <w:szCs w:val="21"/>
                      <w:highlight w:val="none"/>
                    </w:rPr>
                    <w:t>活性炭吸附工艺，处理效率</w:t>
                  </w:r>
                  <w:r>
                    <w:rPr>
                      <w:rFonts w:hint="eastAsia" w:ascii="Times New Roman" w:hAnsi="Times New Roman" w:eastAsia="宋体" w:cs="Times New Roman"/>
                      <w:b w:val="0"/>
                      <w:bCs/>
                      <w:color w:val="auto"/>
                      <w:spacing w:val="0"/>
                      <w:position w:val="0"/>
                      <w:sz w:val="21"/>
                      <w:szCs w:val="21"/>
                      <w:highlight w:val="none"/>
                      <w:lang w:val="en-US" w:eastAsia="zh-CN"/>
                    </w:rPr>
                    <w:t>可达</w:t>
                  </w:r>
                  <w:r>
                    <w:rPr>
                      <w:rFonts w:hint="default" w:ascii="Times New Roman" w:hAnsi="Times New Roman" w:eastAsia="宋体" w:cs="Times New Roman"/>
                      <w:b w:val="0"/>
                      <w:bCs/>
                      <w:color w:val="auto"/>
                      <w:spacing w:val="0"/>
                      <w:position w:val="0"/>
                      <w:sz w:val="21"/>
                      <w:szCs w:val="21"/>
                      <w:highlight w:val="none"/>
                    </w:rPr>
                    <w:t>80%</w:t>
                  </w:r>
                  <w:r>
                    <w:rPr>
                      <w:rFonts w:hint="default" w:ascii="Times New Roman" w:hAnsi="Times New Roman" w:eastAsia="宋体" w:cs="Times New Roman"/>
                      <w:b w:val="0"/>
                      <w:bCs/>
                      <w:color w:val="auto"/>
                      <w:spacing w:val="0"/>
                      <w:position w:val="0"/>
                      <w:sz w:val="21"/>
                      <w:szCs w:val="21"/>
                      <w:highlight w:val="none"/>
                      <w:lang w:eastAsia="zh-CN"/>
                    </w:rPr>
                    <w:t>，</w:t>
                  </w:r>
                  <w:r>
                    <w:rPr>
                      <w:rFonts w:hint="default" w:ascii="Times New Roman" w:hAnsi="Times New Roman" w:eastAsia="宋体" w:cs="Times New Roman"/>
                      <w:b w:val="0"/>
                      <w:bCs/>
                      <w:color w:val="auto"/>
                      <w:spacing w:val="0"/>
                      <w:position w:val="0"/>
                      <w:sz w:val="21"/>
                      <w:szCs w:val="21"/>
                      <w:highlight w:val="none"/>
                    </w:rPr>
                    <w:t>根据建设单位提供资料，本项目选择符合相关产品质量标准的活性炭，且足额充填、定期更换废气处理设施内饱和的活性炭</w:t>
                  </w:r>
                  <w:r>
                    <w:rPr>
                      <w:rFonts w:hint="default" w:ascii="Times New Roman" w:hAnsi="Times New Roman" w:eastAsia="宋体" w:cs="Times New Roman"/>
                      <w:b w:val="0"/>
                      <w:bCs/>
                      <w:color w:val="auto"/>
                      <w:spacing w:val="0"/>
                      <w:position w:val="0"/>
                      <w:sz w:val="21"/>
                      <w:szCs w:val="21"/>
                      <w:highlight w:val="none"/>
                      <w:lang w:eastAsia="zh-CN"/>
                    </w:rPr>
                    <w:t>，</w:t>
                  </w: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提高VOCs治理效率。</w:t>
                  </w:r>
                </w:p>
              </w:tc>
              <w:tc>
                <w:tcPr>
                  <w:tcW w:w="367"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2</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《福建省   “十四五 ” 空气质量改善规划》（2022年）</w:t>
                  </w:r>
                </w:p>
                <w:p>
                  <w:pPr>
                    <w:adjustRightInd w:val="0"/>
                    <w:snapToGrid w:val="0"/>
                    <w:jc w:val="center"/>
                    <w:rPr>
                      <w:rFonts w:hint="default" w:ascii="Times New Roman" w:hAnsi="Times New Roman" w:eastAsia="宋体" w:cs="Times New Roman"/>
                      <w:bCs/>
                      <w:color w:val="auto"/>
                      <w:sz w:val="21"/>
                      <w:szCs w:val="21"/>
                    </w:rPr>
                  </w:pPr>
                </w:p>
              </w:tc>
              <w:tc>
                <w:tcPr>
                  <w:tcW w:w="2977" w:type="dxa"/>
                  <w:tcBorders>
                    <w:tl2br w:val="nil"/>
                    <w:tr2bl w:val="nil"/>
                  </w:tcBorders>
                  <w:vAlign w:val="center"/>
                </w:tcPr>
                <w:p>
                  <w:pPr>
                    <w:adjustRightInd w:val="0"/>
                    <w:snapToGrid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推广使用水性、高固体分、无溶剂、粉末等低VOCs含量涂料，......木质家具制造、汽车零部件、工程机械使用比例达到50%以上；......严格执行涂料、油墨、胶粘剂、清洗剂VOCs含量限值标准，加大抽检力度， 确保生产、销售、进口、使用符合标准的产品。严格涉VOCs建设项目环境影响评价，VOCs排放实行区域内等量替代，福州、厦门、漳州、泉州、莆田、宁德实施 VOCs倍量替代。</w:t>
                  </w:r>
                </w:p>
              </w:tc>
              <w:tc>
                <w:tcPr>
                  <w:tcW w:w="2390" w:type="dxa"/>
                  <w:tcBorders>
                    <w:tl2br w:val="nil"/>
                    <w:tr2bl w:val="nil"/>
                  </w:tcBorders>
                  <w:vAlign w:val="center"/>
                </w:tcPr>
                <w:p>
                  <w:pPr>
                    <w:pStyle w:val="165"/>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根据《胶粘剂挥发性有机化合物限量》（GB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700g/L</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及附件7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w:t>
                  </w:r>
                  <w:r>
                    <w:rPr>
                      <w:rFonts w:hint="default" w:ascii="Times New Roman" w:hAnsi="Times New Roman" w:eastAsia="宋体" w:cs="Times New Roman"/>
                      <w:bCs/>
                      <w:color w:val="auto"/>
                      <w:sz w:val="21"/>
                      <w:szCs w:val="21"/>
                      <w:lang w:eastAsia="zh-CN"/>
                    </w:rPr>
                    <w:t>，</w:t>
                  </w:r>
                  <w:r>
                    <w:rPr>
                      <w:rFonts w:hint="eastAsia"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项目使用的胶粘剂符合VOCs含量限值标准</w:t>
                  </w:r>
                  <w:r>
                    <w:rPr>
                      <w:rFonts w:hint="eastAsia"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Cs/>
                      <w:color w:val="auto"/>
                      <w:sz w:val="21"/>
                      <w:szCs w:val="21"/>
                      <w:lang w:eastAsia="zh-CN"/>
                    </w:rPr>
                    <w:t>，项目排放的VOCs较小，不属于高VOCs排放项目；项目排放的VOC</w:t>
                  </w:r>
                  <w:r>
                    <w:rPr>
                      <w:rFonts w:hint="default" w:ascii="Times New Roman" w:hAnsi="Times New Roman" w:eastAsia="宋体" w:cs="Times New Roman"/>
                      <w:bCs/>
                      <w:color w:val="auto"/>
                      <w:sz w:val="21"/>
                      <w:szCs w:val="21"/>
                      <w:vertAlign w:val="subscript"/>
                      <w:lang w:eastAsia="zh-CN"/>
                    </w:rPr>
                    <w:t>S</w:t>
                  </w:r>
                  <w:r>
                    <w:rPr>
                      <w:rFonts w:hint="default" w:ascii="Times New Roman" w:hAnsi="Times New Roman" w:eastAsia="宋体" w:cs="Times New Roman"/>
                      <w:bCs/>
                      <w:color w:val="auto"/>
                      <w:sz w:val="21"/>
                      <w:szCs w:val="21"/>
                      <w:lang w:eastAsia="zh-CN"/>
                    </w:rPr>
                    <w:t>拟 实行区域内倍量替代。</w:t>
                  </w:r>
                </w:p>
              </w:tc>
              <w:tc>
                <w:tcPr>
                  <w:tcW w:w="367" w:type="dxa"/>
                  <w:tcBorders>
                    <w:tl2br w:val="nil"/>
                    <w:tr2bl w:val="nil"/>
                  </w:tcBorders>
                  <w:vAlign w:val="center"/>
                </w:tcPr>
                <w:p>
                  <w:pPr>
                    <w:adjustRightInd w:val="0"/>
                    <w:snapToGrid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3</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《福州市“十四五” 生态环境保护规划》（榕政办〔2021〕123号）</w:t>
                  </w:r>
                </w:p>
                <w:p>
                  <w:pPr>
                    <w:adjustRightInd w:val="0"/>
                    <w:snapToGrid w:val="0"/>
                    <w:jc w:val="center"/>
                    <w:rPr>
                      <w:rFonts w:hint="default" w:ascii="Times New Roman" w:hAnsi="Times New Roman" w:eastAsia="宋体" w:cs="Times New Roman"/>
                      <w:bCs/>
                      <w:color w:val="auto"/>
                      <w:sz w:val="21"/>
                      <w:szCs w:val="21"/>
                    </w:rPr>
                  </w:pPr>
                </w:p>
              </w:tc>
              <w:tc>
                <w:tcPr>
                  <w:tcW w:w="2977" w:type="dxa"/>
                  <w:tcBorders>
                    <w:tl2br w:val="nil"/>
                    <w:tr2bl w:val="nil"/>
                  </w:tcBorders>
                  <w:vAlign w:val="center"/>
                </w:tcPr>
                <w:p>
                  <w:pPr>
                    <w:widowControl/>
                    <w:adjustRightInd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强化挥发性有机物整治。......实行挥发性有机物排放倍量替代。加大涉VOCs企业源头替 代力度，推广使用低（无）VOCs原辅材料替代，禁止生产高VOCs含量有机溶剂型涂料、油墨和胶黏剂的新、改、扩建项目，推进重点企业“油改水”治理，提高有机溶剂回收率。</w:t>
                  </w:r>
                </w:p>
              </w:tc>
              <w:tc>
                <w:tcPr>
                  <w:tcW w:w="2390" w:type="dxa"/>
                  <w:tcBorders>
                    <w:tl2br w:val="nil"/>
                    <w:tr2bl w:val="nil"/>
                  </w:tcBorders>
                  <w:vAlign w:val="center"/>
                </w:tcPr>
                <w:p>
                  <w:pPr>
                    <w:pStyle w:val="165"/>
                    <w:jc w:val="both"/>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项目排放的VOC</w:t>
                  </w:r>
                  <w:r>
                    <w:rPr>
                      <w:rFonts w:hint="default" w:ascii="Times New Roman" w:hAnsi="Times New Roman" w:eastAsia="宋体" w:cs="Times New Roman"/>
                      <w:bCs/>
                      <w:color w:val="auto"/>
                      <w:sz w:val="21"/>
                      <w:szCs w:val="21"/>
                      <w:vertAlign w:val="subscript"/>
                      <w:lang w:eastAsia="zh-CN"/>
                    </w:rPr>
                    <w:t>S</w:t>
                  </w:r>
                  <w:r>
                    <w:rPr>
                      <w:rFonts w:hint="default" w:ascii="Times New Roman" w:hAnsi="Times New Roman" w:eastAsia="宋体" w:cs="Times New Roman"/>
                      <w:bCs/>
                      <w:color w:val="auto"/>
                      <w:sz w:val="21"/>
                      <w:szCs w:val="21"/>
                      <w:lang w:eastAsia="zh-CN"/>
                    </w:rPr>
                    <w:t>拟实行区域内倍量替代；</w:t>
                  </w:r>
                  <w:r>
                    <w:rPr>
                      <w:rFonts w:hint="default" w:ascii="Times New Roman" w:hAnsi="Times New Roman" w:eastAsia="宋体" w:cs="Times New Roman"/>
                      <w:bCs/>
                      <w:color w:val="auto"/>
                      <w:sz w:val="21"/>
                      <w:szCs w:val="21"/>
                      <w:lang w:val="en-US" w:eastAsia="zh-CN"/>
                    </w:rPr>
                    <w:t>根据附件7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VOCs含量687g/L，符合</w:t>
                  </w:r>
                  <w:r>
                    <w:rPr>
                      <w:rFonts w:hint="default" w:ascii="Times New Roman" w:hAnsi="Times New Roman" w:eastAsia="宋体" w:cs="Times New Roman"/>
                      <w:bCs/>
                      <w:color w:val="auto"/>
                      <w:sz w:val="21"/>
                      <w:szCs w:val="21"/>
                      <w:lang w:eastAsia="zh-CN"/>
                    </w:rPr>
                    <w:t>《胶粘剂挥发性有机化合物限量》（GB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的</w:t>
                  </w:r>
                  <w:r>
                    <w:rPr>
                      <w:rFonts w:hint="default" w:ascii="Times New Roman" w:hAnsi="Times New Roman" w:eastAsia="宋体" w:cs="Times New Roman"/>
                      <w:bCs/>
                      <w:color w:val="auto"/>
                      <w:sz w:val="21"/>
                      <w:szCs w:val="21"/>
                      <w:lang w:eastAsia="zh-CN"/>
                    </w:rPr>
                    <w:t>VOCs含量限值标准</w:t>
                  </w:r>
                  <w:r>
                    <w:rPr>
                      <w:rFonts w:hint="default" w:ascii="Times New Roman" w:hAnsi="Times New Roman" w:eastAsia="宋体" w:cs="Times New Roman"/>
                      <w:bCs/>
                      <w:color w:val="auto"/>
                      <w:sz w:val="21"/>
                      <w:szCs w:val="21"/>
                      <w:lang w:val="en-US" w:eastAsia="zh-CN"/>
                    </w:rPr>
                    <w:t>为700g/L</w:t>
                  </w:r>
                  <w:r>
                    <w:rPr>
                      <w:rFonts w:hint="default" w:ascii="Times New Roman" w:hAnsi="Times New Roman" w:eastAsia="宋体"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Cs/>
                      <w:color w:val="auto"/>
                      <w:sz w:val="21"/>
                      <w:szCs w:val="21"/>
                      <w:lang w:val="en-US" w:eastAsia="zh-CN"/>
                    </w:rPr>
                    <w:t>且</w:t>
                  </w:r>
                  <w:r>
                    <w:rPr>
                      <w:rFonts w:hint="default" w:ascii="Times New Roman" w:hAnsi="Times New Roman" w:eastAsia="宋体" w:cs="Times New Roman"/>
                      <w:bCs/>
                      <w:color w:val="auto"/>
                      <w:sz w:val="21"/>
                      <w:szCs w:val="21"/>
                      <w:lang w:eastAsia="zh-CN"/>
                    </w:rPr>
                    <w:t>项目不涉及VOCs含量原料的生产，全部外购。</w:t>
                  </w:r>
                </w:p>
              </w:tc>
              <w:tc>
                <w:tcPr>
                  <w:tcW w:w="367" w:type="dxa"/>
                  <w:tcBorders>
                    <w:tl2br w:val="nil"/>
                    <w:tr2bl w:val="nil"/>
                  </w:tcBorders>
                  <w:vAlign w:val="center"/>
                </w:tcPr>
                <w:p>
                  <w:pPr>
                    <w:widowControl/>
                    <w:adjustRightIn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4</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《福建省人民政府关于印发福建省“十四五”节能减排综合工作实施方案的通知》闽政〔2022〕17号</w:t>
                  </w:r>
                </w:p>
              </w:tc>
              <w:tc>
                <w:tcPr>
                  <w:tcW w:w="2977" w:type="dxa"/>
                  <w:tcBorders>
                    <w:tl2br w:val="nil"/>
                    <w:tr2bl w:val="nil"/>
                  </w:tcBorders>
                  <w:vAlign w:val="center"/>
                </w:tcPr>
                <w:p>
                  <w:pPr>
                    <w:widowControl/>
                    <w:adjustRightInd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实施全过程污染物治理，推进原辅材料和产品源头替代工程，以工业涂装、包装印刷等行业为重点，推动使用低（无）挥发性有机物含量的原辅材料，加大源头替代力度。......实行挥发性有机物排放区域内等量替代，福州、厦门、漳州、泉州、莆田、宁德等沿海城市实施倍量替代。</w:t>
                  </w:r>
                </w:p>
              </w:tc>
              <w:tc>
                <w:tcPr>
                  <w:tcW w:w="2390" w:type="dxa"/>
                  <w:tcBorders>
                    <w:tl2br w:val="nil"/>
                    <w:tr2bl w:val="nil"/>
                  </w:tcBorders>
                  <w:vAlign w:val="center"/>
                </w:tcPr>
                <w:p>
                  <w:pPr>
                    <w:pStyle w:val="165"/>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项目排放的VOC</w:t>
                  </w:r>
                  <w:r>
                    <w:rPr>
                      <w:rFonts w:hint="default" w:ascii="Times New Roman" w:hAnsi="Times New Roman" w:eastAsia="宋体" w:cs="Times New Roman"/>
                      <w:bCs/>
                      <w:color w:val="auto"/>
                      <w:sz w:val="21"/>
                      <w:szCs w:val="21"/>
                      <w:vertAlign w:val="subscript"/>
                      <w:lang w:eastAsia="zh-CN"/>
                    </w:rPr>
                    <w:t>S</w:t>
                  </w:r>
                  <w:r>
                    <w:rPr>
                      <w:rFonts w:hint="default" w:ascii="Times New Roman" w:hAnsi="Times New Roman" w:eastAsia="宋体" w:cs="Times New Roman"/>
                      <w:bCs/>
                      <w:color w:val="auto"/>
                      <w:sz w:val="21"/>
                      <w:szCs w:val="21"/>
                      <w:lang w:eastAsia="zh-CN"/>
                    </w:rPr>
                    <w:t>拟实行区域内倍量替代。</w:t>
                  </w:r>
                </w:p>
              </w:tc>
              <w:tc>
                <w:tcPr>
                  <w:tcW w:w="367" w:type="dxa"/>
                  <w:tcBorders>
                    <w:tl2br w:val="nil"/>
                    <w:tr2bl w:val="nil"/>
                  </w:tcBorders>
                  <w:vAlign w:val="center"/>
                </w:tcPr>
                <w:p>
                  <w:pPr>
                    <w:widowControl/>
                    <w:adjustRightIn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5</w:t>
                  </w:r>
                </w:p>
              </w:tc>
              <w:tc>
                <w:tcPr>
                  <w:tcW w:w="1508" w:type="dxa"/>
                  <w:tcBorders>
                    <w:tl2br w:val="nil"/>
                    <w:tr2bl w:val="nil"/>
                  </w:tcBorders>
                  <w:vAlign w:val="center"/>
                </w:tcPr>
                <w:p>
                  <w:pPr>
                    <w:pStyle w:val="104"/>
                    <w:spacing w:line="240" w:lineRule="auto"/>
                    <w:rPr>
                      <w:rFonts w:hint="default" w:ascii="Times New Roman" w:hAnsi="Times New Roman" w:eastAsia="宋体" w:cs="Times New Roman"/>
                      <w:b w:val="0"/>
                      <w:bCs/>
                      <w:iCs w:val="0"/>
                      <w:color w:val="auto"/>
                      <w:kern w:val="2"/>
                      <w:sz w:val="21"/>
                    </w:rPr>
                  </w:pPr>
                  <w:r>
                    <w:rPr>
                      <w:rFonts w:hint="default" w:ascii="Times New Roman" w:hAnsi="Times New Roman" w:eastAsia="宋体" w:cs="Times New Roman"/>
                      <w:b w:val="0"/>
                      <w:bCs/>
                      <w:iCs w:val="0"/>
                      <w:color w:val="auto"/>
                      <w:kern w:val="2"/>
                      <w:sz w:val="21"/>
                    </w:rPr>
                    <w:t>《福州市生态环境保护委员会办公室关于印发2022年度福州市蓝天碧海净土保卫战行动计划通知》（榕环委办[2022]49号）</w:t>
                  </w:r>
                </w:p>
              </w:tc>
              <w:tc>
                <w:tcPr>
                  <w:tcW w:w="2977" w:type="dxa"/>
                  <w:tcBorders>
                    <w:tl2br w:val="nil"/>
                    <w:tr2bl w:val="nil"/>
                  </w:tcBorders>
                  <w:vAlign w:val="center"/>
                </w:tcPr>
                <w:p>
                  <w:pPr>
                    <w:pStyle w:val="114"/>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2390" w:type="dxa"/>
                  <w:tcBorders>
                    <w:tl2br w:val="nil"/>
                    <w:tr2bl w:val="nil"/>
                  </w:tcBorders>
                  <w:vAlign w:val="center"/>
                </w:tcPr>
                <w:p>
                  <w:pPr>
                    <w:pStyle w:val="114"/>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根据《胶粘剂挥发性有机化合物限量》（GB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700g/L</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及附件7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w:t>
                  </w:r>
                  <w:r>
                    <w:rPr>
                      <w:rFonts w:hint="default" w:ascii="Times New Roman" w:hAnsi="Times New Roman" w:eastAsia="宋体" w:cs="Times New Roman"/>
                      <w:bCs/>
                      <w:color w:val="auto"/>
                      <w:sz w:val="21"/>
                      <w:szCs w:val="21"/>
                      <w:lang w:eastAsia="zh-CN"/>
                    </w:rPr>
                    <w:t>，</w:t>
                  </w:r>
                  <w:r>
                    <w:rPr>
                      <w:rFonts w:hint="eastAsia"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项目使用的胶粘剂符合VOCs含量限值标准</w:t>
                  </w:r>
                  <w:r>
                    <w:rPr>
                      <w:rFonts w:hint="eastAsia"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Cs/>
                      <w:color w:val="auto"/>
                      <w:sz w:val="21"/>
                      <w:szCs w:val="21"/>
                    </w:rPr>
                    <w:t>本项目运行后，新增VOCs总量按要求进行倍量替代；项目VOCs年排放量</w:t>
                  </w:r>
                  <w:r>
                    <w:rPr>
                      <w:rFonts w:hint="eastAsia" w:cs="Times New Roman"/>
                      <w:bCs/>
                      <w:color w:val="auto"/>
                      <w:sz w:val="21"/>
                      <w:szCs w:val="21"/>
                      <w:lang w:val="en-US" w:eastAsia="zh-CN"/>
                    </w:rPr>
                    <w:t>为2.213吨，</w:t>
                  </w:r>
                  <w:r>
                    <w:rPr>
                      <w:rFonts w:hint="default" w:ascii="Times New Roman" w:hAnsi="Times New Roman" w:eastAsia="宋体" w:cs="Times New Roman"/>
                      <w:bCs/>
                      <w:color w:val="auto"/>
                      <w:sz w:val="21"/>
                      <w:szCs w:val="21"/>
                    </w:rPr>
                    <w:t>小于5吨，不需安装VOCs在线监控设备。</w:t>
                  </w:r>
                </w:p>
              </w:tc>
              <w:tc>
                <w:tcPr>
                  <w:tcW w:w="367" w:type="dxa"/>
                  <w:tcBorders>
                    <w:tl2br w:val="nil"/>
                    <w:tr2bl w:val="nil"/>
                  </w:tcBorders>
                  <w:vAlign w:val="center"/>
                </w:tcPr>
                <w:p>
                  <w:pPr>
                    <w:pStyle w:val="107"/>
                    <w:adjustRightInd w:val="0"/>
                    <w:snapToGrid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pPr>
              <w:pStyle w:val="12"/>
              <w:ind w:firstLine="480"/>
              <w:rPr>
                <w:rFonts w:hint="default" w:ascii="Times New Roman" w:hAnsi="Times New Roman" w:eastAsia="宋体" w:cs="Times New Roman"/>
                <w:color w:val="auto"/>
                <w:shd w:val="clear" w:color="auto" w:fill="FFFFFF"/>
              </w:rPr>
            </w:pPr>
            <w:r>
              <w:rPr>
                <w:rFonts w:hint="default" w:ascii="Times New Roman" w:hAnsi="Times New Roman" w:eastAsia="宋体" w:cs="Times New Roman"/>
                <w:color w:val="auto"/>
              </w:rPr>
              <w:t>综上，本项目从源头控制VOCs排放，使用低VOCs含量的原辅材料，提高集气罩收集率，</w:t>
            </w:r>
            <w:r>
              <w:rPr>
                <w:rFonts w:hint="default" w:ascii="Times New Roman" w:hAnsi="Times New Roman" w:eastAsia="宋体" w:cs="Times New Roman"/>
                <w:color w:val="auto"/>
                <w:szCs w:val="24"/>
              </w:rPr>
              <w:t>废气</w:t>
            </w:r>
            <w:r>
              <w:rPr>
                <w:rFonts w:hint="default" w:ascii="Times New Roman" w:hAnsi="Times New Roman" w:eastAsia="宋体" w:cs="Times New Roman"/>
                <w:color w:val="auto"/>
              </w:rPr>
              <w:t>收集效率大于</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0%，后经活性炭装置处理，活性炭吸附处理效率大于80%，从而降低VOCs排放，符合</w:t>
            </w:r>
            <w:r>
              <w:rPr>
                <w:rFonts w:hint="default" w:ascii="Times New Roman" w:hAnsi="Times New Roman" w:eastAsia="宋体" w:cs="Times New Roman"/>
                <w:color w:val="auto"/>
                <w:shd w:val="clear" w:color="auto" w:fill="FFFFFF"/>
              </w:rPr>
              <w:t>挥发性有机物污染防治政策要求。</w:t>
            </w:r>
          </w:p>
          <w:p>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5、项目选址合理性分析</w:t>
            </w:r>
          </w:p>
          <w:p>
            <w:pPr>
              <w:pStyle w:val="13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福州元洪投资区建设有限公司5号厂房），项目北侧为</w:t>
            </w:r>
            <w:r>
              <w:rPr>
                <w:rFonts w:hint="default" w:ascii="Times New Roman" w:hAnsi="Times New Roman" w:eastAsia="宋体" w:cs="Times New Roman"/>
                <w:bCs w:val="0"/>
                <w:color w:val="auto"/>
                <w:kern w:val="28"/>
              </w:rPr>
              <w:t>福州新盛达钢构有限公司福清分公司</w:t>
            </w:r>
            <w:r>
              <w:rPr>
                <w:rFonts w:hint="default" w:ascii="Times New Roman" w:hAnsi="Times New Roman" w:eastAsia="宋体" w:cs="Times New Roman"/>
                <w:color w:val="auto"/>
              </w:rPr>
              <w:t>，西侧为福州宇仕机动车附件</w:t>
            </w:r>
            <w:r>
              <w:rPr>
                <w:rFonts w:hint="default" w:ascii="Times New Roman" w:hAnsi="Times New Roman" w:eastAsia="宋体" w:cs="Times New Roman"/>
                <w:bCs w:val="0"/>
                <w:color w:val="auto"/>
              </w:rPr>
              <w:t>有限公司，</w:t>
            </w:r>
            <w:r>
              <w:rPr>
                <w:rFonts w:hint="default" w:ascii="Times New Roman" w:hAnsi="Times New Roman" w:eastAsia="宋体" w:cs="Times New Roman"/>
                <w:color w:val="auto"/>
              </w:rPr>
              <w:t>南侧为福州德恩机动车配件有限公司，东侧为福建展鹏新材料科技有限公司。</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福州元洪投资区建设有限公司持有该地块的土地证（融城用(2013)第B1496号，详见附件5），地类（用途）为工业。因此，本项目符合土地利用总体规划，与周边环境相容性较好。因此，本项目选址合理。</w:t>
            </w:r>
          </w:p>
          <w:p>
            <w:pPr>
              <w:pStyle w:val="10"/>
              <w:ind w:firstLine="0" w:firstLineChars="0"/>
              <w:rPr>
                <w:rFonts w:hint="default" w:ascii="Times New Roman" w:hAnsi="Times New Roman" w:eastAsia="宋体" w:cs="Times New Roman"/>
                <w:color w:val="auto"/>
              </w:rPr>
            </w:pPr>
          </w:p>
        </w:tc>
      </w:tr>
    </w:tbl>
    <w:p>
      <w:pPr>
        <w:spacing w:line="360" w:lineRule="auto"/>
        <w:rPr>
          <w:rFonts w:hint="default" w:ascii="Times New Roman" w:hAnsi="Times New Roman" w:eastAsia="宋体" w:cs="Times New Roman"/>
          <w:color w:val="auto"/>
          <w:sz w:val="30"/>
        </w:rPr>
        <w:sectPr>
          <w:footerReference r:id="rId5" w:type="default"/>
          <w:pgSz w:w="11906" w:h="16838"/>
          <w:pgMar w:top="1417" w:right="1417" w:bottom="1417" w:left="1417" w:header="992" w:footer="992"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5" w:name="_Toc27663"/>
      <w:bookmarkStart w:id="6" w:name="_Toc32681"/>
      <w:r>
        <w:rPr>
          <w:rFonts w:hint="default" w:ascii="Times New Roman" w:hAnsi="Times New Roman" w:eastAsia="宋体" w:cs="Times New Roman"/>
          <w:b/>
          <w:bCs/>
          <w:snapToGrid w:val="0"/>
          <w:color w:val="auto"/>
          <w:sz w:val="32"/>
          <w:szCs w:val="32"/>
        </w:rPr>
        <w:t>二、建设项目工程分析</w:t>
      </w:r>
      <w:bookmarkEnd w:id="5"/>
      <w:bookmarkEnd w:id="6"/>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44" w:type="dxa"/>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4"/>
              </w:rPr>
              <w:t>建设内容</w:t>
            </w:r>
          </w:p>
        </w:tc>
        <w:tc>
          <w:tcPr>
            <w:tcW w:w="8845" w:type="dxa"/>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2.1 建设内容</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2.1.1 项目由来</w:t>
            </w:r>
          </w:p>
          <w:p>
            <w:pPr>
              <w:pStyle w:val="10"/>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福清市安耐达密封材料有限公司主要从事金属涂胶板、密封板材、橡胶制品、制造及销售，</w:t>
            </w:r>
            <w:r>
              <w:rPr>
                <w:rFonts w:hint="eastAsia" w:cs="Times New Roman"/>
                <w:color w:val="auto"/>
                <w:lang w:val="en-US" w:eastAsia="zh-CN"/>
              </w:rPr>
              <w:t>2017年委托编制了《</w:t>
            </w:r>
            <w:r>
              <w:rPr>
                <w:rFonts w:hint="default" w:ascii="Times New Roman" w:hAnsi="Times New Roman" w:eastAsia="宋体" w:cs="Times New Roman"/>
                <w:color w:val="auto"/>
              </w:rPr>
              <w:t>福清市安耐达密封材料有限公司</w:t>
            </w:r>
            <w:r>
              <w:rPr>
                <w:rFonts w:hint="eastAsia" w:cs="Times New Roman"/>
                <w:color w:val="auto"/>
                <w:lang w:val="en-US" w:eastAsia="zh-CN"/>
              </w:rPr>
              <w:t>年产50万m</w:t>
            </w:r>
            <w:r>
              <w:rPr>
                <w:rFonts w:hint="eastAsia" w:cs="Times New Roman"/>
                <w:color w:val="auto"/>
                <w:vertAlign w:val="superscript"/>
                <w:lang w:val="en-US" w:eastAsia="zh-CN"/>
              </w:rPr>
              <w:t>2</w:t>
            </w:r>
            <w:r>
              <w:rPr>
                <w:rFonts w:hint="eastAsia" w:cs="Times New Roman"/>
                <w:color w:val="auto"/>
                <w:lang w:val="en-US" w:eastAsia="zh-CN"/>
              </w:rPr>
              <w:t>金属橡胶复合板材料项目环境影响报告书》，并取得福州市生态环境局批复（</w:t>
            </w:r>
            <w:r>
              <w:rPr>
                <w:rFonts w:ascii="Times New Roman" w:hAnsi="Times New Roman" w:cs="Times New Roman"/>
                <w:bCs/>
                <w:color w:val="auto"/>
              </w:rPr>
              <w:t>融环评（2017）9号</w:t>
            </w:r>
            <w:r>
              <w:rPr>
                <w:rFonts w:hint="eastAsia" w:cs="Times New Roman"/>
                <w:color w:val="auto"/>
                <w:lang w:val="en-US" w:eastAsia="zh-CN"/>
              </w:rPr>
              <w:t>），该项目位于</w:t>
            </w:r>
            <w:r>
              <w:rPr>
                <w:rFonts w:ascii="Times New Roman" w:hAnsi="Times New Roman" w:cs="Times New Roman"/>
                <w:color w:val="auto"/>
              </w:rPr>
              <w:t>福清市海口镇牛宅村福清联杰汽摩配件有限公司车间二</w:t>
            </w:r>
            <w:r>
              <w:rPr>
                <w:rFonts w:hint="eastAsia" w:ascii="Times New Roman" w:hAnsi="Times New Roman" w:cs="Times New Roman"/>
                <w:color w:val="auto"/>
                <w:lang w:eastAsia="zh-CN"/>
              </w:rPr>
              <w:t>。</w:t>
            </w:r>
            <w:r>
              <w:rPr>
                <w:rFonts w:hint="eastAsia" w:cs="Times New Roman"/>
                <w:color w:val="auto"/>
                <w:lang w:val="en-US" w:eastAsia="zh-CN"/>
              </w:rPr>
              <w:t>2018年开工建设，同年7月进行调试，并于2018年10月竣工，在2018年9月28日申领了排污许可证，与2018年12月18日开展并通过自主验收，</w:t>
            </w:r>
            <w:r>
              <w:rPr>
                <w:rFonts w:hint="default" w:ascii="Times New Roman" w:hAnsi="Times New Roman" w:eastAsia="宋体" w:cs="Times New Roman"/>
                <w:color w:val="auto"/>
              </w:rPr>
              <w:t>年产50万m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金属橡胶复合板材料项目</w:t>
            </w:r>
            <w:r>
              <w:rPr>
                <w:rFonts w:hint="eastAsia" w:cs="Times New Roman"/>
                <w:color w:val="auto"/>
                <w:lang w:val="en-US" w:eastAsia="zh-CN"/>
              </w:rPr>
              <w:t>。</w:t>
            </w:r>
          </w:p>
          <w:p>
            <w:pPr>
              <w:pStyle w:val="10"/>
              <w:ind w:firstLine="480"/>
              <w:jc w:val="left"/>
              <w:rPr>
                <w:rFonts w:hint="eastAsia" w:ascii="Times New Roman" w:hAnsi="Times New Roman" w:eastAsia="宋体" w:cs="Times New Roman"/>
                <w:color w:val="auto"/>
                <w:szCs w:val="22"/>
                <w:lang w:eastAsia="zh-CN"/>
              </w:rPr>
            </w:pPr>
            <w:r>
              <w:rPr>
                <w:rFonts w:hint="eastAsia" w:cs="Times New Roman"/>
                <w:color w:val="auto"/>
                <w:lang w:val="en-US" w:eastAsia="zh-CN"/>
              </w:rPr>
              <w:t>根据市场需求，</w:t>
            </w:r>
            <w:r>
              <w:rPr>
                <w:rFonts w:hint="default" w:ascii="Times New Roman" w:hAnsi="Times New Roman" w:eastAsia="宋体" w:cs="Times New Roman"/>
                <w:color w:val="auto"/>
              </w:rPr>
              <w:t>福清市安耐达密封材料有限公司</w:t>
            </w:r>
            <w:r>
              <w:rPr>
                <w:rFonts w:hint="eastAsia" w:cs="Times New Roman"/>
                <w:color w:val="auto"/>
                <w:lang w:val="en-US" w:eastAsia="zh-CN"/>
              </w:rPr>
              <w:t>拟开展异地扩建项目（位于现有工程东北侧580m处），</w:t>
            </w:r>
            <w:r>
              <w:rPr>
                <w:rFonts w:hint="default" w:ascii="Times New Roman" w:hAnsi="Times New Roman" w:eastAsia="宋体" w:cs="Times New Roman"/>
                <w:color w:val="auto"/>
                <w:szCs w:val="22"/>
              </w:rPr>
              <w:t>从事汽车零部件及配件制造</w:t>
            </w:r>
            <w:r>
              <w:rPr>
                <w:rFonts w:hint="eastAsia" w:cs="Times New Roman"/>
                <w:color w:val="auto"/>
                <w:szCs w:val="22"/>
                <w:lang w:eastAsia="zh-CN"/>
              </w:rPr>
              <w:t>。</w:t>
            </w:r>
            <w:r>
              <w:rPr>
                <w:rFonts w:hint="eastAsia" w:cs="Times New Roman"/>
                <w:color w:val="auto"/>
                <w:lang w:val="en-US" w:eastAsia="zh-CN"/>
              </w:rPr>
              <w:t>2024年1月，</w:t>
            </w:r>
            <w:r>
              <w:rPr>
                <w:rFonts w:hint="default" w:ascii="Times New Roman" w:hAnsi="Times New Roman" w:eastAsia="宋体" w:cs="Times New Roman"/>
                <w:color w:val="auto"/>
              </w:rPr>
              <w:t>福清市安耐达密封材料有限公司租赁福州元洪投资区建设有限公司位于福建省福州市福清市元洪投资区城头镇黄墩村</w:t>
            </w:r>
            <w:r>
              <w:rPr>
                <w:rFonts w:hint="eastAsia" w:cs="Times New Roman"/>
                <w:color w:val="auto"/>
                <w:lang w:val="en-US" w:eastAsia="zh-CN"/>
              </w:rPr>
              <w:t>的</w:t>
            </w: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号</w:t>
            </w:r>
            <w:r>
              <w:rPr>
                <w:rFonts w:hint="default" w:ascii="Times New Roman" w:hAnsi="Times New Roman" w:eastAsia="宋体" w:cs="Times New Roman"/>
                <w:color w:val="auto"/>
              </w:rPr>
              <w:t>厂房，厂房建筑面积3801.4m</w:t>
            </w:r>
            <w:r>
              <w:rPr>
                <w:rFonts w:hint="default" w:ascii="Times New Roman" w:hAnsi="Times New Roman" w:eastAsia="宋体" w:cs="Times New Roman"/>
                <w:color w:val="auto"/>
                <w:vertAlign w:val="superscript"/>
              </w:rPr>
              <w:t>2</w:t>
            </w:r>
            <w:r>
              <w:rPr>
                <w:rFonts w:hint="eastAsia" w:cs="Times New Roman"/>
                <w:color w:val="auto"/>
                <w:vertAlign w:val="baseline"/>
                <w:lang w:eastAsia="zh-CN"/>
              </w:rPr>
              <w:t>，</w:t>
            </w:r>
            <w:r>
              <w:rPr>
                <w:rFonts w:hint="eastAsia" w:cs="Times New Roman"/>
                <w:color w:val="auto"/>
                <w:vertAlign w:val="baseline"/>
                <w:lang w:val="en-US" w:eastAsia="zh-CN"/>
              </w:rPr>
              <w:t>拟建设汽车密封缸垫及消音片生产线，生产规模为年加工汽车密封缸垫及消音片3200万件</w:t>
            </w:r>
            <w:r>
              <w:rPr>
                <w:rFonts w:hint="default" w:ascii="Times New Roman" w:hAnsi="Times New Roman" w:eastAsia="宋体" w:cs="Times New Roman"/>
                <w:color w:val="auto"/>
              </w:rPr>
              <w:t>。</w:t>
            </w:r>
            <w:r>
              <w:rPr>
                <w:rFonts w:hint="eastAsia" w:cs="Times New Roman"/>
                <w:color w:val="auto"/>
                <w:lang w:val="en-US" w:eastAsia="zh-CN"/>
              </w:rPr>
              <w:t>该项目已</w:t>
            </w:r>
            <w:r>
              <w:rPr>
                <w:rFonts w:hint="default" w:ascii="Times New Roman" w:hAnsi="Times New Roman" w:eastAsia="宋体" w:cs="Times New Roman"/>
                <w:color w:val="auto"/>
              </w:rPr>
              <w:t>通过了福清市工业和信息化局的备案（</w:t>
            </w:r>
            <w:r>
              <w:rPr>
                <w:rFonts w:hint="eastAsia" w:cs="Times New Roman"/>
                <w:color w:val="auto"/>
                <w:shd w:val="clear" w:color="auto" w:fill="auto"/>
                <w:lang w:eastAsia="zh-CN"/>
              </w:rPr>
              <w:t>闽工信备[2024]A060090号</w:t>
            </w:r>
            <w:r>
              <w:rPr>
                <w:rFonts w:hint="eastAsia" w:cs="Times New Roman"/>
                <w:color w:val="auto"/>
                <w:lang w:eastAsia="zh-CN"/>
              </w:rPr>
              <w:t>）。</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eastAsia" w:cs="Times New Roman"/>
                <w:color w:val="auto"/>
                <w:lang w:val="en-US" w:eastAsia="zh-CN"/>
              </w:rPr>
              <w:t>生产</w:t>
            </w:r>
            <w:r>
              <w:rPr>
                <w:rFonts w:hint="eastAsia" w:cs="Times New Roman"/>
                <w:color w:val="auto"/>
                <w:vertAlign w:val="baseline"/>
                <w:lang w:val="en-US" w:eastAsia="zh-CN"/>
              </w:rPr>
              <w:t>汽车密封缸垫及消音片，产品</w:t>
            </w:r>
            <w:r>
              <w:rPr>
                <w:rFonts w:hint="default" w:ascii="Times New Roman" w:hAnsi="Times New Roman" w:eastAsia="宋体" w:cs="Times New Roman"/>
                <w:color w:val="auto"/>
              </w:rPr>
              <w:t>用</w:t>
            </w:r>
            <w:r>
              <w:rPr>
                <w:rFonts w:hint="eastAsia" w:cs="Times New Roman"/>
                <w:color w:val="auto"/>
                <w:lang w:val="en-US" w:eastAsia="zh-CN"/>
              </w:rPr>
              <w:t>于</w:t>
            </w:r>
            <w:r>
              <w:rPr>
                <w:rFonts w:hint="default" w:ascii="Times New Roman" w:hAnsi="Times New Roman" w:eastAsia="宋体" w:cs="Times New Roman"/>
                <w:color w:val="auto"/>
              </w:rPr>
              <w:t>汽车，根据国家统计局的释义</w:t>
            </w:r>
            <w:r>
              <w:rPr>
                <w:rFonts w:hint="eastAsia" w:cs="Times New Roman"/>
                <w:color w:val="auto"/>
                <w:lang w:eastAsia="zh-CN"/>
              </w:rPr>
              <w:t>（</w:t>
            </w:r>
            <w:r>
              <w:rPr>
                <w:rFonts w:hint="eastAsia" w:cs="Times New Roman"/>
                <w:color w:val="auto"/>
                <w:vertAlign w:val="baseline"/>
                <w:lang w:val="en-US" w:eastAsia="zh-CN"/>
              </w:rPr>
              <w:t>见附图6国家统计局咨询回复截图</w:t>
            </w:r>
            <w:r>
              <w:rPr>
                <w:rFonts w:hint="eastAsia" w:cs="Times New Roman"/>
                <w:color w:val="auto"/>
                <w:lang w:eastAsia="zh-CN"/>
              </w:rPr>
              <w:t>）</w:t>
            </w:r>
            <w:r>
              <w:rPr>
                <w:rFonts w:hint="default" w:ascii="Times New Roman" w:hAnsi="Times New Roman" w:eastAsia="宋体" w:cs="Times New Roman"/>
                <w:color w:val="auto"/>
              </w:rPr>
              <w:t>，可根据产品用途确定行业类别，</w:t>
            </w:r>
            <w:r>
              <w:rPr>
                <w:rFonts w:hint="eastAsia" w:cs="Times New Roman"/>
                <w:color w:val="auto"/>
                <w:lang w:val="en-US" w:eastAsia="zh-CN"/>
              </w:rPr>
              <w:t>因此本项目根据产品用途归类于C3670汽车零部件及配件制造。</w:t>
            </w:r>
            <w:r>
              <w:rPr>
                <w:rFonts w:hint="default" w:ascii="Times New Roman" w:hAnsi="Times New Roman" w:eastAsia="宋体" w:cs="Times New Roman"/>
                <w:color w:val="auto"/>
              </w:rPr>
              <w:t>根据《建设项目环境影响评价分类管理名录》（2021年版），本项目属于“三十三、汽车制造业36；汽车零部件及配件制造367-其它（年用非溶剂型低VOCs含量涂料10吨以下的除外）”按规定属于需编制报告表的类别。</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2.1.2 项目基本情况</w:t>
            </w:r>
          </w:p>
          <w:p>
            <w:pPr>
              <w:pStyle w:val="10"/>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项目名称：</w:t>
            </w:r>
            <w:r>
              <w:rPr>
                <w:rFonts w:hint="eastAsia" w:cs="Times New Roman"/>
                <w:color w:val="auto"/>
                <w:lang w:eastAsia="zh-CN"/>
              </w:rPr>
              <w:t>福清市安耐达密封材料有限公司年加工汽车零配件3200万件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建设单位：福清市安耐达密封材料有限公司</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建设地点：福建省福州市福清市元洪投资区城头镇黄墩村（</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项目性质：</w:t>
            </w:r>
            <w:r>
              <w:rPr>
                <w:rFonts w:hint="eastAsia" w:cs="Times New Roman"/>
                <w:color w:val="auto"/>
                <w:lang w:val="en-US" w:eastAsia="zh-CN"/>
              </w:rPr>
              <w:t>扩</w:t>
            </w:r>
            <w:r>
              <w:rPr>
                <w:rFonts w:hint="default" w:ascii="Times New Roman" w:hAnsi="Times New Roman" w:eastAsia="宋体" w:cs="Times New Roman"/>
                <w:color w:val="auto"/>
              </w:rPr>
              <w:t>建</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总 投 资：239.7万元，其中环保投资50万元</w:t>
            </w:r>
          </w:p>
          <w:p>
            <w:pPr>
              <w:pStyle w:val="10"/>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生产规模：</w:t>
            </w:r>
            <w:r>
              <w:rPr>
                <w:rFonts w:hint="eastAsia" w:cs="Times New Roman"/>
                <w:color w:val="auto"/>
                <w:lang w:eastAsia="zh-CN"/>
              </w:rPr>
              <w:t>年加工汽车密封缸垫及消音片3200万件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劳动定员：劳动定员8人，职工均不住厂</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工作制度：年工作日300天，日生产24h，两班制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施工期：6个月</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2.1.3 项目建设内容及组成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本项目组成及主要建设内容见表2.1-1。</w:t>
            </w:r>
          </w:p>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表2.1-1 项目组成与工程建设内容</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15"/>
              <w:gridCol w:w="831"/>
              <w:gridCol w:w="821"/>
              <w:gridCol w:w="645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167" w:type="dxa"/>
                  <w:gridSpan w:val="3"/>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主要项目名称</w:t>
                  </w:r>
                </w:p>
              </w:tc>
              <w:tc>
                <w:tcPr>
                  <w:tcW w:w="6450"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主要内容及建设规模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restar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5号厂房</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建筑面积3801.4m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；车间内设置为生产区、原料区、成品区。生产区设置</w:t>
                  </w:r>
                  <w:r>
                    <w:rPr>
                      <w:rFonts w:hint="eastAsia" w:cs="Times New Roman"/>
                      <w:color w:val="auto"/>
                      <w:sz w:val="21"/>
                      <w:szCs w:val="21"/>
                      <w:lang w:eastAsia="zh-CN"/>
                    </w:rPr>
                    <w:t>汽车密封缸垫及消音片</w:t>
                  </w:r>
                  <w:r>
                    <w:rPr>
                      <w:rFonts w:hint="default" w:ascii="Times New Roman" w:hAnsi="Times New Roman" w:eastAsia="宋体" w:cs="Times New Roman"/>
                      <w:color w:val="auto"/>
                      <w:sz w:val="21"/>
                      <w:szCs w:val="21"/>
                    </w:rPr>
                    <w:t>生产线，生产规模为</w:t>
                  </w:r>
                  <w:r>
                    <w:rPr>
                      <w:rFonts w:hint="eastAsia" w:cs="Times New Roman"/>
                      <w:color w:val="auto"/>
                      <w:sz w:val="21"/>
                      <w:szCs w:val="21"/>
                      <w:lang w:eastAsia="zh-CN"/>
                    </w:rPr>
                    <w:t>年加工汽车密封缸垫及消音片3200万件</w:t>
                  </w:r>
                  <w:r>
                    <w:rPr>
                      <w:rFonts w:hint="default" w:ascii="Times New Roman" w:hAnsi="Times New Roman" w:eastAsia="宋体" w:cs="Times New Roman"/>
                      <w:color w:val="auto"/>
                      <w:sz w:val="21"/>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供电</w:t>
                  </w:r>
                </w:p>
              </w:tc>
              <w:tc>
                <w:tcPr>
                  <w:tcW w:w="6450" w:type="dxa"/>
                  <w:tcBorders>
                    <w:tl2br w:val="nil"/>
                    <w:tr2bl w:val="nil"/>
                  </w:tcBorders>
                  <w:vAlign w:val="center"/>
                </w:tcPr>
                <w:p>
                  <w:pPr>
                    <w:pStyle w:val="112"/>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由市政电力系统提供。</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给水</w:t>
                  </w:r>
                </w:p>
              </w:tc>
              <w:tc>
                <w:tcPr>
                  <w:tcW w:w="6450" w:type="dxa"/>
                  <w:tcBorders>
                    <w:tl2br w:val="nil"/>
                    <w:tr2bl w:val="nil"/>
                  </w:tcBorders>
                  <w:vAlign w:val="center"/>
                </w:tcPr>
                <w:p>
                  <w:pPr>
                    <w:pStyle w:val="112"/>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由市政供水系统提供。</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2"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排水</w:t>
                  </w:r>
                </w:p>
              </w:tc>
              <w:tc>
                <w:tcPr>
                  <w:tcW w:w="6450" w:type="dxa"/>
                  <w:tcBorders>
                    <w:tl2br w:val="nil"/>
                    <w:tr2bl w:val="nil"/>
                  </w:tcBorders>
                  <w:vAlign w:val="center"/>
                </w:tcPr>
                <w:p>
                  <w:pPr>
                    <w:pStyle w:val="112"/>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厂区实行“雨污分流”，生活污水经化粪池处理后通过污水接管纳入元洪投资区污水处理厂；雨水经厂区</w:t>
                  </w:r>
                  <w:r>
                    <w:rPr>
                      <w:rFonts w:hint="default" w:ascii="Times New Roman" w:hAnsi="Times New Roman" w:eastAsia="宋体" w:cs="Times New Roman"/>
                      <w:color w:val="auto"/>
                    </w:rPr>
                    <w:t>雨</w:t>
                  </w:r>
                  <w:r>
                    <w:rPr>
                      <w:rFonts w:hint="default" w:ascii="Times New Roman" w:hAnsi="Times New Roman" w:eastAsia="宋体" w:cs="Times New Roman"/>
                      <w:color w:val="auto"/>
                      <w:sz w:val="21"/>
                    </w:rPr>
                    <w:t>水管网收集后接入市政雨水管网。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restar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废水工程</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生产废水经厂内污水处理设施</w:t>
                  </w:r>
                  <w:r>
                    <w:rPr>
                      <w:rFonts w:hint="default" w:ascii="Times New Roman" w:hAnsi="Times New Roman" w:eastAsia="宋体" w:cs="Times New Roman"/>
                      <w:color w:val="auto"/>
                      <w:sz w:val="21"/>
                      <w:szCs w:val="21"/>
                      <w:lang w:val="en-US" w:eastAsia="zh-CN"/>
                    </w:rPr>
                    <w:t>预</w:t>
                  </w:r>
                  <w:r>
                    <w:rPr>
                      <w:rFonts w:hint="default" w:ascii="Times New Roman" w:hAnsi="Times New Roman" w:eastAsia="宋体" w:cs="Times New Roman"/>
                      <w:color w:val="auto"/>
                      <w:sz w:val="21"/>
                      <w:szCs w:val="21"/>
                    </w:rPr>
                    <w:t>处理后接入污水管网纳入元洪投资区污水处理厂处理</w:t>
                  </w:r>
                  <w:r>
                    <w:rPr>
                      <w:rFonts w:hint="default" w:ascii="Times New Roman" w:hAnsi="Times New Roman" w:eastAsia="宋体" w:cs="Times New Roman"/>
                      <w:color w:val="auto"/>
                      <w:sz w:val="21"/>
                      <w:szCs w:val="21"/>
                      <w:lang w:val="en-US" w:eastAsia="zh-CN"/>
                    </w:rPr>
                    <w:t>后排放</w:t>
                  </w:r>
                  <w:r>
                    <w:rPr>
                      <w:rFonts w:hint="default" w:ascii="Times New Roman" w:hAnsi="Times New Roman" w:eastAsia="宋体" w:cs="Times New Roman"/>
                      <w:color w:val="auto"/>
                      <w:sz w:val="21"/>
                      <w:szCs w:val="21"/>
                    </w:rPr>
                    <w:t>；生活污水通过厂区化粪池处理后接入污水管网纳入元洪投资区污水处理厂统一处理。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废气工程</w:t>
                  </w:r>
                </w:p>
              </w:tc>
              <w:tc>
                <w:tcPr>
                  <w:tcW w:w="6450" w:type="dxa"/>
                  <w:tcBorders>
                    <w:tl2br w:val="nil"/>
                    <w:tr2bl w:val="nil"/>
                  </w:tcBorders>
                  <w:vAlign w:val="center"/>
                </w:tcPr>
                <w:p>
                  <w:pPr>
                    <w:pStyle w:val="165"/>
                    <w:spacing w:before="33" w:line="227" w:lineRule="auto"/>
                    <w:ind w:left="63"/>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橡胶软化、</w:t>
                  </w:r>
                  <w:r>
                    <w:rPr>
                      <w:rFonts w:hint="eastAsia" w:ascii="Times New Roman" w:hAnsi="Times New Roman" w:cs="Times New Roman"/>
                      <w:color w:val="auto"/>
                      <w:kern w:val="0"/>
                      <w:sz w:val="21"/>
                      <w:szCs w:val="21"/>
                      <w:lang w:val="en-US" w:eastAsia="zh-CN" w:bidi="ar"/>
                    </w:rPr>
                    <w:t>研磨、</w:t>
                  </w:r>
                  <w:r>
                    <w:rPr>
                      <w:rFonts w:hint="default" w:ascii="Times New Roman" w:hAnsi="Times New Roman" w:eastAsia="宋体" w:cs="Times New Roman"/>
                      <w:color w:val="auto"/>
                      <w:kern w:val="0"/>
                      <w:sz w:val="21"/>
                      <w:szCs w:val="21"/>
                      <w:lang w:val="en-US" w:eastAsia="zh-CN" w:bidi="ar"/>
                    </w:rPr>
                    <w:t>涂覆及烘干</w:t>
                  </w:r>
                  <w:r>
                    <w:rPr>
                      <w:rFonts w:hint="default" w:ascii="Times New Roman" w:hAnsi="Times New Roman" w:eastAsia="宋体" w:cs="Times New Roman"/>
                      <w:color w:val="auto"/>
                      <w:kern w:val="0"/>
                      <w:sz w:val="21"/>
                      <w:szCs w:val="21"/>
                      <w:lang w:eastAsia="zh-CN" w:bidi="ar"/>
                    </w:rPr>
                    <w:t>废气</w:t>
                  </w:r>
                  <w:r>
                    <w:rPr>
                      <w:rFonts w:hint="default" w:ascii="Times New Roman" w:hAnsi="Times New Roman" w:eastAsia="宋体" w:cs="Times New Roman"/>
                      <w:color w:val="auto"/>
                      <w:sz w:val="21"/>
                      <w:szCs w:val="21"/>
                      <w:lang w:eastAsia="zh-CN"/>
                    </w:rPr>
                    <w:t>收集后经活性炭吸附，通过1根15m高排气筒（DA001）排放，</w:t>
                  </w: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lang w:eastAsia="zh-CN"/>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lang w:eastAsia="zh-CN"/>
                    </w:rPr>
                    <w:t>废气收集后经喷淋除雾+活性炭吸附，通过1根15m高排气筒（DA002）排放。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噪声工程</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采取基础减振、厂房隔声等降噪措施。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31" w:type="dxa"/>
                  <w:vMerge w:val="restar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固废工程</w:t>
                  </w:r>
                </w:p>
              </w:tc>
              <w:tc>
                <w:tcPr>
                  <w:tcW w:w="821"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w:t>
                  </w:r>
                </w:p>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废胶粘剂、有毒有害废包装桶、槽渣、废防锈槽液、隔油池浮油、污泥、废活性炭等暂存于危险废物贮存库，收集后委托有资质的单位处理，危险废物贮存库（10m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）位于厂区东北部，具体见附图3。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31"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21"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w:t>
                  </w:r>
                </w:p>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废包装袋、废边角料收集后存放一般固废间（10m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）回用生产或外售，一般固废间位于厂区东北部，具体见附图3。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31"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21"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垃圾</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生活垃圾收集后交由环卫部门统一清运，设置厂区生活垃圾投放点。</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2.1.4 主要产品及产能</w:t>
            </w:r>
          </w:p>
          <w:p>
            <w:pPr>
              <w:pStyle w:val="1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 xml:space="preserve">本项目产品方案见表2.1-2。 </w:t>
            </w:r>
            <w:r>
              <w:rPr>
                <w:rFonts w:hint="default" w:ascii="Times New Roman" w:hAnsi="Times New Roman" w:eastAsia="宋体" w:cs="Times New Roman"/>
                <w:color w:val="auto"/>
                <w:lang w:val="en-US" w:eastAsia="zh-CN"/>
              </w:rPr>
              <w:t xml:space="preserve"> </w:t>
            </w:r>
          </w:p>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表2.1-2 项目产品方案</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437"/>
              <w:gridCol w:w="3024"/>
              <w:gridCol w:w="1561"/>
              <w:gridCol w:w="178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9"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834"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产品名称</w:t>
                  </w:r>
                </w:p>
              </w:tc>
              <w:tc>
                <w:tcPr>
                  <w:tcW w:w="1755"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规格</w:t>
                  </w:r>
                </w:p>
              </w:tc>
              <w:tc>
                <w:tcPr>
                  <w:tcW w:w="906"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生产规模</w:t>
                  </w:r>
                </w:p>
              </w:tc>
              <w:tc>
                <w:tcPr>
                  <w:tcW w:w="1034"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储存位置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34" w:type="pct"/>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汽车密封缸垫及消音片</w:t>
                  </w:r>
                </w:p>
              </w:tc>
              <w:tc>
                <w:tcPr>
                  <w:tcW w:w="17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12*12cm/件，</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金属板厚度0.25mm，</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橡胶层厚度（双层）：0.14mm</w:t>
                  </w:r>
                </w:p>
              </w:tc>
              <w:tc>
                <w:tcPr>
                  <w:tcW w:w="90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3200万件</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（约46</w:t>
                  </w:r>
                  <w:r>
                    <w:rPr>
                      <w:rFonts w:hint="default" w:ascii="Times New Roman" w:hAnsi="Times New Roman" w:eastAsia="宋体" w:cs="Times New Roman"/>
                      <w:color w:val="auto"/>
                      <w:sz w:val="21"/>
                      <w:szCs w:val="21"/>
                      <w:lang w:val="en-US" w:eastAsia="zh-CN"/>
                    </w:rPr>
                    <w:t>.08</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034" w:type="pc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汽车密封缸垫及消音片</w:t>
                  </w:r>
                  <w:r>
                    <w:rPr>
                      <w:rFonts w:hint="default" w:ascii="Times New Roman" w:hAnsi="Times New Roman" w:eastAsia="宋体" w:cs="Times New Roman"/>
                      <w:color w:val="auto"/>
                      <w:sz w:val="21"/>
                      <w:szCs w:val="21"/>
                      <w:lang w:val="en-US" w:eastAsia="zh-CN"/>
                    </w:rPr>
                    <w:t>主要用于：压缩机、油底壳、气门室盖等位置。</w:t>
                  </w:r>
                  <w:r>
                    <w:rPr>
                      <w:rFonts w:hint="eastAsia" w:cs="Times New Roman"/>
                      <w:color w:val="auto"/>
                      <w:sz w:val="21"/>
                      <w:szCs w:val="21"/>
                      <w:lang w:eastAsia="zh-CN"/>
                    </w:rPr>
                    <w:t>汽车密封缸垫及消音片</w:t>
                  </w:r>
                  <w:r>
                    <w:rPr>
                      <w:rFonts w:hint="default" w:ascii="Times New Roman" w:hAnsi="Times New Roman" w:eastAsia="宋体" w:cs="Times New Roman"/>
                      <w:color w:val="auto"/>
                      <w:sz w:val="21"/>
                      <w:szCs w:val="21"/>
                    </w:rPr>
                    <w:t>包含金属板和橡胶层，金属板厚度0.25mm，密度按</w:t>
                  </w:r>
                  <w:r>
                    <w:rPr>
                      <w:rStyle w:val="57"/>
                      <w:rFonts w:hint="default" w:ascii="Times New Roman" w:hAnsi="Times New Roman" w:eastAsia="宋体" w:cs="Times New Roman"/>
                      <w:color w:val="auto"/>
                      <w:sz w:val="21"/>
                      <w:szCs w:val="21"/>
                    </w:rPr>
                    <w:t>7.85g/cm</w:t>
                  </w:r>
                  <w:r>
                    <w:rPr>
                      <w:rStyle w:val="57"/>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计，橡胶层厚度（双层）：0.14mm，密度按</w:t>
                  </w:r>
                  <w:r>
                    <w:rPr>
                      <w:rStyle w:val="57"/>
                      <w:rFonts w:hint="default" w:ascii="Times New Roman" w:hAnsi="Times New Roman" w:eastAsia="宋体" w:cs="Times New Roman"/>
                      <w:color w:val="auto"/>
                      <w:sz w:val="21"/>
                      <w:szCs w:val="21"/>
                    </w:rPr>
                    <w:t>1.02g/cm</w:t>
                  </w:r>
                  <w:r>
                    <w:rPr>
                      <w:rStyle w:val="57"/>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计，</w:t>
                  </w:r>
                  <w:r>
                    <w:rPr>
                      <w:rFonts w:hint="default" w:ascii="Times New Roman" w:hAnsi="Times New Roman" w:eastAsia="宋体" w:cs="Times New Roman"/>
                      <w:color w:val="auto"/>
                      <w:sz w:val="21"/>
                      <w:szCs w:val="21"/>
                      <w:lang w:val="en-US" w:eastAsia="zh-CN"/>
                    </w:rPr>
                    <w:t>金属板质量=46.08万m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*0.25mm*7.85g/cm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=904.32t、橡胶层质量=46.08万m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*0.14mm*1.02g/cm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=65.802t，则</w:t>
                  </w:r>
                  <w:r>
                    <w:rPr>
                      <w:rFonts w:hint="default" w:ascii="Times New Roman" w:hAnsi="Times New Roman" w:eastAsia="宋体" w:cs="Times New Roman"/>
                      <w:color w:val="auto"/>
                      <w:sz w:val="21"/>
                      <w:szCs w:val="21"/>
                    </w:rPr>
                    <w:t>根据计算46万m</w:t>
                  </w:r>
                  <w:r>
                    <w:rPr>
                      <w:rFonts w:hint="default" w:ascii="Times New Roman" w:hAnsi="Times New Roman" w:eastAsia="宋体" w:cs="Times New Roman"/>
                      <w:color w:val="auto"/>
                      <w:sz w:val="21"/>
                      <w:szCs w:val="21"/>
                      <w:vertAlign w:val="superscript"/>
                    </w:rPr>
                    <w:t>2</w:t>
                  </w:r>
                  <w:r>
                    <w:rPr>
                      <w:rFonts w:hint="eastAsia" w:cs="Times New Roman"/>
                      <w:color w:val="auto"/>
                      <w:sz w:val="21"/>
                      <w:szCs w:val="21"/>
                      <w:lang w:eastAsia="zh-CN"/>
                    </w:rPr>
                    <w:t>汽车密封缸垫及消音片</w:t>
                  </w: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970.122</w:t>
                  </w:r>
                  <w:r>
                    <w:rPr>
                      <w:rFonts w:hint="default" w:ascii="Times New Roman" w:hAnsi="Times New Roman" w:eastAsia="宋体" w:cs="Times New Roman"/>
                      <w:color w:val="auto"/>
                      <w:sz w:val="21"/>
                      <w:szCs w:val="21"/>
                    </w:rPr>
                    <w:t>吨。</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2.1.5 厂区平面布置</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项目厂区平面布置图与每个厂房内生产线布局示意图详见附图3。</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2.1.6 主要生产单元及主要生产设备</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项目主要生产设备见表2.1-3。</w:t>
            </w:r>
          </w:p>
          <w:p>
            <w:pPr>
              <w:spacing w:before="120"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表2.1-3 主要生产设备清单</w:t>
            </w:r>
          </w:p>
          <w:tbl>
            <w:tblPr>
              <w:tblStyle w:val="32"/>
              <w:tblW w:w="4994"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614"/>
              <w:gridCol w:w="2074"/>
              <w:gridCol w:w="715"/>
              <w:gridCol w:w="1869"/>
              <w:gridCol w:w="172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937"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设备名称</w:t>
                  </w:r>
                </w:p>
              </w:tc>
              <w:tc>
                <w:tcPr>
                  <w:tcW w:w="1204"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型号</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位置</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w:t>
                  </w:r>
                </w:p>
              </w:tc>
              <w:tc>
                <w:tcPr>
                  <w:tcW w:w="93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放卷机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功率1.5kW</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预处理区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用于镀锌铁卷、铁卷开卷</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w:t>
                  </w:r>
                </w:p>
              </w:tc>
              <w:tc>
                <w:tcPr>
                  <w:tcW w:w="93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除油水洗线</w:t>
                  </w:r>
                </w:p>
              </w:tc>
              <w:tc>
                <w:tcPr>
                  <w:tcW w:w="1204" w:type="pct"/>
                  <w:tcBorders>
                    <w:tl2br w:val="nil"/>
                    <w:tr2bl w:val="nil"/>
                  </w:tcBorders>
                  <w:vAlign w:val="center"/>
                </w:tcPr>
                <w:p>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每套配有2个超声波除油槽、1个超声波水洗槽、1个防锈槽、1个备用槽，槽体规格1.1*1.45*1.35m，配有1个鼓风机、1个烘箱</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2套</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用于除油、水洗、防锈、烘干</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3</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涂胶机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功率3kW，2m/min</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涂胶粘剂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4</w:t>
                  </w:r>
                </w:p>
              </w:tc>
              <w:tc>
                <w:tcPr>
                  <w:tcW w:w="937"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烘干线</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配有5段烘道</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1条</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烘干，电加热，温度80-90℃、140-150℃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5</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分散机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拌料区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6</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真空泵</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功率7.5kW</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拌料区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7</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三辊轴研磨机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拌料区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8</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橡胶涂覆机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功率3kw，2m/min</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涂橡胶层，双面涂，单面厚度约0.07mm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9</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鼓式硫化机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功率15kw</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硫化，电加热，温度150-160℃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10</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辊涂机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2m/min</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涂隔离剂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11</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收卷机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12</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冲压机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2.1.7 主要原辅材料及燃料种类和用量</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项目主要原辅材料及能源消耗情况见表2.1-4，主要原辅材料性质详见表2.1-5。</w:t>
            </w:r>
          </w:p>
          <w:p>
            <w:pPr>
              <w:spacing w:before="120"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表2.1-4 项目主要原辅材料及能源消耗情况</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0"/>
              <w:gridCol w:w="762"/>
              <w:gridCol w:w="1463"/>
              <w:gridCol w:w="796"/>
              <w:gridCol w:w="3200"/>
              <w:gridCol w:w="1096"/>
              <w:gridCol w:w="765"/>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序号</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类别</w:t>
                  </w:r>
                </w:p>
              </w:tc>
              <w:tc>
                <w:tcPr>
                  <w:tcW w:w="849"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名称</w:t>
                  </w:r>
                </w:p>
              </w:tc>
              <w:tc>
                <w:tcPr>
                  <w:tcW w:w="46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形态</w:t>
                  </w:r>
                </w:p>
              </w:tc>
              <w:tc>
                <w:tcPr>
                  <w:tcW w:w="1857"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规格/成分</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消耗量（吨/年）</w:t>
                  </w:r>
                </w:p>
              </w:tc>
              <w:tc>
                <w:tcPr>
                  <w:tcW w:w="444"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来源</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镀锌铁卷</w:t>
                  </w:r>
                </w:p>
              </w:tc>
              <w:tc>
                <w:tcPr>
                  <w:tcW w:w="462"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成分：C0.06%、Si0.02%、Mn0.25%、P0.017%、S0.013%、Zn30-46%，其余为Fe，密度约7.85g/cm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125</w:t>
                  </w:r>
                </w:p>
              </w:tc>
              <w:tc>
                <w:tcPr>
                  <w:tcW w:w="444"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铁卷</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成分：C0.23%、Si0.005%、Mn0.18%、P0.014%、S0.007%、A10.039%，其余为Fe，密度约7.8g/cm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730</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3</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不锈钢板</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成分：C0.044%、Si0.35%、Mn0.40%、P0.028%、S0.004%、Ni0.24%、Cr16.21%、N0.045%， 其余为Fe，密度约7.9g/cm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125</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4</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混炼胶</w:t>
                  </w:r>
                </w:p>
              </w:tc>
              <w:tc>
                <w:tcPr>
                  <w:tcW w:w="462"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200kg/桶，经密炼、开炼后的橡胶液，组分：90%丁腈橡胶、6%炭黑、1.5%氧化锌、0.3%硬脂酸、0.3%防老剂、0.4%促进剂、0.5%硫磺，密度约1.2g/cm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77.28</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5</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无磷除油粉</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25kg/袋，组分：氢氧化钠、五水偏硅酸钠、碳酸钠、十二烷基硫酸钠等</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3.02</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6</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防锈粉</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25kg/袋，</w:t>
                  </w:r>
                  <w:r>
                    <w:rPr>
                      <w:rFonts w:hint="default" w:ascii="Times New Roman" w:hAnsi="Times New Roman" w:eastAsia="宋体" w:cs="Times New Roman"/>
                      <w:color w:val="auto"/>
                      <w:spacing w:val="10"/>
                      <w:sz w:val="21"/>
                      <w:szCs w:val="21"/>
                    </w:rPr>
                    <w:t>组分：亚硝酸钠</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0.44</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7</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金属橡胶胶粘剂（</w:t>
                  </w:r>
                  <w:r>
                    <w:rPr>
                      <w:rStyle w:val="57"/>
                      <w:rFonts w:hint="default" w:ascii="Times New Roman" w:hAnsi="Times New Roman" w:eastAsia="宋体" w:cs="Times New Roman"/>
                      <w:color w:val="auto"/>
                      <w:sz w:val="21"/>
                      <w:szCs w:val="21"/>
                    </w:rPr>
                    <w:t>热硫化胶黏剂</w:t>
                  </w:r>
                  <w:r>
                    <w:rPr>
                      <w:rFonts w:hint="default" w:ascii="Times New Roman" w:hAnsi="Times New Roman" w:eastAsia="宋体" w:cs="Times New Roman"/>
                      <w:color w:val="auto"/>
                      <w:kern w:val="0"/>
                      <w:sz w:val="21"/>
                      <w:szCs w:val="21"/>
                      <w:lang w:bidi="ar"/>
                    </w:rPr>
                    <w:t>）</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25kg/桶，组分</w:t>
                  </w:r>
                  <w:r>
                    <w:rPr>
                      <w:rStyle w:val="57"/>
                      <w:rFonts w:hint="default" w:ascii="Times New Roman" w:hAnsi="Times New Roman" w:eastAsia="宋体" w:cs="Times New Roman"/>
                      <w:color w:val="auto"/>
                      <w:sz w:val="21"/>
                      <w:szCs w:val="21"/>
                      <w:lang w:val="en-US" w:eastAsia="zh-CN"/>
                    </w:rPr>
                    <w:t>少于</w:t>
                  </w:r>
                  <w:r>
                    <w:rPr>
                      <w:rStyle w:val="57"/>
                      <w:rFonts w:hint="default" w:ascii="Times New Roman" w:hAnsi="Times New Roman" w:eastAsia="宋体" w:cs="Times New Roman"/>
                      <w:color w:val="auto"/>
                      <w:sz w:val="21"/>
                      <w:szCs w:val="21"/>
                    </w:rPr>
                    <w:t>：</w:t>
                  </w:r>
                  <w:r>
                    <w:rPr>
                      <w:rStyle w:val="57"/>
                      <w:rFonts w:hint="default" w:ascii="Times New Roman" w:hAnsi="Times New Roman" w:eastAsia="宋体" w:cs="Times New Roman"/>
                      <w:color w:val="auto"/>
                      <w:sz w:val="21"/>
                      <w:szCs w:val="21"/>
                      <w:lang w:val="en-US" w:eastAsia="zh-CN"/>
                    </w:rPr>
                    <w:t>二甲苯6</w:t>
                  </w:r>
                  <w:r>
                    <w:rPr>
                      <w:rStyle w:val="57"/>
                      <w:rFonts w:hint="default" w:ascii="Times New Roman" w:hAnsi="Times New Roman" w:eastAsia="宋体" w:cs="Times New Roman"/>
                      <w:color w:val="auto"/>
                      <w:sz w:val="21"/>
                      <w:szCs w:val="21"/>
                    </w:rPr>
                    <w:t>0%、</w:t>
                  </w:r>
                  <w:r>
                    <w:rPr>
                      <w:rStyle w:val="57"/>
                      <w:rFonts w:hint="default" w:ascii="Times New Roman" w:hAnsi="Times New Roman" w:eastAsia="宋体" w:cs="Times New Roman"/>
                      <w:color w:val="auto"/>
                      <w:sz w:val="21"/>
                      <w:szCs w:val="21"/>
                      <w:lang w:val="en-US" w:eastAsia="zh-CN"/>
                    </w:rPr>
                    <w:t>碳酸二甲酯10</w:t>
                  </w:r>
                  <w:r>
                    <w:rPr>
                      <w:rStyle w:val="57"/>
                      <w:rFonts w:hint="default" w:ascii="Times New Roman" w:hAnsi="Times New Roman" w:eastAsia="宋体" w:cs="Times New Roman"/>
                      <w:color w:val="auto"/>
                      <w:sz w:val="21"/>
                      <w:szCs w:val="21"/>
                    </w:rPr>
                    <w:t>%</w:t>
                  </w:r>
                  <w:r>
                    <w:rPr>
                      <w:rStyle w:val="57"/>
                      <w:rFonts w:hint="default" w:ascii="Times New Roman" w:hAnsi="Times New Roman" w:eastAsia="宋体" w:cs="Times New Roman"/>
                      <w:color w:val="auto"/>
                      <w:sz w:val="21"/>
                      <w:szCs w:val="21"/>
                      <w:lang w:eastAsia="zh-CN"/>
                    </w:rPr>
                    <w:t>、</w:t>
                  </w:r>
                  <w:r>
                    <w:rPr>
                      <w:rStyle w:val="57"/>
                      <w:rFonts w:hint="default" w:ascii="Times New Roman" w:hAnsi="Times New Roman" w:eastAsia="宋体" w:cs="Times New Roman"/>
                      <w:color w:val="auto"/>
                      <w:sz w:val="21"/>
                      <w:szCs w:val="21"/>
                      <w:lang w:val="en-US" w:eastAsia="zh-CN"/>
                    </w:rPr>
                    <w:t>乙苯15%、锌化合物</w:t>
                  </w:r>
                  <w:r>
                    <w:rPr>
                      <w:rStyle w:val="57"/>
                      <w:rFonts w:hint="default" w:ascii="Times New Roman" w:hAnsi="Times New Roman" w:eastAsia="宋体" w:cs="Times New Roman"/>
                      <w:color w:val="auto"/>
                      <w:sz w:val="21"/>
                      <w:szCs w:val="21"/>
                    </w:rPr>
                    <w:t>5%、</w:t>
                  </w:r>
                  <w:r>
                    <w:rPr>
                      <w:rStyle w:val="57"/>
                      <w:rFonts w:hint="default" w:ascii="Times New Roman" w:hAnsi="Times New Roman" w:eastAsia="宋体" w:cs="Times New Roman"/>
                      <w:color w:val="auto"/>
                      <w:sz w:val="21"/>
                      <w:szCs w:val="21"/>
                      <w:lang w:val="en-US" w:eastAsia="zh-CN"/>
                    </w:rPr>
                    <w:t>氯取代的芳香化合物</w:t>
                  </w:r>
                  <w:r>
                    <w:rPr>
                      <w:rStyle w:val="57"/>
                      <w:rFonts w:hint="default" w:ascii="Times New Roman" w:hAnsi="Times New Roman" w:eastAsia="宋体" w:cs="Times New Roman"/>
                      <w:color w:val="auto"/>
                      <w:sz w:val="21"/>
                      <w:szCs w:val="21"/>
                    </w:rPr>
                    <w:t>5%、</w:t>
                  </w:r>
                  <w:r>
                    <w:rPr>
                      <w:rStyle w:val="57"/>
                      <w:rFonts w:hint="default" w:ascii="Times New Roman" w:hAnsi="Times New Roman" w:eastAsia="宋体" w:cs="Times New Roman"/>
                      <w:color w:val="auto"/>
                      <w:sz w:val="21"/>
                      <w:szCs w:val="21"/>
                      <w:lang w:val="en-US" w:eastAsia="zh-CN"/>
                    </w:rPr>
                    <w:t>炭黑5</w:t>
                  </w:r>
                  <w:r>
                    <w:rPr>
                      <w:rStyle w:val="57"/>
                      <w:rFonts w:hint="default" w:ascii="Times New Roman" w:hAnsi="Times New Roman" w:eastAsia="宋体" w:cs="Times New Roman"/>
                      <w:color w:val="auto"/>
                      <w:sz w:val="21"/>
                      <w:szCs w:val="21"/>
                    </w:rPr>
                    <w:t>%、</w:t>
                  </w:r>
                  <w:r>
                    <w:rPr>
                      <w:rStyle w:val="57"/>
                      <w:rFonts w:hint="default" w:ascii="Times New Roman" w:hAnsi="Times New Roman" w:eastAsia="宋体" w:cs="Times New Roman"/>
                      <w:color w:val="auto"/>
                      <w:sz w:val="21"/>
                      <w:szCs w:val="21"/>
                      <w:lang w:val="en-US" w:eastAsia="zh-CN"/>
                    </w:rPr>
                    <w:t>甲苯0.9</w:t>
                  </w:r>
                  <w:r>
                    <w:rPr>
                      <w:rStyle w:val="57"/>
                      <w:rFonts w:hint="default" w:ascii="Times New Roman" w:hAnsi="Times New Roman" w:eastAsia="宋体" w:cs="Times New Roman"/>
                      <w:color w:val="auto"/>
                      <w:sz w:val="21"/>
                      <w:szCs w:val="21"/>
                    </w:rPr>
                    <w:t>%，密度0.95g/m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1.425</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8</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橡胶软化剂</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25kg/桶，组分：</w:t>
                  </w:r>
                  <w:r>
                    <w:rPr>
                      <w:rStyle w:val="57"/>
                      <w:rFonts w:hint="default" w:ascii="Times New Roman" w:hAnsi="Times New Roman" w:eastAsia="宋体" w:cs="Times New Roman"/>
                      <w:color w:val="auto"/>
                      <w:sz w:val="21"/>
                      <w:szCs w:val="21"/>
                      <w:lang w:val="en-US" w:eastAsia="zh-CN"/>
                    </w:rPr>
                    <w:t>100%</w:t>
                  </w:r>
                  <w:r>
                    <w:rPr>
                      <w:rStyle w:val="57"/>
                      <w:rFonts w:hint="default" w:ascii="Times New Roman" w:hAnsi="Times New Roman" w:eastAsia="宋体" w:cs="Times New Roman"/>
                      <w:color w:val="auto"/>
                      <w:sz w:val="21"/>
                      <w:szCs w:val="21"/>
                    </w:rPr>
                    <w:t>二甲苯</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6.72</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10</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橡胶隔离剂</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25kg/桶，组分：树脂43.5%、石墨31.5%、甲苯25%，密度1.01g/m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1.01</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11</w:t>
                  </w:r>
                </w:p>
              </w:tc>
              <w:tc>
                <w:tcPr>
                  <w:tcW w:w="442" w:type="pct"/>
                  <w:vMerge w:val="restar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资源、能源</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水</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85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2459.64</w:t>
                  </w:r>
                </w:p>
              </w:tc>
              <w:tc>
                <w:tcPr>
                  <w:tcW w:w="444" w:type="pct"/>
                  <w:tcBorders>
                    <w:tl2br w:val="nil"/>
                    <w:tr2bl w:val="nil"/>
                  </w:tcBorders>
                  <w:vAlign w:val="center"/>
                </w:tcPr>
                <w:p>
                  <w:pPr>
                    <w:pStyle w:val="149"/>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供水管网</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12</w:t>
                  </w:r>
                </w:p>
              </w:tc>
              <w:tc>
                <w:tcPr>
                  <w:tcW w:w="442" w:type="pct"/>
                  <w:vMerge w:val="continue"/>
                  <w:tcBorders>
                    <w:tl2br w:val="nil"/>
                    <w:tr2bl w:val="nil"/>
                  </w:tcBorders>
                  <w:vAlign w:val="center"/>
                </w:tcPr>
                <w:p>
                  <w:pPr>
                    <w:jc w:val="center"/>
                    <w:rPr>
                      <w:rStyle w:val="57"/>
                      <w:rFonts w:hint="default" w:ascii="Times New Roman" w:hAnsi="Times New Roman" w:eastAsia="宋体" w:cs="Times New Roman"/>
                      <w:color w:val="auto"/>
                      <w:sz w:val="21"/>
                      <w:szCs w:val="21"/>
                    </w:rPr>
                  </w:pP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电（万kWh）</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85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173</w:t>
                  </w:r>
                </w:p>
              </w:tc>
              <w:tc>
                <w:tcPr>
                  <w:tcW w:w="444" w:type="pct"/>
                  <w:tcBorders>
                    <w:tl2br w:val="nil"/>
                    <w:tr2bl w:val="nil"/>
                  </w:tcBorders>
                  <w:vAlign w:val="center"/>
                </w:tcPr>
                <w:p>
                  <w:pPr>
                    <w:pStyle w:val="149"/>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供电管网</w:t>
                  </w:r>
                </w:p>
              </w:tc>
            </w:tr>
          </w:tbl>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表2.1-5 原辅材料理化性质</w:t>
            </w:r>
          </w:p>
          <w:tbl>
            <w:tblPr>
              <w:tblStyle w:val="32"/>
              <w:tblW w:w="5002"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2"/>
              <w:gridCol w:w="1902"/>
              <w:gridCol w:w="6216"/>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03"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化学品名</w:t>
                  </w:r>
                </w:p>
              </w:tc>
              <w:tc>
                <w:tcPr>
                  <w:tcW w:w="360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理化性质</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103" w:type="pct"/>
                  <w:tcBorders>
                    <w:tl2br w:val="nil"/>
                    <w:tr2bl w:val="nil"/>
                  </w:tcBorders>
                  <w:vAlign w:val="center"/>
                </w:tcPr>
                <w:p>
                  <w:pPr>
                    <w:jc w:val="center"/>
                    <w:rPr>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混炼胶</w:t>
                  </w:r>
                </w:p>
              </w:tc>
              <w:tc>
                <w:tcPr>
                  <w:tcW w:w="3605" w:type="pct"/>
                  <w:tcBorders>
                    <w:tl2br w:val="nil"/>
                    <w:tr2bl w:val="nil"/>
                  </w:tcBorders>
                  <w:vAlign w:val="center"/>
                </w:tcPr>
                <w:p>
                  <w:pPr>
                    <w:jc w:val="both"/>
                    <w:rPr>
                      <w:rFonts w:hint="default" w:ascii="Times New Roman" w:hAnsi="Times New Roman" w:eastAsia="宋体" w:cs="Times New Roman"/>
                      <w:color w:val="auto"/>
                      <w:sz w:val="21"/>
                      <w:szCs w:val="21"/>
                      <w:lang w:eastAsia="zh-CN"/>
                    </w:rPr>
                  </w:pPr>
                  <w:r>
                    <w:rPr>
                      <w:rStyle w:val="57"/>
                      <w:rFonts w:hint="default" w:ascii="Times New Roman" w:hAnsi="Times New Roman" w:eastAsia="宋体" w:cs="Times New Roman"/>
                      <w:color w:val="auto"/>
                      <w:sz w:val="21"/>
                      <w:szCs w:val="21"/>
                    </w:rPr>
                    <w:t>经密炼、开炼后的橡胶液，组分：90%丁腈橡胶、6%炭黑、1.5%氧化锌、0.3%硬脂酸、0.3%防老剂、0.4%促进剂、0.5%硫磺，密度约1.2g/cm</w:t>
                  </w:r>
                  <w:r>
                    <w:rPr>
                      <w:rStyle w:val="57"/>
                      <w:rFonts w:hint="default" w:ascii="Times New Roman" w:hAnsi="Times New Roman" w:eastAsia="宋体" w:cs="Times New Roman"/>
                      <w:color w:val="auto"/>
                      <w:sz w:val="21"/>
                      <w:szCs w:val="21"/>
                      <w:vertAlign w:val="superscript"/>
                    </w:rPr>
                    <w:t>3</w:t>
                  </w:r>
                  <w:r>
                    <w:rPr>
                      <w:rStyle w:val="57"/>
                      <w:rFonts w:hint="default" w:ascii="Times New Roman" w:hAnsi="Times New Roman" w:eastAsia="宋体" w:cs="Times New Roman"/>
                      <w:color w:val="auto"/>
                      <w:sz w:val="21"/>
                      <w:szCs w:val="21"/>
                      <w:vertAlign w:val="baseline"/>
                      <w:lang w:eastAsia="zh-CN"/>
                    </w:rPr>
                    <w:t>。</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902" w:type="dxa"/>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无磷除油粉</w:t>
                  </w:r>
                </w:p>
              </w:tc>
              <w:tc>
                <w:tcPr>
                  <w:tcW w:w="6217" w:type="dxa"/>
                  <w:tcBorders>
                    <w:tl2br w:val="nil"/>
                    <w:tr2bl w:val="nil"/>
                  </w:tcBorders>
                  <w:vAlign w:val="center"/>
                </w:tcPr>
                <w:p>
                  <w:pPr>
                    <w:widowControl/>
                    <w:jc w:val="both"/>
                    <w:rPr>
                      <w:rFonts w:hint="default" w:ascii="Times New Roman" w:hAnsi="Times New Roman" w:eastAsia="宋体" w:cs="Times New Roman"/>
                      <w:color w:val="auto"/>
                      <w:sz w:val="21"/>
                      <w:szCs w:val="21"/>
                      <w:lang w:eastAsia="zh-CN"/>
                    </w:rPr>
                  </w:pPr>
                  <w:r>
                    <w:rPr>
                      <w:rStyle w:val="57"/>
                      <w:rFonts w:hint="default" w:ascii="Times New Roman" w:hAnsi="Times New Roman" w:eastAsia="宋体" w:cs="Times New Roman"/>
                      <w:color w:val="auto"/>
                      <w:sz w:val="21"/>
                      <w:szCs w:val="21"/>
                    </w:rPr>
                    <w:t>白色粉末状固体</w:t>
                  </w:r>
                  <w:r>
                    <w:rPr>
                      <w:rStyle w:val="57"/>
                      <w:rFonts w:hint="default" w:ascii="Times New Roman" w:hAnsi="Times New Roman" w:eastAsia="宋体" w:cs="Times New Roman"/>
                      <w:color w:val="auto"/>
                      <w:sz w:val="21"/>
                      <w:szCs w:val="21"/>
                      <w:lang w:eastAsia="zh-CN"/>
                    </w:rPr>
                    <w:t>，</w:t>
                  </w:r>
                  <w:r>
                    <w:rPr>
                      <w:rStyle w:val="57"/>
                      <w:rFonts w:hint="default" w:ascii="Times New Roman" w:hAnsi="Times New Roman" w:eastAsia="宋体" w:cs="Times New Roman"/>
                      <w:color w:val="auto"/>
                      <w:sz w:val="21"/>
                      <w:szCs w:val="21"/>
                    </w:rPr>
                    <w:t>组分：氢氧化钠、五水偏硅酸钠、碳酸钠、十二烷基硫酸钠等</w:t>
                  </w:r>
                  <w:r>
                    <w:rPr>
                      <w:rStyle w:val="57"/>
                      <w:rFonts w:hint="default" w:ascii="Times New Roman" w:hAnsi="Times New Roman" w:eastAsia="宋体" w:cs="Times New Roman"/>
                      <w:color w:val="auto"/>
                      <w:sz w:val="21"/>
                      <w:szCs w:val="21"/>
                      <w:lang w:eastAsia="zh-CN"/>
                    </w:rPr>
                    <w:t>。广泛应用于五金塑胶电镀印染,喷涂行业的前处理的一种化学品,也用于各种五金表面除油清洗行业。</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902" w:type="dxa"/>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防锈粉</w:t>
                  </w:r>
                </w:p>
              </w:tc>
              <w:tc>
                <w:tcPr>
                  <w:tcW w:w="6217" w:type="dxa"/>
                  <w:tcBorders>
                    <w:tl2br w:val="nil"/>
                    <w:tr2bl w:val="nil"/>
                  </w:tcBorders>
                  <w:vAlign w:val="center"/>
                </w:tcPr>
                <w:p>
                  <w:pPr>
                    <w:widowControl/>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0"/>
                      <w:sz w:val="21"/>
                      <w:szCs w:val="21"/>
                    </w:rPr>
                    <w:t>亚硝酸钠</w:t>
                  </w:r>
                  <w:r>
                    <w:rPr>
                      <w:rFonts w:hint="default" w:ascii="Times New Roman" w:hAnsi="Times New Roman" w:eastAsia="宋体" w:cs="Times New Roman"/>
                      <w:color w:val="auto"/>
                      <w:spacing w:val="10"/>
                      <w:sz w:val="21"/>
                      <w:szCs w:val="21"/>
                      <w:lang w:eastAsia="zh-CN"/>
                    </w:rPr>
                    <w:t>，白色或微带淡黄色斜方晶系结晶或粉末。是一种水溶性防锈产品，在密闭空间内气化VCI粒子渗透到金属各个角落，形成一个分子厚保护层，防止金属生锈。</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103"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金属橡胶胶粘剂</w:t>
                  </w:r>
                </w:p>
              </w:tc>
              <w:tc>
                <w:tcPr>
                  <w:tcW w:w="3605" w:type="pct"/>
                  <w:tcBorders>
                    <w:tl2br w:val="nil"/>
                    <w:tr2bl w:val="nil"/>
                  </w:tcBorders>
                  <w:vAlign w:val="center"/>
                </w:tcPr>
                <w:p>
                  <w:pPr>
                    <w:widowControl/>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它是一种聚合物、有机化合物和矿物填料在有机溶剂体系内溶解或分散形成的混合物。外观：灰色；物理状态：液体；水溶性：不溶；蒸发速度：比乙酸正丁酯快；气味：溶剂；密度：0.95g/cm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0"/>
                      <w:sz w:val="21"/>
                      <w:szCs w:val="21"/>
                      <w:lang w:bidi="ar"/>
                    </w:rPr>
                    <w:t>。</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103" w:type="pct"/>
                  <w:tcBorders>
                    <w:tl2br w:val="nil"/>
                    <w:tr2bl w:val="nil"/>
                  </w:tcBorders>
                  <w:vAlign w:val="center"/>
                </w:tcPr>
                <w:p>
                  <w:pPr>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kern w:val="0"/>
                      <w:sz w:val="21"/>
                      <w:szCs w:val="21"/>
                      <w:lang w:bidi="ar"/>
                    </w:rPr>
                    <w:t>橡胶软化剂</w:t>
                  </w:r>
                </w:p>
              </w:tc>
              <w:tc>
                <w:tcPr>
                  <w:tcW w:w="3605" w:type="pct"/>
                  <w:tcBorders>
                    <w:tl2br w:val="nil"/>
                    <w:tr2bl w:val="nil"/>
                  </w:tcBorders>
                  <w:vAlign w:val="center"/>
                </w:tcPr>
                <w:p>
                  <w:pPr>
                    <w:widowControl/>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无色透明液体。有芳香烃的特殊气味，二甲苯具刺激性气味、易燃，与乙醇、氯仿或乙醚能任意混合，在水中不溶，沸点为137～140，二甲苯属于低毒类化学物质。用于塑料、燃料、橡胶，各种涂料的添加剂以及各种胶粘剂、防水材料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103" w:type="pct"/>
                  <w:tcBorders>
                    <w:tl2br w:val="nil"/>
                    <w:tr2bl w:val="nil"/>
                  </w:tcBorders>
                  <w:vAlign w:val="center"/>
                </w:tcPr>
                <w:p>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橡胶隔离剂</w:t>
                  </w:r>
                </w:p>
              </w:tc>
              <w:tc>
                <w:tcPr>
                  <w:tcW w:w="3605" w:type="pct"/>
                  <w:tcBorders>
                    <w:tl2br w:val="nil"/>
                    <w:tr2bl w:val="nil"/>
                  </w:tcBorders>
                  <w:vAlign w:val="center"/>
                </w:tcPr>
                <w:p>
                  <w:pPr>
                    <w:widowControl/>
                    <w:jc w:val="both"/>
                    <w:rPr>
                      <w:rFonts w:hint="default" w:ascii="Times New Roman" w:hAnsi="Times New Roman" w:eastAsia="宋体" w:cs="Times New Roman"/>
                      <w:color w:val="auto"/>
                      <w:sz w:val="21"/>
                      <w:szCs w:val="21"/>
                      <w:lang w:eastAsia="zh-CN"/>
                    </w:rPr>
                  </w:pPr>
                  <w:r>
                    <w:rPr>
                      <w:rStyle w:val="57"/>
                      <w:rFonts w:hint="default" w:ascii="Times New Roman" w:hAnsi="Times New Roman" w:eastAsia="宋体" w:cs="Times New Roman"/>
                      <w:color w:val="auto"/>
                      <w:sz w:val="21"/>
                      <w:szCs w:val="21"/>
                    </w:rPr>
                    <w:t>硬脂酸衍生物，特种防粘剂，专用表面活性剂，超细粉料等材料的有机结合。</w:t>
                  </w:r>
                  <w:r>
                    <w:rPr>
                      <w:rStyle w:val="57"/>
                      <w:rFonts w:hint="default" w:ascii="Times New Roman" w:hAnsi="Times New Roman" w:eastAsia="宋体" w:cs="Times New Roman"/>
                      <w:color w:val="auto"/>
                      <w:sz w:val="21"/>
                      <w:szCs w:val="21"/>
                      <w:lang w:val="en-US" w:eastAsia="zh-CN"/>
                    </w:rPr>
                    <w:t>由</w:t>
                  </w:r>
                  <w:r>
                    <w:rPr>
                      <w:rStyle w:val="57"/>
                      <w:rFonts w:hint="default" w:ascii="Times New Roman" w:hAnsi="Times New Roman" w:eastAsia="宋体" w:cs="Times New Roman"/>
                      <w:color w:val="auto"/>
                      <w:sz w:val="21"/>
                      <w:szCs w:val="21"/>
                    </w:rPr>
                    <w:t>43.5%树脂、31.5%石墨、25%甲苯</w:t>
                  </w:r>
                  <w:r>
                    <w:rPr>
                      <w:rStyle w:val="57"/>
                      <w:rFonts w:hint="default" w:ascii="Times New Roman" w:hAnsi="Times New Roman" w:eastAsia="宋体" w:cs="Times New Roman"/>
                      <w:color w:val="auto"/>
                      <w:sz w:val="21"/>
                      <w:szCs w:val="21"/>
                      <w:lang w:val="en-US" w:eastAsia="zh-CN"/>
                    </w:rPr>
                    <w:t>构成</w:t>
                  </w:r>
                  <w:r>
                    <w:rPr>
                      <w:rStyle w:val="57"/>
                      <w:rFonts w:hint="default" w:ascii="Times New Roman" w:hAnsi="Times New Roman" w:eastAsia="宋体" w:cs="Times New Roman"/>
                      <w:color w:val="auto"/>
                      <w:sz w:val="21"/>
                      <w:szCs w:val="21"/>
                    </w:rPr>
                    <w:t>，密度1.01g/m</w:t>
                  </w:r>
                  <w:r>
                    <w:rPr>
                      <w:rStyle w:val="57"/>
                      <w:rFonts w:hint="default" w:ascii="Times New Roman" w:hAnsi="Times New Roman" w:eastAsia="宋体" w:cs="Times New Roman"/>
                      <w:color w:val="auto"/>
                      <w:sz w:val="21"/>
                      <w:szCs w:val="21"/>
                      <w:vertAlign w:val="superscript"/>
                    </w:rPr>
                    <w:t>3</w:t>
                  </w:r>
                  <w:r>
                    <w:rPr>
                      <w:rStyle w:val="57"/>
                      <w:rFonts w:hint="default" w:ascii="Times New Roman" w:hAnsi="Times New Roman" w:eastAsia="宋体" w:cs="Times New Roman"/>
                      <w:color w:val="auto"/>
                      <w:sz w:val="21"/>
                      <w:szCs w:val="21"/>
                      <w:vertAlign w:val="baseline"/>
                      <w:lang w:eastAsia="zh-CN"/>
                    </w:rPr>
                    <w:t>。</w:t>
                  </w:r>
                </w:p>
              </w:tc>
            </w:tr>
          </w:tbl>
          <w:p>
            <w:pPr>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表2.1-6 胶粘剂符合性分析</w:t>
            </w:r>
          </w:p>
          <w:tbl>
            <w:tblPr>
              <w:tblStyle w:val="33"/>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2152"/>
              <w:gridCol w:w="2154"/>
              <w:gridCol w:w="215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名称</w:t>
                  </w:r>
                </w:p>
              </w:tc>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VOCs含量值</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VOCs标准限值</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符合性分析</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pacing w:val="2"/>
                      <w:sz w:val="21"/>
                      <w:szCs w:val="21"/>
                    </w:rPr>
                    <w:t>金属橡胶胶粘剂</w:t>
                  </w:r>
                  <w:r>
                    <w:rPr>
                      <w:rFonts w:hint="default" w:ascii="Times New Roman" w:hAnsi="Times New Roman" w:eastAsia="宋体" w:cs="Times New Roman"/>
                      <w:color w:val="auto"/>
                      <w:spacing w:val="2"/>
                      <w:sz w:val="21"/>
                      <w:szCs w:val="21"/>
                      <w:lang w:val="en-US" w:eastAsia="zh-CN"/>
                    </w:rPr>
                    <w:t xml:space="preserve">  </w:t>
                  </w:r>
                </w:p>
              </w:tc>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687g/L</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700g/L</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备注：①根据附件7</w:t>
                  </w:r>
                  <w:r>
                    <w:rPr>
                      <w:rFonts w:hint="default" w:ascii="Times New Roman" w:hAnsi="Times New Roman" w:eastAsia="宋体" w:cs="Times New Roman"/>
                      <w:color w:val="auto"/>
                      <w:spacing w:val="2"/>
                      <w:sz w:val="21"/>
                      <w:szCs w:val="21"/>
                    </w:rPr>
                    <w:t>胶粘剂</w:t>
                  </w:r>
                  <w:r>
                    <w:rPr>
                      <w:rFonts w:hint="default" w:ascii="Times New Roman" w:hAnsi="Times New Roman" w:eastAsia="宋体" w:cs="Times New Roman"/>
                      <w:color w:val="auto"/>
                      <w:spacing w:val="2"/>
                      <w:sz w:val="21"/>
                      <w:szCs w:val="21"/>
                      <w:lang w:val="en-US" w:eastAsia="zh-CN"/>
                    </w:rPr>
                    <w:t>VOCs含量值为687</w:t>
                  </w:r>
                  <w:r>
                    <w:rPr>
                      <w:rFonts w:hint="default" w:ascii="Times New Roman" w:hAnsi="Times New Roman" w:eastAsia="宋体" w:cs="Times New Roman"/>
                      <w:b w:val="0"/>
                      <w:bCs w:val="0"/>
                      <w:color w:val="auto"/>
                      <w:sz w:val="21"/>
                      <w:szCs w:val="21"/>
                      <w:vertAlign w:val="baseline"/>
                      <w:lang w:val="en-US" w:eastAsia="zh-CN"/>
                    </w:rPr>
                    <w:t>g/L。②VOCs标准限值来源：《胶粘剂挥发性有机化合物限量》（GB 33372-2020）表1溶剂型胶粘剂VOCs含量限量中应用领域：特殊-其它（汽车桥梁减震用热硫化胶粘剂）。</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2.1.8 项目水平衡分析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本项目用水主要为生活用水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设备冷却用水、金属板除油清洗和除锈用水及废气喷淋用水</w:t>
            </w:r>
            <w:r>
              <w:rPr>
                <w:rFonts w:hint="default" w:ascii="Times New Roman" w:hAnsi="Times New Roman" w:eastAsia="宋体" w:cs="Times New Roman"/>
                <w:color w:val="auto"/>
              </w:rPr>
              <w:t>。</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（1）生活用水</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本项目新增职工8人，均不住厂。根据《建筑给水排水设计标准》（GB 50015-2019），不住厂职工用水量定额按50L/人·d计算，故本项目生活用水新增0.4m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/d，即120m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/a（按300天计）。排水系数取0.8，则员工生活污水新增排放量为0.32m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/d，即96m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/a（按300天计）。生活污水通过厂区化粪池处理后纳入市政污水管网进入元洪投资区污水处理厂统一处理。</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（2）生产用水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①间接冷却水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项目冷却水为设备间接冷却水，循环使用不外排，定期补充新鲜水。在厂区设1个5m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的冷却水池，冷却水日蒸发等损耗量为5%，约0.25m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/d，故项目冷却水补充量约60m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/a，损耗补充量为新鲜水。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②除油用水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本项目2套除油水洗线合计配备4个超声波除油槽，槽体规格均1.1m×1.45m×1.35m，有效槽容按70%计(即为1.51m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)，除油清洗水循环使用，定期排放，一般为4天更换一次，则每槽排放75次/a。4个除油槽错峰排放，则除油清洗水日最大排放量为1.51m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/d(1槽/d)，合计年排放除油清洗水453m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③水洗用水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2个超声波水洗槽用于除油后水洗，除油后首先采用新鲜水喷洗金属板后流入槽内，并在超声波水洗槽进一步水洗，每条线除油后水洗废水排放速率为0.3t/h，每个超声波水洗槽年工作3000小时，则2条线除油后水洗废水产生量为6t/d（1800t/a）。</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④防锈用水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本项目2套除油水洗线合计配有2个防锈液槽，防锈粉与清水按1:6配比成防锈液，防锈液循环使用，定期添加清水、防锈粉，1年更换1次。经计算，防锈用水约2.64t/a，废防锈槽液产生量为2.64t/a。</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⑤喷淋用水</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项目硫化废气采用喷淋塔进行降温</w:t>
            </w:r>
            <w:r>
              <w:rPr>
                <w:rFonts w:hint="eastAsia" w:cs="Times New Roman"/>
                <w:color w:val="auto"/>
                <w:lang w:val="en-US" w:eastAsia="zh-CN"/>
              </w:rPr>
              <w:t>再经除雾措施后进入活性炭吸附装置处理</w:t>
            </w:r>
            <w:r>
              <w:rPr>
                <w:rFonts w:hint="default" w:ascii="Times New Roman" w:hAnsi="Times New Roman" w:eastAsia="宋体" w:cs="Times New Roman"/>
                <w:color w:val="auto"/>
              </w:rPr>
              <w:t>，</w:t>
            </w:r>
            <w:r>
              <w:rPr>
                <w:rFonts w:hint="eastAsia" w:cs="Times New Roman"/>
                <w:color w:val="auto"/>
                <w:lang w:val="en-US" w:eastAsia="zh-CN"/>
              </w:rPr>
              <w:t>喷淋除雾产生的</w:t>
            </w:r>
            <w:r>
              <w:rPr>
                <w:rFonts w:hint="default" w:ascii="Times New Roman" w:hAnsi="Times New Roman" w:eastAsia="宋体" w:cs="Times New Roman"/>
                <w:color w:val="auto"/>
              </w:rPr>
              <w:t>喷淋水循环使用，适时补充，定期更换，年更换12次。本项目喷淋塔设置约1m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循环水量，则废气喷淋水产生量为12m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/a。喷淋塔运行时，喷淋水会蒸发损耗，喷淋水日损耗量按循环水量的5%计，约0.05m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/d，则喷淋水损耗量为12m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/a，损耗补充量。</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项目水平衡见图2.1-1。</w:t>
            </w:r>
          </w:p>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244340" cy="4255770"/>
                  <wp:effectExtent l="0" t="0" r="0" b="0"/>
                  <wp:docPr id="7" name="ECB019B1-382A-4266-B25C-5B523AA43C14-1" descr="C:/Users/Administrator/AppData/Local/Temp/wps.gBqQk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dministrator/AppData/Local/Temp/wps.gBqQkFwps"/>
                          <pic:cNvPicPr>
                            <a:picLocks noChangeAspect="1"/>
                          </pic:cNvPicPr>
                        </pic:nvPicPr>
                        <pic:blipFill>
                          <a:blip r:embed="rId11"/>
                          <a:stretch>
                            <a:fillRect/>
                          </a:stretch>
                        </pic:blipFill>
                        <pic:spPr>
                          <a:xfrm>
                            <a:off x="0" y="0"/>
                            <a:ext cx="4244340" cy="4255770"/>
                          </a:xfrm>
                          <a:prstGeom prst="rect">
                            <a:avLst/>
                          </a:prstGeom>
                        </pic:spPr>
                      </pic:pic>
                    </a:graphicData>
                  </a:graphic>
                </wp:inline>
              </w:drawing>
            </w:r>
          </w:p>
          <w:p>
            <w:pPr>
              <w:pStyle w:val="31"/>
              <w:spacing w:afterLines="50"/>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图2.1-1  项目水平衡图（单位：m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/a）</w:t>
            </w:r>
          </w:p>
          <w:p>
            <w:pPr>
              <w:topLinePunct/>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2.1.9 项目物料平衡分析</w:t>
            </w:r>
          </w:p>
          <w:p>
            <w:pPr>
              <w:pStyle w:val="31"/>
              <w:topLinePunct/>
              <w:spacing w:after="0"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项目物料平衡见表2.1-6，具体物料平衡图见图2.1-2。</w:t>
            </w:r>
          </w:p>
          <w:p>
            <w:pPr>
              <w:pStyle w:val="30"/>
              <w:widowControl w:val="0"/>
              <w:topLinePunct/>
              <w:spacing w:before="0" w:after="0"/>
              <w:ind w:firstLine="0" w:firstLineChars="0"/>
              <w:jc w:val="center"/>
              <w:rPr>
                <w:rFonts w:hint="default" w:ascii="Times New Roman" w:hAnsi="Times New Roman" w:eastAsia="宋体" w:cs="Times New Roman"/>
                <w:b/>
                <w:bCs/>
                <w:color w:val="auto"/>
                <w:kern w:val="2"/>
                <w:sz w:val="24"/>
              </w:rPr>
            </w:pPr>
            <w:r>
              <w:rPr>
                <w:rFonts w:hint="default" w:ascii="Times New Roman" w:hAnsi="Times New Roman" w:eastAsia="宋体" w:cs="Times New Roman"/>
                <w:b/>
                <w:bCs/>
                <w:color w:val="auto"/>
                <w:kern w:val="2"/>
                <w:sz w:val="24"/>
                <w:szCs w:val="24"/>
              </w:rPr>
              <w:t xml:space="preserve">表2.1-6 </w:t>
            </w:r>
            <w:r>
              <w:rPr>
                <w:rFonts w:hint="eastAsia" w:cs="Times New Roman"/>
                <w:b/>
                <w:bCs/>
                <w:color w:val="auto"/>
                <w:kern w:val="2"/>
                <w:sz w:val="24"/>
                <w:szCs w:val="24"/>
                <w:lang w:eastAsia="zh-CN"/>
              </w:rPr>
              <w:t>汽车密封缸垫及消音片</w:t>
            </w:r>
            <w:r>
              <w:rPr>
                <w:rFonts w:hint="default" w:ascii="Times New Roman" w:hAnsi="Times New Roman" w:eastAsia="宋体" w:cs="Times New Roman"/>
                <w:b/>
                <w:bCs/>
                <w:color w:val="auto"/>
                <w:kern w:val="2"/>
                <w:sz w:val="24"/>
                <w:szCs w:val="24"/>
              </w:rPr>
              <w:t>生产线物料平衡表</w:t>
            </w:r>
          </w:p>
          <w:tbl>
            <w:tblPr>
              <w:tblStyle w:val="33"/>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728"/>
              <w:gridCol w:w="858"/>
              <w:gridCol w:w="860"/>
              <w:gridCol w:w="1944"/>
              <w:gridCol w:w="150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99" w:type="pct"/>
                  <w:gridSpan w:val="2"/>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投入</w:t>
                  </w:r>
                </w:p>
              </w:tc>
              <w:tc>
                <w:tcPr>
                  <w:tcW w:w="3000" w:type="pct"/>
                  <w:gridSpan w:val="4"/>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1003"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数量（t/a）</w:t>
                  </w:r>
                </w:p>
              </w:tc>
              <w:tc>
                <w:tcPr>
                  <w:tcW w:w="2125" w:type="pct"/>
                  <w:gridSpan w:val="3"/>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数量（t/a）</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镀锌铁卷</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rPr>
                  </w:pPr>
                  <w:r>
                    <w:rPr>
                      <w:rStyle w:val="57"/>
                      <w:rFonts w:hint="default" w:ascii="Times New Roman" w:hAnsi="Times New Roman" w:eastAsia="宋体" w:cs="Times New Roman"/>
                      <w:color w:val="auto"/>
                      <w:sz w:val="21"/>
                      <w:szCs w:val="21"/>
                    </w:rPr>
                    <w:t>125</w:t>
                  </w:r>
                </w:p>
              </w:tc>
              <w:tc>
                <w:tcPr>
                  <w:tcW w:w="997" w:type="pct"/>
                  <w:gridSpan w:val="2"/>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产品</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汽车密封缸垫及消音片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9</w:t>
                  </w:r>
                  <w:r>
                    <w:rPr>
                      <w:rFonts w:hint="default" w:ascii="Times New Roman" w:hAnsi="Times New Roman" w:eastAsia="宋体" w:cs="Times New Roman"/>
                      <w:color w:val="auto"/>
                      <w:szCs w:val="21"/>
                      <w:lang w:val="en-US" w:eastAsia="zh-CN"/>
                    </w:rPr>
                    <w:t>70.122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铁卷</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rPr>
                  </w:pPr>
                  <w:r>
                    <w:rPr>
                      <w:rStyle w:val="57"/>
                      <w:rFonts w:hint="default" w:ascii="Times New Roman" w:hAnsi="Times New Roman" w:eastAsia="宋体" w:cs="Times New Roman"/>
                      <w:color w:val="auto"/>
                      <w:sz w:val="21"/>
                      <w:szCs w:val="21"/>
                    </w:rPr>
                    <w:t>730</w:t>
                  </w:r>
                </w:p>
              </w:tc>
              <w:tc>
                <w:tcPr>
                  <w:tcW w:w="997" w:type="pct"/>
                  <w:gridSpan w:val="2"/>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废边角料</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85.781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不锈钢板</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rPr>
                  </w:pPr>
                  <w:r>
                    <w:rPr>
                      <w:rStyle w:val="57"/>
                      <w:rFonts w:hint="default" w:ascii="Times New Roman" w:hAnsi="Times New Roman" w:eastAsia="宋体" w:cs="Times New Roman"/>
                      <w:color w:val="auto"/>
                      <w:sz w:val="21"/>
                      <w:szCs w:val="21"/>
                    </w:rPr>
                    <w:t>125</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废胶粘剂</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kern w:val="2"/>
                      <w:sz w:val="21"/>
                      <w:szCs w:val="21"/>
                      <w:lang w:val="en-US" w:eastAsia="zh-CN" w:bidi="ar"/>
                    </w:rPr>
                  </w:pPr>
                  <w:r>
                    <w:rPr>
                      <w:rStyle w:val="57"/>
                      <w:rFonts w:hint="default" w:ascii="Times New Roman" w:hAnsi="Times New Roman" w:eastAsia="宋体" w:cs="Times New Roman"/>
                      <w:color w:val="auto"/>
                      <w:sz w:val="21"/>
                      <w:szCs w:val="21"/>
                    </w:rPr>
                    <w:t>混炼胶</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kern w:val="2"/>
                      <w:sz w:val="21"/>
                      <w:szCs w:val="21"/>
                      <w:lang w:val="en-US" w:eastAsia="zh-CN" w:bidi="ar-SA"/>
                    </w:rPr>
                  </w:pPr>
                  <w:r>
                    <w:rPr>
                      <w:rStyle w:val="57"/>
                      <w:rFonts w:hint="default" w:ascii="Times New Roman" w:hAnsi="Times New Roman" w:eastAsia="宋体" w:cs="Times New Roman"/>
                      <w:color w:val="auto"/>
                      <w:sz w:val="21"/>
                      <w:szCs w:val="21"/>
                    </w:rPr>
                    <w:t>77.28</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槽渣</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软化剂</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6.72</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废防锈槽液</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2.64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胶粘剂</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1.425</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隔油池浮油</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0.034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隔离剂</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1.01</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污泥</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0.262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生产用水</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lang w:val="en-US" w:eastAsia="zh-CN"/>
                    </w:rPr>
                    <w:t>2339.64</w:t>
                  </w:r>
                </w:p>
              </w:tc>
              <w:tc>
                <w:tcPr>
                  <w:tcW w:w="997" w:type="pct"/>
                  <w:gridSpan w:val="2"/>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废水</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蒸发损耗</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污水排放</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2265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lang w:bidi="ar"/>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98"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499"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非甲烷总烃</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含甲苯、二甲苯</w:t>
                  </w:r>
                  <w:r>
                    <w:rPr>
                      <w:rFonts w:hint="default" w:ascii="Times New Roman" w:hAnsi="Times New Roman" w:eastAsia="宋体" w:cs="Times New Roman"/>
                      <w:color w:val="auto"/>
                      <w:szCs w:val="21"/>
                      <w:lang w:eastAsia="zh-CN"/>
                    </w:rPr>
                    <w:t>）</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1.423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lang w:bidi="ar"/>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活性炭吸附</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lang w:val="en-US" w:eastAsia="zh-CN"/>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szCs w:val="21"/>
                      <w:lang w:val="en-US" w:eastAsia="zh-CN"/>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二硫化碳</w:t>
                  </w: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0.217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1003"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0.121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1003"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喷淋去除</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0.867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1003"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硫化氢</w:t>
                  </w: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喷淋去除</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小计</w:t>
                  </w:r>
                </w:p>
              </w:tc>
              <w:tc>
                <w:tcPr>
                  <w:tcW w:w="1003" w:type="pct"/>
                  <w:tcBorders>
                    <w:tl2br w:val="nil"/>
                    <w:tr2bl w:val="nil"/>
                  </w:tcBorders>
                  <w:vAlign w:val="center"/>
                </w:tcPr>
                <w:p>
                  <w:pPr>
                    <w:topLinePun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3406.075</w:t>
                  </w:r>
                </w:p>
              </w:tc>
              <w:tc>
                <w:tcPr>
                  <w:tcW w:w="997" w:type="pct"/>
                  <w:gridSpan w:val="2"/>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小计</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rPr>
                  </w:pPr>
                  <w:r>
                    <w:rPr>
                      <w:rFonts w:hint="eastAsia" w:cs="Times New Roman"/>
                      <w:color w:val="auto"/>
                      <w:sz w:val="21"/>
                      <w:szCs w:val="21"/>
                      <w:lang w:val="en-US" w:eastAsia="zh-CN"/>
                    </w:rPr>
                    <w:t>3406.075</w:t>
                  </w:r>
                </w:p>
              </w:tc>
            </w:tr>
          </w:tbl>
          <w:p>
            <w:pPr>
              <w:pStyle w:val="30"/>
              <w:ind w:firstLine="420"/>
              <w:rPr>
                <w:rFonts w:hint="default" w:ascii="Times New Roman" w:hAnsi="Times New Roman" w:eastAsia="宋体"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dxa"/>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845" w:type="dxa"/>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2.2 工艺流程和产排污环节</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2.2.1工艺流程</w:t>
            </w:r>
          </w:p>
          <w:p>
            <w:pPr>
              <w:pStyle w:val="10"/>
              <w:ind w:left="48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eastAsia="zh-CN"/>
              </w:rPr>
              <w:t>汽车密封缸垫及消音片</w:t>
            </w:r>
            <w:r>
              <w:rPr>
                <w:rFonts w:hint="default" w:ascii="Times New Roman" w:hAnsi="Times New Roman" w:eastAsia="宋体" w:cs="Times New Roman"/>
                <w:color w:val="auto"/>
              </w:rPr>
              <w:t>生产工艺流程和产排污环节</w:t>
            </w:r>
          </w:p>
          <w:p>
            <w:pPr>
              <w:pStyle w:val="10"/>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457825" cy="2053590"/>
                  <wp:effectExtent l="0" t="0" r="0" b="0"/>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12"/>
                          <a:stretch>
                            <a:fillRect/>
                          </a:stretch>
                        </pic:blipFill>
                        <pic:spPr>
                          <a:xfrm>
                            <a:off x="0" y="0"/>
                            <a:ext cx="5457825" cy="2053590"/>
                          </a:xfrm>
                          <a:prstGeom prst="rect">
                            <a:avLst/>
                          </a:prstGeom>
                        </pic:spPr>
                      </pic:pic>
                    </a:graphicData>
                  </a:graphic>
                </wp:inline>
              </w:drawing>
            </w:r>
          </w:p>
          <w:p>
            <w:pPr>
              <w:pStyle w:val="10"/>
              <w:spacing w:after="120" w:afterLines="50" w:line="240" w:lineRule="auto"/>
              <w:ind w:firstLine="0" w:firstLineChars="0"/>
              <w:jc w:val="center"/>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shd w:val="clear" w:color="auto" w:fill="FFFFFF"/>
              </w:rPr>
              <w:t xml:space="preserve">图2.2-1  </w:t>
            </w:r>
            <w:r>
              <w:rPr>
                <w:rFonts w:hint="eastAsia" w:cs="Times New Roman"/>
                <w:b/>
                <w:bCs/>
                <w:color w:val="auto"/>
                <w:szCs w:val="24"/>
                <w:shd w:val="clear" w:color="auto" w:fill="FFFFFF"/>
                <w:lang w:eastAsia="zh-CN"/>
              </w:rPr>
              <w:t>汽车密封缸垫及消音片</w:t>
            </w:r>
            <w:r>
              <w:rPr>
                <w:rFonts w:hint="default" w:ascii="Times New Roman" w:hAnsi="Times New Roman" w:eastAsia="宋体" w:cs="Times New Roman"/>
                <w:b/>
                <w:bCs/>
                <w:color w:val="auto"/>
                <w:szCs w:val="24"/>
                <w:shd w:val="clear" w:color="auto" w:fill="FFFFFF"/>
              </w:rPr>
              <w:t>生产工艺流程图</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工艺流程说明：</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（1）放卷、除油、水洗</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外购的镀锌铁卷、铁卷放卷后和不锈钢板进行除油、水洗，该工序配有2个超声波除油槽和1个超声波水洗槽，超声波除油槽内添加除油剂、清水，超声波水洗槽内为物料先经使用新鲜水进行喷洗，喷洗后清洗水回流至槽内进行超声波清洗。本项目除油、水洗过程处于弱碱性环境，结合除油剂成分，物料除油水洗过程中可不考虑重金属产生。该工序会产生废水、槽渣。</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（2）防锈</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金属铁板（指镀锌铁卷、铁卷）进行防锈，配有1个防锈液槽，防锈粉与清水按1:6配比成防锈液，防锈液循环使用，定期添加清水、防锈粉，1年更换1次。该工序会产生废防锈槽液。</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（3）烘干</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清洗后的金属板（指镀锌铁卷、铁卷和不锈钢板）通过烘道烘干水分，采用电加热，温度约140-150℃，该工序会产生少量水蒸气。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（4）涂胶、固化</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通过涂胶机的滚轴辊涂橡胶胶粘剂至金属板上，然后通过烘道进行固化，采用电加热，温度约80~90℃，该工序会产生废气。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（5）橡胶软化、研磨</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外购混炼胶和软化剂（二甲苯）按比例加入分散机进行搅拌，搅拌过程密闭进行，搅拌后形成半固体状的橡胶，分散机配备抽真空设备，搅拌完成后对分散机内部进行抽真空处理，以消除橡胶内的气泡，再经三辊研磨机对软化后的橡胶进行研磨，避免影响产品质量。该工序会产生软化</w:t>
            </w:r>
            <w:r>
              <w:rPr>
                <w:rFonts w:hint="eastAsia" w:cs="Times New Roman"/>
                <w:color w:val="auto"/>
                <w:lang w:eastAsia="zh-CN"/>
              </w:rPr>
              <w:t>、</w:t>
            </w:r>
            <w:r>
              <w:rPr>
                <w:rFonts w:hint="eastAsia" w:cs="Times New Roman"/>
                <w:color w:val="auto"/>
                <w:lang w:val="en-US" w:eastAsia="zh-CN"/>
              </w:rPr>
              <w:t>研磨</w:t>
            </w:r>
            <w:r>
              <w:rPr>
                <w:rFonts w:hint="default" w:ascii="Times New Roman" w:hAnsi="Times New Roman" w:eastAsia="宋体" w:cs="Times New Roman"/>
                <w:color w:val="auto"/>
              </w:rPr>
              <w:t>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（6）橡胶涂覆、烘干</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通过涂胶机将研磨后的橡胶均匀</w:t>
            </w:r>
            <w:r>
              <w:rPr>
                <w:rFonts w:hint="eastAsia" w:cs="Times New Roman"/>
                <w:color w:val="auto"/>
                <w:lang w:val="en-US" w:eastAsia="zh-CN"/>
              </w:rPr>
              <w:t>涂抹覆盖</w:t>
            </w:r>
            <w:r>
              <w:rPr>
                <w:rFonts w:hint="default" w:ascii="Times New Roman" w:hAnsi="Times New Roman" w:eastAsia="宋体" w:cs="Times New Roman"/>
                <w:color w:val="auto"/>
              </w:rPr>
              <w:t>于金属板上，单面厚度约0.07mm，涂覆完成即进入烘道进行烘干，采用电加热，温度约85-90℃。该工序会产生废气。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（7）硫化</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采用热硫化，经涂覆、烘干后的金属橡胶板进入鼓式硫化机，采用电加热，温度约120-150℃。该工序会产生硫化废气。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（8）涂隔离剂、固化</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经硫化后的物料进行隔离剂的辊涂后进入烘道进行烘干固化，采用电加热，温度约140-150℃，该过程会产生废气。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（9）收卷</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采用收卷机对固化好的板料进行收卷。</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（10）冲压</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利用冲压机整形后即为成品。</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2.2.2产污环节</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本次项目产污环节见表2.2-1。</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表2.2-1 本次项目产污环节一览表</w:t>
            </w:r>
          </w:p>
          <w:tbl>
            <w:tblPr>
              <w:tblStyle w:val="166"/>
              <w:tblW w:w="4998" w:type="pct"/>
              <w:jc w:val="center"/>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414"/>
              <w:gridCol w:w="1156"/>
              <w:gridCol w:w="2223"/>
              <w:gridCol w:w="2221"/>
              <w:gridCol w:w="2600"/>
            </w:tblGrid>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类别</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产污环节</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主要污染物</w:t>
                  </w:r>
                </w:p>
              </w:tc>
              <w:tc>
                <w:tcPr>
                  <w:tcW w:w="150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治理措施及排放去向</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橡胶软化、</w:t>
                  </w:r>
                  <w:r>
                    <w:rPr>
                      <w:rFonts w:hint="eastAsia" w:ascii="Times New Roman" w:hAnsi="Times New Roman" w:cs="Times New Roman"/>
                      <w:color w:val="auto"/>
                      <w:sz w:val="21"/>
                      <w:szCs w:val="21"/>
                      <w:lang w:val="en-US" w:eastAsia="zh-CN"/>
                    </w:rPr>
                    <w:t>研磨、</w:t>
                  </w:r>
                  <w:r>
                    <w:rPr>
                      <w:rFonts w:hint="default" w:ascii="Times New Roman" w:hAnsi="Times New Roman" w:eastAsia="宋体" w:cs="Times New Roman"/>
                      <w:color w:val="auto"/>
                      <w:sz w:val="21"/>
                      <w:szCs w:val="21"/>
                      <w:lang w:val="en-US" w:eastAsia="zh-CN"/>
                    </w:rPr>
                    <w:t>涂覆、烘干</w:t>
                  </w:r>
                  <w:r>
                    <w:rPr>
                      <w:rFonts w:hint="default" w:ascii="Times New Roman" w:hAnsi="Times New Roman" w:eastAsia="宋体" w:cs="Times New Roman"/>
                      <w:color w:val="auto"/>
                      <w:sz w:val="21"/>
                      <w:szCs w:val="21"/>
                    </w:rPr>
                    <w:t>废气</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r>
                    <w:rPr>
                      <w:rFonts w:hint="default" w:ascii="Times New Roman" w:hAnsi="Times New Roman" w:eastAsia="宋体" w:cs="Times New Roman"/>
                      <w:color w:val="auto"/>
                      <w:sz w:val="21"/>
                      <w:szCs w:val="21"/>
                      <w:lang w:eastAsia="zh-CN"/>
                    </w:rPr>
                    <w:t>、二甲苯</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经集气罩收集后经1套“活性炭吸附”处理后通过1根15m高排气筒（DA001）排放</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lang w:eastAsia="zh-CN"/>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lang w:eastAsia="zh-CN"/>
                    </w:rPr>
                    <w:t>废气</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lang w:val="en-US" w:eastAsia="zh-CN"/>
                    </w:rPr>
                    <w:t>二甲苯、</w:t>
                  </w:r>
                  <w:r>
                    <w:rPr>
                      <w:rFonts w:hint="default" w:ascii="Times New Roman" w:hAnsi="Times New Roman" w:eastAsia="宋体" w:cs="Times New Roman"/>
                      <w:color w:val="auto"/>
                      <w:sz w:val="21"/>
                      <w:szCs w:val="21"/>
                      <w:lang w:eastAsia="zh-CN"/>
                    </w:rPr>
                    <w:t>甲苯、二硫化碳、硫化氢</w:t>
                  </w:r>
                </w:p>
              </w:tc>
              <w:tc>
                <w:tcPr>
                  <w:tcW w:w="1509" w:type="pct"/>
                  <w:tcBorders>
                    <w:tl2br w:val="nil"/>
                    <w:tr2bl w:val="nil"/>
                  </w:tcBorders>
                  <w:vAlign w:val="center"/>
                </w:tcPr>
                <w:p>
                  <w:pPr>
                    <w:pStyle w:val="165"/>
                    <w:ind w:firstLine="84"/>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经集气罩收集后经1套“喷淋除雾+活性炭吸附”处理后通过1根15m高排气筒（DA002）排放</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restart"/>
                  <w:tcBorders>
                    <w:tl2br w:val="nil"/>
                    <w:tr2bl w:val="nil"/>
                  </w:tcBorders>
                  <w:textDirection w:val="tbRlV"/>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 水</w:t>
                  </w:r>
                </w:p>
              </w:tc>
              <w:tc>
                <w:tcPr>
                  <w:tcW w:w="671"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员工生活</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 、BOD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SS、</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经化粪池处理后排入元洪污水处理厂</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rPr>
                  </w:pPr>
                </w:p>
              </w:tc>
              <w:tc>
                <w:tcPr>
                  <w:tcW w:w="671" w:type="pct"/>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间接冷却</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pacing w:val="11"/>
                      <w:sz w:val="21"/>
                      <w:szCs w:val="21"/>
                    </w:rPr>
                    <w:t>₃-N</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循环使用不外排</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除油</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₃-N、石油类</w:t>
                  </w:r>
                </w:p>
              </w:tc>
              <w:tc>
                <w:tcPr>
                  <w:tcW w:w="1509" w:type="pct"/>
                  <w:vMerge w:val="restar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经厂内污水处理设施处理后排入元洪污水处理厂</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水洗</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₃-N、石油类</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废气喷淋</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11"/>
                      <w:sz w:val="21"/>
                      <w:szCs w:val="21"/>
                      <w:lang w:eastAsia="zh-CN"/>
                    </w:rPr>
                    <w:t>SS、</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循环使用不外排，定期更换</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restart"/>
                  <w:tcBorders>
                    <w:tl2br w:val="nil"/>
                    <w:tr2bl w:val="nil"/>
                  </w:tcBorders>
                  <w:textDirection w:val="tbRlV"/>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 废</w:t>
                  </w:r>
                </w:p>
              </w:tc>
              <w:tc>
                <w:tcPr>
                  <w:tcW w:w="671" w:type="pct"/>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 固废</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原辅料包装</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w:t>
                  </w:r>
                  <w:r>
                    <w:rPr>
                      <w:rFonts w:hint="default" w:ascii="Times New Roman" w:hAnsi="Times New Roman" w:eastAsia="宋体" w:cs="Times New Roman"/>
                      <w:color w:val="auto"/>
                      <w:sz w:val="21"/>
                      <w:szCs w:val="21"/>
                      <w:lang w:eastAsia="zh-CN"/>
                    </w:rPr>
                    <w:t>桶、</w:t>
                  </w:r>
                  <w:r>
                    <w:rPr>
                      <w:rFonts w:hint="default" w:ascii="Times New Roman" w:hAnsi="Times New Roman" w:eastAsia="宋体" w:cs="Times New Roman"/>
                      <w:color w:val="auto"/>
                      <w:sz w:val="21"/>
                      <w:szCs w:val="21"/>
                    </w:rPr>
                    <w:t>袋</w:t>
                  </w:r>
                </w:p>
              </w:tc>
              <w:tc>
                <w:tcPr>
                  <w:tcW w:w="1509" w:type="pct"/>
                  <w:vMerge w:val="restar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暂存于一般固废间，集中收集外售</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pStyle w:val="165"/>
                    <w:jc w:val="center"/>
                    <w:rPr>
                      <w:rFonts w:hint="default" w:ascii="Times New Roman" w:hAnsi="Times New Roman" w:eastAsia="宋体" w:cs="Times New Roman"/>
                      <w:color w:val="auto"/>
                      <w:sz w:val="21"/>
                      <w:szCs w:val="21"/>
                      <w:lang w:eastAsia="zh-CN"/>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冲压</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废边角料</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en-US"/>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污水处理</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污泥</w:t>
                  </w:r>
                </w:p>
              </w:tc>
              <w:tc>
                <w:tcPr>
                  <w:tcW w:w="1509" w:type="pct"/>
                  <w:vMerge w:val="continue"/>
                  <w:tcBorders>
                    <w:tl2br w:val="nil"/>
                    <w:tr2bl w:val="nil"/>
                  </w:tcBorders>
                  <w:vAlign w:val="center"/>
                </w:tcPr>
                <w:p>
                  <w:pPr>
                    <w:rPr>
                      <w:rFonts w:hint="default" w:ascii="Times New Roman" w:hAnsi="Times New Roman" w:eastAsia="宋体" w:cs="Times New Roman"/>
                      <w:color w:val="auto"/>
                      <w:sz w:val="21"/>
                      <w:szCs w:val="21"/>
                      <w:lang w:eastAsia="en-US"/>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涂胶</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废胶粘剂</w:t>
                  </w:r>
                </w:p>
              </w:tc>
              <w:tc>
                <w:tcPr>
                  <w:tcW w:w="1509" w:type="pct"/>
                  <w:vMerge w:val="restar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暂存于危险废物贮存库，定期委托有资质公司处置</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除油清洗</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槽渣</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防锈</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防锈槽液</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有毒有害废</w:t>
                  </w:r>
                  <w:r>
                    <w:rPr>
                      <w:rFonts w:hint="default" w:ascii="Times New Roman" w:hAnsi="Times New Roman" w:eastAsia="宋体" w:cs="Times New Roman"/>
                      <w:color w:val="auto"/>
                      <w:sz w:val="21"/>
                      <w:szCs w:val="21"/>
                    </w:rPr>
                    <w:t>包装</w:t>
                  </w:r>
                  <w:r>
                    <w:rPr>
                      <w:rFonts w:hint="default" w:ascii="Times New Roman" w:hAnsi="Times New Roman" w:eastAsia="宋体" w:cs="Times New Roman"/>
                      <w:color w:val="auto"/>
                      <w:sz w:val="21"/>
                      <w:szCs w:val="21"/>
                      <w:lang w:eastAsia="zh-CN"/>
                    </w:rPr>
                    <w:t>桶</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废包装桶</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废水处理设施</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隔油池浮油</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废水处理设施</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污泥</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废气处理设施</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废活性炭</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行政办公、生活</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废纸、果皮</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收集后委托环卫部门处理</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设备运行</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设备基础减振、墙体隔声</w:t>
                  </w:r>
                </w:p>
              </w:tc>
            </w:tr>
          </w:tbl>
          <w:p>
            <w:pPr>
              <w:pStyle w:val="22"/>
              <w:rPr>
                <w:rFonts w:hint="default" w:ascii="Times New Roman" w:hAnsi="Times New Roman" w:eastAsia="宋体"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dxa"/>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1"/>
                <w:szCs w:val="21"/>
              </w:rPr>
              <w:t>与项目有关的原有环境污染问题</w:t>
            </w:r>
          </w:p>
        </w:tc>
        <w:tc>
          <w:tcPr>
            <w:tcW w:w="8845" w:type="dxa"/>
            <w:vAlign w:val="center"/>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2.3 现有工程概况</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2.3.1 环保手续履行情况</w:t>
            </w:r>
          </w:p>
          <w:p>
            <w:pPr>
              <w:pStyle w:val="31"/>
              <w:widowControl w:val="0"/>
              <w:topLinePunct/>
              <w:spacing w:after="0" w:line="360" w:lineRule="auto"/>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福清市安耐达密封材料有限公司主要从事金属涂胶板、密封板材、橡胶制品、制造及销售，</w:t>
            </w:r>
            <w:r>
              <w:rPr>
                <w:rFonts w:hint="eastAsia" w:cs="Times New Roman"/>
                <w:color w:val="auto"/>
                <w:sz w:val="24"/>
                <w:szCs w:val="24"/>
                <w:lang w:val="en-US" w:eastAsia="zh-CN"/>
              </w:rPr>
              <w:t>2017年委托编制了《</w:t>
            </w:r>
            <w:r>
              <w:rPr>
                <w:rFonts w:hint="default" w:ascii="Times New Roman" w:hAnsi="Times New Roman" w:eastAsia="宋体" w:cs="Times New Roman"/>
                <w:color w:val="auto"/>
                <w:sz w:val="24"/>
                <w:szCs w:val="24"/>
              </w:rPr>
              <w:t>福清市安耐达密封材料有限公司</w:t>
            </w:r>
            <w:r>
              <w:rPr>
                <w:rFonts w:hint="eastAsia" w:cs="Times New Roman"/>
                <w:color w:val="auto"/>
                <w:sz w:val="24"/>
                <w:szCs w:val="24"/>
                <w:lang w:val="en-US" w:eastAsia="zh-CN"/>
              </w:rPr>
              <w:t>年产50万m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金属橡胶复合板材料项目环境影响报告书》，并取得福州市生态环境局批复（</w:t>
            </w:r>
            <w:r>
              <w:rPr>
                <w:rFonts w:ascii="Times New Roman" w:hAnsi="Times New Roman" w:cs="Times New Roman"/>
                <w:bCs/>
                <w:color w:val="auto"/>
                <w:sz w:val="24"/>
                <w:szCs w:val="24"/>
              </w:rPr>
              <w:t>融环评（2017）9号</w:t>
            </w:r>
            <w:r>
              <w:rPr>
                <w:rFonts w:hint="eastAsia" w:cs="Times New Roman"/>
                <w:color w:val="auto"/>
                <w:sz w:val="24"/>
                <w:szCs w:val="24"/>
                <w:lang w:val="en-US" w:eastAsia="zh-CN"/>
              </w:rPr>
              <w:t>），该项目位于</w:t>
            </w:r>
            <w:r>
              <w:rPr>
                <w:rFonts w:ascii="Times New Roman" w:hAnsi="Times New Roman" w:cs="Times New Roman"/>
                <w:color w:val="auto"/>
                <w:sz w:val="24"/>
                <w:szCs w:val="24"/>
              </w:rPr>
              <w:t>福清市海口镇牛宅村福清联杰汽摩配件有限公司车间二</w:t>
            </w:r>
            <w:r>
              <w:rPr>
                <w:rFonts w:hint="eastAsia" w:ascii="Times New Roman" w:hAnsi="Times New Roman" w:cs="Times New Roman"/>
                <w:color w:val="auto"/>
                <w:sz w:val="24"/>
                <w:szCs w:val="24"/>
              </w:rPr>
              <w:t>（位于</w:t>
            </w:r>
            <w:r>
              <w:rPr>
                <w:rFonts w:hint="eastAsia" w:cs="Times New Roman"/>
                <w:color w:val="auto"/>
                <w:sz w:val="24"/>
                <w:szCs w:val="24"/>
                <w:lang w:val="en-US" w:eastAsia="zh-CN"/>
              </w:rPr>
              <w:t>扩建</w:t>
            </w:r>
            <w:r>
              <w:rPr>
                <w:rFonts w:hint="eastAsia" w:ascii="Times New Roman" w:hAnsi="Times New Roman" w:cs="Times New Roman"/>
                <w:color w:val="auto"/>
                <w:sz w:val="24"/>
                <w:szCs w:val="24"/>
              </w:rPr>
              <w:t>工程</w:t>
            </w:r>
            <w:r>
              <w:rPr>
                <w:rFonts w:hint="eastAsia" w:cs="Times New Roman"/>
                <w:color w:val="auto"/>
                <w:sz w:val="24"/>
                <w:szCs w:val="24"/>
                <w:lang w:val="en-US" w:eastAsia="zh-CN"/>
              </w:rPr>
              <w:t>西南</w:t>
            </w:r>
            <w:r>
              <w:rPr>
                <w:rFonts w:hint="eastAsia" w:ascii="Times New Roman" w:hAnsi="Times New Roman" w:cs="Times New Roman"/>
                <w:color w:val="auto"/>
                <w:sz w:val="24"/>
                <w:szCs w:val="24"/>
              </w:rPr>
              <w:t>侧580m处）</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2018年开工建设，同年7月进行调试，并于2018年10月竣工，在2018年9月28日申领了排污许可证，与2018年12月18日开展并通过自主验收，</w:t>
            </w:r>
            <w:r>
              <w:rPr>
                <w:rFonts w:hint="default" w:ascii="Times New Roman" w:hAnsi="Times New Roman" w:eastAsia="宋体" w:cs="Times New Roman"/>
                <w:color w:val="auto"/>
                <w:sz w:val="24"/>
                <w:szCs w:val="24"/>
              </w:rPr>
              <w:t>年产50万m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金属橡胶复合板材料项目</w:t>
            </w:r>
            <w:r>
              <w:rPr>
                <w:rFonts w:hint="eastAsia" w:cs="Times New Roman"/>
                <w:color w:val="auto"/>
                <w:sz w:val="24"/>
                <w:szCs w:val="24"/>
                <w:lang w:val="en-US" w:eastAsia="zh-CN"/>
              </w:rPr>
              <w:t>。</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2.3.2 生产工艺流程及产污环节</w:t>
            </w:r>
          </w:p>
          <w:p>
            <w:pPr>
              <w:pStyle w:val="30"/>
              <w:ind w:firstLine="0" w:firstLineChars="0"/>
              <w:jc w:val="center"/>
              <w:outlineLvl w:val="9"/>
              <w:rPr>
                <w:rFonts w:hint="default" w:ascii="Times New Roman" w:hAnsi="Times New Roman" w:eastAsia="宋体" w:cs="Times New Roman"/>
                <w:color w:val="auto"/>
              </w:rPr>
            </w:pPr>
            <w:r>
              <w:rPr>
                <w:color w:val="auto"/>
              </w:rPr>
              <w:drawing>
                <wp:inline distT="0" distB="0" distL="114300" distR="114300">
                  <wp:extent cx="5400675" cy="6238875"/>
                  <wp:effectExtent l="0" t="0" r="9525" b="952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3"/>
                          <a:stretch>
                            <a:fillRect/>
                          </a:stretch>
                        </pic:blipFill>
                        <pic:spPr>
                          <a:xfrm>
                            <a:off x="0" y="0"/>
                            <a:ext cx="5400675" cy="6238875"/>
                          </a:xfrm>
                          <a:prstGeom prst="rect">
                            <a:avLst/>
                          </a:prstGeom>
                          <a:noFill/>
                          <a:ln>
                            <a:noFill/>
                          </a:ln>
                        </pic:spPr>
                      </pic:pic>
                    </a:graphicData>
                  </a:graphic>
                </wp:inline>
              </w:drawing>
            </w:r>
          </w:p>
          <w:p>
            <w:pPr>
              <w:jc w:val="center"/>
              <w:outlineLvl w:val="9"/>
              <w:rPr>
                <w:rFonts w:hint="default" w:ascii="Times New Roman" w:hAnsi="Times New Roman" w:eastAsia="宋体" w:cs="Times New Roman"/>
                <w:b/>
                <w:bCs/>
                <w:color w:val="auto"/>
                <w:sz w:val="24"/>
                <w:szCs w:val="24"/>
                <w:shd w:val="clear" w:color="auto" w:fill="FFFFFF"/>
              </w:rPr>
            </w:pPr>
            <w:r>
              <w:rPr>
                <w:rFonts w:hint="default" w:ascii="Times New Roman" w:hAnsi="Times New Roman" w:eastAsia="宋体" w:cs="Times New Roman"/>
                <w:b/>
                <w:bCs/>
                <w:color w:val="auto"/>
                <w:sz w:val="24"/>
                <w:szCs w:val="24"/>
                <w:shd w:val="clear" w:color="auto" w:fill="FFFFFF"/>
              </w:rPr>
              <w:t>图2.3-1  生产工艺流程及产污环节图</w:t>
            </w:r>
          </w:p>
          <w:p>
            <w:pPr>
              <w:spacing w:line="360" w:lineRule="auto"/>
              <w:ind w:firstLine="482" w:firstLineChars="200"/>
              <w:jc w:val="both"/>
              <w:rPr>
                <w:rFonts w:ascii="Times New Roman" w:hAnsi="Times New Roman" w:cs="Times New Roman"/>
                <w:b/>
                <w:color w:val="auto"/>
              </w:rPr>
            </w:pPr>
            <w:r>
              <w:rPr>
                <w:rFonts w:ascii="Times New Roman" w:hAnsi="Times New Roman" w:cs="Times New Roman"/>
                <w:b/>
                <w:color w:val="auto"/>
              </w:rPr>
              <w:t>生产工艺说明</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（1）橡胶部分</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①配料：</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各种原材料外购先进入项目原料仓库，工人根据配比将碳黑，硬脂酸、氧化锌、树脂、硫磺、防老剂RD、促进剂TMTD、乙二酸二辛酯、轻质碳酸钙等各种化工原料在配料室用电子秤称量后按照相应的比例配料装盘，投料过程直接用装配好的袋装原料。</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在配料过程中碳黑和其它小粉料由于颗粒直径很小，比重较轻，起尘网速低，容易溢散而造成颗粒物污染，产生扬尘G1。</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②密炼</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首先是将配置好的胶料人工放入密炼机（电加温，密炼温度约90℃）进行密炼，密炼过程为全密闭环境，根据软硬度相应的添加辅料。为了控制密炼温度，密炼机辊筒需要采取间接水冷，冷却水循环使用。</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密炼的工作原理：密炼机工作时，两转子相对回转，将来自加料口的物料夹住带入辊缝受到转子的挤压和剪切，穿过辊缝后碰到下顶拴尖棱被分成两部分，分别沿前后室壁与转子之间缝隙再回到辊隙上方。</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绕转子流动的一周中，物料处处受到剪切和摩擦作用，使胶料的温度急剧上升，粘度降低，增加了橡胶在配合剂表面的湿润性，使橡胶与配合剂表面充分接触。配合剂团块随胶料一起通过转子与转子间隙、转子与上、下顶拴、密炼室内壁的间隙，受到剪切而破碎，被拉伸变形的橡胶包围，稳定在破碎状态。同时，转子上的凸棱使胶料沿转子的轴向运动，起到搅拌混合作用，使配合剂在胶料中混合均匀。配合剂如此反复剪切破碎，胶料反复产生变形和恢复变形，转子凸棱的不断搅拌，使配合剂在胶料中分散均匀，并达到一定的分散度。</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由于密炼机混炼时胶料受到的剪切作用比开炼机大得多，炼胶温度高，使得密炼机炼胶的效率大大高于开炼机。该工序生产中由于倾倒原料时会产生扬尘G2，在高温炼过程中会产生炼胶废气G3，设备运行过程中会产生噪声N1。</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③开炼</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密炼中进行混炼使胶料混合均匀，需要再经开炼机开炼，开炼机开炼过程为了控制开炼温度，开炼机辊筒需要采取间接水冷，冷却水循环使用，控制开炼温度50℃以内，经开炼机塑炼成片，开炼过程为敞开环境。</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该工序生产中会产生炼胶废气G4，设备运行过程中会产生噪声N2。</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（2）金属部分</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①除油</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金属部分采用外购铁卷，需要对其进行表面除油处理，使表面光滑，然后清洗干净后进行浸胶。</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项目每条生产线各设3个除油槽，每个槽体规格为0.8m×1m×1.55m，槽液主要成分为除油剂，除油槽液循环使用，一个月对槽体清捞一次，一年排放一次。</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每条生产线设有3个清洗槽为0.8m×1m×1.55m，其中第一道清洗槽为回收槽，清洗废水回收于除油槽中，另外2道清洗槽为溢流逆流清洗，每个生产线设有并设有1个管径为2.5cm的水龙头，流量1.5m</w:t>
            </w:r>
            <w:r>
              <w:rPr>
                <w:rFonts w:ascii="Times New Roman" w:hAnsi="Times New Roman" w:cs="Times New Roman"/>
                <w:color w:val="auto"/>
                <w:vertAlign w:val="superscript"/>
              </w:rPr>
              <w:t>3</w:t>
            </w:r>
            <w:r>
              <w:rPr>
                <w:rFonts w:ascii="Times New Roman" w:hAnsi="Times New Roman" w:cs="Times New Roman"/>
                <w:color w:val="auto"/>
              </w:rPr>
              <w:t>/h。</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该工序生产中会产生清捞废物S2、除油废槽液及清洗废水W1、W2。</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②浸胶、烘干</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项目采用辊涂法对金属件进行浸涂，涂胶的作用是为了使橡胶和金属件粘合时，提高抗渗透能力，增加对底材的保护，稳定金属表面层，增加胶和金属表面的附着力。</w:t>
            </w:r>
            <w:r>
              <w:rPr>
                <w:rFonts w:ascii="Times New Roman" w:hAnsi="Times New Roman" w:cs="Times New Roman"/>
                <w:bCs/>
                <w:color w:val="auto"/>
              </w:rPr>
              <w:t>涂胶后在100℃烘箱中干燥10分钟，能源为电。在烘干过程中为了控制温度，需用水对设备进行间接冷却。</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该工序生产中会产生非甲烷总烃废气G5，设备运行过程中会产生噪声N3。</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（3）压延</w:t>
            </w:r>
          </w:p>
          <w:p>
            <w:pPr>
              <w:spacing w:line="360" w:lineRule="auto"/>
              <w:ind w:firstLine="480" w:firstLineChars="200"/>
              <w:jc w:val="both"/>
              <w:rPr>
                <w:rFonts w:ascii="Times New Roman" w:hAnsi="Times New Roman" w:cs="Times New Roman"/>
                <w:bCs/>
                <w:color w:val="auto"/>
              </w:rPr>
            </w:pPr>
            <w:r>
              <w:rPr>
                <w:rFonts w:ascii="Times New Roman" w:hAnsi="Times New Roman" w:cs="Times New Roman"/>
                <w:color w:val="auto"/>
              </w:rPr>
              <w:t>利用压延机两个等速的辊筒的压力将铁卷和橡胶贴合在一起，压延温度为100</w:t>
            </w:r>
            <w:r>
              <w:rPr>
                <w:rFonts w:ascii="Times New Roman" w:hAnsi="Times New Roman" w:cs="Times New Roman"/>
                <w:bCs/>
                <w:color w:val="auto"/>
              </w:rPr>
              <w:t>℃，在压延过程中为了保护辊轮，需用水对设备进行间接冷却。</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该工序设备运行过程中会产生噪声N4。</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（4）硫化</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橡胶和铁卷压延粘合后进入硫化工序。该工序是橡胶大分子在加热下与交联剂硫磺发生化学反应，交联成为立体网状结构的过程。</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橡胶硫化的原理就是添加混合在橡胶中的硫化剂等体系，通过形成铰链结构，而改进橡胶的性能。橡胶硫化是一个不可逆的过程，铰链结构主要是通过硫磺来完成，当然现在硫化体系也包括其他的试剂。硫化方法多种多样，最经济的也是最重要的硫化方法就是高温和高压下进行硫化反应。本项目采用鼓式硫化机进行硫化，硫化温度为170</w:t>
            </w:r>
            <w:r>
              <w:rPr>
                <w:rFonts w:ascii="Times New Roman" w:hAnsi="Times New Roman" w:cs="Times New Roman"/>
                <w:bCs/>
                <w:color w:val="auto"/>
              </w:rPr>
              <w:t>℃，采用电作为能源，时间为3分钟。</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该工序会产生硫化废气G6、设备运行过程中会产生噪声N5。</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（5）涂隔离剂</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在橡胶制品生产过程中，由于混炼胶的自粘性，胶料在加工过程中会相互粘连，造成加工和运输固难，因此，在混炼胶最终制成成品前，在胶片上涂一层隔离剂，以防止胶片粘连。</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本项目采用混涂的方式，对产品涂一层隔离剂，该工序生产过程中会产生非甲烷总烃及甲苯气体G7、设备运行过程中会产生噪声N6。</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（6）涂不干胶</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部分产生根据下游产品需要，需要涂上不干胶。项目通过涂布机将胶浆把牛皮纸和产品粘合在一起，再进入烘干机进行烘干，烘干温度为100</w:t>
            </w:r>
            <w:r>
              <w:rPr>
                <w:rFonts w:ascii="Times New Roman" w:hAnsi="Times New Roman" w:cs="Times New Roman"/>
                <w:bCs/>
                <w:color w:val="auto"/>
              </w:rPr>
              <w:t>℃，热源为电能</w:t>
            </w:r>
            <w:r>
              <w:rPr>
                <w:rFonts w:ascii="Times New Roman" w:hAnsi="Times New Roman" w:cs="Times New Roman"/>
                <w:color w:val="auto"/>
              </w:rPr>
              <w:t>。该工序生产过程中会产生非甲烷总烃G8、设备运行过程中会产生噪声N7。</w:t>
            </w:r>
          </w:p>
          <w:p>
            <w:pPr>
              <w:spacing w:line="360" w:lineRule="auto"/>
              <w:ind w:firstLine="482" w:firstLineChars="200"/>
              <w:jc w:val="both"/>
              <w:rPr>
                <w:rFonts w:ascii="Times New Roman" w:hAnsi="Times New Roman" w:cs="Times New Roman"/>
                <w:b/>
                <w:color w:val="auto"/>
              </w:rPr>
            </w:pPr>
            <w:r>
              <w:rPr>
                <w:rFonts w:ascii="Times New Roman" w:hAnsi="Times New Roman" w:cs="Times New Roman"/>
                <w:b/>
                <w:color w:val="auto"/>
              </w:rPr>
              <w:t>产污环节</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根据工艺流程可知：项目生产过程中的主要产污工序见表</w:t>
            </w:r>
            <w:r>
              <w:rPr>
                <w:rFonts w:hint="eastAsia" w:ascii="Times New Roman" w:hAnsi="Times New Roman" w:cs="Times New Roman"/>
                <w:color w:val="auto"/>
                <w:lang w:val="en-US" w:eastAsia="zh-CN"/>
              </w:rPr>
              <w:t>2.3-1</w:t>
            </w:r>
            <w:r>
              <w:rPr>
                <w:rFonts w:ascii="Times New Roman" w:hAnsi="Times New Roman" w:cs="Times New Roman"/>
                <w:color w:val="auto"/>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w:t>
            </w:r>
            <w:r>
              <w:rPr>
                <w:rFonts w:hint="eastAsia" w:cs="Times New Roman"/>
                <w:b/>
                <w:bCs/>
                <w:color w:val="auto"/>
                <w:shd w:val="clear" w:color="auto" w:fill="FFFFFF"/>
                <w:lang w:val="en-US" w:eastAsia="zh-CN"/>
              </w:rPr>
              <w:t>2.3-1</w:t>
            </w:r>
            <w:r>
              <w:rPr>
                <w:rFonts w:hint="default" w:ascii="Times New Roman" w:hAnsi="Times New Roman" w:eastAsia="宋体" w:cs="Times New Roman"/>
                <w:b/>
                <w:bCs/>
                <w:color w:val="auto"/>
                <w:shd w:val="clear" w:color="auto" w:fill="FFFFFF"/>
              </w:rPr>
              <w:t xml:space="preserve">  产污环节和污染物组成</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874"/>
              <w:gridCol w:w="1125"/>
              <w:gridCol w:w="3369"/>
              <w:gridCol w:w="241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l2br w:val="nil"/>
                    <w:tr2bl w:val="nil"/>
                  </w:tcBorders>
                  <w:noWrap w:val="0"/>
                  <w:vAlign w:val="center"/>
                </w:tcPr>
                <w:p>
                  <w:pPr>
                    <w:pStyle w:val="195"/>
                    <w:spacing w:before="0" w:after="0"/>
                    <w:rPr>
                      <w:color w:val="auto"/>
                      <w:szCs w:val="21"/>
                    </w:rPr>
                  </w:pPr>
                  <w:r>
                    <w:rPr>
                      <w:color w:val="auto"/>
                      <w:szCs w:val="21"/>
                    </w:rPr>
                    <w:t>类别</w:t>
                  </w:r>
                </w:p>
              </w:tc>
              <w:tc>
                <w:tcPr>
                  <w:tcW w:w="507" w:type="pct"/>
                  <w:tcBorders>
                    <w:tl2br w:val="nil"/>
                    <w:tr2bl w:val="nil"/>
                  </w:tcBorders>
                  <w:noWrap w:val="0"/>
                  <w:vAlign w:val="center"/>
                </w:tcPr>
                <w:p>
                  <w:pPr>
                    <w:pStyle w:val="195"/>
                    <w:spacing w:before="0" w:after="0"/>
                    <w:rPr>
                      <w:color w:val="auto"/>
                      <w:szCs w:val="21"/>
                    </w:rPr>
                  </w:pPr>
                  <w:r>
                    <w:rPr>
                      <w:color w:val="auto"/>
                      <w:szCs w:val="21"/>
                    </w:rPr>
                    <w:t>编号</w:t>
                  </w:r>
                </w:p>
              </w:tc>
              <w:tc>
                <w:tcPr>
                  <w:tcW w:w="653" w:type="pct"/>
                  <w:tcBorders>
                    <w:tl2br w:val="nil"/>
                    <w:tr2bl w:val="nil"/>
                  </w:tcBorders>
                  <w:noWrap w:val="0"/>
                  <w:vAlign w:val="center"/>
                </w:tcPr>
                <w:p>
                  <w:pPr>
                    <w:pStyle w:val="195"/>
                    <w:spacing w:before="0" w:after="0"/>
                    <w:rPr>
                      <w:color w:val="auto"/>
                      <w:szCs w:val="21"/>
                    </w:rPr>
                  </w:pPr>
                  <w:r>
                    <w:rPr>
                      <w:color w:val="auto"/>
                      <w:szCs w:val="21"/>
                    </w:rPr>
                    <w:t>污染来源</w:t>
                  </w:r>
                </w:p>
              </w:tc>
              <w:tc>
                <w:tcPr>
                  <w:tcW w:w="1955" w:type="pct"/>
                  <w:tcBorders>
                    <w:tl2br w:val="nil"/>
                    <w:tr2bl w:val="nil"/>
                  </w:tcBorders>
                  <w:noWrap w:val="0"/>
                  <w:vAlign w:val="center"/>
                </w:tcPr>
                <w:p>
                  <w:pPr>
                    <w:pStyle w:val="195"/>
                    <w:spacing w:before="0" w:after="0"/>
                    <w:rPr>
                      <w:color w:val="auto"/>
                      <w:szCs w:val="21"/>
                    </w:rPr>
                  </w:pPr>
                  <w:r>
                    <w:rPr>
                      <w:color w:val="auto"/>
                      <w:szCs w:val="21"/>
                    </w:rPr>
                    <w:t>主要污染物</w:t>
                  </w:r>
                </w:p>
              </w:tc>
              <w:tc>
                <w:tcPr>
                  <w:tcW w:w="1398" w:type="pct"/>
                  <w:tcBorders>
                    <w:tl2br w:val="nil"/>
                    <w:tr2bl w:val="nil"/>
                  </w:tcBorders>
                  <w:noWrap w:val="0"/>
                  <w:vAlign w:val="center"/>
                </w:tcPr>
                <w:p>
                  <w:pPr>
                    <w:pStyle w:val="195"/>
                    <w:spacing w:before="0" w:after="0"/>
                    <w:rPr>
                      <w:color w:val="auto"/>
                      <w:szCs w:val="21"/>
                    </w:rPr>
                  </w:pPr>
                  <w:r>
                    <w:rPr>
                      <w:color w:val="auto"/>
                      <w:szCs w:val="21"/>
                    </w:rPr>
                    <w:t>去向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pacing w:before="0" w:after="0"/>
                    <w:rPr>
                      <w:color w:val="auto"/>
                      <w:szCs w:val="21"/>
                    </w:rPr>
                  </w:pPr>
                  <w:r>
                    <w:rPr>
                      <w:color w:val="auto"/>
                      <w:szCs w:val="21"/>
                    </w:rPr>
                    <w:t>废水</w:t>
                  </w:r>
                </w:p>
              </w:tc>
              <w:tc>
                <w:tcPr>
                  <w:tcW w:w="507" w:type="pct"/>
                  <w:tcBorders>
                    <w:tl2br w:val="nil"/>
                    <w:tr2bl w:val="nil"/>
                  </w:tcBorders>
                  <w:noWrap w:val="0"/>
                  <w:vAlign w:val="center"/>
                </w:tcPr>
                <w:p>
                  <w:pPr>
                    <w:pStyle w:val="195"/>
                    <w:spacing w:before="0" w:after="0"/>
                    <w:rPr>
                      <w:color w:val="auto"/>
                      <w:szCs w:val="21"/>
                    </w:rPr>
                  </w:pPr>
                  <w:r>
                    <w:rPr>
                      <w:color w:val="auto"/>
                      <w:szCs w:val="21"/>
                    </w:rPr>
                    <w:t>W1</w:t>
                  </w:r>
                </w:p>
              </w:tc>
              <w:tc>
                <w:tcPr>
                  <w:tcW w:w="653" w:type="pct"/>
                  <w:tcBorders>
                    <w:tl2br w:val="nil"/>
                    <w:tr2bl w:val="nil"/>
                  </w:tcBorders>
                  <w:noWrap w:val="0"/>
                  <w:vAlign w:val="center"/>
                </w:tcPr>
                <w:p>
                  <w:pPr>
                    <w:pStyle w:val="195"/>
                    <w:spacing w:before="0" w:after="0"/>
                    <w:rPr>
                      <w:color w:val="auto"/>
                      <w:szCs w:val="21"/>
                    </w:rPr>
                  </w:pPr>
                  <w:r>
                    <w:rPr>
                      <w:color w:val="auto"/>
                      <w:szCs w:val="21"/>
                    </w:rPr>
                    <w:t>除油工序</w:t>
                  </w:r>
                </w:p>
              </w:tc>
              <w:tc>
                <w:tcPr>
                  <w:tcW w:w="1955" w:type="pct"/>
                  <w:vMerge w:val="restar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pH、COD</w:t>
                  </w:r>
                  <w:r>
                    <w:rPr>
                      <w:rFonts w:ascii="Times New Roman" w:hAnsi="Times New Roman" w:cs="Times New Roman"/>
                      <w:color w:val="auto"/>
                      <w:sz w:val="21"/>
                      <w:szCs w:val="21"/>
                      <w:vertAlign w:val="subscript"/>
                    </w:rPr>
                    <w:t>cr</w:t>
                  </w:r>
                  <w:r>
                    <w:rPr>
                      <w:rFonts w:ascii="Times New Roman" w:hAnsi="Times New Roman" w:cs="Times New Roman"/>
                      <w:color w:val="auto"/>
                      <w:sz w:val="21"/>
                      <w:szCs w:val="21"/>
                    </w:rPr>
                    <w:t>、总磷、氨氮、石油类</w:t>
                  </w:r>
                </w:p>
              </w:tc>
              <w:tc>
                <w:tcPr>
                  <w:tcW w:w="1398" w:type="pct"/>
                  <w:vMerge w:val="restart"/>
                  <w:tcBorders>
                    <w:tl2br w:val="nil"/>
                    <w:tr2bl w:val="nil"/>
                  </w:tcBorders>
                  <w:noWrap w:val="0"/>
                  <w:vAlign w:val="center"/>
                </w:tcPr>
                <w:p>
                  <w:pPr>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综合废水处理系统</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W2</w:t>
                  </w:r>
                </w:p>
              </w:tc>
              <w:tc>
                <w:tcPr>
                  <w:tcW w:w="653" w:type="pct"/>
                  <w:tcBorders>
                    <w:tl2br w:val="nil"/>
                    <w:tr2bl w:val="nil"/>
                  </w:tcBorders>
                  <w:noWrap w:val="0"/>
                  <w:vAlign w:val="center"/>
                </w:tcPr>
                <w:p>
                  <w:pPr>
                    <w:pStyle w:val="195"/>
                    <w:spacing w:before="0" w:after="0"/>
                    <w:rPr>
                      <w:color w:val="auto"/>
                      <w:szCs w:val="21"/>
                    </w:rPr>
                  </w:pPr>
                  <w:r>
                    <w:rPr>
                      <w:color w:val="auto"/>
                      <w:szCs w:val="21"/>
                    </w:rPr>
                    <w:t>水洗工序</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pacing w:before="0" w:after="0"/>
                    <w:rPr>
                      <w:color w:val="auto"/>
                      <w:szCs w:val="21"/>
                    </w:rPr>
                  </w:pPr>
                  <w:r>
                    <w:rPr>
                      <w:color w:val="auto"/>
                      <w:szCs w:val="21"/>
                    </w:rPr>
                    <w:t>废气</w:t>
                  </w:r>
                </w:p>
              </w:tc>
              <w:tc>
                <w:tcPr>
                  <w:tcW w:w="507" w:type="pct"/>
                  <w:tcBorders>
                    <w:tl2br w:val="nil"/>
                    <w:tr2bl w:val="nil"/>
                  </w:tcBorders>
                  <w:noWrap w:val="0"/>
                  <w:vAlign w:val="center"/>
                </w:tcPr>
                <w:p>
                  <w:pPr>
                    <w:pStyle w:val="195"/>
                    <w:spacing w:before="0" w:after="0"/>
                    <w:rPr>
                      <w:color w:val="auto"/>
                      <w:szCs w:val="21"/>
                    </w:rPr>
                  </w:pPr>
                  <w:r>
                    <w:rPr>
                      <w:color w:val="auto"/>
                      <w:szCs w:val="21"/>
                    </w:rPr>
                    <w:t>G1</w:t>
                  </w:r>
                </w:p>
              </w:tc>
              <w:tc>
                <w:tcPr>
                  <w:tcW w:w="653" w:type="pct"/>
                  <w:tcBorders>
                    <w:tl2br w:val="nil"/>
                    <w:tr2bl w:val="nil"/>
                  </w:tcBorders>
                  <w:noWrap w:val="0"/>
                  <w:vAlign w:val="center"/>
                </w:tcPr>
                <w:p>
                  <w:pPr>
                    <w:pStyle w:val="195"/>
                    <w:spacing w:before="0" w:after="0"/>
                    <w:rPr>
                      <w:color w:val="auto"/>
                      <w:szCs w:val="21"/>
                    </w:rPr>
                  </w:pPr>
                  <w:r>
                    <w:rPr>
                      <w:color w:val="auto"/>
                      <w:szCs w:val="21"/>
                    </w:rPr>
                    <w:t>配料</w:t>
                  </w:r>
                </w:p>
              </w:tc>
              <w:tc>
                <w:tcPr>
                  <w:tcW w:w="1955" w:type="pct"/>
                  <w:tcBorders>
                    <w:tl2br w:val="nil"/>
                    <w:tr2bl w:val="nil"/>
                  </w:tcBorders>
                  <w:noWrap w:val="0"/>
                  <w:vAlign w:val="center"/>
                </w:tcPr>
                <w:p>
                  <w:pPr>
                    <w:pStyle w:val="195"/>
                    <w:spacing w:before="0" w:after="0"/>
                    <w:rPr>
                      <w:color w:val="auto"/>
                      <w:szCs w:val="21"/>
                    </w:rPr>
                  </w:pPr>
                  <w:r>
                    <w:rPr>
                      <w:color w:val="auto"/>
                      <w:szCs w:val="21"/>
                    </w:rPr>
                    <w:t>粉尘</w:t>
                  </w:r>
                </w:p>
              </w:tc>
              <w:tc>
                <w:tcPr>
                  <w:tcW w:w="1398" w:type="pct"/>
                  <w:vMerge w:val="restart"/>
                  <w:tcBorders>
                    <w:tl2br w:val="nil"/>
                    <w:tr2bl w:val="nil"/>
                  </w:tcBorders>
                  <w:noWrap w:val="0"/>
                  <w:vAlign w:val="center"/>
                </w:tcPr>
                <w:p>
                  <w:pPr>
                    <w:pStyle w:val="195"/>
                    <w:snapToGrid w:val="0"/>
                    <w:spacing w:before="0" w:after="0"/>
                    <w:rPr>
                      <w:color w:val="auto"/>
                      <w:szCs w:val="21"/>
                    </w:rPr>
                  </w:pPr>
                  <w:r>
                    <w:rPr>
                      <w:color w:val="auto"/>
                      <w:szCs w:val="21"/>
                    </w:rPr>
                    <w:t>脉冲袋式除尘器+</w:t>
                  </w:r>
                  <w:r>
                    <w:rPr>
                      <w:snapToGrid w:val="0"/>
                      <w:color w:val="auto"/>
                      <w:szCs w:val="21"/>
                    </w:rPr>
                    <w:t>喷淋塔+UV等离子净化器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G2、G3</w:t>
                  </w:r>
                </w:p>
              </w:tc>
              <w:tc>
                <w:tcPr>
                  <w:tcW w:w="653" w:type="pct"/>
                  <w:tcBorders>
                    <w:tl2br w:val="nil"/>
                    <w:tr2bl w:val="nil"/>
                  </w:tcBorders>
                  <w:noWrap w:val="0"/>
                  <w:vAlign w:val="center"/>
                </w:tcPr>
                <w:p>
                  <w:pPr>
                    <w:pStyle w:val="195"/>
                    <w:spacing w:before="0" w:after="0"/>
                    <w:rPr>
                      <w:color w:val="auto"/>
                      <w:szCs w:val="21"/>
                    </w:rPr>
                  </w:pPr>
                  <w:r>
                    <w:rPr>
                      <w:color w:val="auto"/>
                      <w:szCs w:val="21"/>
                    </w:rPr>
                    <w:t>密炼</w:t>
                  </w:r>
                </w:p>
              </w:tc>
              <w:tc>
                <w:tcPr>
                  <w:tcW w:w="1955" w:type="pct"/>
                  <w:tcBorders>
                    <w:tl2br w:val="nil"/>
                    <w:tr2bl w:val="nil"/>
                  </w:tcBorders>
                  <w:noWrap w:val="0"/>
                  <w:vAlign w:val="center"/>
                </w:tcPr>
                <w:p>
                  <w:pPr>
                    <w:pStyle w:val="195"/>
                    <w:spacing w:before="0" w:after="0"/>
                    <w:rPr>
                      <w:color w:val="auto"/>
                      <w:szCs w:val="21"/>
                    </w:rPr>
                  </w:pPr>
                  <w:r>
                    <w:rPr>
                      <w:color w:val="auto"/>
                      <w:szCs w:val="21"/>
                    </w:rPr>
                    <w:t>粉尘、非甲烷总烃、恶臭</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G5</w:t>
                  </w:r>
                </w:p>
              </w:tc>
              <w:tc>
                <w:tcPr>
                  <w:tcW w:w="653" w:type="pct"/>
                  <w:tcBorders>
                    <w:tl2br w:val="nil"/>
                    <w:tr2bl w:val="nil"/>
                  </w:tcBorders>
                  <w:noWrap w:val="0"/>
                  <w:vAlign w:val="center"/>
                </w:tcPr>
                <w:p>
                  <w:pPr>
                    <w:pStyle w:val="195"/>
                    <w:spacing w:before="0" w:after="0"/>
                    <w:rPr>
                      <w:color w:val="auto"/>
                      <w:szCs w:val="21"/>
                    </w:rPr>
                  </w:pPr>
                  <w:r>
                    <w:rPr>
                      <w:color w:val="auto"/>
                      <w:szCs w:val="21"/>
                    </w:rPr>
                    <w:t>浸胶</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非甲烷总烃、甲苯</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G6</w:t>
                  </w:r>
                </w:p>
              </w:tc>
              <w:tc>
                <w:tcPr>
                  <w:tcW w:w="653" w:type="pct"/>
                  <w:tcBorders>
                    <w:tl2br w:val="nil"/>
                    <w:tr2bl w:val="nil"/>
                  </w:tcBorders>
                  <w:noWrap w:val="0"/>
                  <w:vAlign w:val="center"/>
                </w:tcPr>
                <w:p>
                  <w:pPr>
                    <w:pStyle w:val="195"/>
                    <w:spacing w:before="0" w:after="0"/>
                    <w:rPr>
                      <w:color w:val="auto"/>
                      <w:szCs w:val="21"/>
                    </w:rPr>
                  </w:pPr>
                  <w:r>
                    <w:rPr>
                      <w:color w:val="auto"/>
                      <w:szCs w:val="21"/>
                    </w:rPr>
                    <w:t>硫化</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非甲烷总烃、恶臭</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G7</w:t>
                  </w:r>
                </w:p>
              </w:tc>
              <w:tc>
                <w:tcPr>
                  <w:tcW w:w="653" w:type="pct"/>
                  <w:tcBorders>
                    <w:tl2br w:val="nil"/>
                    <w:tr2bl w:val="nil"/>
                  </w:tcBorders>
                  <w:noWrap w:val="0"/>
                  <w:vAlign w:val="center"/>
                </w:tcPr>
                <w:p>
                  <w:pPr>
                    <w:pStyle w:val="195"/>
                    <w:spacing w:before="0" w:after="0"/>
                    <w:rPr>
                      <w:color w:val="auto"/>
                      <w:szCs w:val="21"/>
                    </w:rPr>
                  </w:pPr>
                  <w:r>
                    <w:rPr>
                      <w:color w:val="auto"/>
                      <w:szCs w:val="21"/>
                    </w:rPr>
                    <w:t>涂隔离剂</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G8</w:t>
                  </w:r>
                </w:p>
              </w:tc>
              <w:tc>
                <w:tcPr>
                  <w:tcW w:w="653" w:type="pct"/>
                  <w:tcBorders>
                    <w:tl2br w:val="nil"/>
                    <w:tr2bl w:val="nil"/>
                  </w:tcBorders>
                  <w:noWrap w:val="0"/>
                  <w:vAlign w:val="center"/>
                </w:tcPr>
                <w:p>
                  <w:pPr>
                    <w:pStyle w:val="195"/>
                    <w:spacing w:before="0" w:after="0"/>
                    <w:rPr>
                      <w:color w:val="auto"/>
                      <w:szCs w:val="21"/>
                    </w:rPr>
                  </w:pPr>
                  <w:r>
                    <w:rPr>
                      <w:color w:val="auto"/>
                      <w:szCs w:val="21"/>
                    </w:rPr>
                    <w:t>涂不干胶</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G4</w:t>
                  </w:r>
                </w:p>
              </w:tc>
              <w:tc>
                <w:tcPr>
                  <w:tcW w:w="653" w:type="pct"/>
                  <w:tcBorders>
                    <w:tl2br w:val="nil"/>
                    <w:tr2bl w:val="nil"/>
                  </w:tcBorders>
                  <w:noWrap w:val="0"/>
                  <w:vAlign w:val="center"/>
                </w:tcPr>
                <w:p>
                  <w:pPr>
                    <w:pStyle w:val="195"/>
                    <w:spacing w:before="0" w:after="0"/>
                    <w:rPr>
                      <w:color w:val="auto"/>
                      <w:szCs w:val="21"/>
                    </w:rPr>
                  </w:pPr>
                  <w:r>
                    <w:rPr>
                      <w:color w:val="auto"/>
                      <w:szCs w:val="21"/>
                    </w:rPr>
                    <w:t>开炼</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非甲烷总烃、恶臭</w:t>
                  </w:r>
                </w:p>
              </w:tc>
              <w:tc>
                <w:tcPr>
                  <w:tcW w:w="1398"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无组织排放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pacing w:before="0" w:after="0"/>
                    <w:rPr>
                      <w:color w:val="auto"/>
                      <w:szCs w:val="21"/>
                    </w:rPr>
                  </w:pPr>
                  <w:r>
                    <w:rPr>
                      <w:color w:val="auto"/>
                      <w:szCs w:val="21"/>
                    </w:rPr>
                    <w:t>噪声</w:t>
                  </w: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1</w:t>
                  </w:r>
                </w:p>
              </w:tc>
              <w:tc>
                <w:tcPr>
                  <w:tcW w:w="653" w:type="pct"/>
                  <w:tcBorders>
                    <w:tl2br w:val="nil"/>
                    <w:tr2bl w:val="nil"/>
                  </w:tcBorders>
                  <w:noWrap w:val="0"/>
                  <w:vAlign w:val="center"/>
                </w:tcPr>
                <w:p>
                  <w:pPr>
                    <w:pStyle w:val="195"/>
                    <w:spacing w:before="0" w:after="0"/>
                    <w:rPr>
                      <w:color w:val="auto"/>
                      <w:szCs w:val="21"/>
                    </w:rPr>
                  </w:pPr>
                  <w:r>
                    <w:rPr>
                      <w:color w:val="auto"/>
                      <w:szCs w:val="21"/>
                    </w:rPr>
                    <w:t>密炼</w:t>
                  </w:r>
                </w:p>
              </w:tc>
              <w:tc>
                <w:tcPr>
                  <w:tcW w:w="1955" w:type="pct"/>
                  <w:vMerge w:val="restart"/>
                  <w:tcBorders>
                    <w:tl2br w:val="nil"/>
                    <w:tr2bl w:val="nil"/>
                  </w:tcBorders>
                  <w:noWrap w:val="0"/>
                  <w:vAlign w:val="center"/>
                </w:tcPr>
                <w:p>
                  <w:pPr>
                    <w:pStyle w:val="195"/>
                    <w:spacing w:before="0" w:after="0"/>
                    <w:rPr>
                      <w:color w:val="auto"/>
                      <w:szCs w:val="21"/>
                    </w:rPr>
                  </w:pPr>
                  <w:r>
                    <w:rPr>
                      <w:color w:val="auto"/>
                      <w:szCs w:val="21"/>
                    </w:rPr>
                    <w:t>噪声</w:t>
                  </w:r>
                </w:p>
              </w:tc>
              <w:tc>
                <w:tcPr>
                  <w:tcW w:w="1398" w:type="pct"/>
                  <w:vMerge w:val="restart"/>
                  <w:tcBorders>
                    <w:tl2br w:val="nil"/>
                    <w:tr2bl w:val="nil"/>
                  </w:tcBorders>
                  <w:noWrap w:val="0"/>
                  <w:vAlign w:val="center"/>
                </w:tcPr>
                <w:p>
                  <w:pPr>
                    <w:pStyle w:val="195"/>
                    <w:snapToGrid w:val="0"/>
                    <w:spacing w:before="0" w:after="0"/>
                    <w:rPr>
                      <w:color w:val="auto"/>
                      <w:szCs w:val="21"/>
                    </w:rPr>
                  </w:pPr>
                  <w:r>
                    <w:rPr>
                      <w:color w:val="auto"/>
                      <w:szCs w:val="21"/>
                    </w:rPr>
                    <w:t>隔声降噪措施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2</w:t>
                  </w:r>
                </w:p>
              </w:tc>
              <w:tc>
                <w:tcPr>
                  <w:tcW w:w="653" w:type="pct"/>
                  <w:tcBorders>
                    <w:tl2br w:val="nil"/>
                    <w:tr2bl w:val="nil"/>
                  </w:tcBorders>
                  <w:noWrap w:val="0"/>
                  <w:vAlign w:val="center"/>
                </w:tcPr>
                <w:p>
                  <w:pPr>
                    <w:pStyle w:val="195"/>
                    <w:spacing w:before="0" w:after="0"/>
                    <w:rPr>
                      <w:color w:val="auto"/>
                      <w:szCs w:val="21"/>
                    </w:rPr>
                  </w:pPr>
                  <w:r>
                    <w:rPr>
                      <w:color w:val="auto"/>
                      <w:szCs w:val="21"/>
                    </w:rPr>
                    <w:t>开炼</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3</w:t>
                  </w:r>
                </w:p>
              </w:tc>
              <w:tc>
                <w:tcPr>
                  <w:tcW w:w="653" w:type="pct"/>
                  <w:tcBorders>
                    <w:tl2br w:val="nil"/>
                    <w:tr2bl w:val="nil"/>
                  </w:tcBorders>
                  <w:noWrap w:val="0"/>
                  <w:vAlign w:val="center"/>
                </w:tcPr>
                <w:p>
                  <w:pPr>
                    <w:pStyle w:val="195"/>
                    <w:spacing w:before="0" w:after="0"/>
                    <w:rPr>
                      <w:color w:val="auto"/>
                      <w:szCs w:val="21"/>
                    </w:rPr>
                  </w:pPr>
                  <w:r>
                    <w:rPr>
                      <w:color w:val="auto"/>
                      <w:szCs w:val="21"/>
                    </w:rPr>
                    <w:t>浸胶</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4</w:t>
                  </w:r>
                </w:p>
              </w:tc>
              <w:tc>
                <w:tcPr>
                  <w:tcW w:w="653" w:type="pct"/>
                  <w:tcBorders>
                    <w:tl2br w:val="nil"/>
                    <w:tr2bl w:val="nil"/>
                  </w:tcBorders>
                  <w:noWrap w:val="0"/>
                  <w:vAlign w:val="center"/>
                </w:tcPr>
                <w:p>
                  <w:pPr>
                    <w:pStyle w:val="195"/>
                    <w:spacing w:before="0" w:after="0"/>
                    <w:rPr>
                      <w:color w:val="auto"/>
                      <w:szCs w:val="21"/>
                    </w:rPr>
                  </w:pPr>
                  <w:r>
                    <w:rPr>
                      <w:color w:val="auto"/>
                      <w:szCs w:val="21"/>
                    </w:rPr>
                    <w:t>压延</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N5</w:t>
                  </w:r>
                </w:p>
              </w:tc>
              <w:tc>
                <w:tcPr>
                  <w:tcW w:w="653" w:type="pct"/>
                  <w:tcBorders>
                    <w:tl2br w:val="nil"/>
                    <w:tr2bl w:val="nil"/>
                  </w:tcBorders>
                  <w:noWrap w:val="0"/>
                  <w:vAlign w:val="center"/>
                </w:tcPr>
                <w:p>
                  <w:pPr>
                    <w:pStyle w:val="195"/>
                    <w:spacing w:before="0" w:after="0"/>
                    <w:rPr>
                      <w:color w:val="auto"/>
                      <w:szCs w:val="21"/>
                    </w:rPr>
                  </w:pPr>
                  <w:r>
                    <w:rPr>
                      <w:color w:val="auto"/>
                      <w:szCs w:val="21"/>
                    </w:rPr>
                    <w:t>硫化</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N6</w:t>
                  </w:r>
                </w:p>
              </w:tc>
              <w:tc>
                <w:tcPr>
                  <w:tcW w:w="653" w:type="pct"/>
                  <w:tcBorders>
                    <w:tl2br w:val="nil"/>
                    <w:tr2bl w:val="nil"/>
                  </w:tcBorders>
                  <w:noWrap w:val="0"/>
                  <w:vAlign w:val="center"/>
                </w:tcPr>
                <w:p>
                  <w:pPr>
                    <w:pStyle w:val="195"/>
                    <w:spacing w:before="0" w:after="0"/>
                    <w:rPr>
                      <w:color w:val="auto"/>
                      <w:szCs w:val="21"/>
                    </w:rPr>
                  </w:pPr>
                  <w:r>
                    <w:rPr>
                      <w:color w:val="auto"/>
                      <w:szCs w:val="21"/>
                    </w:rPr>
                    <w:t>涂隔离剂</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N7</w:t>
                  </w:r>
                </w:p>
              </w:tc>
              <w:tc>
                <w:tcPr>
                  <w:tcW w:w="653" w:type="pct"/>
                  <w:tcBorders>
                    <w:tl2br w:val="nil"/>
                    <w:tr2bl w:val="nil"/>
                  </w:tcBorders>
                  <w:noWrap w:val="0"/>
                  <w:vAlign w:val="center"/>
                </w:tcPr>
                <w:p>
                  <w:pPr>
                    <w:pStyle w:val="195"/>
                    <w:spacing w:before="0" w:after="0"/>
                    <w:rPr>
                      <w:color w:val="auto"/>
                      <w:szCs w:val="21"/>
                    </w:rPr>
                  </w:pPr>
                  <w:r>
                    <w:rPr>
                      <w:color w:val="auto"/>
                      <w:szCs w:val="21"/>
                    </w:rPr>
                    <w:t>涂不干胶</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napToGrid w:val="0"/>
                    <w:spacing w:before="0" w:after="0"/>
                    <w:rPr>
                      <w:color w:val="auto"/>
                      <w:szCs w:val="21"/>
                    </w:rPr>
                  </w:pPr>
                  <w:r>
                    <w:rPr>
                      <w:color w:val="auto"/>
                      <w:szCs w:val="21"/>
                    </w:rPr>
                    <w:t>固废</w:t>
                  </w:r>
                </w:p>
              </w:tc>
              <w:tc>
                <w:tcPr>
                  <w:tcW w:w="507" w:type="pct"/>
                  <w:tcBorders>
                    <w:tl2br w:val="nil"/>
                    <w:tr2bl w:val="nil"/>
                  </w:tcBorders>
                  <w:noWrap w:val="0"/>
                  <w:vAlign w:val="center"/>
                </w:tcPr>
                <w:p>
                  <w:pPr>
                    <w:pStyle w:val="195"/>
                    <w:spacing w:before="0" w:after="0"/>
                    <w:rPr>
                      <w:color w:val="auto"/>
                      <w:szCs w:val="21"/>
                    </w:rPr>
                  </w:pPr>
                  <w:r>
                    <w:rPr>
                      <w:color w:val="auto"/>
                      <w:szCs w:val="21"/>
                    </w:rPr>
                    <w:t>S1</w:t>
                  </w:r>
                </w:p>
              </w:tc>
              <w:tc>
                <w:tcPr>
                  <w:tcW w:w="653" w:type="pct"/>
                  <w:tcBorders>
                    <w:tl2br w:val="nil"/>
                    <w:tr2bl w:val="nil"/>
                  </w:tcBorders>
                  <w:noWrap w:val="0"/>
                  <w:vAlign w:val="center"/>
                </w:tcPr>
                <w:p>
                  <w:pPr>
                    <w:pStyle w:val="195"/>
                    <w:spacing w:before="0" w:after="0"/>
                    <w:rPr>
                      <w:color w:val="auto"/>
                      <w:szCs w:val="21"/>
                    </w:rPr>
                  </w:pPr>
                  <w:r>
                    <w:rPr>
                      <w:color w:val="auto"/>
                      <w:szCs w:val="21"/>
                    </w:rPr>
                    <w:t>配料</w:t>
                  </w:r>
                </w:p>
              </w:tc>
              <w:tc>
                <w:tcPr>
                  <w:tcW w:w="1955" w:type="pct"/>
                  <w:tcBorders>
                    <w:tl2br w:val="nil"/>
                    <w:tr2bl w:val="nil"/>
                  </w:tcBorders>
                  <w:noWrap w:val="0"/>
                  <w:vAlign w:val="center"/>
                </w:tcPr>
                <w:p>
                  <w:pPr>
                    <w:pStyle w:val="195"/>
                    <w:spacing w:before="0" w:after="0"/>
                    <w:rPr>
                      <w:color w:val="auto"/>
                      <w:szCs w:val="21"/>
                    </w:rPr>
                  </w:pPr>
                  <w:r>
                    <w:rPr>
                      <w:color w:val="auto"/>
                      <w:szCs w:val="21"/>
                    </w:rPr>
                    <w:t>粉尘</w:t>
                  </w:r>
                </w:p>
              </w:tc>
              <w:tc>
                <w:tcPr>
                  <w:tcW w:w="1398" w:type="pct"/>
                  <w:tcBorders>
                    <w:tl2br w:val="nil"/>
                    <w:tr2bl w:val="nil"/>
                  </w:tcBorders>
                  <w:noWrap w:val="0"/>
                  <w:vAlign w:val="center"/>
                </w:tcPr>
                <w:p>
                  <w:pPr>
                    <w:pStyle w:val="195"/>
                    <w:snapToGrid w:val="0"/>
                    <w:spacing w:before="0" w:after="0"/>
                    <w:rPr>
                      <w:color w:val="auto"/>
                      <w:szCs w:val="21"/>
                    </w:rPr>
                  </w:pPr>
                  <w:r>
                    <w:rPr>
                      <w:color w:val="auto"/>
                      <w:szCs w:val="21"/>
                    </w:rPr>
                    <w:t>由环卫部门收集后送至垃圾填埋场进行处理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S2</w:t>
                  </w:r>
                </w:p>
              </w:tc>
              <w:tc>
                <w:tcPr>
                  <w:tcW w:w="653" w:type="pct"/>
                  <w:tcBorders>
                    <w:tl2br w:val="nil"/>
                    <w:tr2bl w:val="nil"/>
                  </w:tcBorders>
                  <w:noWrap w:val="0"/>
                  <w:vAlign w:val="center"/>
                </w:tcPr>
                <w:p>
                  <w:pPr>
                    <w:pStyle w:val="195"/>
                    <w:spacing w:before="0" w:after="0"/>
                    <w:rPr>
                      <w:color w:val="auto"/>
                      <w:szCs w:val="21"/>
                    </w:rPr>
                  </w:pPr>
                  <w:r>
                    <w:rPr>
                      <w:color w:val="auto"/>
                      <w:szCs w:val="21"/>
                    </w:rPr>
                    <w:t>除油清洗工序</w:t>
                  </w:r>
                </w:p>
              </w:tc>
              <w:tc>
                <w:tcPr>
                  <w:tcW w:w="1955" w:type="pct"/>
                  <w:tcBorders>
                    <w:tl2br w:val="nil"/>
                    <w:tr2bl w:val="nil"/>
                  </w:tcBorders>
                  <w:noWrap w:val="0"/>
                  <w:vAlign w:val="center"/>
                </w:tcPr>
                <w:p>
                  <w:pPr>
                    <w:pStyle w:val="195"/>
                    <w:spacing w:before="0" w:after="0"/>
                    <w:rPr>
                      <w:color w:val="auto"/>
                      <w:szCs w:val="21"/>
                    </w:rPr>
                  </w:pPr>
                  <w:r>
                    <w:rPr>
                      <w:color w:val="auto"/>
                      <w:szCs w:val="21"/>
                    </w:rPr>
                    <w:t>除油清捞物</w:t>
                  </w:r>
                </w:p>
              </w:tc>
              <w:tc>
                <w:tcPr>
                  <w:tcW w:w="1398" w:type="pct"/>
                  <w:tcBorders>
                    <w:tl2br w:val="nil"/>
                    <w:tr2bl w:val="nil"/>
                  </w:tcBorders>
                  <w:noWrap w:val="0"/>
                  <w:vAlign w:val="center"/>
                </w:tcPr>
                <w:p>
                  <w:pPr>
                    <w:pStyle w:val="195"/>
                    <w:snapToGrid w:val="0"/>
                    <w:spacing w:before="0" w:after="0"/>
                    <w:rPr>
                      <w:color w:val="auto"/>
                      <w:szCs w:val="21"/>
                    </w:rPr>
                  </w:pPr>
                  <w:r>
                    <w:rPr>
                      <w:color w:val="auto"/>
                      <w:szCs w:val="21"/>
                    </w:rPr>
                    <w:t>委托福建亿利环境技术有限公司处理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napToGrid w:val="0"/>
                    <w:spacing w:before="0" w:after="0"/>
                    <w:rPr>
                      <w:color w:val="auto"/>
                      <w:szCs w:val="21"/>
                    </w:rPr>
                  </w:pPr>
                  <w:r>
                    <w:rPr>
                      <w:color w:val="auto"/>
                      <w:szCs w:val="21"/>
                    </w:rPr>
                    <w:t>S3</w:t>
                  </w:r>
                </w:p>
              </w:tc>
              <w:tc>
                <w:tcPr>
                  <w:tcW w:w="653" w:type="pct"/>
                  <w:tcBorders>
                    <w:tl2br w:val="nil"/>
                    <w:tr2bl w:val="nil"/>
                  </w:tcBorders>
                  <w:noWrap w:val="0"/>
                  <w:vAlign w:val="center"/>
                </w:tcPr>
                <w:p>
                  <w:pPr>
                    <w:pStyle w:val="195"/>
                    <w:snapToGrid w:val="0"/>
                    <w:spacing w:before="0" w:after="0"/>
                    <w:rPr>
                      <w:color w:val="auto"/>
                      <w:szCs w:val="21"/>
                    </w:rPr>
                  </w:pPr>
                  <w:r>
                    <w:rPr>
                      <w:color w:val="auto"/>
                      <w:szCs w:val="21"/>
                    </w:rPr>
                    <w:t>各个工序</w:t>
                  </w:r>
                </w:p>
              </w:tc>
              <w:tc>
                <w:tcPr>
                  <w:tcW w:w="1955" w:type="pct"/>
                  <w:tcBorders>
                    <w:tl2br w:val="nil"/>
                    <w:tr2bl w:val="nil"/>
                  </w:tcBorders>
                  <w:noWrap w:val="0"/>
                  <w:vAlign w:val="center"/>
                </w:tcPr>
                <w:p>
                  <w:pPr>
                    <w:pStyle w:val="195"/>
                    <w:snapToGrid w:val="0"/>
                    <w:spacing w:before="0" w:after="0"/>
                    <w:rPr>
                      <w:color w:val="auto"/>
                      <w:szCs w:val="21"/>
                    </w:rPr>
                  </w:pPr>
                  <w:r>
                    <w:rPr>
                      <w:color w:val="auto"/>
                      <w:szCs w:val="21"/>
                    </w:rPr>
                    <w:t>边角料</w:t>
                  </w:r>
                </w:p>
              </w:tc>
              <w:tc>
                <w:tcPr>
                  <w:tcW w:w="1398" w:type="pct"/>
                  <w:tcBorders>
                    <w:tl2br w:val="nil"/>
                    <w:tr2bl w:val="nil"/>
                  </w:tcBorders>
                  <w:noWrap w:val="0"/>
                  <w:vAlign w:val="center"/>
                </w:tcPr>
                <w:p>
                  <w:pPr>
                    <w:pStyle w:val="195"/>
                    <w:snapToGrid w:val="0"/>
                    <w:spacing w:before="0" w:after="0"/>
                    <w:rPr>
                      <w:color w:val="auto"/>
                      <w:szCs w:val="21"/>
                    </w:rPr>
                  </w:pPr>
                  <w:r>
                    <w:rPr>
                      <w:color w:val="auto"/>
                      <w:szCs w:val="21"/>
                    </w:rPr>
                    <w:t>外卖给回收利用的厂家</w:t>
                  </w:r>
                </w:p>
              </w:tc>
            </w:tr>
          </w:tbl>
          <w:p>
            <w:pPr>
              <w:pStyle w:val="30"/>
              <w:ind w:firstLine="0" w:firstLineChars="0"/>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2.3.3 污染物实际排放情况</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（1）废水</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项目废水主要为除油废水、喷淋废水和职工生活污水，除油废水包括除油槽废液及除油清洗废水。除油槽废液排放量为2.6m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/a，经收集后委托福建亿利环境技术有限公司进行处理，生活污水经化粪池处理后，与除油清洗废水和喷淋废水经自建的污水处理站</w:t>
            </w:r>
            <w:r>
              <w:rPr>
                <w:rFonts w:hint="eastAsia" w:ascii="Times New Roman" w:hAnsi="Times New Roman" w:cs="Times New Roman"/>
                <w:color w:val="auto"/>
                <w:sz w:val="24"/>
                <w:szCs w:val="24"/>
                <w:shd w:val="clear" w:color="auto" w:fill="FFFFFF"/>
                <w:lang w:eastAsia="zh-CN"/>
              </w:rPr>
              <w:t>（</w:t>
            </w:r>
            <w:r>
              <w:rPr>
                <w:rFonts w:hint="eastAsia" w:ascii="Times New Roman" w:hAnsi="Times New Roman" w:cs="Times New Roman"/>
                <w:color w:val="auto"/>
                <w:sz w:val="24"/>
                <w:szCs w:val="24"/>
                <w:shd w:val="clear" w:color="auto" w:fill="FFFFFF"/>
                <w:lang w:val="en-US" w:eastAsia="zh-CN"/>
              </w:rPr>
              <w:t>处理工艺：“混凝沉淀+气浮+水解酸化+接触氧化+沉淀”工艺处理</w:t>
            </w:r>
            <w:r>
              <w:rPr>
                <w:rFonts w:hint="eastAsia" w:ascii="Times New Roman" w:hAnsi="Times New Roman"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处理达《橡胶制品工业污染物排放标准》（GB27632-2011）中的新建企业执行表2 规定的水污染间接排放限值后，排入元洪投资区污水处理厂，最后排入福清湾海域。</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根据《福清市安耐达密封材料有限公司年产50万m</w:t>
            </w:r>
            <w:r>
              <w:rPr>
                <w:rFonts w:hint="default" w:ascii="Times New Roman" w:hAnsi="Times New Roman" w:eastAsia="宋体" w:cs="Times New Roman"/>
                <w:color w:val="auto"/>
                <w:sz w:val="24"/>
                <w:szCs w:val="24"/>
                <w:shd w:val="clear" w:color="auto" w:fill="FFFFFF"/>
                <w:vertAlign w:val="superscript"/>
              </w:rPr>
              <w:t>2</w:t>
            </w:r>
            <w:r>
              <w:rPr>
                <w:rFonts w:hint="default" w:ascii="Times New Roman" w:hAnsi="Times New Roman" w:eastAsia="宋体" w:cs="Times New Roman"/>
                <w:color w:val="auto"/>
                <w:sz w:val="24"/>
                <w:szCs w:val="24"/>
                <w:shd w:val="clear" w:color="auto" w:fill="FFFFFF"/>
              </w:rPr>
              <w:t>金属橡胶复合板材料项目竣工环境保护验收监测报告》，项目生活污水</w:t>
            </w:r>
            <w:r>
              <w:rPr>
                <w:rFonts w:hint="eastAsia" w:ascii="Times New Roman" w:hAnsi="Times New Roman" w:cs="Times New Roman"/>
                <w:color w:val="auto"/>
                <w:sz w:val="24"/>
                <w:szCs w:val="24"/>
                <w:shd w:val="clear" w:color="auto" w:fill="FFFFFF"/>
                <w:lang w:val="en-US" w:eastAsia="zh-CN"/>
              </w:rPr>
              <w:t>产生量为0.66m</w:t>
            </w:r>
            <w:r>
              <w:rPr>
                <w:rFonts w:hint="eastAsia" w:ascii="Times New Roman" w:hAnsi="Times New Roman" w:cs="Times New Roman"/>
                <w:color w:val="auto"/>
                <w:sz w:val="24"/>
                <w:szCs w:val="24"/>
                <w:shd w:val="clear" w:color="auto" w:fill="FFFFFF"/>
                <w:vertAlign w:val="superscript"/>
                <w:lang w:val="en-US" w:eastAsia="zh-CN"/>
              </w:rPr>
              <w:t>3</w:t>
            </w:r>
            <w:r>
              <w:rPr>
                <w:rFonts w:hint="eastAsia" w:ascii="Times New Roman" w:hAnsi="Times New Roman" w:cs="Times New Roman"/>
                <w:color w:val="auto"/>
                <w:sz w:val="24"/>
                <w:szCs w:val="24"/>
                <w:shd w:val="clear" w:color="auto" w:fill="FFFFFF"/>
                <w:lang w:val="en-US" w:eastAsia="zh-CN"/>
              </w:rPr>
              <w:t>/d（198m</w:t>
            </w:r>
            <w:r>
              <w:rPr>
                <w:rFonts w:hint="eastAsia" w:ascii="Times New Roman" w:hAnsi="Times New Roman" w:cs="Times New Roman"/>
                <w:color w:val="auto"/>
                <w:sz w:val="24"/>
                <w:szCs w:val="24"/>
                <w:shd w:val="clear" w:color="auto" w:fill="FFFFFF"/>
                <w:vertAlign w:val="superscript"/>
                <w:lang w:val="en-US" w:eastAsia="zh-CN"/>
              </w:rPr>
              <w:t>3</w:t>
            </w:r>
            <w:r>
              <w:rPr>
                <w:rFonts w:hint="eastAsia" w:ascii="Times New Roman" w:hAnsi="Times New Roman" w:cs="Times New Roman"/>
                <w:color w:val="auto"/>
                <w:sz w:val="24"/>
                <w:szCs w:val="24"/>
                <w:shd w:val="clear" w:color="auto" w:fill="FFFFFF"/>
                <w:lang w:val="en-US" w:eastAsia="zh-CN"/>
              </w:rPr>
              <w:t>/a），生产废水产生量为6.0018m</w:t>
            </w:r>
            <w:r>
              <w:rPr>
                <w:rFonts w:hint="eastAsia" w:ascii="Times New Roman" w:hAnsi="Times New Roman" w:cs="Times New Roman"/>
                <w:color w:val="auto"/>
                <w:sz w:val="24"/>
                <w:szCs w:val="24"/>
                <w:shd w:val="clear" w:color="auto" w:fill="FFFFFF"/>
                <w:vertAlign w:val="superscript"/>
                <w:lang w:val="en-US" w:eastAsia="zh-CN"/>
              </w:rPr>
              <w:t>3</w:t>
            </w:r>
            <w:r>
              <w:rPr>
                <w:rFonts w:hint="eastAsia" w:ascii="Times New Roman" w:hAnsi="Times New Roman" w:cs="Times New Roman"/>
                <w:color w:val="auto"/>
                <w:sz w:val="24"/>
                <w:szCs w:val="24"/>
                <w:shd w:val="clear" w:color="auto" w:fill="FFFFFF"/>
                <w:lang w:val="en-US" w:eastAsia="zh-CN"/>
              </w:rPr>
              <w:t>/d（1800.54m</w:t>
            </w:r>
            <w:r>
              <w:rPr>
                <w:rFonts w:hint="eastAsia" w:ascii="Times New Roman" w:hAnsi="Times New Roman" w:cs="Times New Roman"/>
                <w:color w:val="auto"/>
                <w:sz w:val="24"/>
                <w:szCs w:val="24"/>
                <w:shd w:val="clear" w:color="auto" w:fill="FFFFFF"/>
                <w:vertAlign w:val="superscript"/>
                <w:lang w:val="en-US" w:eastAsia="zh-CN"/>
              </w:rPr>
              <w:t>3</w:t>
            </w:r>
            <w:r>
              <w:rPr>
                <w:rFonts w:hint="eastAsia" w:cs="Times New Roman"/>
                <w:color w:val="auto"/>
                <w:sz w:val="24"/>
                <w:szCs w:val="24"/>
                <w:shd w:val="clear" w:color="auto" w:fill="FFFFFF"/>
                <w:vertAlign w:val="baseline"/>
                <w:lang w:val="en-US" w:eastAsia="zh-CN"/>
              </w:rPr>
              <w:t>/a</w:t>
            </w:r>
            <w:r>
              <w:rPr>
                <w:rFonts w:hint="eastAsia" w:ascii="Times New Roman" w:hAnsi="Times New Roman" w:cs="Times New Roman"/>
                <w:color w:val="auto"/>
                <w:sz w:val="24"/>
                <w:szCs w:val="24"/>
                <w:shd w:val="clear" w:color="auto" w:fill="FFFFFF"/>
                <w:lang w:val="en-US" w:eastAsia="zh-CN"/>
              </w:rPr>
              <w:t>），生活污水</w:t>
            </w:r>
            <w:r>
              <w:rPr>
                <w:rFonts w:hint="default" w:ascii="Times New Roman" w:hAnsi="Times New Roman" w:eastAsia="宋体" w:cs="Times New Roman"/>
                <w:color w:val="auto"/>
                <w:sz w:val="24"/>
                <w:szCs w:val="24"/>
                <w:shd w:val="clear" w:color="auto" w:fill="FFFFFF"/>
              </w:rPr>
              <w:t>经化粪池预处理后，与除油槽清洗废水及喷淋塔废水一起经污水处理设施处理后，通过市政污水管网纳入元洪投资区进行深度处理，根据监测结果，污水处理设施</w:t>
            </w:r>
            <w:r>
              <w:rPr>
                <w:rFonts w:hint="eastAsia" w:cs="Times New Roman"/>
                <w:color w:val="auto"/>
                <w:sz w:val="24"/>
                <w:szCs w:val="24"/>
                <w:shd w:val="clear" w:color="auto" w:fill="FFFFFF"/>
                <w:lang w:val="en-US" w:eastAsia="zh-CN"/>
              </w:rPr>
              <w:t>去除率为：</w:t>
            </w:r>
            <w:r>
              <w:rPr>
                <w:rFonts w:hint="default" w:ascii="Times New Roman" w:hAnsi="Times New Roman" w:eastAsia="宋体" w:cs="Times New Roman"/>
                <w:color w:val="auto"/>
                <w:sz w:val="24"/>
                <w:szCs w:val="24"/>
                <w:shd w:val="clear" w:color="auto" w:fill="FFFFFF"/>
              </w:rPr>
              <w:t>COD79~82%、BOD</w:t>
            </w:r>
            <w:r>
              <w:rPr>
                <w:rFonts w:hint="default" w:ascii="Times New Roman" w:hAnsi="Times New Roman" w:eastAsia="宋体" w:cs="Times New Roman"/>
                <w:color w:val="auto"/>
                <w:sz w:val="24"/>
                <w:szCs w:val="24"/>
                <w:shd w:val="clear" w:color="auto" w:fill="FFFFFF"/>
                <w:vertAlign w:val="subscript"/>
              </w:rPr>
              <w:t>5</w:t>
            </w:r>
            <w:r>
              <w:rPr>
                <w:rFonts w:hint="default" w:ascii="Times New Roman" w:hAnsi="Times New Roman" w:eastAsia="宋体" w:cs="Times New Roman"/>
                <w:color w:val="auto"/>
                <w:sz w:val="24"/>
                <w:szCs w:val="24"/>
                <w:shd w:val="clear" w:color="auto" w:fill="FFFFFF"/>
              </w:rPr>
              <w:t>68~79%、SS19~43%、氨氮57~66%、阴离子表面活性剂70~66%</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石油类94%</w:t>
            </w:r>
            <w:r>
              <w:rPr>
                <w:rFonts w:hint="eastAsia" w:cs="Times New Roman"/>
                <w:color w:val="auto"/>
                <w:sz w:val="24"/>
                <w:szCs w:val="24"/>
                <w:shd w:val="clear" w:color="auto" w:fill="FFFFFF"/>
                <w:lang w:eastAsia="zh-CN"/>
              </w:rPr>
              <w:t>。</w:t>
            </w:r>
            <w:r>
              <w:rPr>
                <w:rFonts w:hint="eastAsia" w:cs="Times New Roman"/>
                <w:color w:val="auto"/>
                <w:sz w:val="24"/>
                <w:szCs w:val="24"/>
                <w:shd w:val="clear" w:color="auto" w:fill="FFFFFF"/>
                <w:lang w:val="en-US" w:eastAsia="zh-CN"/>
              </w:rPr>
              <w:t>项</w:t>
            </w:r>
            <w:r>
              <w:rPr>
                <w:rFonts w:hint="default" w:ascii="Times New Roman" w:hAnsi="Times New Roman" w:eastAsia="宋体" w:cs="Times New Roman"/>
                <w:color w:val="auto"/>
                <w:sz w:val="24"/>
                <w:szCs w:val="24"/>
                <w:shd w:val="clear" w:color="auto" w:fill="FFFFFF"/>
              </w:rPr>
              <w:t>目废水经污水处理设施处理后能达到《橡胶制品工业污染物排放标准》（GB27632-2011）中表2间接排放限值。</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（2）废气</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为金属橡胶复合板材料生产项目，大气污染物主要来源于配料过程产生的粉尘，炼胶、硫化工序的橡胶废气，浸胶、涂隔离剂及涂不干胶等工序产生的有机废气。主要污染物为颗粒物、非甲烷总烃、硫化氢及甲</w:t>
            </w:r>
            <w:r>
              <w:rPr>
                <w:rFonts w:hint="eastAsia" w:ascii="Times New Roman" w:hAnsi="Times New Roman" w:cs="Times New Roman"/>
                <w:color w:val="auto"/>
                <w:sz w:val="24"/>
                <w:szCs w:val="24"/>
                <w:shd w:val="clear" w:color="auto" w:fill="FFFFFF"/>
                <w:lang w:val="en-US" w:eastAsia="zh-CN"/>
              </w:rPr>
              <w:t>苯</w:t>
            </w:r>
            <w:r>
              <w:rPr>
                <w:rFonts w:hint="default" w:ascii="Times New Roman" w:hAnsi="Times New Roman" w:eastAsia="宋体" w:cs="Times New Roman"/>
                <w:color w:val="auto"/>
                <w:sz w:val="24"/>
                <w:szCs w:val="24"/>
                <w:shd w:val="clear" w:color="auto" w:fill="FFFFFF"/>
              </w:rPr>
              <w:t>。项目生产过程中产生的颗粒物经脉冲式袋式除尘器处理后，与非甲烷总烃、甲苯、硫化氢及总挥发性有机物经“喷淋塔除尘器+UV等离子净化器”处理装置处理</w:t>
            </w:r>
            <w:r>
              <w:rPr>
                <w:rFonts w:hint="eastAsia" w:ascii="Times New Roman" w:hAnsi="Times New Roman" w:cs="Times New Roman"/>
                <w:color w:val="auto"/>
                <w:sz w:val="24"/>
                <w:szCs w:val="24"/>
                <w:shd w:val="clear" w:color="auto" w:fill="FFFFFF"/>
                <w:lang w:val="en-US" w:eastAsia="zh-CN"/>
              </w:rPr>
              <w:t>后经15m高排气筒达标</w:t>
            </w:r>
            <w:r>
              <w:rPr>
                <w:rFonts w:hint="default" w:ascii="Times New Roman" w:hAnsi="Times New Roman" w:eastAsia="宋体" w:cs="Times New Roman"/>
                <w:color w:val="auto"/>
                <w:sz w:val="24"/>
                <w:szCs w:val="24"/>
                <w:shd w:val="clear" w:color="auto" w:fill="FFFFFF"/>
              </w:rPr>
              <w:t>排放。</w:t>
            </w:r>
          </w:p>
          <w:p>
            <w:pPr>
              <w:spacing w:after="0" w:line="360" w:lineRule="auto"/>
              <w:ind w:firstLine="480" w:firstLineChars="200"/>
              <w:outlineLvl w:val="9"/>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根据《福清市安耐达密封材料有限公司年产50万m</w:t>
            </w:r>
            <w:r>
              <w:rPr>
                <w:rFonts w:hint="default" w:ascii="Times New Roman" w:hAnsi="Times New Roman" w:eastAsia="宋体" w:cs="Times New Roman"/>
                <w:color w:val="auto"/>
                <w:sz w:val="24"/>
                <w:szCs w:val="24"/>
                <w:shd w:val="clear" w:color="auto" w:fill="FFFFFF"/>
                <w:vertAlign w:val="superscript"/>
              </w:rPr>
              <w:t>2</w:t>
            </w:r>
            <w:r>
              <w:rPr>
                <w:rFonts w:hint="default" w:ascii="Times New Roman" w:hAnsi="Times New Roman" w:eastAsia="宋体" w:cs="Times New Roman"/>
                <w:color w:val="auto"/>
                <w:sz w:val="24"/>
                <w:szCs w:val="24"/>
                <w:shd w:val="clear" w:color="auto" w:fill="FFFFFF"/>
              </w:rPr>
              <w:t>金属橡胶复合板材料项目竣工环境保护验收监测报告》，</w:t>
            </w:r>
            <w:r>
              <w:rPr>
                <w:rFonts w:hint="eastAsia" w:cs="Times New Roman"/>
                <w:color w:val="auto"/>
                <w:sz w:val="24"/>
                <w:szCs w:val="24"/>
                <w:shd w:val="clear" w:color="auto" w:fill="FFFFFF"/>
                <w:lang w:val="en-US" w:eastAsia="zh-CN"/>
              </w:rPr>
              <w:t>废气处理设施的去除率为：颗粒物83.9%、</w:t>
            </w:r>
            <w:r>
              <w:rPr>
                <w:rFonts w:ascii="Times New Roman" w:hAnsi="Times New Roman" w:cs="Times New Roman"/>
                <w:color w:val="auto"/>
              </w:rPr>
              <w:t>非甲烷总烃38.4%、硫化氢70.5%、甲苯59.8%</w:t>
            </w:r>
            <w:r>
              <w:rPr>
                <w:rFonts w:hint="eastAsia" w:ascii="Times New Roman" w:hAnsi="Times New Roman" w:cs="Times New Roman"/>
                <w:color w:val="auto"/>
                <w:lang w:eastAsia="zh-CN"/>
              </w:rPr>
              <w:t>。</w:t>
            </w:r>
            <w:r>
              <w:rPr>
                <w:rFonts w:hint="default" w:ascii="Times New Roman" w:hAnsi="Times New Roman" w:eastAsia="宋体" w:cs="Times New Roman"/>
                <w:color w:val="auto"/>
                <w:sz w:val="24"/>
                <w:szCs w:val="24"/>
                <w:shd w:val="clear" w:color="auto" w:fill="FFFFFF"/>
              </w:rPr>
              <w:t>颗粒物的最高排放浓度为3.1mg/m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w:t>
            </w:r>
            <w:r>
              <w:rPr>
                <w:rFonts w:hint="eastAsia" w:cs="Times New Roman"/>
                <w:color w:val="auto"/>
                <w:sz w:val="24"/>
                <w:szCs w:val="24"/>
                <w:shd w:val="clear" w:color="auto" w:fill="FFFFFF"/>
                <w:lang w:val="en-US" w:eastAsia="zh-CN"/>
              </w:rPr>
              <w:t>排放量为0.076t/a，</w:t>
            </w:r>
            <w:r>
              <w:rPr>
                <w:rFonts w:hint="default" w:ascii="Times New Roman" w:hAnsi="Times New Roman" w:eastAsia="宋体" w:cs="Times New Roman"/>
                <w:color w:val="auto"/>
                <w:sz w:val="24"/>
                <w:szCs w:val="24"/>
                <w:shd w:val="clear" w:color="auto" w:fill="FFFFFF"/>
              </w:rPr>
              <w:t>符合《橡胶制品工业污染物排放标准》（GB27632-2011）表5中排放标准（颗粒物排放浓度≤12mg/m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），硫化氢的最高排放速率为0.049kg/h，符合《恶臭污染物排放标准》（GB14554-93）表2中排放限值（硫化氢排放速率≤0.33kg/h），非甲烷总烃的最高排放浓度为20.1mg/m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w:t>
            </w:r>
            <w:r>
              <w:rPr>
                <w:rFonts w:hint="eastAsia" w:cs="Times New Roman"/>
                <w:color w:val="auto"/>
                <w:sz w:val="24"/>
                <w:szCs w:val="24"/>
                <w:shd w:val="clear" w:color="auto" w:fill="FFFFFF"/>
                <w:lang w:val="en-US" w:eastAsia="zh-CN"/>
              </w:rPr>
              <w:t>排放量为0.533t/a，</w:t>
            </w:r>
            <w:r>
              <w:rPr>
                <w:rFonts w:hint="default" w:ascii="Times New Roman" w:hAnsi="Times New Roman" w:eastAsia="宋体" w:cs="Times New Roman"/>
                <w:color w:val="auto"/>
                <w:sz w:val="24"/>
                <w:szCs w:val="24"/>
                <w:shd w:val="clear" w:color="auto" w:fill="FFFFFF"/>
              </w:rPr>
              <w:t>符合《橡胶制品工业污染物排放标准》（GB27632-2011）表5中排放标准（非甲烷总烃排放浓度≤100mg/m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），甲苯的最高排放浓度为4.13mg/m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，符合《橡胶制品工业污染物排放标准》（GB27632-2011）表5中排放标准（甲苯排放浓度≤15mg/m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w:t>
            </w:r>
          </w:p>
          <w:p>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2"/>
                <w:sz w:val="24"/>
                <w:szCs w:val="24"/>
                <w:shd w:val="clear" w:color="auto" w:fill="FFFFFF"/>
                <w:lang w:val="en-US" w:eastAsia="zh-CN" w:bidi="ar-SA"/>
              </w:rPr>
            </w:pPr>
            <w:r>
              <w:rPr>
                <w:rFonts w:hint="default" w:ascii="Times New Roman" w:hAnsi="Times New Roman" w:eastAsia="宋体" w:cs="Times New Roman"/>
                <w:color w:val="auto"/>
                <w:kern w:val="2"/>
                <w:sz w:val="24"/>
                <w:szCs w:val="24"/>
                <w:shd w:val="clear" w:color="auto" w:fill="FFFFFF"/>
                <w:lang w:val="en-US" w:eastAsia="zh-CN" w:bidi="ar-SA"/>
              </w:rPr>
              <w:t>项目厂界无组织废气排放的颗粒物的最高排放浓度限值为0.943mg/m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，符合《橡胶制品工业污染物排放标准》（GB27632-2011）表6中排放标准，即颗粒物无组织排放最高监控浓度限值为1mg/m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；非甲烷总烃最高排放浓度限值为1.45mg/m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，符合《橡胶制品工业污染物排放标准》（GB27632-2011）表6中排放标准，即非甲烷总烃无组织排放最高监控浓度限值为4.0mg/m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；甲苯的最高排放浓度限值为0.0162mg/m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，符合《橡胶制品工业污染物排放标准》（GB27632-2011）表6中排放标准，即甲苯无组织排放最高监控浓度限值为2.4mg/m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；硫化氢最高排放浓度限值为0.009mg/m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，符合《恶臭污染物排放标准》（GB14554-93）表1中排放限值，即硫化氢无组织排放最高监控浓度限值为0.06mg/m</w:t>
            </w:r>
            <w:r>
              <w:rPr>
                <w:rFonts w:hint="default" w:ascii="Times New Roman" w:hAnsi="Times New Roman" w:eastAsia="宋体" w:cs="Times New Roman"/>
                <w:color w:val="auto"/>
                <w:sz w:val="24"/>
                <w:szCs w:val="24"/>
                <w:shd w:val="clear" w:color="auto" w:fill="FFFFFF"/>
                <w:vertAlign w:val="superscript"/>
              </w:rPr>
              <w:t>3</w:t>
            </w:r>
            <w:r>
              <w:rPr>
                <w:rFonts w:hint="eastAsia" w:cs="Times New Roman"/>
                <w:color w:val="auto"/>
                <w:kern w:val="2"/>
                <w:sz w:val="24"/>
                <w:szCs w:val="24"/>
                <w:shd w:val="clear" w:color="auto" w:fill="FFFFFF"/>
                <w:lang w:val="en-US" w:eastAsia="zh-CN" w:bidi="ar-SA"/>
              </w:rPr>
              <w:t>。</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（3）噪声</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项目噪声源主要是生产设备运行时产生的机械噪声。采取合理布局、基础减震等降噪措施。根据《福清市安耐达密封材料有限公司年产50万m</w:t>
            </w:r>
            <w:r>
              <w:rPr>
                <w:rFonts w:hint="default" w:ascii="Times New Roman" w:hAnsi="Times New Roman" w:eastAsia="宋体" w:cs="Times New Roman"/>
                <w:color w:val="auto"/>
                <w:sz w:val="24"/>
                <w:szCs w:val="24"/>
                <w:shd w:val="clear" w:color="auto" w:fill="FFFFFF"/>
                <w:vertAlign w:val="superscript"/>
              </w:rPr>
              <w:t>2</w:t>
            </w:r>
            <w:r>
              <w:rPr>
                <w:rFonts w:hint="default" w:ascii="Times New Roman" w:hAnsi="Times New Roman" w:eastAsia="宋体" w:cs="Times New Roman"/>
                <w:color w:val="auto"/>
                <w:sz w:val="24"/>
                <w:szCs w:val="24"/>
                <w:shd w:val="clear" w:color="auto" w:fill="FFFFFF"/>
              </w:rPr>
              <w:t>金属橡胶复合板材料项目竣工环境保护验收监测报告》，厂界昼间噪声值为</w:t>
            </w:r>
            <w:r>
              <w:rPr>
                <w:rFonts w:hint="eastAsia" w:ascii="Times New Roman" w:hAnsi="Times New Roman" w:cs="Times New Roman"/>
                <w:color w:val="auto"/>
                <w:sz w:val="24"/>
                <w:szCs w:val="24"/>
                <w:shd w:val="clear" w:color="auto" w:fill="FFFFFF"/>
                <w:lang w:val="en-US" w:eastAsia="zh-CN"/>
              </w:rPr>
              <w:t>44.1</w:t>
            </w:r>
            <w:r>
              <w:rPr>
                <w:rFonts w:hint="default" w:ascii="Times New Roman" w:hAnsi="Times New Roman" w:eastAsia="宋体" w:cs="Times New Roman"/>
                <w:color w:val="auto"/>
                <w:sz w:val="24"/>
                <w:szCs w:val="24"/>
                <w:shd w:val="clear" w:color="auto" w:fill="FFFFFF"/>
              </w:rPr>
              <w:t>~58.</w:t>
            </w:r>
            <w:r>
              <w:rPr>
                <w:rFonts w:hint="eastAsia" w:ascii="Times New Roman" w:hAnsi="Times New Roman" w:cs="Times New Roman"/>
                <w:color w:val="auto"/>
                <w:sz w:val="24"/>
                <w:szCs w:val="24"/>
                <w:shd w:val="clear" w:color="auto" w:fill="FFFFFF"/>
                <w:lang w:val="en-US" w:eastAsia="zh-CN"/>
              </w:rPr>
              <w:t>1</w:t>
            </w:r>
            <w:r>
              <w:rPr>
                <w:rFonts w:hint="default" w:ascii="Times New Roman" w:hAnsi="Times New Roman" w:eastAsia="宋体" w:cs="Times New Roman"/>
                <w:color w:val="auto"/>
                <w:sz w:val="24"/>
                <w:szCs w:val="24"/>
                <w:shd w:val="clear" w:color="auto" w:fill="FFFFFF"/>
              </w:rPr>
              <w:t>dB，符合《工业企业厂界环境噪声排放标准》（GB12348-2008）3类区标准限值要求。</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（4）固废</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一般固废：项目在生产过程中产生的边角料及原辅材料产生的废包装袋经收集后，售卖给回收公司；脉冲袋式除尘器收集的粉尘收集后，作为原料回用于生产。</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lang w:val="en-US" w:eastAsia="zh-CN"/>
              </w:rPr>
              <w:t>危险废物：</w:t>
            </w:r>
            <w:r>
              <w:rPr>
                <w:rFonts w:hint="default" w:ascii="Times New Roman" w:hAnsi="Times New Roman" w:eastAsia="宋体" w:cs="Times New Roman"/>
                <w:color w:val="auto"/>
                <w:sz w:val="24"/>
                <w:szCs w:val="24"/>
                <w:shd w:val="clear" w:color="auto" w:fill="FFFFFF"/>
              </w:rPr>
              <w:t>除油槽定期清理的滤渣、除油槽废液及污水处理产生的污泥均为危险废物，产生的危险废物经分类收集后暂存于危废储存间，委托福建亿利环境技术有限公司进行处理。危废储存间生产车间东侧，建筑面积15m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，危废储存间设有相应的标志及废弃物管理制度，同时做了相应的拦截措施。</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lang w:val="en-US" w:eastAsia="zh-CN"/>
              </w:rPr>
              <w:t>生活垃圾：</w:t>
            </w:r>
            <w:r>
              <w:rPr>
                <w:rFonts w:hint="default" w:ascii="Times New Roman" w:hAnsi="Times New Roman" w:eastAsia="宋体" w:cs="Times New Roman"/>
                <w:color w:val="auto"/>
                <w:sz w:val="24"/>
                <w:szCs w:val="24"/>
                <w:shd w:val="clear" w:color="auto" w:fill="FFFFFF"/>
              </w:rPr>
              <w:t>项目产生的生活垃圾收集后由环卫部门统一处置。</w:t>
            </w:r>
          </w:p>
          <w:p>
            <w:pPr>
              <w:spacing w:after="0" w:line="360" w:lineRule="auto"/>
              <w:ind w:firstLine="480" w:firstLineChars="200"/>
              <w:outlineLvl w:val="9"/>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项目固体废物产生量情况见表</w:t>
            </w:r>
            <w:r>
              <w:rPr>
                <w:rFonts w:hint="eastAsia" w:ascii="Times New Roman" w:hAnsi="Times New Roman" w:eastAsia="宋体" w:cs="Times New Roman"/>
                <w:color w:val="auto"/>
                <w:sz w:val="24"/>
                <w:szCs w:val="24"/>
                <w:shd w:val="clear" w:color="auto" w:fill="FFFFFF"/>
                <w:lang w:val="en-US" w:eastAsia="zh-CN"/>
              </w:rPr>
              <w:t>2.3-2</w:t>
            </w:r>
            <w:r>
              <w:rPr>
                <w:rFonts w:hint="eastAsia" w:ascii="Times New Roman" w:hAnsi="Times New Roman" w:eastAsia="宋体" w:cs="Times New Roman"/>
                <w:color w:val="auto"/>
                <w:sz w:val="24"/>
                <w:szCs w:val="24"/>
                <w:shd w:val="clear" w:color="auto" w:fill="FFFFFF"/>
                <w:lang w:eastAsia="zh-CN"/>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w:t>
            </w:r>
            <w:r>
              <w:rPr>
                <w:rFonts w:hint="eastAsia" w:cs="Times New Roman"/>
                <w:b/>
                <w:bCs/>
                <w:color w:val="auto"/>
                <w:shd w:val="clear" w:color="auto" w:fill="FFFFFF"/>
                <w:lang w:val="en-US" w:eastAsia="zh-CN"/>
              </w:rPr>
              <w:t>2.3-2</w:t>
            </w:r>
            <w:r>
              <w:rPr>
                <w:rFonts w:hint="default" w:ascii="Times New Roman" w:hAnsi="Times New Roman" w:eastAsia="宋体" w:cs="Times New Roman"/>
                <w:b/>
                <w:bCs/>
                <w:color w:val="auto"/>
                <w:shd w:val="clear" w:color="auto" w:fill="FFFFFF"/>
              </w:rPr>
              <w:t xml:space="preserve">  项目固体废物污染源强一览表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03"/>
              <w:gridCol w:w="1282"/>
              <w:gridCol w:w="103"/>
              <w:gridCol w:w="51"/>
              <w:gridCol w:w="1050"/>
              <w:gridCol w:w="89"/>
              <w:gridCol w:w="89"/>
              <w:gridCol w:w="912"/>
              <w:gridCol w:w="1196"/>
              <w:gridCol w:w="1379"/>
              <w:gridCol w:w="173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分类</w:t>
                  </w:r>
                </w:p>
              </w:tc>
              <w:tc>
                <w:tcPr>
                  <w:tcW w:w="826"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废物来源</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废物名称</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废物类别</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废物代码</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产生量（t/a）</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采取的处置措施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一般固废</w:t>
                  </w:r>
                </w:p>
              </w:tc>
              <w:tc>
                <w:tcPr>
                  <w:tcW w:w="826"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生产过程</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边角料</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11</w:t>
                  </w:r>
                </w:p>
              </w:tc>
              <w:tc>
                <w:tcPr>
                  <w:tcW w:w="1019"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收集后售卖给回收公司</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826"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原辅材料使用过程</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废包装袋</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0.3</w:t>
                  </w:r>
                </w:p>
              </w:tc>
              <w:tc>
                <w:tcPr>
                  <w:tcW w:w="1019"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826" w:type="pct"/>
                  <w:gridSpan w:val="2"/>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除尘器除尘过程</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粉尘</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0.154</w:t>
                  </w:r>
                </w:p>
              </w:tc>
              <w:tc>
                <w:tcPr>
                  <w:tcW w:w="1019"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收集后作为原料回用于生产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9" w:type="pct"/>
                  <w:gridSpan w:val="10"/>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11.454</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tc>
              <w:tc>
                <w:tcPr>
                  <w:tcW w:w="897" w:type="pct"/>
                  <w:gridSpan w:val="3"/>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除油过程</w:t>
                  </w:r>
                </w:p>
              </w:tc>
              <w:tc>
                <w:tcPr>
                  <w:tcW w:w="722"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滤渣</w:t>
                  </w:r>
                </w:p>
              </w:tc>
              <w:tc>
                <w:tcPr>
                  <w:tcW w:w="600" w:type="pct"/>
                  <w:gridSpan w:val="2"/>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HW17表面处理废物</w:t>
                  </w:r>
                </w:p>
              </w:tc>
              <w:tc>
                <w:tcPr>
                  <w:tcW w:w="576"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336-064-17</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0.6</w:t>
                  </w:r>
                </w:p>
              </w:tc>
              <w:tc>
                <w:tcPr>
                  <w:tcW w:w="1019"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定期委托福建亿利环境技术有限公司进行处理。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897" w:type="pct"/>
                  <w:gridSpan w:val="3"/>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722"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废槽液</w:t>
                  </w:r>
                </w:p>
              </w:tc>
              <w:tc>
                <w:tcPr>
                  <w:tcW w:w="600" w:type="pct"/>
                  <w:gridSpan w:val="2"/>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576"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2.6</w:t>
                  </w:r>
                </w:p>
              </w:tc>
              <w:tc>
                <w:tcPr>
                  <w:tcW w:w="1019"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897" w:type="pct"/>
                  <w:gridSpan w:val="3"/>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废水处理站</w:t>
                  </w:r>
                </w:p>
              </w:tc>
              <w:tc>
                <w:tcPr>
                  <w:tcW w:w="722"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污泥</w:t>
                  </w:r>
                </w:p>
              </w:tc>
              <w:tc>
                <w:tcPr>
                  <w:tcW w:w="600" w:type="pct"/>
                  <w:gridSpan w:val="2"/>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576"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019"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9" w:type="pct"/>
                  <w:gridSpan w:val="10"/>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14.2</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2"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生活废物</w:t>
                  </w:r>
                </w:p>
              </w:tc>
              <w:tc>
                <w:tcPr>
                  <w:tcW w:w="866"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职工生活</w:t>
                  </w:r>
                </w:p>
              </w:tc>
              <w:tc>
                <w:tcPr>
                  <w:tcW w:w="74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53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2.7</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由环卫部门统一收集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9" w:type="pct"/>
                  <w:gridSpan w:val="10"/>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25.354</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r>
          </w:tbl>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（5）污染物排放总量核算</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生活污水经化粪处理后与喷淋废水和除油槽清洗废水经污水处理设施处理后，达《橡胶制品工业污染物排放标准》（GB27632-2011）中的新建企业执行表2规定的水污染间接排放限值后排入元洪投资区污水处理厂，最终排入福清湾海域，因此污染物排放总量计算纳管量，根据建设单位提供资料，项目年污水总排放量为1800.42m</w:t>
            </w:r>
            <w:r>
              <w:rPr>
                <w:rFonts w:ascii="Times New Roman" w:hAnsi="Times New Roman" w:cs="Times New Roman"/>
                <w:color w:val="auto"/>
                <w:vertAlign w:val="superscript"/>
              </w:rPr>
              <w:t>3</w:t>
            </w:r>
            <w:r>
              <w:rPr>
                <w:rFonts w:ascii="Times New Roman" w:hAnsi="Times New Roman" w:cs="Times New Roman"/>
                <w:color w:val="auto"/>
              </w:rPr>
              <w:t>/a，污水中主要污染物排放量控制指标为COD</w:t>
            </w:r>
            <w:r>
              <w:rPr>
                <w:rFonts w:ascii="Times New Roman" w:hAnsi="Times New Roman" w:cs="Times New Roman"/>
                <w:color w:val="auto"/>
                <w:vertAlign w:val="subscript"/>
              </w:rPr>
              <w:t>Cr</w:t>
            </w:r>
            <w:r>
              <w:rPr>
                <w:rFonts w:ascii="Times New Roman" w:hAnsi="Times New Roman" w:cs="Times New Roman"/>
                <w:color w:val="auto"/>
              </w:rPr>
              <w:t>和NH</w:t>
            </w:r>
            <w:r>
              <w:rPr>
                <w:rFonts w:ascii="Times New Roman" w:hAnsi="Times New Roman" w:cs="Times New Roman"/>
                <w:color w:val="auto"/>
                <w:vertAlign w:val="subscript"/>
              </w:rPr>
              <w:t>3</w:t>
            </w:r>
            <w:r>
              <w:rPr>
                <w:rFonts w:ascii="Times New Roman" w:hAnsi="Times New Roman" w:cs="Times New Roman"/>
                <w:color w:val="auto"/>
              </w:rPr>
              <w:t>-N，项目水污染物排放总量核算结果见表</w:t>
            </w:r>
            <w:r>
              <w:rPr>
                <w:rFonts w:hint="eastAsia" w:ascii="Times New Roman" w:hAnsi="Times New Roman" w:cs="Times New Roman"/>
                <w:color w:val="auto"/>
                <w:lang w:val="en-US" w:eastAsia="zh-CN"/>
              </w:rPr>
              <w:t>2.3-3</w:t>
            </w:r>
            <w:r>
              <w:rPr>
                <w:rFonts w:ascii="Times New Roman" w:hAnsi="Times New Roman" w:cs="Times New Roman"/>
                <w:color w:val="auto"/>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w:t>
            </w:r>
            <w:r>
              <w:rPr>
                <w:rFonts w:hint="eastAsia" w:cs="Times New Roman"/>
                <w:b/>
                <w:bCs/>
                <w:color w:val="auto"/>
                <w:shd w:val="clear" w:color="auto" w:fill="FFFFFF"/>
                <w:lang w:val="en-US" w:eastAsia="zh-CN"/>
              </w:rPr>
              <w:t>2.3-3</w:t>
            </w:r>
            <w:r>
              <w:rPr>
                <w:rFonts w:hint="default" w:ascii="Times New Roman" w:hAnsi="Times New Roman" w:eastAsia="宋体" w:cs="Times New Roman"/>
                <w:b/>
                <w:bCs/>
                <w:color w:val="auto"/>
                <w:shd w:val="clear" w:color="auto" w:fill="FFFFFF"/>
              </w:rPr>
              <w:t xml:space="preserve">  项目水污染物排放总量汇总表</w:t>
            </w:r>
          </w:p>
          <w:tbl>
            <w:tblPr>
              <w:tblStyle w:val="32"/>
              <w:tblW w:w="4998"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60"/>
              <w:gridCol w:w="1600"/>
              <w:gridCol w:w="1658"/>
              <w:gridCol w:w="1677"/>
              <w:gridCol w:w="2519"/>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3" w:type="pct"/>
                  <w:tcBorders>
                    <w:tl2br w:val="nil"/>
                    <w:tr2bl w:val="nil"/>
                  </w:tcBorders>
                  <w:noWrap w:val="0"/>
                  <w:vAlign w:val="center"/>
                </w:tcPr>
                <w:p>
                  <w:pPr>
                    <w:jc w:val="center"/>
                    <w:rPr>
                      <w:rFonts w:ascii="Times New Roman" w:hAnsi="Times New Roman" w:cs="Times New Roman"/>
                      <w:color w:val="auto"/>
                      <w:sz w:val="21"/>
                      <w:szCs w:val="21"/>
                    </w:rPr>
                  </w:pPr>
                  <w:bookmarkStart w:id="7" w:name="OLE_LINK17"/>
                  <w:r>
                    <w:rPr>
                      <w:rFonts w:ascii="Times New Roman" w:hAnsi="Times New Roman" w:cs="Times New Roman"/>
                      <w:color w:val="auto"/>
                      <w:sz w:val="21"/>
                      <w:szCs w:val="21"/>
                    </w:rPr>
                    <w:t>类别</w:t>
                  </w:r>
                </w:p>
              </w:tc>
              <w:tc>
                <w:tcPr>
                  <w:tcW w:w="928"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排放量（t/a）</w:t>
                  </w:r>
                </w:p>
              </w:tc>
              <w:tc>
                <w:tcPr>
                  <w:tcW w:w="962"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污染物项目</w:t>
                  </w:r>
                </w:p>
              </w:tc>
              <w:tc>
                <w:tcPr>
                  <w:tcW w:w="9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环评要求（t/a）</w:t>
                  </w:r>
                </w:p>
              </w:tc>
              <w:tc>
                <w:tcPr>
                  <w:tcW w:w="1461" w:type="pct"/>
                  <w:tcBorders>
                    <w:tl2br w:val="nil"/>
                    <w:tr2bl w:val="nil"/>
                  </w:tcBorders>
                  <w:noWrap w:val="0"/>
                  <w:vAlign w:val="center"/>
                </w:tcPr>
                <w:p>
                  <w:pPr>
                    <w:jc w:val="center"/>
                    <w:rPr>
                      <w:rFonts w:ascii="Times New Roman" w:hAnsi="Times New Roman" w:cs="Times New Roman"/>
                      <w:color w:val="auto"/>
                      <w:sz w:val="21"/>
                      <w:szCs w:val="21"/>
                    </w:rPr>
                  </w:pPr>
                  <w:r>
                    <w:rPr>
                      <w:rFonts w:hint="eastAsia" w:cs="Times New Roman"/>
                      <w:color w:val="auto"/>
                      <w:sz w:val="21"/>
                      <w:szCs w:val="21"/>
                      <w:lang w:val="en-US" w:eastAsia="zh-CN"/>
                    </w:rPr>
                    <w:t>实际</w:t>
                  </w:r>
                  <w:r>
                    <w:rPr>
                      <w:rFonts w:ascii="Times New Roman" w:hAnsi="Times New Roman" w:cs="Times New Roman"/>
                      <w:color w:val="auto"/>
                      <w:sz w:val="21"/>
                      <w:szCs w:val="21"/>
                    </w:rPr>
                    <w:t>排放量（纳管量）（t/a）</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3" w:type="pct"/>
                  <w:vMerge w:val="restar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废水</w:t>
                  </w:r>
                </w:p>
              </w:tc>
              <w:tc>
                <w:tcPr>
                  <w:tcW w:w="928" w:type="pct"/>
                  <w:vMerge w:val="restar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1800.42</w:t>
                  </w:r>
                </w:p>
              </w:tc>
              <w:tc>
                <w:tcPr>
                  <w:tcW w:w="962"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COD</w:t>
                  </w:r>
                  <w:r>
                    <w:rPr>
                      <w:rFonts w:ascii="Times New Roman" w:hAnsi="Times New Roman" w:cs="Times New Roman"/>
                      <w:color w:val="auto"/>
                      <w:sz w:val="21"/>
                      <w:szCs w:val="21"/>
                      <w:vertAlign w:val="subscript"/>
                      <w:lang w:val="zh-CN"/>
                    </w:rPr>
                    <w:t>Cr</w:t>
                  </w:r>
                </w:p>
              </w:tc>
              <w:tc>
                <w:tcPr>
                  <w:tcW w:w="9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0.392</w:t>
                  </w:r>
                </w:p>
              </w:tc>
              <w:tc>
                <w:tcPr>
                  <w:tcW w:w="1461"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3" w:type="pct"/>
                  <w:vMerge w:val="continue"/>
                  <w:tcBorders>
                    <w:tl2br w:val="nil"/>
                    <w:tr2bl w:val="nil"/>
                  </w:tcBorders>
                  <w:noWrap w:val="0"/>
                  <w:vAlign w:val="center"/>
                </w:tcPr>
                <w:p>
                  <w:pPr>
                    <w:rPr>
                      <w:rFonts w:ascii="Times New Roman" w:hAnsi="Times New Roman" w:cs="Times New Roman"/>
                      <w:color w:val="auto"/>
                      <w:sz w:val="21"/>
                      <w:szCs w:val="21"/>
                    </w:rPr>
                  </w:pPr>
                </w:p>
              </w:tc>
              <w:tc>
                <w:tcPr>
                  <w:tcW w:w="928" w:type="pct"/>
                  <w:vMerge w:val="continue"/>
                  <w:tcBorders>
                    <w:tl2br w:val="nil"/>
                    <w:tr2bl w:val="nil"/>
                  </w:tcBorders>
                  <w:noWrap w:val="0"/>
                  <w:vAlign w:val="center"/>
                </w:tcPr>
                <w:p>
                  <w:pPr>
                    <w:rPr>
                      <w:rFonts w:ascii="Times New Roman" w:hAnsi="Times New Roman" w:cs="Times New Roman"/>
                      <w:color w:val="auto"/>
                      <w:sz w:val="21"/>
                      <w:szCs w:val="21"/>
                    </w:rPr>
                  </w:pPr>
                </w:p>
              </w:tc>
              <w:tc>
                <w:tcPr>
                  <w:tcW w:w="962"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9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0.0588</w:t>
                  </w:r>
                </w:p>
              </w:tc>
              <w:tc>
                <w:tcPr>
                  <w:tcW w:w="1461"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0.001</w:t>
                  </w:r>
                </w:p>
              </w:tc>
            </w:tr>
            <w:bookmarkEnd w:id="7"/>
          </w:tbl>
          <w:p>
            <w:pPr>
              <w:spacing w:after="0" w:line="360" w:lineRule="auto"/>
              <w:ind w:firstLine="480" w:firstLineChars="200"/>
              <w:outlineLvl w:val="9"/>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w:t>
            </w:r>
            <w:r>
              <w:rPr>
                <w:rFonts w:hint="eastAsia" w:eastAsia="宋体" w:cs="Times New Roman"/>
                <w:color w:val="auto"/>
                <w:sz w:val="24"/>
                <w:szCs w:val="24"/>
                <w:shd w:val="clear" w:color="auto" w:fill="FFFFFF"/>
                <w:lang w:val="en-US" w:eastAsia="zh-CN"/>
              </w:rPr>
              <w:t>6</w:t>
            </w:r>
            <w:r>
              <w:rPr>
                <w:rFonts w:hint="default" w:ascii="Times New Roman" w:hAnsi="Times New Roman" w:eastAsia="宋体" w:cs="Times New Roman"/>
                <w:color w:val="auto"/>
                <w:sz w:val="24"/>
                <w:szCs w:val="24"/>
                <w:shd w:val="clear" w:color="auto" w:fill="FFFFFF"/>
              </w:rPr>
              <w:t>）</w:t>
            </w:r>
            <w:r>
              <w:rPr>
                <w:rFonts w:hint="default" w:ascii="Times New Roman" w:hAnsi="Times New Roman" w:eastAsia="宋体" w:cs="Times New Roman"/>
                <w:color w:val="auto"/>
                <w:kern w:val="0"/>
                <w:sz w:val="24"/>
                <w:lang w:bidi="ar"/>
              </w:rPr>
              <w:t xml:space="preserve">“以新带老”整改措施 </w:t>
            </w:r>
          </w:p>
          <w:p>
            <w:pPr>
              <w:keepNext w:val="0"/>
              <w:keepLines w:val="0"/>
              <w:pageBreakBefore w:val="0"/>
              <w:widowControl w:val="0"/>
              <w:kinsoku/>
              <w:wordWrap/>
              <w:overflowPunct/>
              <w:topLinePunct/>
              <w:autoSpaceDE/>
              <w:autoSpaceDN/>
              <w:bidi w:val="0"/>
              <w:adjustRightInd/>
              <w:snapToGrid/>
              <w:spacing w:after="0" w:line="360" w:lineRule="auto"/>
              <w:ind w:firstLine="480" w:firstLineChars="200"/>
              <w:textAlignment w:val="auto"/>
              <w:outlineLvl w:val="9"/>
              <w:rPr>
                <w:rFonts w:hint="default" w:eastAsia="宋体" w:cs="Times New Roman"/>
                <w:color w:val="auto"/>
                <w:kern w:val="0"/>
                <w:sz w:val="24"/>
                <w:lang w:val="en-US" w:eastAsia="zh-CN" w:bidi="ar"/>
              </w:rPr>
            </w:pPr>
            <w:r>
              <w:rPr>
                <w:rFonts w:hint="default" w:ascii="Times New Roman" w:hAnsi="Times New Roman" w:eastAsia="宋体" w:cs="Times New Roman"/>
                <w:color w:val="auto"/>
                <w:kern w:val="0"/>
                <w:sz w:val="24"/>
                <w:lang w:bidi="ar"/>
              </w:rPr>
              <w:t>扩建前，</w:t>
            </w:r>
            <w:r>
              <w:rPr>
                <w:rFonts w:hint="eastAsia" w:eastAsia="宋体" w:cs="Times New Roman"/>
                <w:color w:val="auto"/>
                <w:kern w:val="0"/>
                <w:sz w:val="24"/>
                <w:lang w:val="en-US" w:eastAsia="zh-CN" w:bidi="ar"/>
              </w:rPr>
              <w:t>现有</w:t>
            </w:r>
            <w:r>
              <w:rPr>
                <w:rFonts w:hint="default" w:ascii="Times New Roman" w:hAnsi="Times New Roman" w:eastAsia="宋体" w:cs="Times New Roman"/>
                <w:color w:val="auto"/>
                <w:kern w:val="0"/>
                <w:sz w:val="24"/>
                <w:lang w:bidi="ar"/>
              </w:rPr>
              <w:t>工程基本落实了环评要求的环保设施。</w:t>
            </w:r>
            <w:r>
              <w:rPr>
                <w:rFonts w:hint="eastAsia"/>
                <w:color w:val="auto"/>
                <w:lang w:val="en-US" w:eastAsia="zh-CN"/>
              </w:rPr>
              <w:t>但企业还</w:t>
            </w:r>
            <w:r>
              <w:rPr>
                <w:rFonts w:hint="eastAsia" w:eastAsia="宋体" w:cs="Times New Roman"/>
                <w:color w:val="auto"/>
                <w:kern w:val="0"/>
                <w:sz w:val="24"/>
                <w:lang w:val="en-US" w:eastAsia="zh-CN" w:bidi="ar"/>
              </w:rPr>
              <w:t>应根据2023年1月20日发布的《危险废物贮存污染控制标准》（GB18597-2023），完善危险废物的贮存和管理；根据现行文件，完善环境管理要求。整改措施详见表2.3-4。</w:t>
            </w:r>
          </w:p>
          <w:p>
            <w:pPr>
              <w:widowControl/>
              <w:spacing w:before="120" w:beforeLines="50"/>
              <w:jc w:val="center"/>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表</w:t>
            </w:r>
            <w:r>
              <w:rPr>
                <w:rFonts w:hint="eastAsia" w:eastAsia="宋体" w:cs="Times New Roman"/>
                <w:color w:val="auto"/>
                <w:kern w:val="0"/>
                <w:sz w:val="24"/>
                <w:lang w:val="en-US" w:eastAsia="zh-CN" w:bidi="ar"/>
              </w:rPr>
              <w:t>2.3-4</w:t>
            </w:r>
            <w:r>
              <w:rPr>
                <w:rFonts w:hint="eastAsia" w:ascii="Times New Roman" w:hAnsi="Times New Roman" w:eastAsia="宋体" w:cs="Times New Roman"/>
                <w:color w:val="auto"/>
                <w:kern w:val="0"/>
                <w:sz w:val="24"/>
                <w:lang w:val="en-US" w:eastAsia="zh-CN" w:bidi="ar"/>
              </w:rPr>
              <w:t xml:space="preserve"> </w:t>
            </w:r>
            <w:r>
              <w:rPr>
                <w:rFonts w:hint="default" w:ascii="Times New Roman" w:hAnsi="Times New Roman" w:eastAsia="宋体" w:cs="Times New Roman"/>
                <w:color w:val="auto"/>
                <w:kern w:val="0"/>
                <w:sz w:val="24"/>
                <w:lang w:bidi="ar"/>
              </w:rPr>
              <w:t xml:space="preserve"> “以新带老”整改措施一览表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787"/>
              <w:gridCol w:w="4956"/>
              <w:gridCol w:w="71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noWrap w:val="0"/>
                  <w:vAlign w:val="center"/>
                </w:tcPr>
                <w:p>
                  <w:pPr>
                    <w:pStyle w:val="18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污染源</w:t>
                  </w:r>
                </w:p>
              </w:tc>
              <w:tc>
                <w:tcPr>
                  <w:tcW w:w="1037" w:type="pct"/>
                  <w:tcBorders>
                    <w:tl2br w:val="nil"/>
                    <w:tr2bl w:val="nil"/>
                  </w:tcBorders>
                  <w:noWrap w:val="0"/>
                  <w:vAlign w:val="center"/>
                </w:tcPr>
                <w:p>
                  <w:pPr>
                    <w:pStyle w:val="18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现</w:t>
                  </w:r>
                  <w:r>
                    <w:rPr>
                      <w:rFonts w:hint="default" w:ascii="Times New Roman" w:hAnsi="Times New Roman" w:eastAsia="宋体" w:cs="Times New Roman"/>
                      <w:color w:val="auto"/>
                      <w:sz w:val="21"/>
                      <w:szCs w:val="21"/>
                    </w:rPr>
                    <w:t>有工程批复、建设情况或主要环境问题</w:t>
                  </w:r>
                </w:p>
              </w:tc>
              <w:tc>
                <w:tcPr>
                  <w:tcW w:w="2876" w:type="pct"/>
                  <w:tcBorders>
                    <w:tl2br w:val="nil"/>
                    <w:tr2bl w:val="nil"/>
                  </w:tcBorders>
                  <w:noWrap w:val="0"/>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“以新带老”整改措施</w:t>
                  </w:r>
                </w:p>
              </w:tc>
              <w:tc>
                <w:tcPr>
                  <w:tcW w:w="415"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完成进度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p>
              </w:tc>
              <w:tc>
                <w:tcPr>
                  <w:tcW w:w="1037"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暂存危险废物贮存设施内，三防措施不完善，标识牌不完善</w:t>
                  </w:r>
                </w:p>
              </w:tc>
              <w:tc>
                <w:tcPr>
                  <w:tcW w:w="2876"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应根据《危险废物贮存污染控制标准》（GB18597-2023）要求改正，完善三防措施，补充标识牌</w:t>
                  </w:r>
                </w:p>
              </w:tc>
              <w:tc>
                <w:tcPr>
                  <w:tcW w:w="415" w:type="pct"/>
                  <w:vMerge w:val="restar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计划整改</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环境管理</w:t>
                  </w:r>
                </w:p>
              </w:tc>
              <w:tc>
                <w:tcPr>
                  <w:tcW w:w="1037"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76" w:type="pct"/>
                  <w:tcBorders>
                    <w:tl2br w:val="nil"/>
                    <w:tr2bl w:val="nil"/>
                  </w:tcBorders>
                  <w:noWrap w:val="0"/>
                  <w:vAlign w:val="center"/>
                </w:tcPr>
                <w:p>
                  <w:pPr>
                    <w:pStyle w:val="18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遵守排污许可证规定，按照生态环境管理要求运行和维护污染防治设施，建立环境管理制度，严格控制污染物达标排放。（二）按照规定建设规范化污染物排放口，并设置标志牌。（三）按照排污许可证规定和有关标准规范，依法开展自行监测，并保存原始监测记录，并对自行监测数据的真实性、准确性负责，不得篡改、伪造。（四）按照排污许可证规定的内容、频次和时间要求，向审批部门提交排污许可证执行报告，如实报告污染物排放行为、排放浓度、排放量等。（五）按照排污许可证规定，如实在全国排污许可证管理信息平台上公开污染物排放信息。（六）建立环境管理台账记录制度，按照排污许可证规定的格式、内容和频次，如实记录主要生产设施、污染防治设施运行情况以及污染物排放浓度、排放量。环境管理台账记录保存期限不得少于5年。</w:t>
                  </w:r>
                </w:p>
              </w:tc>
              <w:tc>
                <w:tcPr>
                  <w:tcW w:w="415" w:type="pct"/>
                  <w:vMerge w:val="continue"/>
                  <w:tcBorders>
                    <w:tl2br w:val="nil"/>
                    <w:tr2bl w:val="nil"/>
                  </w:tcBorders>
                  <w:noWrap w:val="0"/>
                  <w:vAlign w:val="center"/>
                </w:tcPr>
                <w:p>
                  <w:pPr>
                    <w:pStyle w:val="180"/>
                    <w:rPr>
                      <w:rFonts w:hint="default" w:ascii="Times New Roman" w:hAnsi="Times New Roman" w:eastAsia="宋体" w:cs="Times New Roman"/>
                      <w:color w:val="auto"/>
                      <w:sz w:val="21"/>
                      <w:szCs w:val="21"/>
                    </w:rPr>
                  </w:pPr>
                </w:p>
              </w:tc>
            </w:tr>
          </w:tbl>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w:t>
            </w:r>
            <w:r>
              <w:rPr>
                <w:rFonts w:hint="eastAsia" w:cs="Times New Roman"/>
                <w:b/>
                <w:bCs/>
                <w:color w:val="auto"/>
                <w:sz w:val="28"/>
                <w:szCs w:val="28"/>
                <w:lang w:val="en-US" w:eastAsia="zh-CN"/>
              </w:rPr>
              <w:t>4</w:t>
            </w:r>
            <w:r>
              <w:rPr>
                <w:rFonts w:hint="default" w:ascii="Times New Roman" w:hAnsi="Times New Roman" w:eastAsia="宋体" w:cs="Times New Roman"/>
                <w:b/>
                <w:bCs/>
                <w:color w:val="auto"/>
                <w:sz w:val="28"/>
                <w:szCs w:val="28"/>
              </w:rPr>
              <w:t xml:space="preserve"> </w:t>
            </w:r>
            <w:r>
              <w:rPr>
                <w:rFonts w:hint="eastAsia" w:cs="Times New Roman"/>
                <w:b/>
                <w:bCs/>
                <w:color w:val="auto"/>
                <w:sz w:val="28"/>
                <w:szCs w:val="28"/>
                <w:lang w:val="en-US" w:eastAsia="zh-CN"/>
              </w:rPr>
              <w:t>租赁厂房</w:t>
            </w:r>
            <w:r>
              <w:rPr>
                <w:rFonts w:hint="default" w:ascii="Times New Roman" w:hAnsi="Times New Roman" w:eastAsia="宋体" w:cs="Times New Roman"/>
                <w:b/>
                <w:bCs/>
                <w:color w:val="auto"/>
                <w:sz w:val="28"/>
                <w:szCs w:val="28"/>
              </w:rPr>
              <w:t>概况</w:t>
            </w:r>
          </w:p>
          <w:p>
            <w:pPr>
              <w:pStyle w:val="31"/>
              <w:spacing w:after="0"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福清市安耐达密封材料有限公司租赁福州元洪投资区建设有限公司位于福建省福州市福清市元洪投资区城头镇黄墩村</w:t>
            </w:r>
            <w:r>
              <w:rPr>
                <w:rFonts w:hint="eastAsia" w:cs="Times New Roman"/>
                <w:color w:val="auto"/>
                <w:sz w:val="24"/>
                <w:szCs w:val="24"/>
                <w:lang w:val="en-US" w:eastAsia="zh-CN"/>
              </w:rPr>
              <w:t>的</w:t>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auto"/>
                <w:sz w:val="24"/>
                <w:szCs w:val="24"/>
              </w:rPr>
              <w:t>厂房，厂房建筑面积3801.4m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r>
              <w:rPr>
                <w:rFonts w:hint="eastAsia" w:cs="Times New Roman"/>
                <w:color w:val="auto"/>
                <w:sz w:val="24"/>
                <w:szCs w:val="24"/>
                <w:lang w:val="en-US" w:eastAsia="zh-CN"/>
              </w:rPr>
              <w:t>根据调查，该厂房原为生产摩托车刹车片企业的仓库，已搬迁，根据现场踏勘，厂房内地面已全部硬化，无环境污染问题。（厂房情况说明详见附件10）</w:t>
            </w:r>
          </w:p>
        </w:tc>
      </w:tr>
    </w:tbl>
    <w:p>
      <w:pPr>
        <w:pStyle w:val="27"/>
        <w:adjustRightInd w:val="0"/>
        <w:snapToGrid w:val="0"/>
        <w:spacing w:before="0" w:beforeAutospacing="0" w:after="0" w:afterAutospacing="0" w:line="14" w:lineRule="auto"/>
        <w:jc w:val="both"/>
        <w:rPr>
          <w:rFonts w:hint="default" w:ascii="Times New Roman" w:hAnsi="Times New Roman" w:eastAsia="宋体" w:cs="Times New Roman"/>
          <w:snapToGrid w:val="0"/>
          <w:color w:val="auto"/>
          <w:sz w:val="30"/>
          <w:szCs w:val="30"/>
        </w:rPr>
        <w:sectPr>
          <w:footerReference r:id="rId6" w:type="default"/>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8" w:name="_Toc10004"/>
      <w:bookmarkStart w:id="9" w:name="_Toc25202"/>
      <w:r>
        <w:rPr>
          <w:rFonts w:hint="default" w:ascii="Times New Roman" w:hAnsi="Times New Roman" w:eastAsia="宋体" w:cs="Times New Roman"/>
          <w:b/>
          <w:bCs/>
          <w:snapToGrid w:val="0"/>
          <w:color w:val="auto"/>
          <w:sz w:val="32"/>
          <w:szCs w:val="32"/>
        </w:rPr>
        <w:t>三、区域环境质量现状、环境保护目标及评价标准</w:t>
      </w:r>
      <w:bookmarkEnd w:id="8"/>
      <w:bookmarkEnd w:id="9"/>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区域</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质量</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现状</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3.1 区域环境质量现状</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3.1.1 大气环境质量现状</w:t>
            </w:r>
          </w:p>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3.1 区域环境质量现状</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3.1.1 大气环境质量现状</w:t>
            </w:r>
          </w:p>
          <w:p>
            <w:pPr>
              <w:widowControl w:val="0"/>
              <w:shd w:val="clear"/>
              <w:topLinePunct/>
              <w:adjustRightInd w:val="0"/>
              <w:snapToGrid w:val="0"/>
              <w:spacing w:after="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①常规污染因子</w:t>
            </w:r>
          </w:p>
          <w:p>
            <w:pPr>
              <w:widowControl w:val="0"/>
              <w:shd w:val="clear"/>
              <w:topLinePunct/>
              <w:adjustRightInd w:val="0"/>
              <w:snapToGrid w:val="0"/>
              <w:spacing w:after="0"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2023年福州市环境状况公报》，全省68个城市(9个设区城市、平潭综合实验区和58个县级城市)环境空气中细颗粒物、可吸入颗粒物、二氧化硫和二氧化氮年均浓度分别为16微克/立方米、31微克/立方米、5微克/立方米和12微克/立方米，臭氧和一氧化碳特定百分位数平均值分别为113微克/立方米和0.8毫克/立方米。按照《环境空气质量标准》(CB3095-2012)评价，空气质量优良天数比例99.4%。</w:t>
            </w:r>
          </w:p>
          <w:p>
            <w:pPr>
              <w:widowControl w:val="0"/>
              <w:shd w:val="clear"/>
              <w:topLinePunct/>
              <w:adjustRightInd w:val="0"/>
              <w:snapToGrid w:val="0"/>
              <w:spacing w:after="0" w:line="360" w:lineRule="auto"/>
              <w:ind w:firstLine="480" w:firstLineChars="200"/>
              <w:jc w:val="both"/>
              <w:rPr>
                <w:rStyle w:val="38"/>
                <w:rFonts w:hint="default" w:ascii="Times New Roman" w:hAnsi="Times New Roman" w:eastAsia="宋体" w:cs="Times New Roman"/>
                <w:color w:val="auto"/>
                <w:szCs w:val="20"/>
                <w:highlight w:val="none"/>
              </w:rPr>
            </w:pPr>
            <w:r>
              <w:rPr>
                <w:rFonts w:hint="default" w:ascii="Times New Roman" w:hAnsi="Times New Roman" w:eastAsia="宋体" w:cs="Times New Roman"/>
                <w:color w:val="auto"/>
                <w:sz w:val="24"/>
                <w:szCs w:val="24"/>
                <w:highlight w:val="none"/>
                <w:lang w:val="en-US" w:eastAsia="zh-CN"/>
              </w:rPr>
              <w:t>根据福州市</w:t>
            </w:r>
            <w:r>
              <w:rPr>
                <w:rFonts w:hint="default" w:ascii="Times New Roman" w:hAnsi="Times New Roman" w:eastAsia="宋体" w:cs="Times New Roman"/>
                <w:color w:val="auto"/>
                <w:sz w:val="24"/>
                <w:szCs w:val="24"/>
                <w:highlight w:val="none"/>
              </w:rPr>
              <w:t>福清</w:t>
            </w:r>
            <w:r>
              <w:rPr>
                <w:rFonts w:hint="default" w:ascii="Times New Roman" w:hAnsi="Times New Roman" w:eastAsia="宋体" w:cs="Times New Roman"/>
                <w:color w:val="auto"/>
                <w:sz w:val="24"/>
                <w:szCs w:val="24"/>
                <w:highlight w:val="none"/>
                <w:lang w:val="en-US" w:eastAsia="zh-CN"/>
              </w:rPr>
              <w:t>生态环境局</w:t>
            </w:r>
            <w:r>
              <w:rPr>
                <w:rFonts w:hint="default" w:ascii="Times New Roman" w:hAnsi="Times New Roman" w:eastAsia="宋体" w:cs="Times New Roman"/>
                <w:color w:val="auto"/>
                <w:sz w:val="24"/>
                <w:szCs w:val="24"/>
                <w:highlight w:val="none"/>
              </w:rPr>
              <w:t>发布的2023年1月至2023年12月空气质量月报数据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详见表3.1-1</w:t>
            </w:r>
            <w:r>
              <w:rPr>
                <w:rFonts w:hint="default" w:ascii="Times New Roman" w:hAnsi="Times New Roman" w:eastAsia="宋体" w:cs="Times New Roman"/>
                <w:color w:val="auto"/>
                <w:sz w:val="24"/>
                <w:szCs w:val="24"/>
                <w:highlight w:val="none"/>
              </w:rPr>
              <w:t>，空气环境中SO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和PM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均未超过国家二级标准，CO日均值第95百分数和O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最大8小时值第90百分数未超过国家二级标准。</w:t>
            </w:r>
          </w:p>
          <w:p>
            <w:pPr>
              <w:widowControl w:val="0"/>
              <w:shd w:val="clear"/>
              <w:topLinePunct/>
              <w:adjustRightInd w:val="0"/>
              <w:snapToGrid w:val="0"/>
              <w:spacing w:after="0"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表3.1-1  2023年福清市空气质量月报数据</w:t>
            </w:r>
          </w:p>
          <w:tbl>
            <w:tblPr>
              <w:tblStyle w:val="32"/>
              <w:tblW w:w="4998" w:type="pct"/>
              <w:jc w:val="center"/>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80"/>
              <w:gridCol w:w="1148"/>
              <w:gridCol w:w="1148"/>
              <w:gridCol w:w="1148"/>
              <w:gridCol w:w="1586"/>
              <w:gridCol w:w="1081"/>
              <w:gridCol w:w="1153"/>
            </w:tblGrid>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时间</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0.016</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0.017</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2023年2月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0.033</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0.018</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0.105</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2023年3月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0.024</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2023年4月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0.019</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0.151</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2023年5月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0.017</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0.137</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2023年6月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0.026</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0.123</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2023年7月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0.128</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2023年8月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0.124</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2023年9月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0.115</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2023年10月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0.028</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0.137</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2023年11月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2023年12月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0.019</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0.018</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0.112</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0.71</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0.124</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国家二级标准</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0.035</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c>
                <w:tcPr>
                  <w:tcW w:w="4201" w:type="pct"/>
                  <w:gridSpan w:val="6"/>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*CO为日均值第95百分位数，O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为日最大8小时值第90百分位数。</w:t>
                  </w:r>
                </w:p>
              </w:tc>
            </w:tr>
          </w:tbl>
          <w:p>
            <w:pPr>
              <w:widowControl w:val="0"/>
              <w:shd w:val="clear"/>
              <w:topLinePunct/>
              <w:spacing w:after="0" w:line="360" w:lineRule="auto"/>
              <w:ind w:firstLine="480" w:firstLineChars="200"/>
              <w:contextualSpacing/>
              <w:jc w:val="both"/>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highlight w:val="none"/>
                <w:lang w:val="en-US" w:eastAsia="zh-CN"/>
              </w:rPr>
              <w:t>根据以上监测数据，福清市大气环境质量现状符合《环境空气质量标准》（GB3095-2012）的二级标准要求，城市环境空气质量达标，为达标区。</w:t>
            </w:r>
          </w:p>
          <w:p>
            <w:pPr>
              <w:widowControl w:val="0"/>
              <w:shd w:val="clear"/>
              <w:topLinePunct/>
              <w:spacing w:after="0" w:line="360" w:lineRule="auto"/>
              <w:ind w:firstLine="480" w:firstLineChars="200"/>
              <w:contextualSpacing/>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②其他补充检测因子</w:t>
            </w:r>
          </w:p>
          <w:p>
            <w:pPr>
              <w:widowControl w:val="0"/>
              <w:shd w:val="clear"/>
              <w:topLinePunct/>
              <w:spacing w:after="0" w:line="360" w:lineRule="auto"/>
              <w:ind w:firstLine="480" w:firstLineChars="200"/>
              <w:contextualSpacing/>
              <w:jc w:val="both"/>
              <w:rPr>
                <w:rStyle w:val="38"/>
                <w:rFonts w:hint="default" w:ascii="Times New Roman" w:hAnsi="Times New Roman" w:eastAsia="宋体" w:cs="Times New Roman"/>
                <w:color w:val="auto"/>
                <w:szCs w:val="20"/>
                <w:highlight w:val="none"/>
              </w:rPr>
            </w:pPr>
            <w:r>
              <w:rPr>
                <w:rFonts w:hint="default" w:ascii="Times New Roman" w:hAnsi="Times New Roman" w:eastAsia="宋体" w:cs="Times New Roman"/>
                <w:color w:val="auto"/>
                <w:sz w:val="24"/>
                <w:szCs w:val="24"/>
                <w:highlight w:val="none"/>
              </w:rPr>
              <w:t>为了解项目所在地其他污染物因子质量现状，根据本项目的特征，确定项目其他大气环境现状调查因子为非甲烷总烃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甲苯、二甲苯、硫化氢</w:t>
            </w:r>
            <w:r>
              <w:rPr>
                <w:rFonts w:hint="default" w:ascii="Times New Roman" w:hAnsi="Times New Roman" w:eastAsia="宋体" w:cs="Times New Roman"/>
                <w:color w:val="auto"/>
                <w:sz w:val="24"/>
                <w:szCs w:val="24"/>
                <w:highlight w:val="none"/>
              </w:rPr>
              <w:t>；委托福建九五检测技术服务有限公司于202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日和</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日，在项目所在区域</w:t>
            </w:r>
            <w:r>
              <w:rPr>
                <w:rFonts w:hint="default" w:ascii="Times New Roman" w:hAnsi="Times New Roman" w:eastAsia="宋体" w:cs="Times New Roman"/>
                <w:color w:val="auto"/>
                <w:sz w:val="24"/>
                <w:szCs w:val="24"/>
                <w:highlight w:val="none"/>
                <w:lang w:val="en-US" w:eastAsia="zh-CN"/>
              </w:rPr>
              <w:t>下风向</w:t>
            </w:r>
            <w:r>
              <w:rPr>
                <w:rFonts w:hint="default" w:ascii="Times New Roman" w:hAnsi="Times New Roman" w:eastAsia="宋体" w:cs="Times New Roman"/>
                <w:color w:val="auto"/>
                <w:sz w:val="24"/>
                <w:szCs w:val="24"/>
                <w:highlight w:val="none"/>
              </w:rPr>
              <w:t>进行现状监测；本项目</w:t>
            </w:r>
            <w:r>
              <w:rPr>
                <w:rFonts w:hint="default" w:ascii="Times New Roman" w:hAnsi="Times New Roman" w:eastAsia="宋体" w:cs="Times New Roman"/>
                <w:color w:val="auto"/>
                <w:sz w:val="24"/>
                <w:szCs w:val="24"/>
                <w:highlight w:val="none"/>
                <w:lang w:val="en-US" w:eastAsia="zh-CN"/>
              </w:rPr>
              <w:t>下风向</w:t>
            </w:r>
            <w:r>
              <w:rPr>
                <w:rFonts w:hint="default" w:ascii="Times New Roman" w:hAnsi="Times New Roman" w:eastAsia="宋体" w:cs="Times New Roman"/>
                <w:color w:val="auto"/>
                <w:sz w:val="24"/>
                <w:szCs w:val="24"/>
                <w:highlight w:val="none"/>
              </w:rPr>
              <w:t>监测位置关系及大气现状监测点位图见图3.1-1，大气环境质量监测评价结果表见表3.1-2。</w:t>
            </w:r>
          </w:p>
          <w:p>
            <w:pPr>
              <w:widowControl w:val="0"/>
              <w:shd w:val="clear"/>
              <w:topLinePunct/>
              <w:spacing w:after="0"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表3.1-2 大气环境质量监测评价结果表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105"/>
              <w:gridCol w:w="1670"/>
              <w:gridCol w:w="1943"/>
              <w:gridCol w:w="1713"/>
              <w:gridCol w:w="110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时间</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1小时值浓度范围</w:t>
                  </w:r>
                </w:p>
              </w:tc>
              <w:tc>
                <w:tcPr>
                  <w:tcW w:w="991"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距离本项目距离</w:t>
                  </w: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厂区下风向</w:t>
                  </w: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0.41-0.5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91"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00m</w:t>
                  </w: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0.35-0.46</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0.38-0.48</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widowControl w:val="0"/>
              <w:shd w:val="clear"/>
              <w:topLinePunct/>
              <w:contextualSpacing/>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drawing>
                <wp:inline distT="0" distB="0" distL="114300" distR="114300">
                  <wp:extent cx="4794250" cy="3282950"/>
                  <wp:effectExtent l="0" t="0" r="6350" b="1270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4794250" cy="3282950"/>
                          </a:xfrm>
                          <a:prstGeom prst="rect">
                            <a:avLst/>
                          </a:prstGeom>
                          <a:noFill/>
                          <a:ln>
                            <a:noFill/>
                          </a:ln>
                        </pic:spPr>
                      </pic:pic>
                    </a:graphicData>
                  </a:graphic>
                </wp:inline>
              </w:drawing>
            </w:r>
          </w:p>
          <w:p>
            <w:pPr>
              <w:pStyle w:val="131"/>
              <w:widowControl w:val="0"/>
              <w:shd w:val="clear"/>
              <w:topLinePunct/>
              <w:spacing w:after="0"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图3.1-1  项目位置关系及现状监测点位图</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3.1.2 地表水环境质量现状</w:t>
            </w:r>
          </w:p>
          <w:p>
            <w:pPr>
              <w:keepNext w:val="0"/>
              <w:keepLines w:val="0"/>
              <w:pageBreakBefore w:val="0"/>
              <w:widowControl w:val="0"/>
              <w:shd w:val="clear"/>
              <w:kinsoku/>
              <w:wordWrap/>
              <w:overflowPunct/>
              <w:topLinePunct/>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根据《2023年福州市环境状况公报》，纳入福建省地表水环境质量考核的375个断面(含国考断面)，按照评价标准</w:t>
            </w:r>
            <w:r>
              <w:rPr>
                <w:rFonts w:hint="default" w:ascii="Times New Roman" w:hAnsi="Times New Roman" w:eastAsia="宋体" w:cs="Times New Roman"/>
                <w:color w:val="auto"/>
                <w:sz w:val="24"/>
                <w:szCs w:val="24"/>
                <w:highlight w:val="none"/>
              </w:rPr>
              <w:t>Ⅰ</w:t>
            </w:r>
            <w:r>
              <w:rPr>
                <w:rFonts w:hint="default" w:ascii="Times New Roman" w:hAnsi="Times New Roman" w:eastAsia="宋体" w:cs="Times New Roman"/>
                <w:color w:val="auto"/>
                <w:sz w:val="24"/>
                <w:szCs w:val="24"/>
                <w:highlight w:val="none"/>
                <w:lang w:val="en-US" w:eastAsia="zh-CN"/>
              </w:rPr>
              <w:t>~Ⅲ类水质比例99.5%，同比上升0.8个百分点；其中</w:t>
            </w:r>
            <w:r>
              <w:rPr>
                <w:rFonts w:hint="default" w:ascii="Times New Roman" w:hAnsi="Times New Roman" w:eastAsia="宋体" w:cs="Times New Roman"/>
                <w:color w:val="auto"/>
                <w:sz w:val="24"/>
                <w:szCs w:val="24"/>
                <w:highlight w:val="none"/>
              </w:rPr>
              <w:t>Ⅰ</w:t>
            </w:r>
            <w:r>
              <w:rPr>
                <w:rFonts w:hint="default" w:ascii="Times New Roman" w:hAnsi="Times New Roman" w:eastAsia="宋体" w:cs="Times New Roman"/>
                <w:color w:val="auto"/>
                <w:sz w:val="24"/>
                <w:szCs w:val="24"/>
                <w:highlight w:val="none"/>
                <w:lang w:val="en-US" w:eastAsia="zh-CN"/>
              </w:rPr>
              <w:t>~Ⅱ类水质比例65.3%，同比上升9.8个百分点；</w:t>
            </w:r>
            <w:r>
              <w:rPr>
                <w:rFonts w:hint="default" w:ascii="Times New Roman" w:hAnsi="Times New Roman" w:eastAsia="宋体" w:cs="Times New Roman"/>
                <w:color w:val="auto"/>
                <w:sz w:val="24"/>
                <w:szCs w:val="24"/>
                <w:highlight w:val="none"/>
              </w:rPr>
              <w:t>Ⅳ</w:t>
            </w:r>
            <w:r>
              <w:rPr>
                <w:rFonts w:hint="default" w:ascii="Times New Roman" w:hAnsi="Times New Roman" w:eastAsia="宋体" w:cs="Times New Roman"/>
                <w:color w:val="auto"/>
                <w:sz w:val="24"/>
                <w:szCs w:val="24"/>
                <w:highlight w:val="none"/>
                <w:lang w:val="en-US" w:eastAsia="zh-CN"/>
              </w:rPr>
              <w:t>类占0.5%；无V类和劣V类断面。</w:t>
            </w:r>
          </w:p>
          <w:p>
            <w:pPr>
              <w:keepNext w:val="0"/>
              <w:keepLines w:val="0"/>
              <w:pageBreakBefore w:val="0"/>
              <w:widowControl w:val="0"/>
              <w:shd w:val="clear"/>
              <w:kinsoku/>
              <w:wordWrap/>
              <w:overflowPunct/>
              <w:topLinePunct/>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highlight w:val="none"/>
              </w:rPr>
              <w:t>2023年，全省9个设区城市主要流域水质均为优。除漳州外，其余8个城市Ⅰ~Ⅲ类水质断面比例均为100%。各设区城市主要流域水质按照水质指数从相对较好开始排名，具体为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南平、宁德、泉州、三明、龙岩、莆田、厦门、福州、漳州。</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 xml:space="preserve">3.1.3 声环境质量现状 </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本项目位于福建省福州市福清市元洪投资区城头镇黄墩村，所在地为居住、商业、工业混合用地，声环境功能区为3类声环境功能区，声环境质量执行《声环境质量标准》（GB 3096-2008）中的3类标准。</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依据《建设项目环境影响评价报告表编制技术指南（污染影响类）（试行）》 (环办环评〔2020〕33号)：厂界外周边 50米范围内存在声环境保护目标的建设项目，应监测保护目标声环境质量现状并评价达标情况。本项目厂界外50米范围内无声环境保护目标，因此不进行声环境质量监测。</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3.1.4 生态环境质量现状</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租赁福州元洪投资区建设有限公司5号的空置厂房（原生产摩托车刹车片的企业已搬迁）</w:t>
            </w:r>
            <w:r>
              <w:rPr>
                <w:rFonts w:hint="default" w:ascii="Times New Roman" w:hAnsi="Times New Roman" w:eastAsia="宋体" w:cs="Times New Roman"/>
                <w:color w:val="auto"/>
                <w:sz w:val="24"/>
                <w:szCs w:val="24"/>
              </w:rPr>
              <w:t>进行建设，评价区域内无珍稀濒危物种，无自然保护区、风景名胜区。该项目的生产运营不会造成评价区域内生物量和物种多样性的锐减，不会引起荒漠化、水和土地的理化性质恶化，对生态环境造成的影响很小，故本评价不进行生态环境现状调查。</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3.1.5 电磁辐射质量现状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本项目未涉及电磁辐射，故不需要开展电磁辐射现状调查。</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3.1.6 地下水、土壤环境质量现状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影响评价报告表编制技术指南（污染影响类）（试行）》（环办环评〔2020〕33号）：原则上不开展地下水、土壤环境质量现状调查。建设项目存在土壤、地下水环境污染途径的，应结合污染源、保护目标分布情况开展现状调查以留作背景值。本项目位于福建省福州市福清市元洪投资区城头镇黄墩村，对照《环境影响评价技术导则 地下水环境》（HJ610-2016）附录A中“73、汽车、摩托制造”行业，属于“IV类项目”，可不进行地下水环境影响评价。根据《环境影响评价技术导则 土壤环境（试行）》（HJ964-2018）附录A（土壤环境影响评价项目类别表），项目属于“其他行业”，为IV类项目，可不开展土壤环境影响评价工作。且厂区地面均已进行硬化处理，对地下水、土壤环境影响较小，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目标</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3.2 环境保护目标</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项目选址周边无文物古迹、风景名胜区，不在水源地保护区、自然保护区等敏感区域内。本项目的周边环境敏感目标详见表3.2-1，项目周边环境敏感目标分布图见附图2。</w:t>
            </w:r>
          </w:p>
          <w:p>
            <w:pPr>
              <w:spacing w:before="120" w:beforeLines="5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表3.2-1 项目周边环境敏感目标</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283"/>
              <w:gridCol w:w="1446"/>
              <w:gridCol w:w="1494"/>
              <w:gridCol w:w="1292"/>
              <w:gridCol w:w="212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83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w:t>
                  </w:r>
                </w:p>
              </w:tc>
              <w:tc>
                <w:tcPr>
                  <w:tcW w:w="86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方位、距离</w:t>
                  </w:r>
                </w:p>
              </w:tc>
              <w:tc>
                <w:tcPr>
                  <w:tcW w:w="74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122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42"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836"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黄墩村小学</w:t>
                  </w:r>
                </w:p>
              </w:tc>
              <w:tc>
                <w:tcPr>
                  <w:tcW w:w="864"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北侧、360m</w:t>
                  </w:r>
                </w:p>
              </w:tc>
              <w:tc>
                <w:tcPr>
                  <w:tcW w:w="74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约200人</w:t>
                  </w:r>
                </w:p>
              </w:tc>
              <w:tc>
                <w:tcPr>
                  <w:tcW w:w="122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《环境空气质量标准》（GB3095-2012）中的二级标准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8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742"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836"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黄墩村</w:t>
                  </w:r>
                </w:p>
              </w:tc>
              <w:tc>
                <w:tcPr>
                  <w:tcW w:w="864"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西北侧、250m</w:t>
                  </w:r>
                </w:p>
              </w:tc>
              <w:tc>
                <w:tcPr>
                  <w:tcW w:w="74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约2218人</w:t>
                  </w:r>
                </w:p>
              </w:tc>
              <w:tc>
                <w:tcPr>
                  <w:tcW w:w="122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836" w:type="pct"/>
                  <w:tcBorders>
                    <w:tl2br w:val="nil"/>
                    <w:tr2bl w:val="nil"/>
                  </w:tcBorders>
                  <w:vAlign w:val="center"/>
                </w:tcPr>
                <w:p>
                  <w:pPr>
                    <w:jc w:val="center"/>
                    <w:rPr>
                      <w:rFonts w:hint="default" w:ascii="Times New Roman" w:hAnsi="Times New Roman" w:eastAsia="宋体" w:cs="Times New Roman"/>
                      <w:color w:val="auto"/>
                      <w:sz w:val="21"/>
                      <w:szCs w:val="21"/>
                    </w:rPr>
                  </w:pPr>
                  <w:r>
                    <w:rPr>
                      <w:rStyle w:val="38"/>
                      <w:rFonts w:hint="default" w:ascii="Times New Roman" w:hAnsi="Times New Roman" w:eastAsia="宋体" w:cs="Times New Roman"/>
                      <w:color w:val="auto"/>
                      <w:szCs w:val="21"/>
                    </w:rPr>
                    <w:t>大坝溪</w:t>
                  </w:r>
                </w:p>
              </w:tc>
              <w:tc>
                <w:tcPr>
                  <w:tcW w:w="864"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东侧、1000m</w:t>
                  </w:r>
                </w:p>
              </w:tc>
              <w:tc>
                <w:tcPr>
                  <w:tcW w:w="747"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w:t>
                  </w:r>
                </w:p>
              </w:tc>
              <w:tc>
                <w:tcPr>
                  <w:tcW w:w="1225"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《地表水环境质量标准》（GB3838-2002）中IV类标准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447" w:type="pct"/>
                  <w:gridSpan w:val="3"/>
                  <w:tcBorders>
                    <w:tl2br w:val="nil"/>
                    <w:tr2bl w:val="nil"/>
                  </w:tcBorders>
                  <w:vAlign w:val="center"/>
                </w:tcPr>
                <w:p>
                  <w:pPr>
                    <w:jc w:val="center"/>
                    <w:rPr>
                      <w:rStyle w:val="38"/>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厂界外50m范围内无声环境保护目标</w:t>
                  </w:r>
                </w:p>
              </w:tc>
              <w:tc>
                <w:tcPr>
                  <w:tcW w:w="1225"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3673" w:type="pct"/>
                  <w:gridSpan w:val="4"/>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本项目租赁福州元洪投资区建设有限公司5号厂房，属于工业用地，无生态环境保护目标</w:t>
                  </w:r>
                </w:p>
              </w:tc>
            </w:tr>
          </w:tbl>
          <w:p>
            <w:pPr>
              <w:pStyle w:val="10"/>
              <w:ind w:firstLine="0" w:firstLineChars="0"/>
              <w:rPr>
                <w:rFonts w:hint="default" w:ascii="Times New Roman" w:hAnsi="Times New Roman" w:eastAsia="宋体"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物排</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放控</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制标</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准</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3.3 污染物排放标准</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3.3.1 水污染物排放标准</w:t>
            </w:r>
          </w:p>
          <w:p>
            <w:pPr>
              <w:pStyle w:val="113"/>
              <w:rPr>
                <w:rFonts w:hint="default" w:ascii="Times New Roman" w:hAnsi="Times New Roman" w:eastAsia="宋体" w:cs="Times New Roman"/>
                <w:color w:val="auto"/>
                <w:szCs w:val="24"/>
              </w:rPr>
            </w:pPr>
            <w:r>
              <w:rPr>
                <w:rFonts w:hint="default" w:ascii="Times New Roman" w:hAnsi="Times New Roman" w:eastAsia="宋体" w:cs="Times New Roman"/>
                <w:color w:val="auto"/>
              </w:rPr>
              <w:t>（1）项目水污染物排放标准</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本项目生产废水来源于除油、清洗、废气喷淋等工序（不涉及橡胶清洗），生产废水及生活污水排放参照执行《污水综合排放标准》（GB 8978-1996）表4中三级标准限值，其中氨氮参照执行《污水排入城镇下水道水质标准》（GB/T31962-2015）中B等级标准。见表3.3-1。</w:t>
            </w:r>
          </w:p>
          <w:p>
            <w:pPr>
              <w:pStyle w:val="120"/>
              <w:spacing w:before="120" w:beforeLines="50"/>
              <w:rPr>
                <w:rFonts w:hint="default" w:ascii="Times New Roman" w:hAnsi="Times New Roman" w:eastAsia="宋体" w:cs="Times New Roman"/>
                <w:color w:val="auto"/>
              </w:rPr>
            </w:pPr>
            <w:r>
              <w:rPr>
                <w:rFonts w:hint="default" w:ascii="Times New Roman" w:hAnsi="Times New Roman" w:eastAsia="宋体" w:cs="Times New Roman"/>
                <w:color w:val="auto"/>
              </w:rPr>
              <w:t>表3.3-1  废水污染物排放标准</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1550"/>
              <w:gridCol w:w="1312"/>
              <w:gridCol w:w="1312"/>
              <w:gridCol w:w="1165"/>
              <w:gridCol w:w="3305"/>
            </w:tblGrid>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tblHeader/>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330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3305" w:type="dxa"/>
                  <w:vMerge w:val="restart"/>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 8978-1996）表4 中三级标准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330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《污水排入城镇下水道水质标准》（GB/T31962-2015）中B级标准</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3.3.2 大气污染物排放标准</w:t>
            </w:r>
          </w:p>
          <w:p>
            <w:pPr>
              <w:pStyle w:val="113"/>
              <w:rPr>
                <w:rFonts w:hint="default" w:ascii="Times New Roman" w:hAnsi="Times New Roman" w:eastAsia="宋体" w:cs="Times New Roman"/>
                <w:color w:val="auto"/>
              </w:rPr>
            </w:pPr>
            <w:r>
              <w:rPr>
                <w:rFonts w:hint="default" w:ascii="Times New Roman" w:hAnsi="Times New Roman" w:eastAsia="宋体" w:cs="Times New Roman"/>
                <w:color w:val="auto"/>
              </w:rPr>
              <w:t>本项目生产过程中产生的废气主要为</w:t>
            </w:r>
            <w:r>
              <w:rPr>
                <w:rFonts w:hint="default" w:ascii="Times New Roman" w:hAnsi="Times New Roman" w:eastAsia="宋体" w:cs="Times New Roman"/>
                <w:color w:val="auto"/>
                <w:lang w:val="en-US" w:eastAsia="zh-CN"/>
              </w:rPr>
              <w:t>橡胶软化、</w:t>
            </w:r>
            <w:r>
              <w:rPr>
                <w:rFonts w:hint="eastAsia" w:cs="Times New Roman"/>
                <w:color w:val="auto"/>
                <w:lang w:val="en-US" w:eastAsia="zh-CN"/>
              </w:rPr>
              <w:t>研磨、</w:t>
            </w:r>
            <w:r>
              <w:rPr>
                <w:rFonts w:hint="default" w:ascii="Times New Roman" w:hAnsi="Times New Roman" w:eastAsia="宋体" w:cs="Times New Roman"/>
                <w:color w:val="auto"/>
                <w:lang w:val="en-US" w:eastAsia="zh-CN"/>
              </w:rPr>
              <w:t>涂覆和烘干</w:t>
            </w:r>
            <w:r>
              <w:rPr>
                <w:rFonts w:hint="default" w:ascii="Times New Roman" w:hAnsi="Times New Roman" w:eastAsia="宋体" w:cs="Times New Roman"/>
                <w:color w:val="auto"/>
              </w:rPr>
              <w:t>废气、</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废气，收集处理</w:t>
            </w:r>
            <w:r>
              <w:rPr>
                <w:rFonts w:hint="eastAsia" w:cs="Times New Roman"/>
                <w:color w:val="auto"/>
                <w:lang w:val="en-US" w:eastAsia="zh-CN"/>
              </w:rPr>
              <w:t>后</w:t>
            </w:r>
            <w:r>
              <w:rPr>
                <w:rFonts w:hint="default" w:ascii="Times New Roman" w:hAnsi="Times New Roman" w:eastAsia="宋体" w:cs="Times New Roman"/>
                <w:color w:val="auto"/>
              </w:rPr>
              <w:t>通过排气筒排放</w:t>
            </w:r>
            <w:r>
              <w:rPr>
                <w:rFonts w:hint="eastAsia" w:cs="Times New Roman"/>
                <w:color w:val="auto"/>
                <w:lang w:eastAsia="zh-CN"/>
              </w:rPr>
              <w:t>。</w:t>
            </w:r>
            <w:r>
              <w:rPr>
                <w:rFonts w:hint="eastAsia" w:cs="Times New Roman"/>
                <w:color w:val="auto"/>
                <w:lang w:val="en-US" w:eastAsia="zh-CN"/>
              </w:rPr>
              <w:t>本项目属于C3670汽车零部件及配件制造，无该行业排放标准，结合《大气污染物综合排放标准》（GB 16297-1996）、</w:t>
            </w:r>
            <w:r>
              <w:rPr>
                <w:rFonts w:hint="eastAsia" w:cs="Times New Roman"/>
                <w:color w:val="auto"/>
                <w:lang w:eastAsia="zh-CN"/>
              </w:rPr>
              <w:t>《工业企业挥发性有机物排放标准》（DB35/1782-2018）</w:t>
            </w:r>
            <w:r>
              <w:rPr>
                <w:rFonts w:hint="eastAsia" w:cs="Times New Roman"/>
                <w:color w:val="auto"/>
                <w:lang w:val="en-US" w:eastAsia="zh-CN"/>
              </w:rPr>
              <w:t>从严参照执行，故本项目</w:t>
            </w:r>
            <w:r>
              <w:rPr>
                <w:rFonts w:hint="default" w:ascii="Times New Roman" w:hAnsi="Times New Roman" w:eastAsia="宋体" w:cs="Times New Roman"/>
                <w:color w:val="auto"/>
              </w:rPr>
              <w:t>废气污染物排放参照执行</w:t>
            </w:r>
            <w:r>
              <w:rPr>
                <w:rFonts w:hint="eastAsia" w:cs="Times New Roman"/>
                <w:color w:val="auto"/>
                <w:lang w:eastAsia="zh-CN"/>
              </w:rPr>
              <w:t>《工业企业挥发性有机物排放标准》（DB35/1782-2018）</w:t>
            </w:r>
            <w:r>
              <w:rPr>
                <w:rFonts w:hint="default" w:ascii="Times New Roman" w:hAnsi="Times New Roman" w:eastAsia="宋体" w:cs="Times New Roman"/>
                <w:color w:val="auto"/>
              </w:rPr>
              <w:t>中表</w:t>
            </w:r>
            <w:r>
              <w:rPr>
                <w:rFonts w:hint="eastAsia" w:cs="Times New Roman"/>
                <w:color w:val="auto"/>
                <w:lang w:val="en-US" w:eastAsia="zh-CN"/>
              </w:rPr>
              <w:t>1</w:t>
            </w:r>
            <w:r>
              <w:rPr>
                <w:rFonts w:hint="default" w:ascii="Times New Roman" w:hAnsi="Times New Roman" w:eastAsia="宋体" w:cs="Times New Roman"/>
                <w:color w:val="auto"/>
              </w:rPr>
              <w:t>和表</w:t>
            </w:r>
            <w:r>
              <w:rPr>
                <w:rFonts w:hint="eastAsia" w:cs="Times New Roman"/>
                <w:color w:val="auto"/>
                <w:lang w:val="en-US" w:eastAsia="zh-CN"/>
              </w:rPr>
              <w:t>3</w:t>
            </w:r>
            <w:r>
              <w:rPr>
                <w:rFonts w:hint="default" w:ascii="Times New Roman" w:hAnsi="Times New Roman" w:eastAsia="宋体" w:cs="Times New Roman"/>
                <w:color w:val="auto"/>
              </w:rPr>
              <w:t>中排放限值，</w:t>
            </w:r>
            <w:r>
              <w:rPr>
                <w:rFonts w:hint="default" w:ascii="Times New Roman" w:hAnsi="Times New Roman" w:eastAsia="宋体" w:cs="Times New Roman"/>
                <w:color w:val="auto"/>
                <w:szCs w:val="24"/>
              </w:rPr>
              <w:t>非甲烷总烃厂区内无组织排放执行《挥发性有机物无组织排放控制标准》（GB 37822-2019）附录A的表A.1中特别排放限值要求，</w:t>
            </w:r>
            <w:r>
              <w:rPr>
                <w:rFonts w:hint="default" w:ascii="Times New Roman" w:hAnsi="Times New Roman" w:eastAsia="宋体" w:cs="Times New Roman"/>
                <w:color w:val="auto"/>
                <w:kern w:val="0"/>
              </w:rPr>
              <w:t>二硫化碳、硫化氢排放执行《恶臭污染物排放标准》（GB14554-93）表1、表2标准限值</w:t>
            </w:r>
            <w:r>
              <w:rPr>
                <w:rFonts w:hint="default" w:ascii="Times New Roman" w:hAnsi="Times New Roman" w:eastAsia="宋体" w:cs="Times New Roman"/>
                <w:color w:val="auto"/>
              </w:rPr>
              <w:t>。见表3.3-2和3.3-3。</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表3.3-2 本项目大气污染物有组织排放控制要求</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45"/>
              <w:gridCol w:w="906"/>
              <w:gridCol w:w="1259"/>
              <w:gridCol w:w="1157"/>
              <w:gridCol w:w="1212"/>
              <w:gridCol w:w="810"/>
              <w:gridCol w:w="195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收集工序</w:t>
                  </w:r>
                </w:p>
              </w:tc>
              <w:tc>
                <w:tcPr>
                  <w:tcW w:w="524"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p>
              </w:tc>
              <w:tc>
                <w:tcPr>
                  <w:tcW w:w="72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1838" w:type="pct"/>
                  <w:gridSpan w:val="3"/>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排放限值</w:t>
                  </w:r>
                </w:p>
              </w:tc>
              <w:tc>
                <w:tcPr>
                  <w:tcW w:w="1130"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01" w:hRule="atLeast"/>
                <w:jc w:val="center"/>
              </w:trPr>
              <w:tc>
                <w:tcPr>
                  <w:tcW w:w="778"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c>
                <w:tcPr>
                  <w:tcW w:w="728"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467"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排气筒高度</w:t>
                  </w:r>
                </w:p>
              </w:tc>
              <w:tc>
                <w:tcPr>
                  <w:tcW w:w="1130"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橡胶软化、研磨、涂覆和烘干</w:t>
                  </w:r>
                  <w:r>
                    <w:rPr>
                      <w:rFonts w:hint="default" w:ascii="Times New Roman" w:hAnsi="Times New Roman" w:eastAsia="宋体" w:cs="Times New Roman"/>
                      <w:color w:val="auto"/>
                      <w:sz w:val="21"/>
                      <w:szCs w:val="21"/>
                    </w:rPr>
                    <w:t>废气</w:t>
                  </w:r>
                </w:p>
              </w:tc>
              <w:tc>
                <w:tcPr>
                  <w:tcW w:w="524"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467"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p>
              </w:tc>
              <w:tc>
                <w:tcPr>
                  <w:tcW w:w="1130" w:type="pct"/>
                  <w:vMerge w:val="restart"/>
                  <w:tcBorders>
                    <w:tl2br w:val="nil"/>
                    <w:tr2bl w:val="nil"/>
                  </w:tcBorders>
                  <w:vAlign w:val="center"/>
                </w:tcPr>
                <w:p>
                  <w:pPr>
                    <w:pStyle w:val="149"/>
                    <w:adjustRightInd w:val="0"/>
                    <w:snapToGrid w:val="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表</w:t>
                  </w:r>
                  <w:r>
                    <w:rPr>
                      <w:rFonts w:hint="eastAsia" w:cs="Times New Roman"/>
                      <w:color w:val="auto"/>
                      <w:sz w:val="21"/>
                      <w:szCs w:val="21"/>
                      <w:lang w:val="en-US" w:eastAsia="zh-CN"/>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w:t>
                  </w:r>
                </w:p>
              </w:tc>
              <w:tc>
                <w:tcPr>
                  <w:tcW w:w="524"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w:t>
                  </w: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1.8</w:t>
                  </w:r>
                </w:p>
              </w:tc>
              <w:tc>
                <w:tcPr>
                  <w:tcW w:w="467"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《恶臭污染物排放标准》（GB14554-93）表2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bl>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表3.3-3 本项目大气污染物无组织排放控制要求</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186"/>
              <w:gridCol w:w="1687"/>
              <w:gridCol w:w="1687"/>
              <w:gridCol w:w="1296"/>
              <w:gridCol w:w="2788"/>
            </w:tblGrid>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控制位置</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污染物项目</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限值含义</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排放限值 mg/ m</w:t>
                  </w:r>
                  <w:r>
                    <w:rPr>
                      <w:rFonts w:hint="default" w:ascii="Times New Roman" w:hAnsi="Times New Roman" w:eastAsia="宋体" w:cs="Times New Roman"/>
                      <w:bCs/>
                      <w:color w:val="auto"/>
                      <w:sz w:val="21"/>
                      <w:vertAlign w:val="superscript"/>
                    </w:rPr>
                    <w:t>3</w:t>
                  </w:r>
                </w:p>
              </w:tc>
              <w:tc>
                <w:tcPr>
                  <w:tcW w:w="1612"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执行标准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厂界</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非甲烷总烃</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eastAsia" w:cs="Times New Roman"/>
                      <w:bCs/>
                      <w:color w:val="auto"/>
                      <w:sz w:val="21"/>
                      <w:lang w:val="en-US" w:eastAsia="zh-CN"/>
                    </w:rPr>
                    <w:t>2</w:t>
                  </w:r>
                  <w:r>
                    <w:rPr>
                      <w:rFonts w:hint="default" w:ascii="Times New Roman" w:hAnsi="Times New Roman" w:eastAsia="宋体" w:cs="Times New Roman"/>
                      <w:bCs/>
                      <w:color w:val="auto"/>
                      <w:sz w:val="21"/>
                    </w:rPr>
                    <w:t>.0</w:t>
                  </w:r>
                </w:p>
              </w:tc>
              <w:tc>
                <w:tcPr>
                  <w:tcW w:w="1612"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lang w:val="en-US" w:eastAsia="zh-CN"/>
                    </w:rPr>
                  </w:pPr>
                  <w:r>
                    <w:rPr>
                      <w:rFonts w:hint="eastAsia" w:cs="Times New Roman"/>
                      <w:bCs/>
                      <w:color w:val="auto"/>
                      <w:sz w:val="21"/>
                      <w:lang w:eastAsia="zh-CN"/>
                    </w:rPr>
                    <w:t>《工业企业挥发性有机物排放标准》（DB35/1782-2018）</w:t>
                  </w:r>
                  <w:r>
                    <w:rPr>
                      <w:rFonts w:hint="eastAsia" w:cs="Times New Roman"/>
                      <w:bCs/>
                      <w:color w:val="auto"/>
                      <w:sz w:val="21"/>
                      <w:lang w:val="en-US" w:eastAsia="zh-CN"/>
                    </w:rPr>
                    <w:t>表3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甲苯</w:t>
                  </w:r>
                </w:p>
              </w:tc>
              <w:tc>
                <w:tcPr>
                  <w:tcW w:w="975" w:type="pct"/>
                  <w:tcBorders>
                    <w:tl2br w:val="nil"/>
                    <w:tr2bl w:val="nil"/>
                  </w:tcBorders>
                  <w:vAlign w:val="center"/>
                </w:tcPr>
                <w:p>
                  <w:pPr>
                    <w:adjustRightInd w:val="0"/>
                    <w:snapToGrid w:val="0"/>
                    <w:spacing w:line="240" w:lineRule="atLeast"/>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0.6</w:t>
                  </w:r>
                </w:p>
              </w:tc>
              <w:tc>
                <w:tcPr>
                  <w:tcW w:w="1612"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二甲苯</w:t>
                  </w:r>
                </w:p>
              </w:tc>
              <w:tc>
                <w:tcPr>
                  <w:tcW w:w="975" w:type="pct"/>
                  <w:tcBorders>
                    <w:tl2br w:val="nil"/>
                    <w:tr2bl w:val="nil"/>
                  </w:tcBorders>
                  <w:vAlign w:val="center"/>
                </w:tcPr>
                <w:p>
                  <w:pPr>
                    <w:adjustRightInd w:val="0"/>
                    <w:snapToGrid w:val="0"/>
                    <w:spacing w:line="240" w:lineRule="atLeast"/>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0.2</w:t>
                  </w:r>
                </w:p>
              </w:tc>
              <w:tc>
                <w:tcPr>
                  <w:tcW w:w="1612"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二硫化碳</w:t>
                  </w:r>
                </w:p>
              </w:tc>
              <w:tc>
                <w:tcPr>
                  <w:tcW w:w="975"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2h采一次，共采集4次，取其最大测定值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3.0</w:t>
                  </w:r>
                </w:p>
              </w:tc>
              <w:tc>
                <w:tcPr>
                  <w:tcW w:w="1612"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《恶臭污染物排放标准》（GB14554-93）表1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硫化氢</w:t>
                  </w:r>
                </w:p>
              </w:tc>
              <w:tc>
                <w:tcPr>
                  <w:tcW w:w="975"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0.06</w:t>
                  </w:r>
                </w:p>
              </w:tc>
              <w:tc>
                <w:tcPr>
                  <w:tcW w:w="1612"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厂内</w:t>
                  </w:r>
                </w:p>
              </w:tc>
              <w:tc>
                <w:tcPr>
                  <w:tcW w:w="975" w:type="pct"/>
                  <w:tcBorders>
                    <w:tl2br w:val="nil"/>
                    <w:tr2bl w:val="nil"/>
                  </w:tcBorders>
                  <w:vAlign w:val="center"/>
                </w:tcPr>
                <w:p>
                  <w:pPr>
                    <w:adjustRightInd w:val="0"/>
                    <w:snapToGrid w:val="0"/>
                    <w:spacing w:line="240" w:lineRule="atLeast"/>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非甲烷总烃</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6.0</w:t>
                  </w:r>
                </w:p>
              </w:tc>
              <w:tc>
                <w:tcPr>
                  <w:tcW w:w="1612" w:type="pct"/>
                  <w:vMerge w:val="restart"/>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《挥发性有机物无组织排放控制标准》（GB 37822-2019附录A中表A.1特别排放限值</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p>
              </w:tc>
              <w:tc>
                <w:tcPr>
                  <w:tcW w:w="975" w:type="pct"/>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rPr>
                    <w:t>非甲烷总烃</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任意一次浓度值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20</w:t>
                  </w:r>
                </w:p>
              </w:tc>
              <w:tc>
                <w:tcPr>
                  <w:tcW w:w="1612" w:type="pct"/>
                  <w:vMerge w:val="continue"/>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3.3.3 噪声污染物排放标准</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本项目位于福建省福州市福清市元洪投资区城头镇黄墩村，厂界噪声执行《工业企业厂界环境噪声排放标准》（GB 12348-2008）3类标准，具体详见表3.3-4。</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表3.3-4 《工业企业厂界环境噪声排放标准》（GB 12348-2008）表1（摘录）</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6"/>
              <w:gridCol w:w="2268"/>
              <w:gridCol w:w="2055"/>
              <w:gridCol w:w="205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项目</w:t>
                  </w:r>
                </w:p>
              </w:tc>
              <w:tc>
                <w:tcPr>
                  <w:tcW w:w="1311" w:type="pct"/>
                  <w:tcBorders>
                    <w:tl2br w:val="nil"/>
                    <w:tr2bl w:val="nil"/>
                  </w:tcBorders>
                  <w:vAlign w:val="center"/>
                </w:tcPr>
                <w:p>
                  <w:pPr>
                    <w:pStyle w:val="121"/>
                    <w:snapToGrid w:val="0"/>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执行标准</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昼间</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夜间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1311" w:type="pct"/>
                  <w:tcBorders>
                    <w:tl2br w:val="nil"/>
                    <w:tr2bl w:val="nil"/>
                  </w:tcBorders>
                  <w:vAlign w:val="center"/>
                </w:tcPr>
                <w:p>
                  <w:pPr>
                    <w:pStyle w:val="121"/>
                    <w:snapToGrid w:val="0"/>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3类</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≤65dB（A）</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≤55dB（A）</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3.3.4 固体废物污染物排放标准</w:t>
            </w:r>
          </w:p>
          <w:p>
            <w:pPr>
              <w:pStyle w:val="10"/>
              <w:ind w:firstLine="48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4"/>
              </w:rPr>
              <w:t>一般固体废物在厂区内暂时贮存执行《一般工业固体废物贮存和填埋污染控制标准》（GB 18599-2020）相关要求。厂内危险废物暂存执行《危险废物贮存污染控制标准》（GB 18597-2023）要求。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总量</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控制</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指标</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3.4 总量控制</w:t>
            </w:r>
          </w:p>
          <w:p>
            <w:pPr>
              <w:pStyle w:val="186"/>
              <w:rPr>
                <w:rFonts w:hint="default" w:ascii="Times New Roman" w:hAnsi="Times New Roman" w:eastAsia="宋体" w:cs="Times New Roman"/>
                <w:color w:val="auto"/>
              </w:rPr>
            </w:pPr>
            <w:r>
              <w:rPr>
                <w:rFonts w:hint="default" w:ascii="Times New Roman" w:hAnsi="Times New Roman" w:eastAsia="宋体" w:cs="Times New Roman"/>
                <w:color w:val="auto"/>
              </w:rPr>
              <w:t>根据国家“十四五”期间污染物总量控制要求及《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X</w:t>
            </w:r>
            <w:r>
              <w:rPr>
                <w:rFonts w:hint="default" w:ascii="Times New Roman" w:hAnsi="Times New Roman" w:eastAsia="宋体" w:cs="Times New Roman"/>
                <w:color w:val="auto"/>
              </w:rPr>
              <w:t>。</w:t>
            </w:r>
          </w:p>
          <w:p>
            <w:pPr>
              <w:pStyle w:val="10"/>
              <w:numPr>
                <w:ilvl w:val="0"/>
                <w:numId w:val="4"/>
              </w:numPr>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水污染物排放总量计算：本项目产生的生活污水经化粪池处理后、生产废水经厂内污水处理设施处理后合并接入市政污水管网，引至元洪投资区污水处理厂集中处理，</w:t>
            </w:r>
            <w:r>
              <w:rPr>
                <w:rFonts w:hint="default" w:ascii="Times New Roman" w:hAnsi="Times New Roman" w:eastAsia="宋体" w:cs="Times New Roman"/>
                <w:bCs/>
                <w:color w:val="auto"/>
              </w:rPr>
              <w:t>处理后的污染物达标排放</w:t>
            </w:r>
            <w:r>
              <w:rPr>
                <w:rFonts w:hint="default" w:ascii="Times New Roman" w:hAnsi="Times New Roman" w:eastAsia="宋体" w:cs="Times New Roman"/>
                <w:color w:val="auto"/>
                <w:lang w:eastAsia="zh-CN"/>
              </w:rPr>
              <w:t>。元洪投资区污水处理厂排放总量已列入区域总量控制范畴，本项目</w:t>
            </w:r>
            <w:r>
              <w:rPr>
                <w:rFonts w:hint="eastAsia" w:cs="Times New Roman"/>
                <w:color w:val="auto"/>
                <w:lang w:val="en-US" w:eastAsia="zh-CN"/>
              </w:rPr>
              <w:t>生活污水</w:t>
            </w:r>
            <w:r>
              <w:rPr>
                <w:rFonts w:hint="default" w:ascii="Times New Roman" w:hAnsi="Times New Roman" w:eastAsia="宋体" w:cs="Times New Roman"/>
                <w:color w:val="auto"/>
                <w:lang w:eastAsia="zh-CN"/>
              </w:rPr>
              <w:t>污染物排放总量已纳入元洪投资区污水处理厂的指标范围之内，由污水处理厂统一调度，故本项目无需申请</w:t>
            </w:r>
            <w:r>
              <w:rPr>
                <w:rFonts w:hint="eastAsia" w:cs="Times New Roman"/>
                <w:color w:val="auto"/>
                <w:lang w:val="en-US" w:eastAsia="zh-CN"/>
              </w:rPr>
              <w:t>生活污水</w:t>
            </w:r>
            <w:r>
              <w:rPr>
                <w:rFonts w:hint="default" w:ascii="Times New Roman" w:hAnsi="Times New Roman" w:eastAsia="宋体" w:cs="Times New Roman"/>
                <w:color w:val="auto"/>
                <w:lang w:eastAsia="zh-CN"/>
              </w:rPr>
              <w:t>总量</w:t>
            </w:r>
            <w:r>
              <w:rPr>
                <w:rFonts w:hint="eastAsia" w:cs="Times New Roman"/>
                <w:color w:val="auto"/>
                <w:lang w:eastAsia="zh-CN"/>
              </w:rPr>
              <w:t>。</w:t>
            </w:r>
          </w:p>
          <w:p>
            <w:pPr>
              <w:pStyle w:val="10"/>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根据本环评章节2.3.3中表2.3-3项目水污染物排放总量汇总表，现有工程环评要求生产废水</w:t>
            </w:r>
            <w:r>
              <w:rPr>
                <w:rFonts w:hint="default" w:ascii="Times New Roman" w:hAnsi="Times New Roman" w:eastAsia="宋体" w:cs="Times New Roman"/>
                <w:color w:val="auto"/>
                <w:lang w:val="en-US" w:eastAsia="zh-CN"/>
              </w:rPr>
              <w:t>COD排放量为</w:t>
            </w:r>
            <w:r>
              <w:rPr>
                <w:rFonts w:hint="eastAsia" w:cs="Times New Roman"/>
                <w:color w:val="auto"/>
                <w:lang w:val="en-US" w:eastAsia="zh-CN"/>
              </w:rPr>
              <w:t>0.392</w:t>
            </w:r>
            <w:r>
              <w:rPr>
                <w:rFonts w:hint="default" w:ascii="Times New Roman" w:hAnsi="Times New Roman" w:eastAsia="宋体" w:cs="Times New Roman"/>
                <w:color w:val="auto"/>
                <w:lang w:val="en-US" w:eastAsia="zh-CN"/>
              </w:rPr>
              <w:t>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-N排放量为0.0</w:t>
            </w:r>
            <w:r>
              <w:rPr>
                <w:rFonts w:hint="eastAsia" w:cs="Times New Roman"/>
                <w:color w:val="auto"/>
                <w:lang w:val="en-US" w:eastAsia="zh-CN"/>
              </w:rPr>
              <w:t>588</w:t>
            </w:r>
            <w:r>
              <w:rPr>
                <w:rFonts w:hint="default" w:ascii="Times New Roman" w:hAnsi="Times New Roman" w:eastAsia="宋体" w:cs="Times New Roman"/>
                <w:color w:val="auto"/>
                <w:lang w:val="en-US" w:eastAsia="zh-CN"/>
              </w:rPr>
              <w:t>t/a</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根据</w:t>
            </w:r>
            <w:r>
              <w:rPr>
                <w:rFonts w:hint="eastAsia" w:cs="Times New Roman"/>
                <w:color w:val="auto"/>
                <w:lang w:val="en-US" w:eastAsia="zh-CN"/>
              </w:rPr>
              <w:t>本环评表4.2-10，</w:t>
            </w:r>
            <w:r>
              <w:rPr>
                <w:rFonts w:hint="default" w:ascii="Times New Roman" w:hAnsi="Times New Roman" w:eastAsia="宋体" w:cs="Times New Roman"/>
                <w:color w:val="auto"/>
                <w:lang w:val="en-US" w:eastAsia="zh-CN"/>
              </w:rPr>
              <w:t>本</w:t>
            </w:r>
            <w:r>
              <w:rPr>
                <w:rFonts w:hint="eastAsia" w:cs="Times New Roman"/>
                <w:color w:val="auto"/>
                <w:lang w:val="en-US" w:eastAsia="zh-CN"/>
              </w:rPr>
              <w:t>次扩建</w:t>
            </w:r>
            <w:r>
              <w:rPr>
                <w:rFonts w:hint="default" w:ascii="Times New Roman" w:hAnsi="Times New Roman" w:eastAsia="宋体" w:cs="Times New Roman"/>
                <w:color w:val="auto"/>
                <w:lang w:val="en-US" w:eastAsia="zh-CN"/>
              </w:rPr>
              <w:t>项目</w:t>
            </w:r>
            <w:r>
              <w:rPr>
                <w:rFonts w:hint="eastAsia" w:cs="Times New Roman"/>
                <w:color w:val="auto"/>
                <w:lang w:val="en-US" w:eastAsia="zh-CN"/>
              </w:rPr>
              <w:t>生产废水</w:t>
            </w:r>
            <w:r>
              <w:rPr>
                <w:rFonts w:hint="default" w:ascii="Times New Roman" w:hAnsi="Times New Roman" w:eastAsia="宋体" w:cs="Times New Roman"/>
                <w:color w:val="auto"/>
                <w:lang w:val="en-US" w:eastAsia="zh-CN"/>
              </w:rPr>
              <w:t>COD排放量为0.118t/a，NH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-N排放量为0.012t/a</w:t>
            </w:r>
            <w:r>
              <w:rPr>
                <w:rFonts w:hint="default" w:ascii="Times New Roman" w:hAnsi="Times New Roman" w:eastAsia="宋体" w:cs="Times New Roman"/>
                <w:color w:val="auto"/>
              </w:rPr>
              <w:t>。</w:t>
            </w:r>
            <w:r>
              <w:rPr>
                <w:rFonts w:hint="eastAsia" w:cs="Times New Roman"/>
                <w:color w:val="auto"/>
                <w:lang w:val="en-US" w:eastAsia="zh-CN"/>
              </w:rPr>
              <w:t>因此，扩建后全厂生产废水</w:t>
            </w:r>
            <w:r>
              <w:rPr>
                <w:rFonts w:hint="default" w:ascii="Times New Roman" w:hAnsi="Times New Roman" w:eastAsia="宋体" w:cs="Times New Roman"/>
                <w:color w:val="auto"/>
                <w:lang w:val="en-US" w:eastAsia="zh-CN"/>
              </w:rPr>
              <w:t>COD排放量为</w:t>
            </w:r>
            <w:r>
              <w:rPr>
                <w:rFonts w:hint="eastAsia" w:cs="Times New Roman"/>
                <w:color w:val="auto"/>
                <w:lang w:val="en-US" w:eastAsia="zh-CN"/>
              </w:rPr>
              <w:t>0.51</w:t>
            </w:r>
            <w:r>
              <w:rPr>
                <w:rFonts w:hint="default" w:ascii="Times New Roman" w:hAnsi="Times New Roman" w:eastAsia="宋体" w:cs="Times New Roman"/>
                <w:color w:val="auto"/>
                <w:lang w:val="en-US" w:eastAsia="zh-CN"/>
              </w:rPr>
              <w:t>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w:t>
            </w:r>
            <w:r>
              <w:rPr>
                <w:rFonts w:hint="eastAsia" w:cs="Times New Roman"/>
                <w:color w:val="auto"/>
                <w:lang w:val="en-US" w:eastAsia="zh-CN"/>
              </w:rPr>
              <w:t>0.0708</w:t>
            </w:r>
            <w:r>
              <w:rPr>
                <w:rFonts w:hint="default" w:ascii="Times New Roman" w:hAnsi="Times New Roman" w:eastAsia="宋体" w:cs="Times New Roman"/>
                <w:color w:val="auto"/>
                <w:lang w:val="en-US" w:eastAsia="zh-CN"/>
              </w:rPr>
              <w:t>t/a</w:t>
            </w:r>
            <w:r>
              <w:rPr>
                <w:rFonts w:hint="eastAsia" w:ascii="Times New Roman" w:hAnsi="Times New Roman" w:eastAsia="宋体" w:cs="Times New Roman"/>
                <w:color w:val="auto"/>
                <w:lang w:val="en-US" w:eastAsia="zh-CN"/>
              </w:rPr>
              <w:t>。</w:t>
            </w:r>
          </w:p>
          <w:p>
            <w:pPr>
              <w:pStyle w:val="10"/>
              <w:numPr>
                <w:ilvl w:val="0"/>
                <w:numId w:val="4"/>
              </w:numPr>
              <w:ind w:left="0" w:leftChars="0" w:firstLine="480" w:firstLineChars="20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大气污染物排放总量计算：</w:t>
            </w:r>
            <w:r>
              <w:rPr>
                <w:rFonts w:hint="eastAsia" w:cs="Times New Roman"/>
                <w:color w:val="auto"/>
                <w:lang w:val="en-US" w:eastAsia="zh-CN"/>
              </w:rPr>
              <w:t>根据本环评章节2.3.3 污染物实际排放情况，现有工程</w:t>
            </w:r>
            <w:r>
              <w:rPr>
                <w:rFonts w:hint="default" w:ascii="Times New Roman" w:hAnsi="Times New Roman" w:eastAsia="宋体" w:cs="Times New Roman"/>
                <w:color w:val="auto"/>
              </w:rPr>
              <w:t>VOCs</w:t>
            </w:r>
            <w:r>
              <w:rPr>
                <w:rFonts w:hint="eastAsia" w:ascii="Times New Roman" w:hAnsi="Times New Roman" w:eastAsia="宋体" w:cs="Times New Roman"/>
                <w:color w:val="auto"/>
                <w:lang w:val="en-US" w:eastAsia="zh-CN"/>
              </w:rPr>
              <w:t>排放量为0.533t/a</w:t>
            </w:r>
            <w:r>
              <w:rPr>
                <w:rFonts w:hint="eastAsia" w:cs="Times New Roman"/>
                <w:color w:val="auto"/>
                <w:lang w:val="en-US" w:eastAsia="zh-CN"/>
              </w:rPr>
              <w:t>，</w:t>
            </w:r>
            <w:r>
              <w:rPr>
                <w:rFonts w:hint="default" w:ascii="Times New Roman" w:hAnsi="Times New Roman" w:eastAsia="宋体" w:cs="Times New Roman"/>
                <w:color w:val="auto"/>
                <w:lang w:val="en-US" w:eastAsia="zh-CN"/>
              </w:rPr>
              <w:t>根据</w:t>
            </w:r>
            <w:r>
              <w:rPr>
                <w:rFonts w:hint="eastAsia" w:cs="Times New Roman"/>
                <w:color w:val="auto"/>
                <w:lang w:val="en-US" w:eastAsia="zh-CN"/>
              </w:rPr>
              <w:t>本环评表4.2-1</w:t>
            </w:r>
            <w:r>
              <w:rPr>
                <w:rFonts w:hint="default" w:ascii="Times New Roman" w:hAnsi="Times New Roman" w:eastAsia="宋体" w:cs="Times New Roman"/>
                <w:color w:val="auto"/>
              </w:rPr>
              <w:t>，本</w:t>
            </w:r>
            <w:r>
              <w:rPr>
                <w:rFonts w:hint="eastAsia" w:cs="Times New Roman"/>
                <w:color w:val="auto"/>
                <w:lang w:val="en-US" w:eastAsia="zh-CN"/>
              </w:rPr>
              <w:t>次扩建</w:t>
            </w:r>
            <w:r>
              <w:rPr>
                <w:rFonts w:hint="default" w:ascii="Times New Roman" w:hAnsi="Times New Roman" w:eastAsia="宋体" w:cs="Times New Roman"/>
                <w:color w:val="auto"/>
              </w:rPr>
              <w:t>项目VOCs（以非甲烷总烃计</w:t>
            </w:r>
            <w:r>
              <w:rPr>
                <w:rFonts w:hint="eastAsia" w:cs="Times New Roman"/>
                <w:color w:val="auto"/>
                <w:lang w:eastAsia="zh-CN"/>
              </w:rPr>
              <w:t>，</w:t>
            </w:r>
            <w:r>
              <w:rPr>
                <w:rFonts w:hint="eastAsia" w:cs="Times New Roman"/>
                <w:color w:val="auto"/>
                <w:lang w:val="en-US" w:eastAsia="zh-CN"/>
              </w:rPr>
              <w:t>含二甲苯、甲苯</w:t>
            </w:r>
            <w:r>
              <w:rPr>
                <w:rFonts w:hint="default" w:ascii="Times New Roman" w:hAnsi="Times New Roman" w:eastAsia="宋体" w:cs="Times New Roman"/>
                <w:color w:val="auto"/>
              </w:rPr>
              <w:t>）的排放总量为：</w:t>
            </w:r>
            <w:r>
              <w:rPr>
                <w:rFonts w:hint="default" w:ascii="Times New Roman" w:hAnsi="Times New Roman" w:eastAsia="宋体" w:cs="Times New Roman"/>
                <w:color w:val="auto"/>
                <w:lang w:val="en-US" w:eastAsia="zh-CN"/>
              </w:rPr>
              <w:t>2.213</w:t>
            </w:r>
            <w:r>
              <w:rPr>
                <w:rFonts w:hint="default" w:ascii="Times New Roman" w:hAnsi="Times New Roman" w:eastAsia="宋体" w:cs="Times New Roman"/>
                <w:color w:val="auto"/>
              </w:rPr>
              <w:t>t/a，</w:t>
            </w:r>
            <w:r>
              <w:rPr>
                <w:rFonts w:hint="eastAsia" w:cs="Times New Roman"/>
                <w:color w:val="auto"/>
                <w:lang w:val="en-US" w:eastAsia="zh-CN"/>
              </w:rPr>
              <w:t>因此，扩建后全厂</w:t>
            </w:r>
            <w:r>
              <w:rPr>
                <w:rFonts w:hint="default" w:ascii="Times New Roman" w:hAnsi="Times New Roman" w:eastAsia="宋体" w:cs="Times New Roman"/>
                <w:color w:val="auto"/>
              </w:rPr>
              <w:t>VOCs</w:t>
            </w:r>
            <w:r>
              <w:rPr>
                <w:rFonts w:hint="eastAsia" w:ascii="Times New Roman" w:hAnsi="Times New Roman" w:eastAsia="宋体" w:cs="Times New Roman"/>
                <w:color w:val="auto"/>
                <w:lang w:val="en-US" w:eastAsia="zh-CN"/>
              </w:rPr>
              <w:t>排放量为2.746t/a。</w:t>
            </w:r>
          </w:p>
          <w:p>
            <w:pPr>
              <w:pStyle w:val="10"/>
              <w:numPr>
                <w:ilvl w:val="0"/>
                <w:numId w:val="4"/>
              </w:numPr>
              <w:ind w:left="0" w:leftChars="0" w:firstLine="480" w:firstLineChars="200"/>
              <w:rPr>
                <w:rFonts w:hint="default" w:ascii="Times New Roman" w:hAnsi="Times New Roman" w:eastAsia="宋体" w:cs="Times New Roman"/>
                <w:color w:val="auto"/>
              </w:rPr>
            </w:pPr>
            <w:r>
              <w:rPr>
                <w:rFonts w:hint="eastAsia" w:cs="Times New Roman"/>
                <w:color w:val="auto"/>
                <w:lang w:val="en-US" w:eastAsia="zh-CN"/>
              </w:rPr>
              <w:t>根据附件4 现有工程总量指标确认意见，现有工程已按要求购买了COD、氨氮排放总量。</w:t>
            </w:r>
            <w:r>
              <w:rPr>
                <w:rFonts w:hint="default" w:ascii="Times New Roman" w:hAnsi="Times New Roman" w:eastAsia="宋体" w:cs="Times New Roman"/>
                <w:color w:val="auto"/>
                <w:lang w:val="en-US" w:eastAsia="zh-CN"/>
              </w:rPr>
              <w:t>本</w:t>
            </w:r>
            <w:r>
              <w:rPr>
                <w:rFonts w:hint="eastAsia" w:cs="Times New Roman"/>
                <w:color w:val="auto"/>
                <w:lang w:val="en-US" w:eastAsia="zh-CN"/>
              </w:rPr>
              <w:t>次扩建新增的生产废水</w:t>
            </w:r>
            <w:r>
              <w:rPr>
                <w:rFonts w:hint="default" w:ascii="Times New Roman" w:hAnsi="Times New Roman" w:eastAsia="宋体" w:cs="Times New Roman"/>
                <w:color w:val="auto"/>
                <w:lang w:val="en-US" w:eastAsia="zh-CN"/>
              </w:rPr>
              <w:t>COD排放量为0.118t/a，NH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-N排放量为0.012t/a</w:t>
            </w:r>
            <w:r>
              <w:rPr>
                <w:rFonts w:hint="eastAsia" w:cs="Times New Roman"/>
                <w:color w:val="auto"/>
                <w:lang w:val="en-US" w:eastAsia="zh-CN"/>
              </w:rPr>
              <w:t>，</w:t>
            </w:r>
            <w:r>
              <w:rPr>
                <w:rFonts w:hint="eastAsia" w:ascii="Times New Roman" w:hAnsi="Times New Roman" w:eastAsia="宋体" w:cs="Times New Roman"/>
                <w:color w:val="auto"/>
                <w:lang w:val="en-US" w:eastAsia="zh-CN"/>
              </w:rPr>
              <w:t>本次扩建新增的</w:t>
            </w:r>
            <w:r>
              <w:rPr>
                <w:rFonts w:hint="default" w:ascii="Times New Roman" w:hAnsi="Times New Roman" w:eastAsia="宋体" w:cs="Times New Roman"/>
                <w:color w:val="auto"/>
              </w:rPr>
              <w:t>VOCs</w:t>
            </w:r>
            <w:r>
              <w:rPr>
                <w:rFonts w:hint="eastAsia" w:ascii="Times New Roman" w:hAnsi="Times New Roman" w:eastAsia="宋体" w:cs="Times New Roman"/>
                <w:color w:val="auto"/>
                <w:lang w:val="en-US" w:eastAsia="zh-CN"/>
              </w:rPr>
              <w:t>排放量2.213t/a，</w:t>
            </w:r>
            <w:r>
              <w:rPr>
                <w:rFonts w:hint="eastAsia" w:cs="Times New Roman"/>
                <w:color w:val="auto"/>
                <w:lang w:val="en-US" w:eastAsia="zh-CN"/>
              </w:rPr>
              <w:t>需</w:t>
            </w:r>
            <w:r>
              <w:rPr>
                <w:rFonts w:hint="default" w:ascii="Times New Roman" w:hAnsi="Times New Roman" w:eastAsia="宋体" w:cs="Times New Roman"/>
                <w:color w:val="auto"/>
              </w:rPr>
              <w:t>由建设单位</w:t>
            </w:r>
            <w:r>
              <w:rPr>
                <w:rFonts w:hint="eastAsia" w:ascii="Times New Roman" w:hAnsi="Times New Roman" w:eastAsia="宋体" w:cs="Times New Roman"/>
                <w:color w:val="auto"/>
                <w:lang w:val="en-US" w:eastAsia="zh-CN"/>
              </w:rPr>
              <w:t>按要求</w:t>
            </w:r>
            <w:r>
              <w:rPr>
                <w:rFonts w:hint="default" w:ascii="Times New Roman" w:hAnsi="Times New Roman" w:eastAsia="宋体" w:cs="Times New Roman"/>
                <w:color w:val="auto"/>
              </w:rPr>
              <w:t>向生态环境主管部门申请。</w:t>
            </w:r>
          </w:p>
          <w:p>
            <w:pPr>
              <w:spacing w:before="120" w:beforeLines="50"/>
              <w:jc w:val="center"/>
              <w:rPr>
                <w:rFonts w:hint="default" w:ascii="Times New Roman" w:hAnsi="Times New Roman" w:eastAsia="宋体" w:cs="Times New Roman"/>
                <w:b/>
                <w:bCs/>
                <w:color w:val="auto"/>
                <w:shd w:val="clear" w:color="auto" w:fill="FFFFFF"/>
                <w:lang w:val="en-US" w:eastAsia="zh-CN"/>
              </w:rPr>
            </w:pPr>
            <w:r>
              <w:rPr>
                <w:rFonts w:hint="eastAsia" w:ascii="Times New Roman" w:hAnsi="Times New Roman" w:eastAsia="宋体" w:cs="Times New Roman"/>
                <w:b/>
                <w:bCs/>
                <w:color w:val="auto"/>
                <w:shd w:val="clear" w:color="auto" w:fill="FFFFFF"/>
                <w:lang w:val="en-US" w:eastAsia="zh-CN"/>
              </w:rPr>
              <w:t>表3.4-1</w:t>
            </w:r>
            <w:r>
              <w:rPr>
                <w:rFonts w:hint="eastAsia" w:cs="Times New Roman"/>
                <w:b/>
                <w:bCs/>
                <w:color w:val="auto"/>
                <w:shd w:val="clear" w:color="auto" w:fill="FFFFFF"/>
                <w:lang w:val="en-US" w:eastAsia="zh-CN"/>
              </w:rPr>
              <w:t xml:space="preserve">  污染物排放总量指标</w:t>
            </w:r>
          </w:p>
          <w:tbl>
            <w:tblPr>
              <w:tblStyle w:val="33"/>
              <w:tblW w:w="0" w:type="auto"/>
              <w:tblInd w:w="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159"/>
              <w:gridCol w:w="2159"/>
              <w:gridCol w:w="216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污染物名称</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现有工程排放量（t/a）</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扩建工程排放量（t/a）</w:t>
                  </w:r>
                </w:p>
              </w:tc>
              <w:tc>
                <w:tcPr>
                  <w:tcW w:w="2160"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全厂排放量（t/a）</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COD</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0.392</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0.118</w:t>
                  </w:r>
                </w:p>
              </w:tc>
              <w:tc>
                <w:tcPr>
                  <w:tcW w:w="2160"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氨氮</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0.0588</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0.012</w:t>
                  </w:r>
                </w:p>
              </w:tc>
              <w:tc>
                <w:tcPr>
                  <w:tcW w:w="2160"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0.0708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VOCs</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0.533</w:t>
                  </w:r>
                </w:p>
              </w:tc>
              <w:tc>
                <w:tcPr>
                  <w:tcW w:w="2159"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2.213</w:t>
                  </w:r>
                </w:p>
              </w:tc>
              <w:tc>
                <w:tcPr>
                  <w:tcW w:w="2160" w:type="dxa"/>
                  <w:tcBorders>
                    <w:tl2br w:val="nil"/>
                    <w:tr2bl w:val="nil"/>
                  </w:tcBorders>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2.746</w:t>
                  </w:r>
                </w:p>
              </w:tc>
            </w:tr>
          </w:tbl>
          <w:p>
            <w:pPr>
              <w:rPr>
                <w:rFonts w:hint="default" w:ascii="Times New Roman" w:hAnsi="Times New Roman" w:eastAsia="宋体" w:cs="Times New Roman"/>
                <w:color w:val="auto"/>
              </w:rPr>
            </w:pPr>
          </w:p>
        </w:tc>
      </w:tr>
    </w:tbl>
    <w:p>
      <w:pPr>
        <w:pStyle w:val="27"/>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bookmarkStart w:id="10" w:name="_Toc20245"/>
      <w:bookmarkStart w:id="11" w:name="_Toc20477"/>
      <w:r>
        <w:rPr>
          <w:rFonts w:hint="default" w:ascii="Times New Roman" w:hAnsi="Times New Roman" w:eastAsia="宋体" w:cs="Times New Roman"/>
          <w:b/>
          <w:bCs/>
          <w:snapToGrid w:val="0"/>
          <w:color w:val="auto"/>
          <w:sz w:val="32"/>
          <w:szCs w:val="32"/>
        </w:rPr>
        <w:t>四、主要环境影响和保护措施</w:t>
      </w:r>
      <w:bookmarkEnd w:id="10"/>
      <w:bookmarkEnd w:id="11"/>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85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Mar>
              <w:left w:w="28" w:type="dxa"/>
              <w:right w:w="28" w:type="dxa"/>
            </w:tcMar>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施工</w:t>
            </w:r>
          </w:p>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期环</w:t>
            </w:r>
          </w:p>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境保</w:t>
            </w:r>
          </w:p>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护措</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rPr>
              <w:t>施</w:t>
            </w:r>
          </w:p>
        </w:tc>
        <w:tc>
          <w:tcPr>
            <w:tcW w:w="8573"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4.1施工期环境保护措施</w:t>
            </w:r>
          </w:p>
          <w:p>
            <w:pPr>
              <w:spacing w:line="360" w:lineRule="auto"/>
              <w:ind w:firstLine="480" w:firstLineChars="200"/>
              <w:rPr>
                <w:rFonts w:hint="default" w:ascii="Times New Roman" w:hAnsi="Times New Roman" w:eastAsia="宋体" w:cs="Times New Roman"/>
                <w:bCs/>
                <w:color w:val="auto"/>
                <w:szCs w:val="21"/>
              </w:rPr>
            </w:pPr>
            <w:r>
              <w:rPr>
                <w:rFonts w:hint="default" w:ascii="Times New Roman" w:hAnsi="Times New Roman" w:eastAsia="宋体" w:cs="Times New Roman"/>
                <w:color w:val="auto"/>
              </w:rPr>
              <w:t>本次项目利用现有厂房进行建设</w:t>
            </w:r>
            <w:r>
              <w:rPr>
                <w:rFonts w:hint="eastAsia" w:cs="Times New Roman"/>
                <w:color w:val="auto"/>
                <w:lang w:eastAsia="zh-CN"/>
              </w:rPr>
              <w:t>年加工汽车</w:t>
            </w:r>
            <w:r>
              <w:rPr>
                <w:rFonts w:hint="eastAsia" w:cs="Times New Roman"/>
                <w:color w:val="auto"/>
                <w:lang w:val="en-US" w:eastAsia="zh-CN"/>
              </w:rPr>
              <w:t>零配件</w:t>
            </w:r>
            <w:r>
              <w:rPr>
                <w:rFonts w:hint="eastAsia" w:cs="Times New Roman"/>
                <w:color w:val="auto"/>
                <w:lang w:eastAsia="zh-CN"/>
              </w:rPr>
              <w:t>3200万件</w:t>
            </w:r>
            <w:r>
              <w:rPr>
                <w:rFonts w:hint="default" w:ascii="Times New Roman" w:hAnsi="Times New Roman" w:eastAsia="宋体" w:cs="Times New Roman"/>
                <w:color w:val="auto"/>
              </w:rPr>
              <w:t>项目，</w:t>
            </w:r>
            <w:r>
              <w:rPr>
                <w:rFonts w:hint="default" w:ascii="Times New Roman" w:hAnsi="Times New Roman" w:eastAsia="宋体" w:cs="Times New Roman"/>
                <w:bCs/>
                <w:color w:val="auto"/>
                <w:szCs w:val="21"/>
              </w:rPr>
              <w:t>施工期主要为设备入驻及安装，不需要再进行土建施工，设备安装过程可能产生间歇性噪声影响及少量的包装废物，均为短期影响，随着安装结束其影响将消失。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运营</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期环</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境影</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响和</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保护</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rPr>
              <w:t>措施</w:t>
            </w:r>
          </w:p>
        </w:tc>
        <w:tc>
          <w:tcPr>
            <w:tcW w:w="8573"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4.2 运营期环境影响分析</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4.2.1 大气环境影响和防范措施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4.2.1.1 废气源强核算</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根据生产工艺流程图可知，项目运营期废气来自于</w:t>
            </w:r>
            <w:r>
              <w:rPr>
                <w:rFonts w:hint="eastAsia" w:cs="Times New Roman"/>
                <w:color w:val="auto"/>
                <w:lang w:eastAsia="zh-CN"/>
              </w:rPr>
              <w:t>汽车密封缸垫及消音片</w:t>
            </w:r>
            <w:r>
              <w:rPr>
                <w:rFonts w:hint="default" w:ascii="Times New Roman" w:hAnsi="Times New Roman" w:eastAsia="宋体" w:cs="Times New Roman"/>
                <w:color w:val="auto"/>
              </w:rPr>
              <w:t>生产过程中产生的有机废气、臭气</w:t>
            </w:r>
            <w:r>
              <w:rPr>
                <w:rFonts w:hint="eastAsia" w:cs="Times New Roman"/>
                <w:color w:val="auto"/>
                <w:lang w:eastAsia="zh-CN"/>
              </w:rPr>
              <w:t>，</w:t>
            </w:r>
            <w:r>
              <w:rPr>
                <w:rFonts w:hint="eastAsia" w:cs="Times New Roman"/>
                <w:color w:val="auto"/>
                <w:lang w:val="en-US" w:eastAsia="zh-CN"/>
              </w:rPr>
              <w:t>不涉及颗粒物</w:t>
            </w:r>
            <w:r>
              <w:rPr>
                <w:rFonts w:hint="default" w:ascii="Times New Roman" w:hAnsi="Times New Roman" w:eastAsia="宋体" w:cs="Times New Roman"/>
                <w:color w:val="auto"/>
              </w:rPr>
              <w:t>。项目废气污染源强核算结果及相关参数一览表4.2-1。</w:t>
            </w:r>
          </w:p>
          <w:p>
            <w:pPr>
              <w:pStyle w:val="93"/>
              <w:ind w:left="480" w:leftChars="200" w:firstLine="0" w:firstLineChars="0"/>
              <w:rPr>
                <w:rFonts w:hint="default" w:ascii="Times New Roman" w:hAnsi="Times New Roman" w:eastAsia="宋体" w:cs="Times New Roman"/>
                <w:snapToGrid/>
                <w:color w:val="auto"/>
                <w:kern w:val="2"/>
                <w:sz w:val="24"/>
              </w:rPr>
            </w:pPr>
            <w:r>
              <w:rPr>
                <w:rFonts w:hint="default" w:ascii="Times New Roman" w:hAnsi="Times New Roman" w:eastAsia="宋体" w:cs="Times New Roman"/>
                <w:snapToGrid/>
                <w:color w:val="auto"/>
                <w:kern w:val="2"/>
                <w:sz w:val="24"/>
              </w:rPr>
              <w:t>1、正常排放源强</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涂胶固化</w:t>
            </w:r>
            <w:r>
              <w:rPr>
                <w:rFonts w:hint="default" w:ascii="Times New Roman" w:hAnsi="Times New Roman" w:eastAsia="宋体" w:cs="Times New Roman"/>
                <w:color w:val="auto"/>
                <w:sz w:val="24"/>
                <w:szCs w:val="24"/>
              </w:rPr>
              <w:t>废气</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涂胶工序会产生一定量的有机废气，本项目胶粘剂用量为1.425t/a，组分</w:t>
            </w:r>
            <w:r>
              <w:rPr>
                <w:rFonts w:hint="default" w:ascii="Times New Roman" w:hAnsi="Times New Roman" w:eastAsia="宋体" w:cs="Times New Roman"/>
                <w:color w:val="auto"/>
                <w:sz w:val="24"/>
                <w:szCs w:val="24"/>
                <w:lang w:val="en-US" w:eastAsia="zh-CN"/>
              </w:rPr>
              <w:t>少于</w:t>
            </w:r>
            <w:r>
              <w:rPr>
                <w:rFonts w:hint="default" w:ascii="Times New Roman" w:hAnsi="Times New Roman" w:eastAsia="宋体" w:cs="Times New Roman"/>
                <w:color w:val="auto"/>
                <w:sz w:val="24"/>
                <w:szCs w:val="24"/>
              </w:rPr>
              <w:t>：二甲苯60%、碳酸二甲酯10%、乙苯15%、锌化合物5%、</w:t>
            </w:r>
            <w:r>
              <w:rPr>
                <w:rFonts w:hint="default" w:ascii="Times New Roman" w:hAnsi="Times New Roman" w:eastAsia="宋体" w:cs="Times New Roman"/>
                <w:color w:val="auto"/>
                <w:sz w:val="24"/>
                <w:szCs w:val="24"/>
                <w:lang w:eastAsia="zh-CN"/>
              </w:rPr>
              <w:t>氯取代的芳香化合物</w:t>
            </w:r>
            <w:r>
              <w:rPr>
                <w:rFonts w:hint="default" w:ascii="Times New Roman" w:hAnsi="Times New Roman" w:eastAsia="宋体" w:cs="Times New Roman"/>
                <w:color w:val="auto"/>
                <w:sz w:val="24"/>
                <w:szCs w:val="24"/>
              </w:rPr>
              <w:t>5%、炭黑5%、甲苯0.9%。</w:t>
            </w:r>
            <w:r>
              <w:rPr>
                <w:rFonts w:hint="default" w:ascii="Times New Roman" w:hAnsi="Times New Roman" w:eastAsia="宋体" w:cs="Times New Roman"/>
                <w:color w:val="auto"/>
                <w:sz w:val="24"/>
                <w:szCs w:val="24"/>
                <w:lang w:val="en-US" w:eastAsia="zh-CN"/>
              </w:rPr>
              <w:t>以最大挥发性计，</w:t>
            </w:r>
            <w:r>
              <w:rPr>
                <w:rFonts w:hint="default" w:ascii="Times New Roman" w:hAnsi="Times New Roman" w:eastAsia="宋体" w:cs="Times New Roman"/>
                <w:color w:val="auto"/>
                <w:sz w:val="24"/>
                <w:szCs w:val="24"/>
              </w:rPr>
              <w:t>则</w:t>
            </w:r>
            <w:r>
              <w:rPr>
                <w:rFonts w:hint="default" w:ascii="Times New Roman" w:hAnsi="Times New Roman" w:eastAsia="宋体" w:cs="Times New Roman"/>
                <w:color w:val="auto"/>
                <w:sz w:val="24"/>
                <w:szCs w:val="24"/>
                <w:lang w:val="en-US" w:eastAsia="zh-CN"/>
              </w:rPr>
              <w:t>非甲烷总烃产生量为0.868t/a，其中二甲苯</w:t>
            </w:r>
            <w:r>
              <w:rPr>
                <w:rFonts w:hint="default" w:ascii="Times New Roman" w:hAnsi="Times New Roman" w:eastAsia="宋体" w:cs="Times New Roman"/>
                <w:color w:val="auto"/>
                <w:sz w:val="24"/>
                <w:szCs w:val="24"/>
              </w:rPr>
              <w:t>产生量为</w:t>
            </w:r>
            <w:r>
              <w:rPr>
                <w:rFonts w:hint="default" w:ascii="Times New Roman" w:hAnsi="Times New Roman" w:eastAsia="宋体" w:cs="Times New Roman"/>
                <w:color w:val="auto"/>
                <w:sz w:val="24"/>
                <w:szCs w:val="24"/>
                <w:lang w:val="en-US" w:eastAsia="zh-CN"/>
              </w:rPr>
              <w:t>0.855</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甲苯产生量为0.013t/a</w:t>
            </w:r>
            <w:r>
              <w:rPr>
                <w:rFonts w:hint="default" w:ascii="Times New Roman" w:hAnsi="Times New Roman" w:eastAsia="宋体" w:cs="Times New Roman"/>
                <w:color w:val="auto"/>
                <w:sz w:val="24"/>
                <w:szCs w:val="24"/>
              </w:rPr>
              <w:t>。</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橡胶软化</w:t>
            </w:r>
            <w:r>
              <w:rPr>
                <w:rFonts w:hint="eastAsia" w:cs="Times New Roman"/>
                <w:color w:val="auto"/>
                <w:sz w:val="24"/>
                <w:szCs w:val="24"/>
                <w:lang w:val="en-US" w:eastAsia="zh-CN"/>
              </w:rPr>
              <w:t>、研磨</w:t>
            </w:r>
            <w:r>
              <w:rPr>
                <w:rFonts w:hint="default" w:ascii="Times New Roman" w:hAnsi="Times New Roman" w:eastAsia="宋体" w:cs="Times New Roman"/>
                <w:color w:val="auto"/>
                <w:sz w:val="24"/>
                <w:szCs w:val="24"/>
                <w:lang w:val="en-US" w:eastAsia="zh-CN"/>
              </w:rPr>
              <w:t>、涂覆及烘干</w:t>
            </w:r>
            <w:r>
              <w:rPr>
                <w:rFonts w:hint="default" w:ascii="Times New Roman" w:hAnsi="Times New Roman" w:eastAsia="宋体" w:cs="Times New Roman"/>
                <w:color w:val="auto"/>
                <w:sz w:val="24"/>
                <w:szCs w:val="24"/>
              </w:rPr>
              <w:t>废气</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本项目0.07mm橡胶层因厚度较薄，</w:t>
            </w:r>
            <w:r>
              <w:rPr>
                <w:rFonts w:hint="eastAsia" w:cs="Times New Roman"/>
                <w:color w:val="auto"/>
                <w:sz w:val="24"/>
                <w:szCs w:val="24"/>
                <w:lang w:val="en-US" w:eastAsia="zh-CN"/>
              </w:rPr>
              <w:t>外购的混炼胶</w:t>
            </w:r>
            <w:r>
              <w:rPr>
                <w:rFonts w:hint="default" w:ascii="Times New Roman" w:hAnsi="Times New Roman" w:eastAsia="宋体" w:cs="Times New Roman"/>
                <w:color w:val="auto"/>
                <w:sz w:val="24"/>
                <w:szCs w:val="24"/>
              </w:rPr>
              <w:t>需添加一定比例橡胶软化剂(二甲苯)进行分散软化，再进行研磨去除颗粒，便于后续橡胶涂覆、烘干等阶段，该工序会产生一定量的有机废气</w:t>
            </w:r>
            <w:r>
              <w:rPr>
                <w:rFonts w:hint="eastAsia" w:cs="Times New Roman"/>
                <w:color w:val="auto"/>
                <w:sz w:val="24"/>
                <w:szCs w:val="24"/>
                <w:lang w:eastAsia="zh-CN"/>
              </w:rPr>
              <w:t>（</w:t>
            </w:r>
            <w:r>
              <w:rPr>
                <w:rFonts w:hint="eastAsia" w:cs="Times New Roman"/>
                <w:color w:val="auto"/>
                <w:sz w:val="24"/>
                <w:szCs w:val="24"/>
                <w:lang w:val="en-US" w:eastAsia="zh-CN"/>
              </w:rPr>
              <w:t>研磨工序是指对软化后的橡胶液进行研磨，无颗粒物产生</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环评按二甲苯全部挥发计，软化、研磨过程二甲苯挥发以20%计算，橡胶辊涂、烘干过程二甲苯挥发以80%计。本项目软化剂用量为6.72t/a，软化剂组分为100%二甲苯，则挥发性有机物（以非甲烷总烃计）产生量为6.72t/a，其中二甲苯产生量为6.72t/a。</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（3）硫化废气</w:t>
            </w:r>
          </w:p>
          <w:p>
            <w:pPr>
              <w:pStyle w:val="30"/>
              <w:spacing w:before="0" w:after="0"/>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硫化工序会产生一定量的硫化废气，参照《排放源统计调查产排污核算方法和系数手册》2913橡胶零件制造行业系数表硫化工序产污系数挥发性有机物产生量为3.27kg/t三胶-原料。本项目外购混炼胶，用量为77.28t/a，其组分：90%丁腈橡胶、6%炭黑、1.5%氧化锌、0.3%硬脂酸、0.3%防老剂、0.4%促进剂、0.5%硫磺，则挥发性有机物（以非甲烷总烃计）产生量为0.253t/a。</w:t>
            </w:r>
          </w:p>
          <w:p>
            <w:pPr>
              <w:pStyle w:val="30"/>
              <w:spacing w:before="0" w:after="0"/>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GB"/>
              </w:rPr>
              <w:t>由于橡胶成分相对复杂，本项目除上述所涉及的污染物外，在硫化等程中还会产生微量的恶臭物质，</w:t>
            </w:r>
            <w:r>
              <w:rPr>
                <w:rFonts w:hint="default" w:ascii="Times New Roman" w:hAnsi="Times New Roman" w:eastAsia="宋体" w:cs="Times New Roman"/>
                <w:color w:val="auto"/>
                <w:sz w:val="24"/>
                <w:szCs w:val="24"/>
              </w:rPr>
              <w:t>主要污染因子为</w:t>
            </w:r>
            <w:r>
              <w:rPr>
                <w:rFonts w:hint="default" w:ascii="Times New Roman" w:hAnsi="Times New Roman" w:eastAsia="宋体" w:cs="Times New Roman"/>
                <w:color w:val="auto"/>
                <w:sz w:val="24"/>
              </w:rPr>
              <w:t>二硫化碳、硫化氢等。参照《橡胶制品工业工艺废气排放因子探讨》（四川环境，2013年第32卷，丁学峰），硫化工序二硫化碳排放系数最大为6.29E</w:t>
            </w:r>
            <w:r>
              <w:rPr>
                <w:rFonts w:hint="default" w:ascii="Times New Roman" w:hAnsi="Times New Roman" w:eastAsia="宋体" w:cs="Times New Roman"/>
                <w:color w:val="auto"/>
                <w:sz w:val="24"/>
                <w:vertAlign w:val="superscript"/>
              </w:rPr>
              <w:t>-06</w:t>
            </w:r>
            <w:r>
              <w:rPr>
                <w:rFonts w:hint="default" w:ascii="Times New Roman" w:hAnsi="Times New Roman" w:eastAsia="宋体" w:cs="Times New Roman"/>
                <w:color w:val="auto"/>
                <w:sz w:val="24"/>
              </w:rPr>
              <w:t>t/t•胶、硫化氢排放系数最大为1.36E</w:t>
            </w:r>
            <w:r>
              <w:rPr>
                <w:rFonts w:hint="default" w:ascii="Times New Roman" w:hAnsi="Times New Roman" w:eastAsia="宋体" w:cs="Times New Roman"/>
                <w:color w:val="auto"/>
                <w:sz w:val="24"/>
                <w:vertAlign w:val="superscript"/>
              </w:rPr>
              <w:t>-07</w:t>
            </w:r>
            <w:r>
              <w:rPr>
                <w:rFonts w:hint="default" w:ascii="Times New Roman" w:hAnsi="Times New Roman" w:eastAsia="宋体" w:cs="Times New Roman"/>
                <w:color w:val="auto"/>
                <w:sz w:val="24"/>
              </w:rPr>
              <w:t>t/t•胶。本项目混炼胶用量为77.28t/a，二硫化碳产生量为1.205t/a，硫化氢产生量为0.098t/a。</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lang w:val="en-US" w:eastAsia="zh-CN"/>
              </w:rPr>
              <w:t>隔离固化</w:t>
            </w:r>
            <w:r>
              <w:rPr>
                <w:rFonts w:hint="default" w:ascii="Times New Roman" w:hAnsi="Times New Roman" w:eastAsia="宋体" w:cs="Times New Roman"/>
                <w:color w:val="auto"/>
                <w:sz w:val="24"/>
                <w:szCs w:val="24"/>
              </w:rPr>
              <w:t>废气</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涂隔离剂及固化工序会产生一定量的挥发性有机物，参照《排放源统计调查产排污核算方法和系数手册》33-37，431-434机械行业系数手册中10粘接工段的涂胶及涂胶后固化工序产污系数：挥发性有机物产生量为60kg/t原料。本项目隔离剂用量为1.01t/a，组分：树脂43.5%、石墨31.5%、甲苯25%，则挥发性有机物（以非甲烷总烃计）产生量为0.061t/a，其中甲苯产量为0.015t/a。</w:t>
            </w:r>
          </w:p>
          <w:p>
            <w:pPr>
              <w:pStyle w:val="31"/>
              <w:spacing w:after="0"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本项目拟采取在产气设备（如涂胶机、分散机、研磨机、涂覆机、烘道进出口、硫化机等）上方设置集气罩对有机废气进行收集，拟配套1台风量18000m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/h及1台风量15000m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/h风机，</w:t>
            </w:r>
            <w:r>
              <w:rPr>
                <w:rFonts w:hint="default" w:ascii="Times New Roman" w:hAnsi="Times New Roman" w:eastAsia="宋体" w:cs="Times New Roman"/>
                <w:color w:val="auto"/>
                <w:sz w:val="24"/>
                <w:szCs w:val="24"/>
                <w:highlight w:val="none"/>
              </w:rPr>
              <w:t>同时，计划在厂房出入口设置软帘屏障，在集气罩四周增加隔板进行围蔽，形成包围型，保留员工操作口工位，</w:t>
            </w:r>
            <w:r>
              <w:rPr>
                <w:rFonts w:hint="eastAsia" w:ascii="Times New Roman" w:hAnsi="Times New Roman" w:cs="Times New Roman"/>
                <w:color w:val="auto"/>
                <w:sz w:val="24"/>
                <w:szCs w:val="24"/>
                <w:highlight w:val="none"/>
                <w:lang w:val="en-US" w:eastAsia="zh-CN"/>
              </w:rPr>
              <w:t>敞开面控制风速不小于0.5m/s，</w:t>
            </w:r>
            <w:r>
              <w:rPr>
                <w:rFonts w:hint="default" w:ascii="Times New Roman" w:hAnsi="Times New Roman" w:eastAsia="宋体" w:cs="Times New Roman"/>
                <w:color w:val="auto"/>
                <w:sz w:val="24"/>
                <w:szCs w:val="24"/>
                <w:highlight w:val="none"/>
              </w:rPr>
              <w:t>以减少挥发性有机物的逸散，确保废气收集率达到90%以上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项目橡胶软化、研磨、涂覆及烘干废气收集后经活性炭吸附，通过1根15m高排气筒（DA001）排放，胶粘剂废气、硫化废气、隔离剂废气收集后经喷淋除雾+活性炭吸附，通过1根15m高排气筒（DA002）排放，活性炭吸附的有机废气处理效率可达80%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喷淋去除臭气（二硫化碳、硫化氢）</w:t>
            </w:r>
            <w:r>
              <w:rPr>
                <w:rFonts w:hint="default" w:ascii="Times New Roman" w:hAnsi="Times New Roman" w:eastAsia="宋体" w:cs="Times New Roman"/>
                <w:color w:val="auto"/>
                <w:sz w:val="24"/>
                <w:szCs w:val="24"/>
              </w:rPr>
              <w:t>效率可达80%。</w:t>
            </w:r>
          </w:p>
        </w:tc>
      </w:tr>
    </w:tbl>
    <w:p>
      <w:pPr>
        <w:rPr>
          <w:rFonts w:hint="default" w:ascii="Times New Roman" w:hAnsi="Times New Roman" w:eastAsia="宋体" w:cs="Times New Roman"/>
          <w:color w:val="auto"/>
        </w:rPr>
        <w:sectPr>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spacing w:before="120" w:beforeLines="50"/>
        <w:jc w:val="center"/>
        <w:rPr>
          <w:rFonts w:hint="default" w:ascii="Times New Roman" w:hAnsi="Times New Roman" w:eastAsia="宋体" w:cs="Times New Roman"/>
          <w:b/>
          <w:snapToGrid w:val="0"/>
          <w:color w:val="auto"/>
          <w:kern w:val="0"/>
          <w:szCs w:val="30"/>
        </w:rPr>
      </w:pPr>
      <w:r>
        <w:rPr>
          <w:rFonts w:hint="default" w:ascii="Times New Roman" w:hAnsi="Times New Roman" w:eastAsia="宋体" w:cs="Times New Roman"/>
          <w:b/>
          <w:snapToGrid w:val="0"/>
          <w:color w:val="auto"/>
          <w:kern w:val="0"/>
          <w:szCs w:val="30"/>
        </w:rPr>
        <w:t>表4.2-1 生产废气污染源源强核算结果及相关参数一览表</w:t>
      </w:r>
    </w:p>
    <w:tbl>
      <w:tblPr>
        <w:tblStyle w:val="32"/>
        <w:tblW w:w="21576" w:type="dxa"/>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06"/>
        <w:gridCol w:w="1353"/>
        <w:gridCol w:w="700"/>
        <w:gridCol w:w="1307"/>
        <w:gridCol w:w="1065"/>
        <w:gridCol w:w="1018"/>
        <w:gridCol w:w="1072"/>
        <w:gridCol w:w="696"/>
        <w:gridCol w:w="883"/>
        <w:gridCol w:w="953"/>
        <w:gridCol w:w="1075"/>
        <w:gridCol w:w="729"/>
        <w:gridCol w:w="728"/>
        <w:gridCol w:w="729"/>
        <w:gridCol w:w="804"/>
        <w:gridCol w:w="792"/>
        <w:gridCol w:w="892"/>
        <w:gridCol w:w="461"/>
        <w:gridCol w:w="536"/>
        <w:gridCol w:w="439"/>
        <w:gridCol w:w="746"/>
        <w:gridCol w:w="1125"/>
        <w:gridCol w:w="632"/>
        <w:gridCol w:w="815"/>
        <w:gridCol w:w="635"/>
        <w:gridCol w:w="385"/>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06"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车间</w:t>
            </w:r>
          </w:p>
        </w:tc>
        <w:tc>
          <w:tcPr>
            <w:tcW w:w="1353"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污染物种类颗粒物</w:t>
            </w:r>
          </w:p>
        </w:tc>
        <w:tc>
          <w:tcPr>
            <w:tcW w:w="2007" w:type="dxa"/>
            <w:gridSpan w:val="2"/>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产污环节</w:t>
            </w:r>
          </w:p>
        </w:tc>
        <w:tc>
          <w:tcPr>
            <w:tcW w:w="3155" w:type="dxa"/>
            <w:gridSpan w:val="3"/>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产生源强</w:t>
            </w:r>
          </w:p>
        </w:tc>
        <w:tc>
          <w:tcPr>
            <w:tcW w:w="696"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排放形式</w:t>
            </w:r>
          </w:p>
        </w:tc>
        <w:tc>
          <w:tcPr>
            <w:tcW w:w="4368" w:type="dxa"/>
            <w:gridSpan w:val="5"/>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治理设施</w:t>
            </w:r>
          </w:p>
        </w:tc>
        <w:tc>
          <w:tcPr>
            <w:tcW w:w="2325" w:type="dxa"/>
            <w:gridSpan w:val="3"/>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排放源强</w:t>
            </w:r>
          </w:p>
        </w:tc>
        <w:tc>
          <w:tcPr>
            <w:tcW w:w="4199" w:type="dxa"/>
            <w:gridSpan w:val="6"/>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排气筒概况</w:t>
            </w:r>
          </w:p>
        </w:tc>
        <w:tc>
          <w:tcPr>
            <w:tcW w:w="63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排放时间h/a</w:t>
            </w:r>
          </w:p>
        </w:tc>
        <w:tc>
          <w:tcPr>
            <w:tcW w:w="1835" w:type="dxa"/>
            <w:gridSpan w:val="3"/>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排放标准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0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35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2007" w:type="dxa"/>
            <w:gridSpan w:val="2"/>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6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产生量t/a</w:t>
            </w:r>
          </w:p>
        </w:tc>
        <w:tc>
          <w:tcPr>
            <w:tcW w:w="1018"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产生速率</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kg/h</w:t>
            </w:r>
          </w:p>
        </w:tc>
        <w:tc>
          <w:tcPr>
            <w:tcW w:w="107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产生浓度mg/m</w:t>
            </w:r>
            <w:r>
              <w:rPr>
                <w:rFonts w:hint="default" w:ascii="Times New Roman" w:hAnsi="Times New Roman" w:eastAsia="宋体" w:cs="Times New Roman"/>
                <w:color w:val="auto"/>
                <w:kern w:val="0"/>
                <w:sz w:val="21"/>
                <w:szCs w:val="21"/>
                <w:vertAlign w:val="superscript"/>
                <w:lang w:bidi="ar"/>
              </w:rPr>
              <w:t>3</w:t>
            </w:r>
          </w:p>
        </w:tc>
        <w:tc>
          <w:tcPr>
            <w:tcW w:w="69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83"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处理能力m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w:t>
            </w:r>
          </w:p>
        </w:tc>
        <w:tc>
          <w:tcPr>
            <w:tcW w:w="953"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收集效率%</w:t>
            </w:r>
          </w:p>
        </w:tc>
        <w:tc>
          <w:tcPr>
            <w:tcW w:w="107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治理措施</w:t>
            </w:r>
          </w:p>
        </w:tc>
        <w:tc>
          <w:tcPr>
            <w:tcW w:w="729"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去除率%</w:t>
            </w:r>
          </w:p>
        </w:tc>
        <w:tc>
          <w:tcPr>
            <w:tcW w:w="728"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是否为可行技术</w:t>
            </w:r>
          </w:p>
        </w:tc>
        <w:tc>
          <w:tcPr>
            <w:tcW w:w="729"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排放量t/a</w:t>
            </w:r>
          </w:p>
        </w:tc>
        <w:tc>
          <w:tcPr>
            <w:tcW w:w="804"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排放速率kg/h</w:t>
            </w:r>
          </w:p>
        </w:tc>
        <w:tc>
          <w:tcPr>
            <w:tcW w:w="7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排放浓度mg/m</w:t>
            </w:r>
            <w:r>
              <w:rPr>
                <w:rFonts w:hint="default" w:ascii="Times New Roman" w:hAnsi="Times New Roman" w:eastAsia="宋体" w:cs="Times New Roman"/>
                <w:color w:val="auto"/>
                <w:kern w:val="0"/>
                <w:sz w:val="21"/>
                <w:szCs w:val="21"/>
                <w:vertAlign w:val="superscript"/>
                <w:lang w:bidi="ar"/>
              </w:rPr>
              <w:t>3</w:t>
            </w:r>
          </w:p>
        </w:tc>
        <w:tc>
          <w:tcPr>
            <w:tcW w:w="8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编号及名称</w:t>
            </w:r>
          </w:p>
        </w:tc>
        <w:tc>
          <w:tcPr>
            <w:tcW w:w="461"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高度</w:t>
            </w:r>
          </w:p>
        </w:tc>
        <w:tc>
          <w:tcPr>
            <w:tcW w:w="536"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内径</w:t>
            </w:r>
          </w:p>
        </w:tc>
        <w:tc>
          <w:tcPr>
            <w:tcW w:w="439"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温度</w:t>
            </w:r>
          </w:p>
        </w:tc>
        <w:tc>
          <w:tcPr>
            <w:tcW w:w="746"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类型</w:t>
            </w:r>
          </w:p>
        </w:tc>
        <w:tc>
          <w:tcPr>
            <w:tcW w:w="112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地理位置</w:t>
            </w:r>
          </w:p>
        </w:tc>
        <w:tc>
          <w:tcPr>
            <w:tcW w:w="63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排放浓度限值mg/m</w:t>
            </w:r>
            <w:r>
              <w:rPr>
                <w:rFonts w:hint="default" w:ascii="Times New Roman" w:hAnsi="Times New Roman" w:eastAsia="宋体" w:cs="Times New Roman"/>
                <w:color w:val="auto"/>
                <w:kern w:val="0"/>
                <w:sz w:val="21"/>
                <w:szCs w:val="21"/>
                <w:vertAlign w:val="superscript"/>
                <w:lang w:bidi="ar"/>
              </w:rPr>
              <w:t>3</w:t>
            </w:r>
          </w:p>
        </w:tc>
        <w:tc>
          <w:tcPr>
            <w:tcW w:w="63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排放速率限值kg/h</w:t>
            </w:r>
          </w:p>
        </w:tc>
        <w:tc>
          <w:tcPr>
            <w:tcW w:w="38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是否达标</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35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2007" w:type="dxa"/>
            <w:gridSpan w:val="2"/>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6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18"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7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69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8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95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7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29"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28"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29"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04"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61"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w:t>
            </w:r>
          </w:p>
        </w:tc>
        <w:tc>
          <w:tcPr>
            <w:tcW w:w="536"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w:t>
            </w:r>
          </w:p>
        </w:tc>
        <w:tc>
          <w:tcPr>
            <w:tcW w:w="439"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63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63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38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1006"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厂房</w:t>
            </w: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w:t>
            </w:r>
            <w:r>
              <w:rPr>
                <w:rFonts w:hint="eastAsia" w:cs="Times New Roman"/>
                <w:color w:val="auto"/>
                <w:kern w:val="0"/>
                <w:sz w:val="21"/>
                <w:szCs w:val="21"/>
                <w:lang w:eastAsia="zh-CN" w:bidi="ar"/>
              </w:rPr>
              <w:t>）</w:t>
            </w:r>
          </w:p>
        </w:tc>
        <w:tc>
          <w:tcPr>
            <w:tcW w:w="700"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eastAsia="zh-CN" w:bidi="ar"/>
              </w:rPr>
              <w:t>汽车密封缸垫及消音片</w:t>
            </w:r>
            <w:r>
              <w:rPr>
                <w:rFonts w:hint="default" w:ascii="Times New Roman" w:hAnsi="Times New Roman" w:eastAsia="宋体" w:cs="Times New Roman"/>
                <w:color w:val="auto"/>
                <w:kern w:val="0"/>
                <w:sz w:val="21"/>
                <w:szCs w:val="21"/>
                <w:lang w:bidi="ar"/>
              </w:rPr>
              <w:t>生产</w:t>
            </w:r>
          </w:p>
        </w:tc>
        <w:tc>
          <w:tcPr>
            <w:tcW w:w="1307"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橡胶软化、研磨、涂覆及烘干废气</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6.048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46.7</w:t>
            </w:r>
          </w:p>
        </w:tc>
        <w:tc>
          <w:tcPr>
            <w:tcW w:w="696"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有组织</w:t>
            </w:r>
          </w:p>
        </w:tc>
        <w:tc>
          <w:tcPr>
            <w:tcW w:w="88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18000</w:t>
            </w:r>
          </w:p>
        </w:tc>
        <w:tc>
          <w:tcPr>
            <w:tcW w:w="95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0</w:t>
            </w:r>
          </w:p>
        </w:tc>
        <w:tc>
          <w:tcPr>
            <w:tcW w:w="1075"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活性炭吸附</w:t>
            </w:r>
          </w:p>
        </w:tc>
        <w:tc>
          <w:tcPr>
            <w:tcW w:w="729"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80</w:t>
            </w:r>
          </w:p>
        </w:tc>
        <w:tc>
          <w:tcPr>
            <w:tcW w:w="728"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w:t>
            </w:r>
            <w:r>
              <w:rPr>
                <w:rFonts w:hint="default" w:ascii="Times New Roman" w:hAnsi="Times New Roman" w:eastAsia="宋体" w:cs="Times New Roman"/>
                <w:color w:val="auto"/>
                <w:kern w:val="0"/>
                <w:sz w:val="21"/>
                <w:szCs w:val="21"/>
                <w:lang w:val="en-US" w:eastAsia="zh-CN" w:bidi="ar"/>
              </w:rPr>
              <w:t>21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68</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.3</w:t>
            </w:r>
          </w:p>
        </w:tc>
        <w:tc>
          <w:tcPr>
            <w:tcW w:w="8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DA001</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废气排气筒</w:t>
            </w:r>
          </w:p>
        </w:tc>
        <w:tc>
          <w:tcPr>
            <w:tcW w:w="461"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3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0.65</w:t>
            </w:r>
          </w:p>
        </w:tc>
        <w:tc>
          <w:tcPr>
            <w:tcW w:w="439"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w:t>
            </w:r>
          </w:p>
        </w:tc>
        <w:tc>
          <w:tcPr>
            <w:tcW w:w="74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一般排放口</w:t>
            </w:r>
          </w:p>
        </w:tc>
        <w:tc>
          <w:tcPr>
            <w:tcW w:w="112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119°28′33.123″</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25°42′54.620″</w:t>
            </w:r>
          </w:p>
        </w:tc>
        <w:tc>
          <w:tcPr>
            <w:tcW w:w="632"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7200</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60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1.8</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二甲苯</w:t>
            </w:r>
          </w:p>
        </w:tc>
        <w:tc>
          <w:tcPr>
            <w:tcW w:w="700"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6.048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4</w:t>
            </w:r>
            <w:r>
              <w:rPr>
                <w:rFonts w:hint="default" w:ascii="Times New Roman" w:hAnsi="Times New Roman" w:eastAsia="宋体" w:cs="Times New Roman"/>
                <w:color w:val="auto"/>
                <w:kern w:val="0"/>
                <w:sz w:val="21"/>
                <w:szCs w:val="21"/>
                <w:lang w:val="en-US" w:eastAsia="zh-CN" w:bidi="ar"/>
              </w:rPr>
              <w:t>6.7</w:t>
            </w:r>
          </w:p>
        </w:tc>
        <w:tc>
          <w:tcPr>
            <w:tcW w:w="696"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68</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.3</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含二甲苯、甲苯</w:t>
            </w:r>
            <w:r>
              <w:rPr>
                <w:rFonts w:hint="eastAsia" w:cs="Times New Roman"/>
                <w:color w:val="auto"/>
                <w:kern w:val="0"/>
                <w:sz w:val="21"/>
                <w:szCs w:val="21"/>
                <w:lang w:eastAsia="zh-CN" w:bidi="ar"/>
              </w:rPr>
              <w:t>）</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涂胶固化</w:t>
            </w:r>
            <w:r>
              <w:rPr>
                <w:rFonts w:hint="default" w:ascii="Times New Roman" w:hAnsi="Times New Roman" w:eastAsia="宋体" w:cs="Times New Roman"/>
                <w:color w:val="auto"/>
                <w:kern w:val="0"/>
                <w:sz w:val="21"/>
                <w:szCs w:val="21"/>
                <w:lang w:bidi="ar"/>
              </w:rPr>
              <w:t>废气、硫化废气、隔离</w:t>
            </w:r>
            <w:r>
              <w:rPr>
                <w:rFonts w:hint="default" w:ascii="Times New Roman" w:hAnsi="Times New Roman" w:eastAsia="宋体" w:cs="Times New Roman"/>
                <w:color w:val="auto"/>
                <w:kern w:val="0"/>
                <w:sz w:val="21"/>
                <w:szCs w:val="21"/>
                <w:lang w:val="en-US" w:eastAsia="zh-CN" w:bidi="ar"/>
              </w:rPr>
              <w:t>固化</w:t>
            </w:r>
            <w:r>
              <w:rPr>
                <w:rFonts w:hint="default" w:ascii="Times New Roman" w:hAnsi="Times New Roman" w:eastAsia="宋体" w:cs="Times New Roman"/>
                <w:color w:val="auto"/>
                <w:kern w:val="0"/>
                <w:sz w:val="21"/>
                <w:szCs w:val="21"/>
                <w:lang w:bidi="ar"/>
              </w:rPr>
              <w:t>废气</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1.064</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0.148</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9.9</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15000</w:t>
            </w:r>
          </w:p>
        </w:tc>
        <w:tc>
          <w:tcPr>
            <w:tcW w:w="95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0</w:t>
            </w:r>
          </w:p>
        </w:tc>
        <w:tc>
          <w:tcPr>
            <w:tcW w:w="1075" w:type="dxa"/>
            <w:vMerge w:val="restart"/>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喷淋除雾+活性炭吸附</w:t>
            </w:r>
          </w:p>
        </w:tc>
        <w:tc>
          <w:tcPr>
            <w:tcW w:w="729"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80</w:t>
            </w:r>
          </w:p>
        </w:tc>
        <w:tc>
          <w:tcPr>
            <w:tcW w:w="728" w:type="dxa"/>
            <w:vMerge w:val="restart"/>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0.213</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8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DA002</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废气排气筒</w:t>
            </w:r>
          </w:p>
        </w:tc>
        <w:tc>
          <w:tcPr>
            <w:tcW w:w="461"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3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439"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kern w:val="0"/>
                <w:sz w:val="21"/>
                <w:szCs w:val="21"/>
                <w:vertAlign w:val="superscript"/>
                <w:lang w:bidi="ar"/>
              </w:rPr>
              <w:t>a</w:t>
            </w:r>
          </w:p>
        </w:tc>
        <w:tc>
          <w:tcPr>
            <w:tcW w:w="74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一般排放口</w:t>
            </w:r>
          </w:p>
        </w:tc>
        <w:tc>
          <w:tcPr>
            <w:tcW w:w="112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119°28′34.340″</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25°42′54.950″</w:t>
            </w: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60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1.8</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二甲苯</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0.769</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0.107</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7.1</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0.154</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0.025</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3</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5</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0.000</w:t>
            </w:r>
            <w:r>
              <w:rPr>
                <w:rFonts w:hint="default" w:ascii="Times New Roman" w:hAnsi="Times New Roman" w:eastAsia="宋体" w:cs="Times New Roman"/>
                <w:color w:val="auto"/>
                <w:kern w:val="0"/>
                <w:sz w:val="21"/>
                <w:szCs w:val="21"/>
                <w:lang w:val="en-US" w:eastAsia="zh-CN" w:bidi="ar"/>
              </w:rPr>
              <w:t>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05</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二硫化碳</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1.084</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51</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10.1</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217</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val="en-US" w:eastAsia="zh-CN" w:bidi="ar"/>
              </w:rPr>
              <w:t>2</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88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0.012</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0.8</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3</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0.33</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含二甲苯、甲苯</w:t>
            </w:r>
            <w:r>
              <w:rPr>
                <w:rFonts w:hint="eastAsia" w:cs="Times New Roman"/>
                <w:color w:val="auto"/>
                <w:kern w:val="0"/>
                <w:sz w:val="21"/>
                <w:szCs w:val="21"/>
                <w:lang w:eastAsia="zh-CN" w:bidi="ar"/>
              </w:rPr>
              <w:t>）</w:t>
            </w:r>
          </w:p>
        </w:tc>
        <w:tc>
          <w:tcPr>
            <w:tcW w:w="2007" w:type="dxa"/>
            <w:gridSpan w:val="2"/>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eastAsia="zh-CN" w:bidi="ar"/>
              </w:rPr>
              <w:t>汽车密封缸垫及消音片</w:t>
            </w:r>
            <w:r>
              <w:rPr>
                <w:rFonts w:hint="default" w:ascii="Times New Roman" w:hAnsi="Times New Roman" w:eastAsia="宋体" w:cs="Times New Roman"/>
                <w:color w:val="auto"/>
                <w:kern w:val="0"/>
                <w:sz w:val="21"/>
                <w:szCs w:val="21"/>
                <w:lang w:bidi="ar"/>
              </w:rPr>
              <w:t>生产</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0.79</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0.11</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无组织</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0.79</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0.11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0.758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0.105</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0.758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0.105</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0.003</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0.0004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0.003</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0.0004</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二硫化碳</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121</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0.017</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121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0.017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0.001</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0.001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总</w:t>
            </w: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含二甲苯、甲苯</w:t>
            </w:r>
            <w:r>
              <w:rPr>
                <w:rFonts w:hint="eastAsia" w:cs="Times New Roman"/>
                <w:color w:val="auto"/>
                <w:kern w:val="0"/>
                <w:sz w:val="21"/>
                <w:szCs w:val="21"/>
                <w:lang w:eastAsia="zh-CN" w:bidi="ar"/>
              </w:rPr>
              <w:t>）</w:t>
            </w:r>
          </w:p>
        </w:tc>
        <w:tc>
          <w:tcPr>
            <w:tcW w:w="2007" w:type="dxa"/>
            <w:gridSpan w:val="2"/>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eastAsia="zh-CN" w:bidi="ar"/>
              </w:rPr>
              <w:t>汽车密封缸垫及消音片</w:t>
            </w:r>
            <w:r>
              <w:rPr>
                <w:rFonts w:hint="default" w:ascii="Times New Roman" w:hAnsi="Times New Roman" w:eastAsia="宋体" w:cs="Times New Roman"/>
                <w:color w:val="auto"/>
                <w:kern w:val="0"/>
                <w:sz w:val="21"/>
                <w:szCs w:val="21"/>
                <w:lang w:bidi="ar"/>
              </w:rPr>
              <w:t>生产</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7.902</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1.098</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2.213</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307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7.575</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1.052</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2.122</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295</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28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二硫化碳</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1.205</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0.167</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338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47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0.098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0.014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28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4</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1576" w:type="dxa"/>
            <w:gridSpan w:val="26"/>
            <w:tcBorders>
              <w:tl2br w:val="nil"/>
              <w:tr2bl w:val="nil"/>
            </w:tcBorders>
            <w:noWrap/>
            <w:vAlign w:val="center"/>
          </w:tcPr>
          <w:p>
            <w:pPr>
              <w:widowControl/>
              <w:kinsoku w:val="0"/>
              <w:autoSpaceDE w:val="0"/>
              <w:autoSpaceDN w:val="0"/>
              <w:adjustRightInd w:val="0"/>
              <w:snapToGrid w:val="0"/>
              <w:spacing w:line="240" w:lineRule="atLeast"/>
              <w:jc w:val="left"/>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备注：a.本项目</w:t>
            </w:r>
            <w:r>
              <w:rPr>
                <w:rFonts w:hint="default" w:ascii="Times New Roman" w:hAnsi="Times New Roman" w:eastAsia="宋体" w:cs="Times New Roman"/>
                <w:color w:val="auto"/>
                <w:kern w:val="0"/>
                <w:sz w:val="21"/>
                <w:szCs w:val="21"/>
                <w:lang w:val="en-US" w:eastAsia="zh-CN" w:bidi="ar"/>
              </w:rPr>
              <w:t>涂胶固化</w:t>
            </w:r>
            <w:r>
              <w:rPr>
                <w:rFonts w:hint="default" w:ascii="Times New Roman" w:hAnsi="Times New Roman" w:eastAsia="宋体" w:cs="Times New Roman"/>
                <w:color w:val="auto"/>
                <w:kern w:val="0"/>
                <w:sz w:val="21"/>
                <w:szCs w:val="21"/>
                <w:lang w:bidi="ar"/>
              </w:rPr>
              <w:t>废气、硫化废气、隔离</w:t>
            </w:r>
            <w:r>
              <w:rPr>
                <w:rFonts w:hint="default" w:ascii="Times New Roman" w:hAnsi="Times New Roman" w:eastAsia="宋体" w:cs="Times New Roman"/>
                <w:color w:val="auto"/>
                <w:kern w:val="0"/>
                <w:sz w:val="21"/>
                <w:szCs w:val="21"/>
                <w:lang w:val="en-US" w:eastAsia="zh-CN" w:bidi="ar"/>
              </w:rPr>
              <w:t>固化</w:t>
            </w:r>
            <w:r>
              <w:rPr>
                <w:rFonts w:hint="default" w:ascii="Times New Roman" w:hAnsi="Times New Roman" w:eastAsia="宋体" w:cs="Times New Roman"/>
                <w:color w:val="auto"/>
                <w:kern w:val="0"/>
                <w:sz w:val="21"/>
                <w:szCs w:val="21"/>
                <w:lang w:bidi="ar"/>
              </w:rPr>
              <w:t>废气采取喷淋降温后除雾，再经活性炭吸附处理，烟气温度可达到常温。</w:t>
            </w:r>
          </w:p>
        </w:tc>
      </w:tr>
    </w:tbl>
    <w:p>
      <w:pPr>
        <w:pStyle w:val="30"/>
        <w:ind w:firstLine="420"/>
        <w:rPr>
          <w:rFonts w:hint="default" w:ascii="Times New Roman" w:hAnsi="Times New Roman" w:eastAsia="宋体" w:cs="Times New Roman"/>
          <w:color w:val="auto"/>
        </w:rPr>
        <w:sectPr>
          <w:pgSz w:w="23811" w:h="16838" w:orient="landscape"/>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tbl>
      <w:tblPr>
        <w:tblStyle w:val="32"/>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7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443"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bCs/>
                <w:color w:val="auto"/>
                <w:szCs w:val="21"/>
              </w:rPr>
              <w:t>措施</w:t>
            </w:r>
          </w:p>
        </w:tc>
        <w:tc>
          <w:tcPr>
            <w:tcW w:w="8766" w:type="dxa"/>
            <w:vAlign w:val="center"/>
          </w:tcPr>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2、非正常</w:t>
            </w:r>
            <w:r>
              <w:rPr>
                <w:rFonts w:hint="default" w:ascii="Times New Roman" w:hAnsi="Times New Roman" w:eastAsia="宋体" w:cs="Times New Roman"/>
                <w:color w:val="auto"/>
              </w:rPr>
              <w:t>排放源强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非正常排放指生产过程中开停车（工、炉）、设备检修、工艺设备运转异常等非正常工况下的污染物排放，以及污染物排放控制措施达不到应有效率等情况下的排放。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本项目在开停车或故障停车检修时，各废气治理设施正常运行，故本评价不再统计。本次评价主要考虑环保设施处理效率不好的情景（如</w:t>
            </w:r>
            <w:r>
              <w:rPr>
                <w:rFonts w:hint="default" w:ascii="Times New Roman" w:hAnsi="Times New Roman" w:eastAsia="宋体" w:cs="Times New Roman"/>
                <w:color w:val="auto"/>
                <w:sz w:val="24"/>
                <w:szCs w:val="24"/>
                <w:highlight w:val="none"/>
                <w:lang w:val="en-US" w:eastAsia="zh-CN"/>
              </w:rPr>
              <w:t>长期未更换活性炭，达到饱和，无处理能力</w:t>
            </w:r>
            <w:r>
              <w:rPr>
                <w:rFonts w:hint="default" w:ascii="Times New Roman" w:hAnsi="Times New Roman" w:eastAsia="宋体" w:cs="Times New Roman"/>
                <w:color w:val="auto"/>
              </w:rPr>
              <w:t>），非正常工况下污染源强核算结果见表4.2-2。为防止非正常工况排放，企业必须加强废气治理设施的管理，定期检修，确保废气治理设施正常运行。</w:t>
            </w:r>
          </w:p>
          <w:p>
            <w:pPr>
              <w:pStyle w:val="167"/>
              <w:adjustRightInd/>
              <w:snapToGrid/>
              <w:spacing w:before="120" w:beforeLines="50"/>
              <w:rPr>
                <w:rFonts w:hint="default" w:ascii="Times New Roman" w:hAnsi="Times New Roman" w:eastAsia="宋体" w:cs="Times New Roman"/>
                <w:b/>
                <w:bCs/>
                <w:color w:val="auto"/>
                <w:kern w:val="2"/>
                <w:lang w:bidi="he-IL"/>
              </w:rPr>
            </w:pPr>
            <w:r>
              <w:rPr>
                <w:rFonts w:hint="default" w:ascii="Times New Roman" w:hAnsi="Times New Roman" w:eastAsia="宋体" w:cs="Times New Roman"/>
                <w:b/>
                <w:bCs/>
                <w:color w:val="auto"/>
                <w:kern w:val="2"/>
                <w:lang w:bidi="he-IL"/>
              </w:rPr>
              <w:t>表4.2-2  非正常工况大气污染物排放一览表</w:t>
            </w:r>
          </w:p>
          <w:tbl>
            <w:tblPr>
              <w:tblStyle w:val="32"/>
              <w:tblW w:w="4850" w:type="pct"/>
              <w:tblInd w:w="1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149"/>
              <w:gridCol w:w="1340"/>
              <w:gridCol w:w="1344"/>
              <w:gridCol w:w="1390"/>
              <w:gridCol w:w="104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1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非正常排放源</w:t>
                  </w:r>
                </w:p>
              </w:tc>
              <w:tc>
                <w:tcPr>
                  <w:tcW w:w="129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非正常排放原因</w:t>
                  </w:r>
                </w:p>
              </w:tc>
              <w:tc>
                <w:tcPr>
                  <w:tcW w:w="80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810"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非正常排放速率/（kg/h）</w:t>
                  </w:r>
                </w:p>
              </w:tc>
              <w:tc>
                <w:tcPr>
                  <w:tcW w:w="83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单次持续时间/h</w:t>
                  </w:r>
                </w:p>
              </w:tc>
              <w:tc>
                <w:tcPr>
                  <w:tcW w:w="62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年发生频次/次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1296"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活性炭吸附装置异常</w:t>
                  </w: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83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w:t>
                  </w:r>
                </w:p>
              </w:tc>
              <w:tc>
                <w:tcPr>
                  <w:tcW w:w="1296" w:type="pct"/>
                  <w:vMerge w:val="restart"/>
                  <w:tcBorders>
                    <w:tl2br w:val="nil"/>
                    <w:tr2bl w:val="nil"/>
                  </w:tcBorders>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活性炭吸附装置异常</w:t>
                  </w: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bidi="ar"/>
                    </w:rPr>
                    <w:t>0.148</w:t>
                  </w:r>
                </w:p>
              </w:tc>
              <w:tc>
                <w:tcPr>
                  <w:tcW w:w="83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二甲苯</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0.107</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3</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51</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0.012</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5000" w:type="pct"/>
                  <w:gridSpan w:val="6"/>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备注：非正常排放速率设定情景为：</w:t>
                  </w:r>
                  <w:r>
                    <w:rPr>
                      <w:rFonts w:hint="default" w:ascii="Times New Roman" w:hAnsi="Times New Roman" w:eastAsia="宋体" w:cs="Times New Roman"/>
                      <w:color w:val="auto"/>
                      <w:sz w:val="21"/>
                      <w:szCs w:val="21"/>
                      <w:highlight w:val="none"/>
                      <w:lang w:val="en-US" w:eastAsia="zh-CN"/>
                    </w:rPr>
                    <w:t>活性炭长期未更换，无</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能力</w:t>
                  </w:r>
                  <w:r>
                    <w:rPr>
                      <w:rFonts w:hint="default" w:ascii="Times New Roman" w:hAnsi="Times New Roman" w:eastAsia="宋体" w:cs="Times New Roman"/>
                      <w:color w:val="auto"/>
                      <w:sz w:val="21"/>
                      <w:szCs w:val="21"/>
                    </w:rPr>
                    <w:t>。</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4.2.1.2 废气污染物排放达标性分析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根据工程分析：</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kern w:val="0"/>
                <w:lang w:val="en-US" w:eastAsia="zh-CN" w:bidi="ar"/>
              </w:rPr>
              <w:t>橡胶软化、研磨、涂覆及烘干废气</w:t>
            </w:r>
            <w:r>
              <w:rPr>
                <w:rFonts w:hint="default" w:ascii="Times New Roman" w:hAnsi="Times New Roman" w:eastAsia="宋体" w:cs="Times New Roman"/>
                <w:color w:val="auto"/>
              </w:rPr>
              <w:t>收集后经活性炭吸附，通过1根15m高排气筒（DA001）排放，非</w:t>
            </w:r>
            <w:r>
              <w:rPr>
                <w:rFonts w:hint="default" w:ascii="Times New Roman" w:hAnsi="Times New Roman" w:eastAsia="宋体" w:cs="Times New Roman"/>
                <w:color w:val="auto"/>
                <w:szCs w:val="20"/>
              </w:rPr>
              <w:t>甲烷总烃的排放浓度为</w:t>
            </w:r>
            <w:r>
              <w:rPr>
                <w:rFonts w:hint="default" w:ascii="Times New Roman" w:hAnsi="Times New Roman" w:eastAsia="宋体" w:cs="Times New Roman"/>
                <w:color w:val="auto"/>
                <w:szCs w:val="20"/>
                <w:lang w:val="en-US" w:eastAsia="zh-CN"/>
              </w:rPr>
              <w:t>9</w:t>
            </w:r>
            <w:r>
              <w:rPr>
                <w:rFonts w:hint="default" w:ascii="Times New Roman" w:hAnsi="Times New Roman" w:eastAsia="宋体" w:cs="Times New Roman"/>
                <w:color w:val="auto"/>
                <w:szCs w:val="20"/>
              </w:rPr>
              <w:t>.3mg/m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，二甲苯的排放浓度为</w:t>
            </w:r>
            <w:r>
              <w:rPr>
                <w:rFonts w:hint="default" w:ascii="Times New Roman" w:hAnsi="Times New Roman" w:eastAsia="宋体" w:cs="Times New Roman"/>
                <w:color w:val="auto"/>
                <w:szCs w:val="20"/>
                <w:lang w:val="en-US" w:eastAsia="zh-CN"/>
              </w:rPr>
              <w:t>9</w:t>
            </w:r>
            <w:r>
              <w:rPr>
                <w:rFonts w:hint="default" w:ascii="Times New Roman" w:hAnsi="Times New Roman" w:eastAsia="宋体" w:cs="Times New Roman"/>
                <w:color w:val="auto"/>
                <w:szCs w:val="20"/>
              </w:rPr>
              <w:t>.3mg/m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废气收集后经喷淋除雾+活性炭吸附，通过1根15m高排气筒（DA002）排放，</w:t>
            </w:r>
            <w:r>
              <w:rPr>
                <w:rFonts w:hint="default" w:ascii="Times New Roman" w:hAnsi="Times New Roman" w:eastAsia="宋体" w:cs="Times New Roman"/>
                <w:color w:val="auto"/>
                <w:szCs w:val="20"/>
              </w:rPr>
              <w:t>非甲烷总烃的排放浓度为</w:t>
            </w:r>
            <w:r>
              <w:rPr>
                <w:rFonts w:hint="default" w:ascii="Times New Roman" w:hAnsi="Times New Roman" w:eastAsia="宋体" w:cs="Times New Roman"/>
                <w:color w:val="auto"/>
                <w:szCs w:val="20"/>
                <w:lang w:val="en-US" w:eastAsia="zh-CN"/>
              </w:rPr>
              <w:t>2</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0"/>
                <w:lang w:val="en-US" w:eastAsia="zh-CN"/>
              </w:rPr>
              <w:t>二</w:t>
            </w:r>
            <w:r>
              <w:rPr>
                <w:rFonts w:hint="default" w:ascii="Times New Roman" w:hAnsi="Times New Roman" w:eastAsia="宋体" w:cs="Times New Roman"/>
                <w:color w:val="auto"/>
                <w:szCs w:val="20"/>
              </w:rPr>
              <w:t>甲苯的排放浓度为</w:t>
            </w:r>
            <w:r>
              <w:rPr>
                <w:rFonts w:hint="default" w:ascii="Times New Roman" w:hAnsi="Times New Roman" w:eastAsia="宋体" w:cs="Times New Roman"/>
                <w:color w:val="auto"/>
                <w:szCs w:val="20"/>
                <w:lang w:val="en-US" w:eastAsia="zh-CN"/>
              </w:rPr>
              <w:t>1.4</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甲苯的排放浓度为0.</w:t>
            </w:r>
            <w:r>
              <w:rPr>
                <w:rFonts w:hint="default" w:ascii="Times New Roman" w:hAnsi="Times New Roman" w:eastAsia="宋体" w:cs="Times New Roman"/>
                <w:color w:val="auto"/>
                <w:szCs w:val="20"/>
                <w:lang w:val="en-US" w:eastAsia="zh-CN"/>
              </w:rPr>
              <w:t>02</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。均满足</w:t>
            </w:r>
            <w:r>
              <w:rPr>
                <w:rFonts w:hint="eastAsia" w:cs="Times New Roman"/>
                <w:color w:val="auto"/>
                <w:szCs w:val="20"/>
                <w:lang w:eastAsia="zh-CN"/>
              </w:rPr>
              <w:t>《工业企业挥发性有机物排放标准》（DB35/1782-2018）</w:t>
            </w:r>
            <w:r>
              <w:rPr>
                <w:rFonts w:hint="default" w:ascii="Times New Roman" w:hAnsi="Times New Roman" w:eastAsia="宋体" w:cs="Times New Roman"/>
                <w:color w:val="auto"/>
                <w:szCs w:val="20"/>
              </w:rPr>
              <w:t>表</w:t>
            </w:r>
            <w:r>
              <w:rPr>
                <w:rFonts w:hint="eastAsia" w:cs="Times New Roman"/>
                <w:color w:val="auto"/>
                <w:szCs w:val="20"/>
                <w:lang w:val="en-US" w:eastAsia="zh-CN"/>
              </w:rPr>
              <w:t>1</w:t>
            </w:r>
            <w:r>
              <w:rPr>
                <w:rFonts w:hint="default" w:ascii="Times New Roman" w:hAnsi="Times New Roman" w:eastAsia="宋体" w:cs="Times New Roman"/>
                <w:color w:val="auto"/>
                <w:szCs w:val="20"/>
              </w:rPr>
              <w:t>中相关标准：非甲烷总烃排放浓度限值≤</w:t>
            </w:r>
            <w:r>
              <w:rPr>
                <w:rFonts w:hint="eastAsia" w:cs="Times New Roman"/>
                <w:color w:val="auto"/>
                <w:szCs w:val="20"/>
                <w:lang w:val="en-US" w:eastAsia="zh-CN"/>
              </w:rPr>
              <w:t>60</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、甲苯排放浓度限值≤15mg/m</w:t>
            </w:r>
            <w:r>
              <w:rPr>
                <w:rFonts w:hint="default" w:ascii="Times New Roman" w:hAnsi="Times New Roman" w:eastAsia="宋体" w:cs="Times New Roman"/>
                <w:color w:val="auto"/>
                <w:szCs w:val="20"/>
                <w:vertAlign w:val="superscript"/>
              </w:rPr>
              <w:t>3</w:t>
            </w:r>
            <w:r>
              <w:rPr>
                <w:rFonts w:hint="eastAsia" w:cs="Times New Roman"/>
                <w:color w:val="auto"/>
                <w:szCs w:val="20"/>
                <w:lang w:eastAsia="zh-CN"/>
              </w:rPr>
              <w:t>、</w:t>
            </w:r>
            <w:r>
              <w:rPr>
                <w:rFonts w:hint="default" w:ascii="Times New Roman" w:hAnsi="Times New Roman" w:eastAsia="宋体" w:cs="Times New Roman"/>
                <w:color w:val="auto"/>
                <w:szCs w:val="20"/>
              </w:rPr>
              <w:t>二甲苯排放浓度限值≤</w:t>
            </w:r>
            <w:r>
              <w:rPr>
                <w:rFonts w:hint="eastAsia" w:cs="Times New Roman"/>
                <w:color w:val="auto"/>
                <w:szCs w:val="20"/>
                <w:lang w:val="en-US" w:eastAsia="zh-CN"/>
              </w:rPr>
              <w:t>20</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硫化废气污染物二硫化碳排放速率为0.0</w:t>
            </w:r>
            <w:r>
              <w:rPr>
                <w:rFonts w:hint="default" w:ascii="Times New Roman" w:hAnsi="Times New Roman" w:eastAsia="宋体" w:cs="Times New Roman"/>
                <w:color w:val="auto"/>
                <w:szCs w:val="20"/>
                <w:lang w:val="en-US" w:eastAsia="zh-CN"/>
              </w:rPr>
              <w:t>3</w:t>
            </w:r>
            <w:r>
              <w:rPr>
                <w:rFonts w:hint="default" w:ascii="Times New Roman" w:hAnsi="Times New Roman" w:eastAsia="宋体" w:cs="Times New Roman"/>
                <w:color w:val="auto"/>
                <w:szCs w:val="20"/>
              </w:rPr>
              <w:t>kg/h、硫化氢排放速率为0.00</w:t>
            </w:r>
            <w:r>
              <w:rPr>
                <w:rFonts w:hint="default" w:ascii="Times New Roman" w:hAnsi="Times New Roman" w:eastAsia="宋体" w:cs="Times New Roman"/>
                <w:color w:val="auto"/>
                <w:szCs w:val="20"/>
                <w:lang w:val="en-US" w:eastAsia="zh-CN"/>
              </w:rPr>
              <w:t>3</w:t>
            </w:r>
            <w:r>
              <w:rPr>
                <w:rFonts w:hint="default" w:ascii="Times New Roman" w:hAnsi="Times New Roman" w:eastAsia="宋体" w:cs="Times New Roman"/>
                <w:color w:val="auto"/>
                <w:szCs w:val="20"/>
              </w:rPr>
              <w:t>kg/h，均满足</w:t>
            </w:r>
            <w:r>
              <w:rPr>
                <w:rFonts w:hint="default" w:ascii="Times New Roman" w:hAnsi="Times New Roman" w:eastAsia="宋体" w:cs="Times New Roman"/>
                <w:color w:val="auto"/>
                <w:kern w:val="0"/>
              </w:rPr>
              <w:t>《恶臭污染物排放标准》（GB14554-93）表2标准限值：二硫化碳</w:t>
            </w:r>
            <w:r>
              <w:rPr>
                <w:rFonts w:hint="default" w:ascii="Times New Roman" w:hAnsi="Times New Roman" w:eastAsia="宋体" w:cs="Times New Roman"/>
                <w:color w:val="auto"/>
                <w:szCs w:val="20"/>
              </w:rPr>
              <w:t xml:space="preserve">≤1.5kg/h、硫化氢≤0.3kg/h。 </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综上，本项目废气经过处理可达标排放。</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4.2.1.3 废气污染防治措施可行性分析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本项目</w:t>
            </w:r>
            <w:r>
              <w:rPr>
                <w:rFonts w:hint="default" w:ascii="Times New Roman" w:hAnsi="Times New Roman" w:eastAsia="宋体" w:cs="Times New Roman"/>
                <w:color w:val="auto"/>
                <w:kern w:val="0"/>
                <w:lang w:val="en-US" w:eastAsia="zh-CN" w:bidi="ar"/>
              </w:rPr>
              <w:t>橡胶软化、研磨、涂覆及烘干废气</w:t>
            </w:r>
            <w:r>
              <w:rPr>
                <w:rFonts w:hint="default" w:ascii="Times New Roman" w:hAnsi="Times New Roman" w:eastAsia="宋体" w:cs="Times New Roman"/>
                <w:color w:val="auto"/>
              </w:rPr>
              <w:t>收集后经活性炭吸附，通过1根15m高排气筒（DA001）排放，</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废气收集后经喷淋除雾+活性炭吸附，通过1根15m高排气筒（DA002）排放。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参考《排污许可证申请与核发技术规范 汽车制造业》（HJ 971-2018）表 25 汽车制造业废气污染治理推荐可行技术清单、《汽车整车制造业挥发性有机物治理实用手册》(2020.7生态环境部大气司编制)</w:t>
            </w:r>
            <w:r>
              <w:rPr>
                <w:rFonts w:hint="eastAsia" w:cs="Times New Roman"/>
                <w:color w:val="auto"/>
                <w:szCs w:val="20"/>
                <w:lang w:eastAsia="zh-CN"/>
              </w:rPr>
              <w:t>，</w:t>
            </w:r>
            <w:r>
              <w:rPr>
                <w:rFonts w:hint="default" w:ascii="Times New Roman" w:hAnsi="Times New Roman" w:eastAsia="宋体" w:cs="Times New Roman"/>
                <w:bCs/>
                <w:color w:val="auto"/>
                <w:kern w:val="28"/>
              </w:rPr>
              <w:t>本项目废气治理采用活性炭吸附措施，可以满足相关要求。</w:t>
            </w:r>
          </w:p>
          <w:p>
            <w:pPr>
              <w:spacing w:line="360" w:lineRule="auto"/>
              <w:ind w:firstLine="480" w:firstLineChars="200"/>
              <w:rPr>
                <w:rFonts w:hint="default" w:ascii="Times New Roman" w:hAnsi="Times New Roman" w:eastAsia="宋体" w:cs="Times New Roman"/>
                <w:bCs/>
                <w:color w:val="auto"/>
                <w:kern w:val="28"/>
              </w:rPr>
            </w:pPr>
            <w:r>
              <w:rPr>
                <w:rFonts w:hint="default" w:ascii="Times New Roman" w:hAnsi="Times New Roman" w:eastAsia="宋体" w:cs="Times New Roman"/>
                <w:color w:val="auto"/>
              </w:rPr>
              <w:t>根据</w:t>
            </w:r>
            <w:r>
              <w:rPr>
                <w:rFonts w:hint="default" w:ascii="Times New Roman" w:hAnsi="Times New Roman" w:eastAsia="宋体" w:cs="Times New Roman"/>
                <w:bCs/>
                <w:color w:val="auto"/>
                <w:kern w:val="28"/>
              </w:rPr>
              <w:t>融环保综[2021]100号文附件3福州市重点行业挥发性有机物治理任务对照表，本项目</w:t>
            </w:r>
            <w:r>
              <w:rPr>
                <w:rFonts w:hint="default" w:ascii="Times New Roman" w:hAnsi="Times New Roman" w:eastAsia="宋体" w:cs="Times New Roman"/>
                <w:color w:val="auto"/>
                <w:szCs w:val="20"/>
              </w:rPr>
              <w:t>涉及有机废气的治</w:t>
            </w:r>
            <w:r>
              <w:rPr>
                <w:rFonts w:hint="default" w:ascii="Times New Roman" w:hAnsi="Times New Roman" w:eastAsia="宋体" w:cs="Times New Roman"/>
                <w:bCs/>
                <w:color w:val="auto"/>
                <w:kern w:val="28"/>
              </w:rPr>
              <w:t>理措施符合性分析见表4.2-</w:t>
            </w:r>
            <w:r>
              <w:rPr>
                <w:rFonts w:hint="default" w:ascii="Times New Roman" w:hAnsi="Times New Roman" w:eastAsia="宋体" w:cs="Times New Roman"/>
                <w:bCs/>
                <w:color w:val="auto"/>
                <w:kern w:val="28"/>
                <w:lang w:val="en-US" w:eastAsia="zh-CN"/>
              </w:rPr>
              <w:t>3</w:t>
            </w:r>
            <w:r>
              <w:rPr>
                <w:rFonts w:hint="default" w:ascii="Times New Roman" w:hAnsi="Times New Roman" w:eastAsia="宋体" w:cs="Times New Roman"/>
                <w:bCs/>
                <w:color w:val="auto"/>
                <w:kern w:val="28"/>
              </w:rPr>
              <w:t>。</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3</w:t>
            </w:r>
            <w:r>
              <w:rPr>
                <w:rFonts w:hint="default" w:ascii="Times New Roman" w:hAnsi="Times New Roman" w:eastAsia="宋体" w:cs="Times New Roman"/>
                <w:b/>
                <w:bCs/>
                <w:color w:val="auto"/>
                <w:shd w:val="clear" w:color="auto" w:fill="FFFFFF"/>
              </w:rPr>
              <w:t xml:space="preserve">  与福州市重点行业挥发性有机物治理任务对照表</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有机废气末端治理要求比较分析</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2"/>
              <w:gridCol w:w="5208"/>
              <w:gridCol w:w="2245"/>
              <w:gridCol w:w="73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12"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环节</w:t>
                  </w:r>
                </w:p>
              </w:tc>
              <w:tc>
                <w:tcPr>
                  <w:tcW w:w="5208"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末端治理设施要求</w:t>
                  </w:r>
                </w:p>
              </w:tc>
              <w:tc>
                <w:tcPr>
                  <w:tcW w:w="2245"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本项目涉及采取治理措施</w:t>
                  </w:r>
                </w:p>
              </w:tc>
              <w:tc>
                <w:tcPr>
                  <w:tcW w:w="738"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12"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有机废气</w:t>
                  </w:r>
                </w:p>
              </w:tc>
              <w:tc>
                <w:tcPr>
                  <w:tcW w:w="5208" w:type="dxa"/>
                  <w:tcBorders>
                    <w:tl2br w:val="nil"/>
                    <w:tr2bl w:val="nil"/>
                  </w:tcBorders>
                  <w:vAlign w:val="center"/>
                </w:tcPr>
                <w:p>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/g（BET法）。一次性活性炭吸附工艺宜采用颗粒活性炭作为吸附剂。活性炭、活性炭纤维产品销售时应提供产品质量证明材料</w:t>
                  </w:r>
                </w:p>
              </w:tc>
              <w:tc>
                <w:tcPr>
                  <w:tcW w:w="2245" w:type="dxa"/>
                  <w:tcBorders>
                    <w:tl2br w:val="nil"/>
                    <w:tr2bl w:val="nil"/>
                  </w:tcBorders>
                  <w:vAlign w:val="center"/>
                </w:tcPr>
                <w:p>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本项目采用活性炭吸附工艺，根据建设单位提供资料，本项目选择符合相关产品质量标准的活性炭，且足额充填、定期更换废气处理设施内饱和的活性炭（项目</w:t>
                  </w:r>
                  <w:r>
                    <w:rPr>
                      <w:rFonts w:hint="default" w:ascii="Times New Roman" w:hAnsi="Times New Roman" w:eastAsia="宋体" w:cs="Times New Roman"/>
                      <w:color w:val="auto"/>
                      <w:sz w:val="21"/>
                      <w:szCs w:val="21"/>
                      <w:lang w:val="en-US" w:eastAsia="zh-CN"/>
                    </w:rPr>
                    <w:t>橡胶软化、研磨、涂覆及烘干废气</w:t>
                  </w:r>
                  <w:r>
                    <w:rPr>
                      <w:rFonts w:hint="default" w:ascii="Times New Roman" w:hAnsi="Times New Roman" w:eastAsia="宋体" w:cs="Times New Roman"/>
                      <w:color w:val="auto"/>
                      <w:sz w:val="21"/>
                      <w:szCs w:val="21"/>
                    </w:rPr>
                    <w:t>活性炭填充量为3t，更换周期为</w:t>
                  </w:r>
                  <w:r>
                    <w:rPr>
                      <w:rFonts w:hint="default"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rPr>
                    <w:t>天。</w:t>
                  </w: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废气活性炭填充量为</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t，更换周期为</w:t>
                  </w:r>
                  <w:r>
                    <w:rPr>
                      <w:rFonts w:hint="default" w:ascii="Times New Roman" w:hAnsi="Times New Roman" w:eastAsia="宋体" w:cs="Times New Roman"/>
                      <w:color w:val="auto"/>
                      <w:sz w:val="21"/>
                      <w:szCs w:val="21"/>
                      <w:lang w:val="en-US" w:eastAsia="zh-CN"/>
                    </w:rPr>
                    <w:t>53</w:t>
                  </w:r>
                  <w:r>
                    <w:rPr>
                      <w:rFonts w:hint="default" w:ascii="Times New Roman" w:hAnsi="Times New Roman" w:eastAsia="宋体" w:cs="Times New Roman"/>
                      <w:color w:val="auto"/>
                      <w:sz w:val="21"/>
                      <w:szCs w:val="21"/>
                    </w:rPr>
                    <w:t>天）。</w:t>
                  </w:r>
                </w:p>
              </w:tc>
              <w:tc>
                <w:tcPr>
                  <w:tcW w:w="738"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39"/>
              <w:spacing w:line="360" w:lineRule="auto"/>
              <w:ind w:firstLine="480" w:firstLineChars="200"/>
              <w:outlineLvl w:val="9"/>
              <w:rPr>
                <w:rFonts w:hint="default" w:ascii="Times New Roman" w:hAnsi="Times New Roman" w:eastAsia="宋体" w:cs="Times New Roman"/>
                <w:b w:val="0"/>
                <w:bCs/>
                <w:color w:val="auto"/>
                <w:szCs w:val="20"/>
              </w:rPr>
            </w:pPr>
            <w:r>
              <w:rPr>
                <w:rFonts w:hint="default" w:ascii="Times New Roman" w:hAnsi="Times New Roman" w:eastAsia="宋体" w:cs="Times New Roman"/>
                <w:b w:val="0"/>
                <w:bCs/>
                <w:color w:val="auto"/>
                <w:szCs w:val="20"/>
              </w:rPr>
              <w:t>根据表4.2-4可知，本项目采取蜂窝煤活性炭吸附有机废气治理措施可以满足融环保综[2021]100号文附件3福州市重点行业挥发性有机物治理任务对照表中表2.3合成纤维行业有机废气末端治理相关要求。</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因此项目废气经上述措施处理后排放可满足相关限值要求，措施可行</w:t>
            </w:r>
            <w:r>
              <w:rPr>
                <w:rFonts w:hint="default" w:ascii="Times New Roman" w:hAnsi="Times New Roman" w:eastAsia="宋体" w:cs="Times New Roman"/>
                <w:color w:val="auto"/>
                <w:szCs w:val="20"/>
                <w:lang w:eastAsia="zh-CN"/>
              </w:rPr>
              <w:t>。</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4.2.1.4 大气环境影响分析</w:t>
            </w:r>
          </w:p>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1</w:t>
            </w: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废气源强</w:t>
            </w:r>
          </w:p>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val="en-US" w:eastAsia="zh-CN"/>
              </w:rPr>
              <w:t>项目有组织废气源强见表4.2-4、无组织废气源强见表4.2-5.</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4</w:t>
            </w:r>
            <w:r>
              <w:rPr>
                <w:rFonts w:hint="default" w:ascii="Times New Roman" w:hAnsi="Times New Roman" w:eastAsia="宋体" w:cs="Times New Roman"/>
                <w:b/>
                <w:bCs/>
                <w:color w:val="auto"/>
                <w:shd w:val="clear" w:color="auto" w:fill="FFFFFF"/>
              </w:rPr>
              <w:t xml:space="preserve">  </w:t>
            </w:r>
            <w:r>
              <w:rPr>
                <w:rFonts w:hint="default" w:ascii="Times New Roman" w:hAnsi="Times New Roman" w:eastAsia="宋体" w:cs="Times New Roman"/>
                <w:b/>
                <w:bCs/>
                <w:color w:val="auto"/>
                <w:shd w:val="clear" w:color="auto" w:fill="FFFFFF"/>
                <w:lang w:val="en-US" w:eastAsia="zh-CN"/>
              </w:rPr>
              <w:t>有组织废气源强</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Layout w:type="fixed"/>
              <w:tblCellMar>
                <w:top w:w="0" w:type="dxa"/>
                <w:left w:w="28" w:type="dxa"/>
                <w:bottom w:w="0" w:type="dxa"/>
                <w:right w:w="28" w:type="dxa"/>
              </w:tblCellMar>
            </w:tblPr>
            <w:tblGrid>
              <w:gridCol w:w="544"/>
              <w:gridCol w:w="479"/>
              <w:gridCol w:w="638"/>
              <w:gridCol w:w="532"/>
              <w:gridCol w:w="587"/>
              <w:gridCol w:w="713"/>
              <w:gridCol w:w="673"/>
              <w:gridCol w:w="942"/>
              <w:gridCol w:w="717"/>
              <w:gridCol w:w="1190"/>
              <w:gridCol w:w="498"/>
              <w:gridCol w:w="688"/>
              <w:gridCol w:w="34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3" w:hRule="atLeast"/>
                <w:jc w:val="center"/>
              </w:trPr>
              <w:tc>
                <w:tcPr>
                  <w:tcW w:w="318"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产排污环节</w:t>
                  </w:r>
                </w:p>
              </w:tc>
              <w:tc>
                <w:tcPr>
                  <w:tcW w:w="280"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污染源</w:t>
                  </w:r>
                </w:p>
              </w:tc>
              <w:tc>
                <w:tcPr>
                  <w:tcW w:w="373"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污染物</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种类</w:t>
                  </w:r>
                </w:p>
              </w:tc>
              <w:tc>
                <w:tcPr>
                  <w:tcW w:w="1464" w:type="pct"/>
                  <w:gridSpan w:val="4"/>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污染物排放</w:t>
                  </w:r>
                </w:p>
              </w:tc>
              <w:tc>
                <w:tcPr>
                  <w:tcW w:w="1666" w:type="pct"/>
                  <w:gridSpan w:val="3"/>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排放口基本信息</w:t>
                  </w:r>
                </w:p>
              </w:tc>
              <w:tc>
                <w:tcPr>
                  <w:tcW w:w="29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排放</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时间</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h</w:t>
                  </w:r>
                </w:p>
              </w:tc>
              <w:tc>
                <w:tcPr>
                  <w:tcW w:w="604" w:type="pct"/>
                  <w:gridSpan w:val="2"/>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排放标准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373"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311"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风量</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m</w:t>
                  </w:r>
                  <w:r>
                    <w:rPr>
                      <w:rFonts w:hint="default" w:ascii="Times New Roman" w:hAnsi="Times New Roman" w:eastAsia="宋体" w:cs="Times New Roman"/>
                      <w:color w:val="auto"/>
                      <w:kern w:val="2"/>
                      <w:sz w:val="21"/>
                      <w:szCs w:val="21"/>
                      <w:highlight w:val="none"/>
                      <w:vertAlign w:val="super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/h</w:t>
                  </w: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排放量</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t/a</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排放速率kg/h</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排放浓度mg/m</w:t>
                  </w:r>
                  <w:r>
                    <w:rPr>
                      <w:rFonts w:hint="default" w:ascii="Times New Roman" w:hAnsi="Times New Roman" w:eastAsia="宋体" w:cs="Times New Roman"/>
                      <w:color w:val="auto"/>
                      <w:kern w:val="0"/>
                      <w:sz w:val="21"/>
                      <w:szCs w:val="21"/>
                      <w:highlight w:val="none"/>
                      <w:vertAlign w:val="superscript"/>
                    </w:rPr>
                    <w:t>3</w:t>
                  </w:r>
                </w:p>
              </w:tc>
              <w:tc>
                <w:tcPr>
                  <w:tcW w:w="551"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排气筒内径、高度、温度</w:t>
                  </w:r>
                </w:p>
              </w:tc>
              <w:tc>
                <w:tcPr>
                  <w:tcW w:w="419"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编号及名称、类型</w:t>
                  </w:r>
                </w:p>
              </w:tc>
              <w:tc>
                <w:tcPr>
                  <w:tcW w:w="696"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地理坐标</w:t>
                  </w:r>
                </w:p>
              </w:tc>
              <w:tc>
                <w:tcPr>
                  <w:tcW w:w="291"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浓度/</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mg/m</w:t>
                  </w:r>
                  <w:r>
                    <w:rPr>
                      <w:rFonts w:hint="default" w:ascii="Times New Roman" w:hAnsi="Times New Roman" w:eastAsia="宋体" w:cs="Times New Roman"/>
                      <w:color w:val="auto"/>
                      <w:kern w:val="2"/>
                      <w:sz w:val="21"/>
                      <w:szCs w:val="21"/>
                      <w:highlight w:val="none"/>
                      <w:vertAlign w:val="superscript"/>
                      <w:lang w:val="en-US" w:eastAsia="zh-CN" w:bidi="ar"/>
                    </w:rPr>
                    <w:t>3</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速率kg/h</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3" w:hRule="atLeast"/>
                <w:jc w:val="center"/>
              </w:trPr>
              <w:tc>
                <w:tcPr>
                  <w:tcW w:w="318"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橡胶软化、</w:t>
                  </w:r>
                  <w:r>
                    <w:rPr>
                      <w:rFonts w:hint="eastAsia" w:cs="Times New Roman"/>
                      <w:color w:val="auto"/>
                      <w:sz w:val="21"/>
                      <w:szCs w:val="21"/>
                      <w:highlight w:val="none"/>
                      <w:lang w:val="en-US" w:eastAsia="zh-CN"/>
                    </w:rPr>
                    <w:t>研磨、</w:t>
                  </w:r>
                  <w:r>
                    <w:rPr>
                      <w:rFonts w:hint="default" w:ascii="Times New Roman" w:hAnsi="Times New Roman" w:eastAsia="宋体" w:cs="Times New Roman"/>
                      <w:color w:val="auto"/>
                      <w:sz w:val="21"/>
                      <w:szCs w:val="21"/>
                      <w:highlight w:val="none"/>
                      <w:lang w:val="en-US" w:eastAsia="zh-CN"/>
                    </w:rPr>
                    <w:t>涂覆及烘干</w:t>
                  </w:r>
                </w:p>
              </w:tc>
              <w:tc>
                <w:tcPr>
                  <w:tcW w:w="280"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31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18000</w:t>
                  </w: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1.21</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0.168</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9.3</w:t>
                  </w:r>
                </w:p>
              </w:tc>
              <w:tc>
                <w:tcPr>
                  <w:tcW w:w="55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D=0.65m，H=15m，温度25℃</w:t>
                  </w:r>
                </w:p>
              </w:tc>
              <w:tc>
                <w:tcPr>
                  <w:tcW w:w="419"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DA001、一般排放口</w:t>
                  </w:r>
                </w:p>
              </w:tc>
              <w:tc>
                <w:tcPr>
                  <w:tcW w:w="1197" w:type="dxa"/>
                  <w:vMerge w:val="restart"/>
                  <w:tcBorders>
                    <w:tl2br w:val="nil"/>
                    <w:tr2bl w:val="nil"/>
                  </w:tcBorders>
                  <w:shd w:val="clear" w:color="auto" w:fill="FFFFFF"/>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119°28′33.123″</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0"/>
                      <w:sz w:val="21"/>
                      <w:szCs w:val="21"/>
                      <w:lang w:bidi="ar"/>
                    </w:rPr>
                    <w:t>25°42′54.620″</w:t>
                  </w:r>
                </w:p>
              </w:tc>
              <w:tc>
                <w:tcPr>
                  <w:tcW w:w="29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7200</w:t>
                  </w: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10</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1.21</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0.168</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9.3</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96"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91"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3" w:hRule="atLeast"/>
                <w:jc w:val="center"/>
              </w:trPr>
              <w:tc>
                <w:tcPr>
                  <w:tcW w:w="318"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涂胶烘干、硫化、隔离烘干</w:t>
                  </w:r>
                </w:p>
              </w:tc>
              <w:tc>
                <w:tcPr>
                  <w:tcW w:w="280"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w:t>
                  </w: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31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15000</w:t>
                  </w: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0.213</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5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D=0.6m，H=15m，温度25℃</w:t>
                  </w:r>
                </w:p>
              </w:tc>
              <w:tc>
                <w:tcPr>
                  <w:tcW w:w="419"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DA002、一般排放口</w:t>
                  </w:r>
                </w:p>
              </w:tc>
              <w:tc>
                <w:tcPr>
                  <w:tcW w:w="1197" w:type="dxa"/>
                  <w:vMerge w:val="restart"/>
                  <w:tcBorders>
                    <w:tl2br w:val="nil"/>
                    <w:tr2bl w:val="nil"/>
                  </w:tcBorders>
                  <w:shd w:val="clear" w:color="auto" w:fill="FFFFFF"/>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119°28′34.340″</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0"/>
                      <w:sz w:val="21"/>
                      <w:szCs w:val="21"/>
                      <w:lang w:bidi="ar"/>
                    </w:rPr>
                    <w:t>25°42′54.950″</w:t>
                  </w:r>
                </w:p>
              </w:tc>
              <w:tc>
                <w:tcPr>
                  <w:tcW w:w="291"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7200</w:t>
                  </w: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0.154</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0.021</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1197" w:type="dxa"/>
                  <w:vMerge w:val="continue"/>
                  <w:tcBorders>
                    <w:tl2br w:val="nil"/>
                    <w:tr2bl w:val="nil"/>
                  </w:tcBorders>
                  <w:shd w:val="clear" w:color="auto" w:fill="FFFFFF"/>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291"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甲苯</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0.0007</w:t>
                  </w:r>
                </w:p>
              </w:tc>
              <w:tc>
                <w:tcPr>
                  <w:tcW w:w="39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0.05</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696"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29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15</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0.018</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39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0.2</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696"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29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0.33</w:t>
                  </w:r>
                </w:p>
              </w:tc>
            </w:tr>
          </w:tbl>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5</w:t>
            </w:r>
            <w:r>
              <w:rPr>
                <w:rFonts w:hint="default" w:ascii="Times New Roman" w:hAnsi="Times New Roman" w:eastAsia="宋体" w:cs="Times New Roman"/>
                <w:b/>
                <w:bCs/>
                <w:color w:val="auto"/>
                <w:shd w:val="clear" w:color="auto" w:fill="FFFFFF"/>
              </w:rPr>
              <w:t xml:space="preserve">  </w:t>
            </w:r>
            <w:r>
              <w:rPr>
                <w:rFonts w:hint="default" w:ascii="Times New Roman" w:hAnsi="Times New Roman" w:eastAsia="宋体" w:cs="Times New Roman"/>
                <w:b/>
                <w:bCs/>
                <w:color w:val="auto"/>
                <w:shd w:val="clear" w:color="auto" w:fill="FFFFFF"/>
                <w:lang w:val="en-US" w:eastAsia="zh-CN"/>
              </w:rPr>
              <w:t>无组织废气源强</w:t>
            </w:r>
          </w:p>
          <w:tbl>
            <w:tblPr>
              <w:tblStyle w:val="33"/>
              <w:tblW w:w="4998" w:type="pct"/>
              <w:tblInd w:w="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49"/>
              <w:gridCol w:w="915"/>
              <w:gridCol w:w="841"/>
              <w:gridCol w:w="982"/>
              <w:gridCol w:w="1366"/>
              <w:gridCol w:w="1361"/>
              <w:gridCol w:w="1144"/>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34" w:type="pct"/>
                  <w:gridSpan w:val="2"/>
                  <w:vMerge w:val="restar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排放源</w:t>
                  </w:r>
                </w:p>
              </w:tc>
              <w:tc>
                <w:tcPr>
                  <w:tcW w:w="1601" w:type="pct"/>
                  <w:gridSpan w:val="3"/>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面源参数</w:t>
                  </w:r>
                </w:p>
              </w:tc>
              <w:tc>
                <w:tcPr>
                  <w:tcW w:w="799" w:type="pct"/>
                  <w:vMerge w:val="restar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465" w:type="pct"/>
                  <w:gridSpan w:val="2"/>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pct"/>
                  <w:gridSpan w:val="2"/>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35"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长m</w:t>
                  </w:r>
                </w:p>
              </w:tc>
              <w:tc>
                <w:tcPr>
                  <w:tcW w:w="49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宽m</w:t>
                  </w:r>
                </w:p>
              </w:tc>
              <w:tc>
                <w:tcPr>
                  <w:tcW w:w="57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高m</w:t>
                  </w:r>
                </w:p>
              </w:tc>
              <w:tc>
                <w:tcPr>
                  <w:tcW w:w="799" w:type="pct"/>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6"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速率kg/h</w:t>
                  </w:r>
                </w:p>
              </w:tc>
              <w:tc>
                <w:tcPr>
                  <w:tcW w:w="668"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排放量t/a</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生产厂房</w:t>
                  </w:r>
                </w:p>
              </w:tc>
              <w:tc>
                <w:tcPr>
                  <w:tcW w:w="554"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未被收集的生产工艺废气</w:t>
                  </w:r>
                </w:p>
              </w:tc>
              <w:tc>
                <w:tcPr>
                  <w:tcW w:w="535"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83</w:t>
                  </w:r>
                </w:p>
              </w:tc>
              <w:tc>
                <w:tcPr>
                  <w:tcW w:w="492"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w:t>
                  </w:r>
                </w:p>
              </w:tc>
              <w:tc>
                <w:tcPr>
                  <w:tcW w:w="573"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w:t>
                  </w: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非甲烷总烃</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pPr>
                    <w:pStyle w:val="30"/>
                    <w:keepNext w:val="0"/>
                    <w:keepLines w:val="0"/>
                    <w:pageBreakBefore w:val="0"/>
                    <w:widowControl w:val="0"/>
                    <w:kinsoku/>
                    <w:wordWrap/>
                    <w:overflowPunct/>
                    <w:topLinePunct w:val="0"/>
                    <w:bidi w:val="0"/>
                    <w:adjustRightInd/>
                    <w:snapToGrid/>
                    <w:spacing w:before="0"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35"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2"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3"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二甲苯</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0.105</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0.758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pPr>
                    <w:pStyle w:val="30"/>
                    <w:keepNext w:val="0"/>
                    <w:keepLines w:val="0"/>
                    <w:pageBreakBefore w:val="0"/>
                    <w:widowControl w:val="0"/>
                    <w:kinsoku/>
                    <w:wordWrap/>
                    <w:overflowPunct/>
                    <w:topLinePunct w:val="0"/>
                    <w:bidi w:val="0"/>
                    <w:adjustRightInd/>
                    <w:snapToGrid/>
                    <w:spacing w:before="0"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35"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2"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3"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both"/>
                    <w:textAlignment w:val="auto"/>
                    <w:rPr>
                      <w:rFonts w:hint="default" w:ascii="Times New Roman" w:hAnsi="Times New Roman" w:eastAsia="宋体" w:cs="Times New Roman"/>
                      <w:color w:val="auto"/>
                      <w:kern w:val="0"/>
                      <w:sz w:val="21"/>
                      <w:szCs w:val="21"/>
                      <w:highlight w:val="none"/>
                      <w:lang w:val="en-US" w:eastAsia="zh-CN"/>
                    </w:rPr>
                  </w:pP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甲苯</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0.0004</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pPr>
                    <w:pStyle w:val="30"/>
                    <w:keepNext w:val="0"/>
                    <w:keepLines w:val="0"/>
                    <w:pageBreakBefore w:val="0"/>
                    <w:widowControl w:val="0"/>
                    <w:kinsoku/>
                    <w:wordWrap/>
                    <w:overflowPunct/>
                    <w:topLinePunct w:val="0"/>
                    <w:bidi w:val="0"/>
                    <w:adjustRightInd/>
                    <w:snapToGrid/>
                    <w:spacing w:before="0"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35"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2"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3"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硫化氢</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r>
          </w:tbl>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2</w:t>
            </w: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废气评价等级</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大气环境》（HJ2.2-2018）的要求，选择估算模式AERSCREEN计算各污染物在全气象组合情况条件下的最大影响程度和最远影响范围，对项目的大气环境评价工作进行分析。根据导则要求，本次评价选择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作为污染因子确定大气环境评价工作等级，评价工作等级的判定依据见表</w:t>
            </w:r>
            <w:r>
              <w:rPr>
                <w:rFonts w:hint="default" w:ascii="Times New Roman" w:hAnsi="Times New Roman" w:eastAsia="宋体" w:cs="Times New Roman"/>
                <w:color w:val="auto"/>
                <w:sz w:val="24"/>
                <w:szCs w:val="24"/>
                <w:highlight w:val="none"/>
                <w:lang w:val="en-US" w:eastAsia="zh-CN"/>
              </w:rPr>
              <w:t>4.2-6</w:t>
            </w:r>
            <w:r>
              <w:rPr>
                <w:rFonts w:hint="default" w:ascii="Times New Roman" w:hAnsi="Times New Roman" w:eastAsia="宋体" w:cs="Times New Roman"/>
                <w:color w:val="auto"/>
                <w:sz w:val="24"/>
                <w:szCs w:val="24"/>
                <w:highlight w:val="none"/>
              </w:rPr>
              <w:t>。</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lang w:val="en-US" w:eastAsia="zh-CN"/>
              </w:rPr>
              <w:t>表4.2-6 评价工作等级</w:t>
            </w:r>
          </w:p>
          <w:tbl>
            <w:tblPr>
              <w:tblStyle w:val="32"/>
              <w:tblW w:w="4999" w:type="pct"/>
              <w:tblInd w:w="2"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3"/>
              <w:gridCol w:w="427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评价工作分级判据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一级评价</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Pmax≧80%，且D10%≧5km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二级评价</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1%≦Pmax&lt;10%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三级评价</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Pmax&lt;1%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表中，Pmax为最大地面质量浓度占标率，D10%为污染物的地面质量浓度达标准限值10%时所对应的最远距离，质量浓度占标率Pi按如下公式计算：</w:t>
            </w:r>
          </w:p>
          <w:p>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24"/>
                <w:highlight w:val="none"/>
              </w:rPr>
              <w:object>
                <v:shape id="_x0000_i1025" o:spt="75" type="#_x0000_t75" style="height:31pt;width:80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式中：Pi---第i个污染物的最大地面浓度占标率，%；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Ci---采用估算模式计算出的第i个污染物的最大地面浓度，mg/m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Coi---第i个污染物的环境空气质量标准mg/m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大气环境影响预测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color w:val="auto"/>
                <w:sz w:val="24"/>
                <w:szCs w:val="24"/>
                <w:highlight w:val="none"/>
              </w:rPr>
              <w:t>本项目以《环境影响评价技术导则大气环境》（HJ2.2-2018）推荐的估算模式AERSCREEN作简单预测</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3</w:t>
            </w: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预测结果</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①污染物排放贡献值预测结果</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通过AERSCREEN模拟预测，估算得出正常排放情况下各大气污染物浓度分布预测结果见</w:t>
            </w:r>
            <w:r>
              <w:rPr>
                <w:rFonts w:hint="default" w:ascii="Times New Roman" w:hAnsi="Times New Roman" w:eastAsia="宋体" w:cs="Times New Roman"/>
                <w:color w:val="auto"/>
                <w:sz w:val="24"/>
                <w:szCs w:val="24"/>
                <w:highlight w:val="none"/>
                <w:lang w:val="en-US" w:eastAsia="zh-CN"/>
              </w:rPr>
              <w:t>表4.2-7</w:t>
            </w:r>
            <w:r>
              <w:rPr>
                <w:rFonts w:hint="default" w:ascii="Times New Roman" w:hAnsi="Times New Roman" w:eastAsia="宋体" w:cs="Times New Roman"/>
                <w:color w:val="auto"/>
                <w:sz w:val="24"/>
                <w:szCs w:val="24"/>
                <w:highlight w:val="none"/>
              </w:rPr>
              <w:t>。</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lang w:val="en-US" w:eastAsia="zh-CN"/>
              </w:rPr>
              <w:t>表4.2-7  估算模式参数及估算结果一览表</w:t>
            </w:r>
          </w:p>
          <w:tbl>
            <w:tblPr>
              <w:tblStyle w:val="3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5"/>
              <w:gridCol w:w="1652"/>
              <w:gridCol w:w="953"/>
              <w:gridCol w:w="858"/>
              <w:gridCol w:w="1384"/>
              <w:gridCol w:w="1208"/>
              <w:gridCol w:w="1091"/>
              <w:gridCol w:w="95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污染源名称</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方位角度(度)</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离源距离(m)</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非甲烷总烃|D10(m)</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二甲苯|D10(m)</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甲苯|D10(m)</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硫化氢|D10(m)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橡胶软化、研磨、涂覆及烘干废气（DA001）</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679</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4.95|0</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0.05|0</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涂胶固化、硫化、隔离固化废气（DA002）</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731</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0.78|0</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0.01|0</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生产厂房无组织废气</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644</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2.29|0</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0.02|0</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各源最大值</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09"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4.95</w:t>
                  </w:r>
                </w:p>
              </w:tc>
              <w:tc>
                <w:tcPr>
                  <w:tcW w:w="706"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0.05</w:t>
                  </w:r>
                </w:p>
              </w:tc>
              <w:tc>
                <w:tcPr>
                  <w:tcW w:w="638"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0.00</w:t>
                  </w:r>
                </w:p>
              </w:tc>
              <w:tc>
                <w:tcPr>
                  <w:tcW w:w="560"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0.02</w:t>
                  </w:r>
                </w:p>
              </w:tc>
            </w:tr>
          </w:tbl>
          <w:p>
            <w:pPr>
              <w:spacing w:line="360" w:lineRule="auto"/>
              <w:ind w:firstLine="480" w:firstLineChars="200"/>
              <w:rPr>
                <w:rFonts w:hint="default" w:ascii="Times New Roman" w:hAnsi="Times New Roman" w:eastAsia="宋体" w:cs="Times New Roman"/>
                <w:bCs/>
                <w:color w:val="auto"/>
                <w:kern w:val="28"/>
              </w:rPr>
            </w:pPr>
            <w:r>
              <w:rPr>
                <w:rFonts w:hint="default" w:ascii="Times New Roman" w:hAnsi="Times New Roman" w:eastAsia="宋体" w:cs="Times New Roman"/>
                <w:bCs/>
                <w:color w:val="auto"/>
                <w:kern w:val="28"/>
              </w:rPr>
              <w:t>根据表</w:t>
            </w:r>
            <w:r>
              <w:rPr>
                <w:rFonts w:hint="default" w:ascii="Times New Roman" w:hAnsi="Times New Roman" w:eastAsia="宋体" w:cs="Times New Roman"/>
                <w:bCs/>
                <w:color w:val="auto"/>
                <w:kern w:val="28"/>
                <w:lang w:val="en-US" w:eastAsia="zh-CN"/>
              </w:rPr>
              <w:t>4.2-7</w:t>
            </w:r>
            <w:r>
              <w:rPr>
                <w:rFonts w:hint="default" w:ascii="Times New Roman" w:hAnsi="Times New Roman" w:eastAsia="宋体" w:cs="Times New Roman"/>
                <w:bCs/>
                <w:color w:val="auto"/>
                <w:kern w:val="28"/>
              </w:rPr>
              <w:t>可知，各污染物中以</w:t>
            </w:r>
            <w:r>
              <w:rPr>
                <w:rFonts w:hint="default" w:ascii="Times New Roman" w:hAnsi="Times New Roman" w:eastAsia="宋体" w:cs="Times New Roman"/>
                <w:bCs/>
                <w:color w:val="auto"/>
                <w:kern w:val="28"/>
                <w:lang w:val="en-US" w:eastAsia="zh-CN"/>
              </w:rPr>
              <w:t>生产厂房无组织</w:t>
            </w:r>
            <w:r>
              <w:rPr>
                <w:rFonts w:hint="default" w:ascii="Times New Roman" w:hAnsi="Times New Roman" w:eastAsia="宋体" w:cs="Times New Roman"/>
                <w:bCs/>
                <w:color w:val="auto"/>
                <w:kern w:val="28"/>
              </w:rPr>
              <w:t>排放的</w:t>
            </w:r>
            <w:r>
              <w:rPr>
                <w:rFonts w:hint="default" w:ascii="Times New Roman" w:hAnsi="Times New Roman" w:eastAsia="宋体" w:cs="Times New Roman"/>
                <w:bCs/>
                <w:color w:val="auto"/>
                <w:kern w:val="28"/>
                <w:lang w:val="en-US" w:eastAsia="zh-CN"/>
              </w:rPr>
              <w:t>非甲烷总烃</w:t>
            </w:r>
            <w:r>
              <w:rPr>
                <w:rFonts w:hint="default" w:ascii="Times New Roman" w:hAnsi="Times New Roman" w:eastAsia="宋体" w:cs="Times New Roman"/>
                <w:bCs/>
                <w:color w:val="auto"/>
                <w:kern w:val="28"/>
              </w:rPr>
              <w:t>占标率最大，为</w:t>
            </w:r>
            <w:r>
              <w:rPr>
                <w:rFonts w:hint="default" w:ascii="Times New Roman" w:hAnsi="Times New Roman" w:eastAsia="宋体" w:cs="Times New Roman"/>
                <w:bCs/>
                <w:color w:val="auto"/>
                <w:kern w:val="28"/>
                <w:lang w:val="en-US" w:eastAsia="zh-CN"/>
              </w:rPr>
              <w:t>4.95</w:t>
            </w:r>
            <w:r>
              <w:rPr>
                <w:rFonts w:hint="default" w:ascii="Times New Roman" w:hAnsi="Times New Roman" w:eastAsia="宋体" w:cs="Times New Roman"/>
                <w:bCs/>
                <w:color w:val="auto"/>
                <w:kern w:val="28"/>
              </w:rPr>
              <w:t>%，故本项目大气环境影响评价等级为二级。二级评价项目可直接引用估算模型预测结果进行评价，大气环境影响评价范围边长取5km。</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kern w:val="28"/>
              </w:rPr>
              <w:t>根据《环境影响评价技术导则 大气环境》（HJ2.2-2018）二级评价项目不进行进一步预测与评价，只对污染物排放量进行核算</w:t>
            </w:r>
            <w:r>
              <w:rPr>
                <w:rFonts w:hint="default" w:ascii="Times New Roman" w:hAnsi="Times New Roman" w:eastAsia="宋体" w:cs="Times New Roman"/>
                <w:bCs/>
                <w:color w:val="auto"/>
                <w:kern w:val="28"/>
                <w:lang w:eastAsia="zh-CN"/>
              </w:rPr>
              <w:t>。</w:t>
            </w:r>
          </w:p>
          <w:p>
            <w:pPr>
              <w:spacing w:line="360" w:lineRule="auto"/>
              <w:ind w:firstLine="480" w:firstLineChars="200"/>
              <w:rPr>
                <w:rFonts w:hint="default" w:ascii="Times New Roman" w:hAnsi="Times New Roman" w:eastAsia="宋体" w:cs="Times New Roman"/>
                <w:bCs/>
                <w:color w:val="auto"/>
                <w:kern w:val="28"/>
              </w:rPr>
            </w:pPr>
            <w:r>
              <w:rPr>
                <w:rFonts w:hint="default" w:ascii="Times New Roman" w:hAnsi="Times New Roman" w:eastAsia="宋体" w:cs="Times New Roman"/>
                <w:bCs/>
                <w:color w:val="auto"/>
                <w:kern w:val="28"/>
              </w:rPr>
              <w:t>（</w:t>
            </w:r>
            <w:r>
              <w:rPr>
                <w:rFonts w:hint="default" w:ascii="Times New Roman" w:hAnsi="Times New Roman" w:eastAsia="宋体" w:cs="Times New Roman"/>
                <w:bCs/>
                <w:color w:val="auto"/>
                <w:kern w:val="28"/>
                <w:lang w:val="en-US" w:eastAsia="zh-CN"/>
              </w:rPr>
              <w:t>4</w:t>
            </w:r>
            <w:r>
              <w:rPr>
                <w:rFonts w:hint="default" w:ascii="Times New Roman" w:hAnsi="Times New Roman" w:eastAsia="宋体" w:cs="Times New Roman"/>
                <w:bCs/>
                <w:color w:val="auto"/>
                <w:kern w:val="28"/>
              </w:rPr>
              <w:t>）大气环境防护距离分析</w:t>
            </w:r>
          </w:p>
          <w:p>
            <w:pPr>
              <w:spacing w:line="360" w:lineRule="auto"/>
              <w:ind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按照HJ2.2-2018《环境影响评价技术导则 大气环境》中“8.7.5大气环境防护距离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spacing w:line="360" w:lineRule="auto"/>
              <w:ind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根据大气预测结果，厂界外所有计算点短期浓度均未超过环境质量浓度限值，故无需设置大气环境防护距离。</w:t>
            </w:r>
          </w:p>
          <w:p>
            <w:pPr>
              <w:tabs>
                <w:tab w:val="left" w:pos="5400"/>
              </w:tabs>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卫生防护距离分析</w:t>
            </w:r>
          </w:p>
          <w:p>
            <w:pPr>
              <w:tabs>
                <w:tab w:val="left" w:pos="5400"/>
              </w:tabs>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根据《建设项目环境影响报告表编制技术指南（污染影响类）（试行）》、《环境影响评价技术导则 大气环境》（HJ 2.2-2018）及</w:t>
            </w:r>
            <w:r>
              <w:rPr>
                <w:rFonts w:hint="eastAsia" w:cs="Times New Roman"/>
                <w:color w:val="auto"/>
                <w:lang w:val="en-US" w:eastAsia="zh-CN"/>
              </w:rPr>
              <w:t>生态环境部</w:t>
            </w:r>
            <w:r>
              <w:rPr>
                <w:rFonts w:hint="default" w:ascii="Times New Roman" w:hAnsi="Times New Roman" w:eastAsia="宋体" w:cs="Times New Roman"/>
                <w:color w:val="auto"/>
                <w:lang w:val="en-US" w:eastAsia="zh-CN"/>
              </w:rPr>
              <w:t>《关于建设项目环境影响评价工作中确定防护距离标准问题的复函》（环函〔2009〕224号）等的相关要求，环境影响评价文件应以计算大气环境防护距离为主，无卫生防护距离要求。</w:t>
            </w:r>
          </w:p>
          <w:p>
            <w:pPr>
              <w:tabs>
                <w:tab w:val="left" w:pos="5400"/>
              </w:tabs>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根据前文分析可知本项目（非甲烷总烃、甲苯、二甲苯及硫化氢）无浓度超标点，废气收集经处理后，对周边环境空气影响较小，可以接受，因此无须设置卫生防护距离。</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大气环境影响分析结论</w:t>
            </w:r>
          </w:p>
          <w:p>
            <w:pPr>
              <w:pStyle w:val="27"/>
              <w:widowControl w:val="0"/>
              <w:wordWrap w:val="0"/>
              <w:spacing w:before="0" w:beforeAutospacing="0" w:after="0" w:afterAutospacing="0" w:line="360" w:lineRule="auto"/>
              <w:ind w:firstLine="480" w:firstLineChars="200"/>
              <w:jc w:val="both"/>
              <w:rPr>
                <w:rFonts w:hint="default" w:ascii="Times New Roman" w:hAnsi="Times New Roman" w:eastAsia="宋体" w:cs="Times New Roman"/>
                <w:bCs/>
                <w:color w:val="auto"/>
                <w:kern w:val="28"/>
                <w:szCs w:val="24"/>
                <w:lang w:bidi="ar"/>
              </w:rPr>
            </w:pPr>
            <w:r>
              <w:rPr>
                <w:rFonts w:hint="default" w:ascii="Times New Roman" w:hAnsi="Times New Roman" w:eastAsia="宋体" w:cs="Times New Roman"/>
                <w:bCs/>
                <w:color w:val="auto"/>
                <w:kern w:val="28"/>
                <w:szCs w:val="24"/>
                <w:lang w:bidi="ar"/>
              </w:rPr>
              <w:t>本项目位于福建省福州市福清市元洪投资区城头镇黄墩村，根据2023年福州市常规环境质量监测数据，项目所在区域大气环境质量现状良好。根据前文分析，本项目采取的污染治理措施均为可行措施，项目生产过程中产生废气源强种类相对简单，废气可实现达标排放，对周边环境空气影响较小。</w:t>
            </w:r>
          </w:p>
          <w:p>
            <w:pPr>
              <w:tabs>
                <w:tab w:val="left" w:pos="5400"/>
              </w:tabs>
              <w:spacing w:line="360" w:lineRule="auto"/>
              <w:ind w:firstLine="480" w:firstLineChars="200"/>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4.2.</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GB"/>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val="en-GB"/>
              </w:rPr>
              <w:t>监测要求</w:t>
            </w:r>
          </w:p>
          <w:p>
            <w:pPr>
              <w:pStyle w:val="168"/>
              <w:rPr>
                <w:rFonts w:hint="default" w:ascii="Times New Roman" w:hAnsi="Times New Roman" w:eastAsia="宋体" w:cs="Times New Roman"/>
                <w:color w:val="auto"/>
              </w:rPr>
            </w:pPr>
            <w:r>
              <w:rPr>
                <w:rFonts w:hint="default" w:ascii="Times New Roman" w:hAnsi="Times New Roman" w:eastAsia="宋体" w:cs="Times New Roman"/>
                <w:bCs/>
                <w:color w:val="auto"/>
                <w:kern w:val="2"/>
                <w:szCs w:val="21"/>
                <w:lang w:val="en-GB"/>
              </w:rPr>
              <w:t>对照</w:t>
            </w:r>
            <w:r>
              <w:rPr>
                <w:rFonts w:hint="default" w:ascii="Times New Roman" w:hAnsi="Times New Roman" w:eastAsia="宋体" w:cs="Times New Roman"/>
                <w:bCs/>
                <w:color w:val="auto"/>
              </w:rPr>
              <w:t>《排污许可证申请与核发技术规范 汽车制造业》（HJ971-2018）</w:t>
            </w:r>
            <w:r>
              <w:rPr>
                <w:rFonts w:hint="default" w:ascii="Times New Roman" w:hAnsi="Times New Roman" w:eastAsia="宋体" w:cs="Times New Roman"/>
                <w:color w:val="auto"/>
              </w:rPr>
              <w:t>、《排污单位自行监测技术指南 总则》（HJ819-2017），项目废气监测要求详见表4.2-</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w:t>
            </w:r>
          </w:p>
          <w:p>
            <w:pPr>
              <w:pStyle w:val="171"/>
              <w:spacing w:before="120" w:beforeLines="5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w:t>
            </w:r>
            <w:r>
              <w:rPr>
                <w:rFonts w:hint="default"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rPr>
              <w:t xml:space="preserve">  监测计划内容一览表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1"/>
              <w:gridCol w:w="1658"/>
              <w:gridCol w:w="3360"/>
              <w:gridCol w:w="1113"/>
              <w:gridCol w:w="1142"/>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9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68"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97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DA001排气筒</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8"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二甲苯</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排气筒</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二甲苯、</w:t>
                  </w:r>
                  <w:r>
                    <w:rPr>
                      <w:rFonts w:hint="default" w:ascii="Times New Roman" w:hAnsi="Times New Roman" w:eastAsia="宋体" w:cs="Times New Roman"/>
                      <w:color w:val="auto"/>
                      <w:szCs w:val="21"/>
                    </w:rPr>
                    <w:t>甲苯、二硫化氢、硫化氢</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厂界</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非甲烷总烃、甲苯、二甲苯、二硫化氢、硫化氢</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厂内监控点</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bl>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4.2.2 地表水环境影响和防范措施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4.2.2.1 废水污染源强核算及分析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本项目废水主要为生活污水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设备冷却用水、金属板除油清洗和除锈用水及废气喷淋用水</w:t>
            </w:r>
            <w:r>
              <w:rPr>
                <w:rFonts w:hint="default" w:ascii="Times New Roman" w:hAnsi="Times New Roman" w:eastAsia="宋体" w:cs="Times New Roman"/>
                <w:color w:val="auto"/>
              </w:rPr>
              <w:t>。</w:t>
            </w:r>
          </w:p>
          <w:p>
            <w:pPr>
              <w:widowControl/>
              <w:spacing w:line="360" w:lineRule="auto"/>
              <w:ind w:firstLine="480" w:firstLineChars="20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（1）生活污水</w:t>
            </w:r>
          </w:p>
          <w:p>
            <w:pPr>
              <w:pStyle w:val="2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本项目新增职工8人，均不住厂。根据《建筑给水排水设计标准》（GB 50015-2019），不住厂职工用水量定额按50L/人·d计算，故本项目生活用水新增0.4m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/d，即120m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/a（按300天计）。排水系数取0.8，则员工生活污水新增排放量为0.32m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/d，即96m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/a（按300天计）。参照《给排水设计手册》（第五册城镇排水），本项目生活污水污染指标浓度选取为COD：400mg/L，BOD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：200mg/L，SS：220mg/L，氨氮：35mg/L。经厂区现有化粪池处理后生活污水污染物浓度为COD：280mg/L，BOD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：180mg/L，SS：88mg/L，氨氮：33.25mg/L。</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（2）生产废水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w:t>
            </w:r>
            <w:r>
              <w:rPr>
                <w:rFonts w:hint="default" w:ascii="Times New Roman" w:hAnsi="Times New Roman" w:eastAsia="宋体" w:cs="Times New Roman"/>
                <w:color w:val="auto"/>
                <w:lang w:val="en-US" w:eastAsia="zh-CN"/>
              </w:rPr>
              <w:t>设备</w:t>
            </w:r>
            <w:r>
              <w:rPr>
                <w:rFonts w:hint="default" w:ascii="Times New Roman" w:hAnsi="Times New Roman" w:eastAsia="宋体" w:cs="Times New Roman"/>
                <w:color w:val="auto"/>
                <w:lang w:eastAsia="zh-CN"/>
              </w:rPr>
              <w:t>冷却水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项目冷却水为设备间接冷却水，循环使用不外排，定期补充新鲜水。在厂区设1个5m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的冷却水池，冷却水日蒸发等损耗量为5%，约0.25m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/d，故项目冷却水补充量约60m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/a，损耗补充量为新鲜水。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②除油废水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本项目2套除油水洗线合计配备4个超声波除油槽，槽体规格均1.1m×1.45m×1.35m，有效槽容按70%计(即为1.51m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)，除油清洗水循环使用，定期排放，一般为4天更换一次，则每槽排放75次/a。4个除油槽错峰排放，则除油清洗水日最大排放量为1.51m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/d(1槽/d)，合计年排放除油清洗水453m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③水洗废水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2个超声波水洗槽用于除油后水洗，除油后首先采用新鲜水喷洗金属板后流入槽内，并在超声波水洗槽进一步水洗，每条线除油后水洗废水排放速率为0.3t/h，每个超声波水洗槽年工作3000小时，则2条清洗线除油后水洗废水产生量为6t/d（1800t/a）。</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④喷淋废水</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项目硫化废气采用喷淋塔进行降温，喷淋水循环使用，适时补充，定期更换，年更换12次。本项目喷淋塔设置约1m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循环水量，则废气喷淋水产生量为12m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/a。喷淋塔运行时，喷淋水会蒸发损耗，喷淋水日损耗量按循环水量的5%计，约0.05m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/d，则喷淋水损耗量为12m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/a，损耗补充量。</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本项目除油废水、水洗废水及喷淋废水产生源强参考</w:t>
            </w:r>
            <w:r>
              <w:rPr>
                <w:rFonts w:hint="default" w:ascii="Times New Roman" w:hAnsi="Times New Roman" w:eastAsia="宋体" w:cs="Times New Roman"/>
                <w:color w:val="auto"/>
                <w:szCs w:val="20"/>
                <w:lang w:val="en-US" w:eastAsia="zh-CN"/>
              </w:rPr>
              <w:t>2023年5月</w: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瑞安市特耐宝密封材料有限公司</w:t>
            </w:r>
            <w:r>
              <w:rPr>
                <w:rFonts w:hint="default" w:ascii="Times New Roman" w:hAnsi="Times New Roman" w:eastAsia="宋体" w:cs="Times New Roman"/>
                <w:color w:val="auto"/>
              </w:rPr>
              <w:t>新增年产15万平方米金属复合板智能工段技改项目</w:t>
            </w:r>
            <w:r>
              <w:rPr>
                <w:rFonts w:hint="default" w:ascii="Times New Roman" w:hAnsi="Times New Roman" w:eastAsia="宋体" w:cs="Times New Roman"/>
                <w:color w:val="auto"/>
                <w:lang w:val="en-US" w:eastAsia="zh-CN"/>
              </w:rPr>
              <w:t>(先行)竣工环境保护验收监测报告表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瓯环(2023)综字第036号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0"/>
                <w:lang w:val="en-US" w:eastAsia="zh-CN"/>
              </w:rPr>
              <w:t>集水池</w:t>
            </w:r>
            <w:r>
              <w:rPr>
                <w:rFonts w:hint="default" w:ascii="Times New Roman" w:hAnsi="Times New Roman" w:eastAsia="宋体" w:cs="Times New Roman"/>
                <w:color w:val="auto"/>
                <w:szCs w:val="20"/>
              </w:rPr>
              <w:t>各污染物</w:t>
            </w:r>
            <w:r>
              <w:rPr>
                <w:rFonts w:hint="default" w:ascii="Times New Roman" w:hAnsi="Times New Roman" w:eastAsia="宋体" w:cs="Times New Roman"/>
                <w:color w:val="auto"/>
                <w:szCs w:val="20"/>
                <w:lang w:val="en-US" w:eastAsia="zh-CN"/>
              </w:rPr>
              <w:t>平均浓度：</w:t>
            </w:r>
            <w:r>
              <w:rPr>
                <w:rFonts w:hint="default" w:ascii="Times New Roman" w:hAnsi="Times New Roman" w:eastAsia="宋体" w:cs="Times New Roman"/>
                <w:color w:val="auto"/>
                <w:szCs w:val="20"/>
              </w:rPr>
              <w:t>COD</w:t>
            </w:r>
            <w:r>
              <w:rPr>
                <w:rFonts w:hint="default" w:ascii="Times New Roman" w:hAnsi="Times New Roman" w:eastAsia="宋体" w:cs="Times New Roman"/>
                <w:color w:val="auto"/>
                <w:szCs w:val="20"/>
                <w:lang w:val="en-US" w:eastAsia="zh-CN"/>
              </w:rPr>
              <w:t>758</w:t>
            </w:r>
            <w:r>
              <w:rPr>
                <w:rFonts w:hint="default" w:ascii="Times New Roman" w:hAnsi="Times New Roman" w:eastAsia="宋体" w:cs="Times New Roman"/>
                <w:color w:val="auto"/>
                <w:szCs w:val="20"/>
              </w:rPr>
              <w:t>mg/L、NH</w:t>
            </w:r>
            <w:r>
              <w:rPr>
                <w:rFonts w:hint="default" w:ascii="Times New Roman" w:hAnsi="Times New Roman" w:eastAsia="宋体" w:cs="Times New Roman"/>
                <w:color w:val="auto"/>
                <w:szCs w:val="20"/>
                <w:vertAlign w:val="subscript"/>
              </w:rPr>
              <w:t>3</w:t>
            </w:r>
            <w:r>
              <w:rPr>
                <w:rFonts w:hint="default" w:ascii="Times New Roman" w:hAnsi="Times New Roman" w:eastAsia="宋体" w:cs="Times New Roman"/>
                <w:color w:val="auto"/>
                <w:szCs w:val="20"/>
              </w:rPr>
              <w:t>-N1</w:t>
            </w:r>
            <w:r>
              <w:rPr>
                <w:rFonts w:hint="default" w:ascii="Times New Roman" w:hAnsi="Times New Roman" w:eastAsia="宋体" w:cs="Times New Roman"/>
                <w:color w:val="auto"/>
                <w:szCs w:val="20"/>
                <w:lang w:val="en-US" w:eastAsia="zh-CN"/>
              </w:rPr>
              <w:t>2.2</w:t>
            </w:r>
            <w:r>
              <w:rPr>
                <w:rFonts w:hint="default" w:ascii="Times New Roman" w:hAnsi="Times New Roman" w:eastAsia="宋体" w:cs="Times New Roman"/>
                <w:color w:val="auto"/>
                <w:szCs w:val="20"/>
              </w:rPr>
              <w:t>mg/L、SS</w:t>
            </w:r>
            <w:r>
              <w:rPr>
                <w:rFonts w:hint="default" w:ascii="Times New Roman" w:hAnsi="Times New Roman" w:eastAsia="宋体" w:cs="Times New Roman"/>
                <w:color w:val="auto"/>
                <w:szCs w:val="20"/>
                <w:lang w:val="en-US" w:eastAsia="zh-CN"/>
              </w:rPr>
              <w:t>92.5</w:t>
            </w:r>
            <w:r>
              <w:rPr>
                <w:rFonts w:hint="default" w:ascii="Times New Roman" w:hAnsi="Times New Roman" w:eastAsia="宋体" w:cs="Times New Roman"/>
                <w:color w:val="auto"/>
                <w:szCs w:val="20"/>
              </w:rPr>
              <w:t>mg/L、石油类</w:t>
            </w:r>
            <w:r>
              <w:rPr>
                <w:rFonts w:hint="default" w:ascii="Times New Roman" w:hAnsi="Times New Roman" w:eastAsia="宋体" w:cs="Times New Roman"/>
                <w:color w:val="auto"/>
                <w:szCs w:val="20"/>
                <w:lang w:val="en-US" w:eastAsia="zh-CN"/>
              </w:rPr>
              <w:t>20.1</w:t>
            </w:r>
            <w:r>
              <w:rPr>
                <w:rFonts w:hint="default" w:ascii="Times New Roman" w:hAnsi="Times New Roman" w:eastAsia="宋体" w:cs="Times New Roman"/>
                <w:color w:val="auto"/>
                <w:szCs w:val="20"/>
              </w:rPr>
              <w:t>mg/L、总磷</w:t>
            </w:r>
            <w:r>
              <w:rPr>
                <w:rFonts w:hint="default" w:ascii="Times New Roman" w:hAnsi="Times New Roman" w:eastAsia="宋体" w:cs="Times New Roman"/>
                <w:color w:val="auto"/>
                <w:szCs w:val="20"/>
                <w:lang w:val="en-US" w:eastAsia="zh-CN"/>
              </w:rPr>
              <w:t>0.07</w:t>
            </w:r>
            <w:r>
              <w:rPr>
                <w:rFonts w:hint="default" w:ascii="Times New Roman" w:hAnsi="Times New Roman" w:eastAsia="宋体" w:cs="Times New Roman"/>
                <w:color w:val="auto"/>
                <w:szCs w:val="20"/>
              </w:rPr>
              <w:t>mg/L。</w:t>
            </w:r>
            <w:r>
              <w:rPr>
                <w:rFonts w:hint="default" w:ascii="Times New Roman" w:hAnsi="Times New Roman" w:eastAsia="宋体" w:cs="Times New Roman"/>
                <w:color w:val="auto"/>
              </w:rPr>
              <w:t>类比可行性分析见表4.2-</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w:t>
            </w:r>
          </w:p>
          <w:p>
            <w:pPr>
              <w:pStyle w:val="95"/>
              <w:topLinePunct/>
              <w:spacing w:before="0" w:beforeAutospacing="0" w:after="0" w:afterAutospacing="0"/>
              <w:ind w:firstLine="0" w:firstLineChars="0"/>
              <w:rPr>
                <w:rFonts w:hint="default" w:ascii="Times New Roman" w:hAnsi="Times New Roman" w:eastAsia="宋体" w:cs="Times New Roman"/>
                <w:color w:val="auto"/>
                <w:szCs w:val="24"/>
              </w:rPr>
            </w:pPr>
            <w:bookmarkStart w:id="12" w:name="_Ref71748344"/>
            <w:r>
              <w:rPr>
                <w:rFonts w:hint="default" w:ascii="Times New Roman" w:hAnsi="Times New Roman" w:eastAsia="宋体" w:cs="Times New Roman"/>
                <w:color w:val="auto"/>
                <w:szCs w:val="24"/>
              </w:rPr>
              <w:t>表4.2-</w:t>
            </w:r>
            <w:r>
              <w:rPr>
                <w:rFonts w:hint="default" w:ascii="Times New Roman" w:hAnsi="Times New Roman" w:eastAsia="宋体" w:cs="Times New Roman"/>
                <w:color w:val="auto"/>
                <w:szCs w:val="24"/>
                <w:lang w:val="en-US" w:eastAsia="zh-CN"/>
              </w:rPr>
              <w:t>9</w:t>
            </w:r>
            <w:r>
              <w:rPr>
                <w:rFonts w:hint="default" w:ascii="Times New Roman" w:hAnsi="Times New Roman" w:eastAsia="宋体" w:cs="Times New Roman"/>
                <w:color w:val="auto"/>
                <w:szCs w:val="24"/>
              </w:rPr>
              <w:t xml:space="preserve"> 类比工程生产过程污染环节及可行性分析</w:t>
            </w:r>
            <w:bookmarkEnd w:id="12"/>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00"/>
              <w:gridCol w:w="2010"/>
              <w:gridCol w:w="2209"/>
              <w:gridCol w:w="1748"/>
              <w:gridCol w:w="127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项目</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现有工程：福清市安耐达密封材料有限公司年产50万m</w:t>
                  </w:r>
                  <w:r>
                    <w:rPr>
                      <w:rFonts w:hint="eastAsia" w:cs="Times New Roman"/>
                      <w:bCs/>
                      <w:color w:val="auto"/>
                      <w:sz w:val="21"/>
                      <w:vertAlign w:val="superscript"/>
                      <w:lang w:val="en-US" w:eastAsia="zh-CN"/>
                    </w:rPr>
                    <w:t>2</w:t>
                  </w:r>
                  <w:r>
                    <w:rPr>
                      <w:rFonts w:hint="eastAsia" w:cs="Times New Roman"/>
                      <w:bCs/>
                      <w:color w:val="auto"/>
                      <w:sz w:val="21"/>
                      <w:lang w:val="en-US" w:eastAsia="zh-CN"/>
                    </w:rPr>
                    <w:t>金属橡胶复合板材料项目竣工环境保护验收监测报告（2018年12月）</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rPr>
                    <w:t>瑞安市特耐宝密封材料有限公司新增年产15万平方米金属复合板智能工段技改项目</w:t>
                  </w:r>
                  <w:r>
                    <w:rPr>
                      <w:rFonts w:hint="default" w:ascii="Times New Roman" w:hAnsi="Times New Roman" w:eastAsia="宋体" w:cs="Times New Roman"/>
                      <w:bCs/>
                      <w:color w:val="auto"/>
                      <w:sz w:val="21"/>
                      <w:lang w:val="en-US" w:eastAsia="zh-CN"/>
                    </w:rPr>
                    <w:t>(先行)竣工环境保护验收监测报告表》（瓯环(2023)综字第036号）</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本项目</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对比情况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产品</w:t>
                  </w:r>
                </w:p>
              </w:tc>
              <w:tc>
                <w:tcPr>
                  <w:tcW w:w="1176" w:type="pct"/>
                  <w:tcBorders>
                    <w:tl2br w:val="nil"/>
                    <w:tr2bl w:val="nil"/>
                  </w:tcBorders>
                  <w:vAlign w:val="center"/>
                </w:tcPr>
                <w:p>
                  <w:pPr>
                    <w:pStyle w:val="112"/>
                    <w:tabs>
                      <w:tab w:val="left" w:pos="1980"/>
                      <w:tab w:val="left" w:pos="3825"/>
                      <w:tab w:val="left" w:pos="4680"/>
                    </w:tabs>
                    <w:topLinePunct/>
                    <w:rPr>
                      <w:rFonts w:hint="eastAsia" w:ascii="Times New Roman" w:hAnsi="Times New Roman" w:eastAsia="宋体" w:cs="Times New Roman"/>
                      <w:bCs/>
                      <w:color w:val="auto"/>
                      <w:sz w:val="21"/>
                      <w:lang w:val="en-US" w:eastAsia="zh-CN"/>
                    </w:rPr>
                  </w:pPr>
                  <w:r>
                    <w:rPr>
                      <w:rFonts w:hint="eastAsia" w:cs="Times New Roman"/>
                      <w:bCs/>
                      <w:color w:val="auto"/>
                      <w:sz w:val="21"/>
                      <w:lang w:val="en-US" w:eastAsia="zh-CN"/>
                    </w:rPr>
                    <w:t>金属橡胶复合板材料</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金属复合板</w:t>
                  </w:r>
                </w:p>
              </w:tc>
              <w:tc>
                <w:tcPr>
                  <w:tcW w:w="1023" w:type="pct"/>
                  <w:tcBorders>
                    <w:tl2br w:val="nil"/>
                    <w:tr2bl w:val="nil"/>
                  </w:tcBorders>
                  <w:vAlign w:val="center"/>
                </w:tcPr>
                <w:p>
                  <w:pPr>
                    <w:pStyle w:val="112"/>
                    <w:tabs>
                      <w:tab w:val="left" w:pos="1980"/>
                      <w:tab w:val="left" w:pos="3825"/>
                      <w:tab w:val="left" w:pos="4680"/>
                    </w:tabs>
                    <w:topLinePunct/>
                    <w:rPr>
                      <w:rFonts w:hint="eastAsia" w:ascii="Times New Roman" w:hAnsi="Times New Roman" w:eastAsia="宋体" w:cs="Times New Roman"/>
                      <w:bCs/>
                      <w:color w:val="auto"/>
                      <w:sz w:val="21"/>
                      <w:lang w:eastAsia="zh-CN"/>
                    </w:rPr>
                  </w:pPr>
                  <w:r>
                    <w:rPr>
                      <w:rFonts w:hint="eastAsia" w:cs="Times New Roman"/>
                      <w:bCs/>
                      <w:color w:val="auto"/>
                      <w:sz w:val="21"/>
                      <w:lang w:eastAsia="zh-CN"/>
                    </w:rPr>
                    <w:t>汽车密封缸垫及消音片</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均为金属板和橡胶层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原料</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合成胶56t/a、炭黑50.4t/a、轻质碳酸钙33.6t/a、表面隔离剂26t/a、胶粘剂39.2t/a、强除油王（316）40t/a、铁卷40.4万</w:t>
                  </w: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r>
                    <w:rPr>
                      <w:rFonts w:hint="eastAsia" w:eastAsia="宋体" w:cs="Times New Roman"/>
                      <w:bCs/>
                      <w:color w:val="auto"/>
                      <w:sz w:val="21"/>
                      <w:vertAlign w:val="baseline"/>
                      <w:lang w:val="en-US" w:eastAsia="zh-CN"/>
                    </w:rPr>
                    <w:t>/a等</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镀锌铁卷140t/a、铁卷420t/a、不锈钢板560t/a、丁腈橡胶55.45t/a等</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镀锌铁卷125t/a、铁卷730t/a、不锈钢板125t/a、混炼胶77.28t/a等</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de-DE"/>
                    </w:rPr>
                  </w:pPr>
                  <w:r>
                    <w:rPr>
                      <w:rFonts w:hint="eastAsia" w:cs="Times New Roman"/>
                      <w:bCs/>
                      <w:color w:val="auto"/>
                      <w:sz w:val="21"/>
                      <w:lang w:val="en-US" w:eastAsia="zh-CN"/>
                    </w:rPr>
                    <w:t>现有工程使用原料种类较多</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生产规模</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50</w:t>
                  </w:r>
                  <w:r>
                    <w:rPr>
                      <w:rFonts w:hint="default" w:ascii="Times New Roman" w:hAnsi="Times New Roman" w:eastAsia="宋体" w:cs="Times New Roman"/>
                      <w:bCs/>
                      <w:color w:val="auto"/>
                      <w:sz w:val="21"/>
                    </w:rPr>
                    <w:t>万m</w:t>
                  </w:r>
                  <w:r>
                    <w:rPr>
                      <w:rFonts w:hint="default" w:ascii="Times New Roman" w:hAnsi="Times New Roman" w:eastAsia="宋体" w:cs="Times New Roman"/>
                      <w:bCs/>
                      <w:color w:val="auto"/>
                      <w:sz w:val="21"/>
                      <w:vertAlign w:val="superscript"/>
                    </w:rPr>
                    <w:t>2</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20万m</w:t>
                  </w:r>
                  <w:r>
                    <w:rPr>
                      <w:rFonts w:hint="default" w:ascii="Times New Roman" w:hAnsi="Times New Roman" w:eastAsia="宋体" w:cs="Times New Roman"/>
                      <w:bCs/>
                      <w:color w:val="auto"/>
                      <w:sz w:val="21"/>
                      <w:vertAlign w:val="superscript"/>
                    </w:rPr>
                    <w:t>2</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de-DE"/>
                    </w:rPr>
                  </w:pPr>
                  <w:r>
                    <w:rPr>
                      <w:rFonts w:hint="default" w:ascii="Times New Roman" w:hAnsi="Times New Roman" w:eastAsia="宋体" w:cs="Times New Roman"/>
                      <w:bCs/>
                      <w:color w:val="auto"/>
                      <w:sz w:val="21"/>
                    </w:rPr>
                    <w:t>3200万件（</w:t>
                  </w:r>
                  <w:r>
                    <w:rPr>
                      <w:rFonts w:hint="default" w:ascii="Times New Roman" w:hAnsi="Times New Roman" w:eastAsia="宋体" w:cs="Times New Roman"/>
                      <w:bCs/>
                      <w:color w:val="auto"/>
                      <w:sz w:val="21"/>
                      <w:lang w:val="en-US" w:eastAsia="zh-CN"/>
                    </w:rPr>
                    <w:t>46.08</w:t>
                  </w:r>
                  <w:r>
                    <w:rPr>
                      <w:rFonts w:hint="default" w:ascii="Times New Roman" w:hAnsi="Times New Roman" w:eastAsia="宋体" w:cs="Times New Roman"/>
                      <w:bCs/>
                      <w:color w:val="auto"/>
                      <w:sz w:val="21"/>
                    </w:rPr>
                    <w:t>万m</w:t>
                  </w:r>
                  <w:r>
                    <w:rPr>
                      <w:rFonts w:hint="default" w:ascii="Times New Roman" w:hAnsi="Times New Roman" w:eastAsia="宋体" w:cs="Times New Roman"/>
                      <w:bCs/>
                      <w:color w:val="auto"/>
                      <w:sz w:val="21"/>
                      <w:vertAlign w:val="superscript"/>
                    </w:rPr>
                    <w:t>2</w:t>
                  </w:r>
                  <w:r>
                    <w:rPr>
                      <w:rFonts w:hint="default" w:ascii="Times New Roman" w:hAnsi="Times New Roman" w:eastAsia="宋体" w:cs="Times New Roman"/>
                      <w:bCs/>
                      <w:color w:val="auto"/>
                      <w:sz w:val="21"/>
                    </w:rPr>
                    <w:t>）</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生产工艺</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rPr>
                    <w:t>橡胶密炼、开炼</w:t>
                  </w:r>
                  <w:r>
                    <w:rPr>
                      <w:rFonts w:hint="eastAsia" w:cs="Times New Roman"/>
                      <w:bCs/>
                      <w:color w:val="auto"/>
                      <w:sz w:val="21"/>
                      <w:lang w:eastAsia="zh-CN"/>
                    </w:rPr>
                    <w:t>；</w:t>
                  </w:r>
                  <w:r>
                    <w:rPr>
                      <w:rFonts w:hint="eastAsia" w:cs="Times New Roman"/>
                      <w:bCs/>
                      <w:color w:val="auto"/>
                      <w:sz w:val="21"/>
                      <w:lang w:val="en-US" w:eastAsia="zh-CN"/>
                    </w:rPr>
                    <w:t>除油、水洗、烘干；浸涂、</w:t>
                  </w:r>
                  <w:r>
                    <w:rPr>
                      <w:rFonts w:hint="default" w:ascii="Times New Roman" w:hAnsi="Times New Roman" w:eastAsia="宋体" w:cs="Times New Roman"/>
                      <w:bCs/>
                      <w:color w:val="auto"/>
                      <w:sz w:val="21"/>
                    </w:rPr>
                    <w:t>压延、硫化</w:t>
                  </w:r>
                  <w:r>
                    <w:rPr>
                      <w:rFonts w:hint="eastAsia" w:cs="Times New Roman"/>
                      <w:bCs/>
                      <w:color w:val="auto"/>
                      <w:sz w:val="21"/>
                      <w:lang w:eastAsia="zh-CN"/>
                    </w:rPr>
                    <w:t>、</w:t>
                  </w:r>
                  <w:r>
                    <w:rPr>
                      <w:rFonts w:hint="eastAsia" w:cs="Times New Roman"/>
                      <w:bCs/>
                      <w:color w:val="auto"/>
                      <w:sz w:val="21"/>
                      <w:lang w:val="en-US" w:eastAsia="zh-CN"/>
                    </w:rPr>
                    <w:t>烘干等</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除油、清洗、炼胶、涂覆、硫化等</w:t>
                  </w:r>
                </w:p>
              </w:tc>
              <w:tc>
                <w:tcPr>
                  <w:tcW w:w="1023" w:type="pct"/>
                  <w:tcBorders>
                    <w:tl2br w:val="nil"/>
                    <w:tr2bl w:val="nil"/>
                  </w:tcBorders>
                  <w:vAlign w:val="center"/>
                </w:tcPr>
                <w:p>
                  <w:pPr>
                    <w:topLinePun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rPr>
                    <w:t>除油、清洗、涂覆、硫化等</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现有工程涉及橡胶密炼、开炼工序和浸涂、压延等工序，</w:t>
                  </w:r>
                  <w:r>
                    <w:rPr>
                      <w:rFonts w:hint="default" w:ascii="Times New Roman" w:hAnsi="Times New Roman" w:eastAsia="宋体" w:cs="Times New Roman"/>
                      <w:bCs/>
                      <w:color w:val="auto"/>
                      <w:sz w:val="21"/>
                    </w:rPr>
                    <w:t>本项目</w:t>
                  </w:r>
                  <w:r>
                    <w:rPr>
                      <w:rFonts w:hint="eastAsia" w:cs="Times New Roman"/>
                      <w:bCs/>
                      <w:color w:val="auto"/>
                      <w:sz w:val="21"/>
                      <w:lang w:val="en-US" w:eastAsia="zh-CN"/>
                    </w:rPr>
                    <w:t>不生产橡胶，</w:t>
                  </w:r>
                  <w:r>
                    <w:rPr>
                      <w:rFonts w:hint="default" w:ascii="Times New Roman" w:hAnsi="Times New Roman" w:eastAsia="宋体" w:cs="Times New Roman"/>
                      <w:bCs/>
                      <w:color w:val="auto"/>
                      <w:sz w:val="21"/>
                    </w:rPr>
                    <w:t>外购混炼胶</w:t>
                  </w:r>
                  <w:r>
                    <w:rPr>
                      <w:rFonts w:hint="eastAsia" w:cs="Times New Roman"/>
                      <w:bCs/>
                      <w:color w:val="auto"/>
                      <w:sz w:val="21"/>
                      <w:lang w:val="en-US" w:eastAsia="zh-CN"/>
                    </w:rPr>
                    <w:t>作为原料使用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生产设备</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橡胶生产线2条、除油清洗线2条，压延硫化线2条</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除油水洗线2条、橡胶生产线、涂覆线</w:t>
                  </w:r>
                </w:p>
              </w:tc>
              <w:tc>
                <w:tcPr>
                  <w:tcW w:w="1023" w:type="pct"/>
                  <w:tcBorders>
                    <w:tl2br w:val="nil"/>
                    <w:tr2bl w:val="nil"/>
                  </w:tcBorders>
                  <w:vAlign w:val="center"/>
                </w:tcPr>
                <w:p>
                  <w:pPr>
                    <w:topLinePun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rPr>
                    <w:t>除油水洗线2条、橡胶拌合线、涂覆线</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现有工程生产工序较多、较为复杂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废水类型</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w:t>
                  </w:r>
                  <w:r>
                    <w:rPr>
                      <w:rFonts w:hint="eastAsia" w:cs="Times New Roman"/>
                      <w:bCs/>
                      <w:color w:val="auto"/>
                      <w:sz w:val="21"/>
                      <w:lang w:val="en-US" w:eastAsia="zh-CN"/>
                    </w:rPr>
                    <w:t>清洗废水、废气</w:t>
                  </w:r>
                  <w:r>
                    <w:rPr>
                      <w:rFonts w:hint="default" w:ascii="Times New Roman" w:hAnsi="Times New Roman" w:eastAsia="宋体" w:cs="Times New Roman"/>
                      <w:bCs/>
                      <w:color w:val="auto"/>
                      <w:sz w:val="21"/>
                    </w:rPr>
                    <w:t>喷淋废水</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除油废水、清洗废水、废气喷淋废水</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除油废水、清洗废水、废气喷淋废水</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现有工程废气喷淋废水涉及橡胶生产工序产生的，且扩建项目拟采用超声波水槽及喷洗方式，清洁率更高，与本项目存在差距</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废水产生量</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1800.42</w:t>
                  </w:r>
                  <w:r>
                    <w:rPr>
                      <w:rFonts w:hint="eastAsia" w:cs="Times New Roman"/>
                      <w:bCs/>
                      <w:color w:val="auto"/>
                      <w:sz w:val="21"/>
                      <w:lang w:val="en-US" w:eastAsia="zh-CN"/>
                    </w:rPr>
                    <w:t>t/a</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lang w:val="en-US" w:eastAsia="zh-CN"/>
                    </w:rPr>
                    <w:t>1081.48</w:t>
                  </w:r>
                  <w:r>
                    <w:rPr>
                      <w:rFonts w:hint="default" w:ascii="Times New Roman" w:hAnsi="Times New Roman" w:eastAsia="宋体" w:cs="Times New Roman"/>
                      <w:bCs/>
                      <w:color w:val="auto"/>
                      <w:sz w:val="21"/>
                    </w:rPr>
                    <w:t>t/a</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2265t/a</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生产时间</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300d，</w:t>
                  </w:r>
                  <w:r>
                    <w:rPr>
                      <w:rFonts w:hint="eastAsia" w:eastAsia="宋体" w:cs="Times New Roman"/>
                      <w:bCs/>
                      <w:color w:val="auto"/>
                      <w:sz w:val="21"/>
                      <w:lang w:val="en-US" w:eastAsia="zh-CN"/>
                    </w:rPr>
                    <w:t>12</w:t>
                  </w:r>
                  <w:r>
                    <w:rPr>
                      <w:rFonts w:hint="default" w:ascii="Times New Roman" w:hAnsi="Times New Roman" w:eastAsia="宋体" w:cs="Times New Roman"/>
                      <w:bCs/>
                      <w:color w:val="auto"/>
                      <w:sz w:val="21"/>
                    </w:rPr>
                    <w:t>h运行</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240d，10h运行</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300d，24h运行</w:t>
                  </w:r>
                </w:p>
              </w:tc>
              <w:tc>
                <w:tcPr>
                  <w:tcW w:w="744" w:type="pct"/>
                  <w:tcBorders>
                    <w:tl2br w:val="nil"/>
                    <w:tr2bl w:val="nil"/>
                  </w:tcBorders>
                  <w:vAlign w:val="center"/>
                </w:tcPr>
                <w:p>
                  <w:pPr>
                    <w:pStyle w:val="112"/>
                    <w:tabs>
                      <w:tab w:val="left" w:pos="1980"/>
                      <w:tab w:val="left" w:pos="3825"/>
                      <w:tab w:val="left" w:pos="4680"/>
                    </w:tabs>
                    <w:topLinePunct/>
                    <w:rPr>
                      <w:rFonts w:hint="eastAsia" w:ascii="Times New Roman" w:hAnsi="Times New Roman" w:eastAsia="宋体" w:cs="Times New Roman"/>
                      <w:bCs/>
                      <w:color w:val="auto"/>
                      <w:sz w:val="21"/>
                      <w:lang w:eastAsia="zh-CN"/>
                    </w:rPr>
                  </w:pPr>
                  <w:r>
                    <w:rPr>
                      <w:rFonts w:hint="eastAsia" w:cs="Times New Roman"/>
                      <w:bCs/>
                      <w:color w:val="auto"/>
                      <w:sz w:val="21"/>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生产工况</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78.5%</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78.2%</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5000" w:type="pct"/>
                  <w:gridSpan w:val="5"/>
                  <w:tcBorders>
                    <w:tl2br w:val="nil"/>
                    <w:tr2bl w:val="nil"/>
                  </w:tcBorders>
                  <w:vAlign w:val="center"/>
                </w:tcPr>
                <w:p>
                  <w:pPr>
                    <w:pStyle w:val="112"/>
                    <w:tabs>
                      <w:tab w:val="left" w:pos="1980"/>
                      <w:tab w:val="left" w:pos="3825"/>
                      <w:tab w:val="left" w:pos="4680"/>
                    </w:tabs>
                    <w:topLinePunct/>
                    <w:jc w:val="lef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结论：</w:t>
                  </w:r>
                  <w:r>
                    <w:rPr>
                      <w:rFonts w:hint="eastAsia" w:cs="Times New Roman"/>
                      <w:bCs/>
                      <w:color w:val="auto"/>
                      <w:sz w:val="21"/>
                      <w:lang w:val="en-US" w:eastAsia="zh-CN"/>
                    </w:rPr>
                    <w:t>现有工程涉及橡胶生产线，其废水类型中废气喷淋废水涉及该部分生产，且扩建项目拟采用超声波水槽及喷洗方式，清洁率更高，另原辅料及生产工艺与本项目相差较多；</w:t>
                  </w:r>
                  <w:r>
                    <w:rPr>
                      <w:rFonts w:hint="default" w:ascii="Times New Roman" w:hAnsi="Times New Roman" w:eastAsia="宋体" w:cs="Times New Roman"/>
                      <w:bCs/>
                      <w:color w:val="auto"/>
                      <w:sz w:val="21"/>
                    </w:rPr>
                    <w:t>瑞安市特耐宝密封材料有限公司新增年产15万平方米金属复合板智能工段技改项目</w:t>
                  </w:r>
                  <w:r>
                    <w:rPr>
                      <w:rFonts w:hint="eastAsia" w:cs="Times New Roman"/>
                      <w:bCs/>
                      <w:color w:val="auto"/>
                      <w:sz w:val="21"/>
                      <w:lang w:val="en-US" w:eastAsia="zh-CN"/>
                    </w:rPr>
                    <w:t>的</w:t>
                  </w:r>
                  <w:r>
                    <w:rPr>
                      <w:rFonts w:hint="default" w:ascii="Times New Roman" w:hAnsi="Times New Roman" w:eastAsia="宋体" w:cs="Times New Roman"/>
                      <w:bCs/>
                      <w:color w:val="auto"/>
                      <w:sz w:val="21"/>
                      <w:lang w:val="en-US" w:eastAsia="zh-CN"/>
                    </w:rPr>
                    <w:t>原辅料</w:t>
                  </w:r>
                  <w:r>
                    <w:rPr>
                      <w:rFonts w:hint="eastAsia" w:cs="Times New Roman"/>
                      <w:bCs/>
                      <w:color w:val="auto"/>
                      <w:sz w:val="21"/>
                      <w:lang w:val="en-US" w:eastAsia="zh-CN"/>
                    </w:rPr>
                    <w:t>、</w:t>
                  </w:r>
                  <w:r>
                    <w:rPr>
                      <w:rFonts w:hint="default" w:ascii="Times New Roman" w:hAnsi="Times New Roman" w:eastAsia="宋体" w:cs="Times New Roman"/>
                      <w:bCs/>
                      <w:color w:val="auto"/>
                      <w:sz w:val="21"/>
                    </w:rPr>
                    <w:t>生产工艺</w:t>
                  </w:r>
                  <w:r>
                    <w:rPr>
                      <w:rFonts w:hint="eastAsia" w:cs="Times New Roman"/>
                      <w:bCs/>
                      <w:color w:val="auto"/>
                      <w:sz w:val="21"/>
                      <w:lang w:eastAsia="zh-CN"/>
                    </w:rPr>
                    <w:t>、</w:t>
                  </w:r>
                  <w:r>
                    <w:rPr>
                      <w:rFonts w:hint="eastAsia" w:cs="Times New Roman"/>
                      <w:bCs/>
                      <w:color w:val="auto"/>
                      <w:sz w:val="21"/>
                      <w:lang w:val="en-US" w:eastAsia="zh-CN"/>
                    </w:rPr>
                    <w:t>除油清洗方式及废水类型</w:t>
                  </w:r>
                  <w:r>
                    <w:rPr>
                      <w:rFonts w:hint="default" w:ascii="Times New Roman" w:hAnsi="Times New Roman" w:eastAsia="宋体" w:cs="Times New Roman"/>
                      <w:bCs/>
                      <w:color w:val="auto"/>
                      <w:sz w:val="21"/>
                    </w:rPr>
                    <w:t>与本项目相近，对铁卷、镀锌铁卷等原料进行除油、水洗，水洗工序均进行连续清洗，废水类型与本项目一致，故</w:t>
                  </w:r>
                  <w:r>
                    <w:rPr>
                      <w:rFonts w:hint="eastAsia" w:cs="Times New Roman"/>
                      <w:bCs/>
                      <w:color w:val="auto"/>
                      <w:sz w:val="21"/>
                      <w:lang w:val="en-US" w:eastAsia="zh-CN"/>
                    </w:rPr>
                    <w:t>更</w:t>
                  </w:r>
                  <w:r>
                    <w:rPr>
                      <w:rFonts w:hint="default" w:ascii="Times New Roman" w:hAnsi="Times New Roman" w:eastAsia="宋体" w:cs="Times New Roman"/>
                      <w:bCs/>
                      <w:color w:val="auto"/>
                      <w:sz w:val="21"/>
                    </w:rPr>
                    <w:t>具有可类比性</w:t>
                  </w:r>
                  <w:r>
                    <w:rPr>
                      <w:rFonts w:hint="eastAsia" w:cs="Times New Roman"/>
                      <w:bCs/>
                      <w:color w:val="auto"/>
                      <w:sz w:val="21"/>
                      <w:lang w:eastAsia="zh-CN"/>
                    </w:rPr>
                    <w:t>，</w:t>
                  </w:r>
                  <w:r>
                    <w:rPr>
                      <w:rFonts w:hint="eastAsia" w:cs="Times New Roman"/>
                      <w:bCs/>
                      <w:color w:val="auto"/>
                      <w:sz w:val="21"/>
                      <w:lang w:val="en-US" w:eastAsia="zh-CN"/>
                    </w:rPr>
                    <w:t>故本项目废水源强参考</w:t>
                  </w:r>
                  <w:r>
                    <w:rPr>
                      <w:rFonts w:hint="default" w:ascii="Times New Roman" w:hAnsi="Times New Roman" w:eastAsia="宋体" w:cs="Times New Roman"/>
                      <w:bCs/>
                      <w:color w:val="auto"/>
                      <w:sz w:val="21"/>
                    </w:rPr>
                    <w:t>瑞安市特耐宝密封材料有限公司新增年产15万平方米金属复合板智能工段技改项目。</w:t>
                  </w:r>
                </w:p>
              </w:tc>
            </w:tr>
          </w:tbl>
          <w:p>
            <w:pPr>
              <w:spacing w:line="360" w:lineRule="auto"/>
              <w:ind w:firstLine="480" w:firstLineChars="200"/>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0"/>
              </w:rPr>
              <w:t>本项目生产废水（除油废水、水洗废水、喷淋废水）排放量7.55m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/d（2265t/a），拟在厂内配套1.5t/h（36t/d）的废水处理设施，处理工艺为“隔油+调节+曝气+絮凝”，根据废水处理设施设计指标，本项目废水处理设施污染物去除率：COD58%、NH</w:t>
            </w:r>
            <w:r>
              <w:rPr>
                <w:rFonts w:hint="default" w:ascii="Times New Roman" w:hAnsi="Times New Roman" w:eastAsia="宋体" w:cs="Times New Roman"/>
                <w:color w:val="auto"/>
                <w:szCs w:val="20"/>
                <w:vertAlign w:val="subscript"/>
              </w:rPr>
              <w:t>3</w:t>
            </w:r>
            <w:r>
              <w:rPr>
                <w:rFonts w:hint="default" w:ascii="Times New Roman" w:hAnsi="Times New Roman" w:eastAsia="宋体" w:cs="Times New Roman"/>
                <w:color w:val="auto"/>
                <w:szCs w:val="20"/>
              </w:rPr>
              <w:t>-N20%、SS75%、石油类78%、总磷5%。项目废水污染源源强核算结果见表4.2-</w:t>
            </w:r>
            <w:r>
              <w:rPr>
                <w:rFonts w:hint="default" w:ascii="Times New Roman" w:hAnsi="Times New Roman" w:eastAsia="宋体" w:cs="Times New Roman"/>
                <w:color w:val="auto"/>
                <w:szCs w:val="20"/>
                <w:lang w:val="en-US" w:eastAsia="zh-CN"/>
              </w:rPr>
              <w:t>10</w:t>
            </w:r>
            <w:r>
              <w:rPr>
                <w:rFonts w:hint="default" w:ascii="Times New Roman" w:hAnsi="Times New Roman" w:eastAsia="宋体" w:cs="Times New Roman"/>
                <w:color w:val="auto"/>
                <w:szCs w:val="20"/>
              </w:rPr>
              <w:t>。</w:t>
            </w:r>
          </w:p>
        </w:tc>
      </w:tr>
    </w:tbl>
    <w:p>
      <w:pPr>
        <w:spacing w:line="360" w:lineRule="auto"/>
        <w:jc w:val="center"/>
        <w:rPr>
          <w:rFonts w:hint="default" w:ascii="Times New Roman" w:hAnsi="Times New Roman" w:eastAsia="宋体" w:cs="Times New Roman"/>
          <w:b/>
          <w:bCs/>
          <w:color w:val="auto"/>
          <w:shd w:val="clear" w:color="auto" w:fill="FFFFFF"/>
        </w:rPr>
        <w:sectPr>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10</w:t>
      </w:r>
      <w:r>
        <w:rPr>
          <w:rFonts w:hint="default" w:ascii="Times New Roman" w:hAnsi="Times New Roman" w:eastAsia="宋体" w:cs="Times New Roman"/>
          <w:b/>
          <w:bCs/>
          <w:color w:val="auto"/>
          <w:shd w:val="clear" w:color="auto" w:fill="FFFFFF"/>
        </w:rPr>
        <w:t xml:space="preserve"> 项目废水污染源源强核算及相关参数一览表</w:t>
      </w:r>
    </w:p>
    <w:tbl>
      <w:tblPr>
        <w:tblStyle w:val="32"/>
        <w:tblW w:w="5000"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91"/>
        <w:gridCol w:w="308"/>
        <w:gridCol w:w="726"/>
        <w:gridCol w:w="391"/>
        <w:gridCol w:w="652"/>
        <w:gridCol w:w="715"/>
        <w:gridCol w:w="706"/>
        <w:gridCol w:w="547"/>
        <w:gridCol w:w="391"/>
        <w:gridCol w:w="410"/>
        <w:gridCol w:w="395"/>
        <w:gridCol w:w="651"/>
        <w:gridCol w:w="714"/>
        <w:gridCol w:w="703"/>
        <w:gridCol w:w="714"/>
        <w:gridCol w:w="700"/>
        <w:gridCol w:w="566"/>
        <w:gridCol w:w="390"/>
        <w:gridCol w:w="390"/>
        <w:gridCol w:w="390"/>
        <w:gridCol w:w="771"/>
        <w:gridCol w:w="390"/>
        <w:gridCol w:w="390"/>
        <w:gridCol w:w="1343"/>
        <w:gridCol w:w="478"/>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产污环节</w:t>
            </w:r>
          </w:p>
        </w:tc>
        <w:tc>
          <w:tcPr>
            <w:tcW w:w="10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类别</w:t>
            </w:r>
          </w:p>
        </w:tc>
        <w:tc>
          <w:tcPr>
            <w:tcW w:w="255"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污染物种类</w:t>
            </w:r>
          </w:p>
        </w:tc>
        <w:tc>
          <w:tcPr>
            <w:tcW w:w="866" w:type="pct"/>
            <w:gridSpan w:val="4"/>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污染物产生</w:t>
            </w:r>
          </w:p>
        </w:tc>
        <w:tc>
          <w:tcPr>
            <w:tcW w:w="612" w:type="pct"/>
            <w:gridSpan w:val="4"/>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治理措施</w:t>
            </w:r>
          </w:p>
        </w:tc>
        <w:tc>
          <w:tcPr>
            <w:tcW w:w="1224" w:type="pct"/>
            <w:gridSpan w:val="5"/>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污染物排放</w:t>
            </w:r>
          </w:p>
        </w:tc>
        <w:tc>
          <w:tcPr>
            <w:tcW w:w="19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排放时间(h)</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排放方式</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排放去向</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排放规律</w:t>
            </w:r>
          </w:p>
        </w:tc>
        <w:tc>
          <w:tcPr>
            <w:tcW w:w="1017" w:type="pct"/>
            <w:gridSpan w:val="4"/>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排放口基本情况</w:t>
            </w:r>
          </w:p>
        </w:tc>
        <w:tc>
          <w:tcPr>
            <w:tcW w:w="16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排放标准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0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55"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核算方法</w:t>
            </w:r>
          </w:p>
        </w:tc>
        <w:tc>
          <w:tcPr>
            <w:tcW w:w="229"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产生废水量(m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/a)</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产生</w:t>
            </w:r>
          </w:p>
        </w:tc>
        <w:tc>
          <w:tcPr>
            <w:tcW w:w="24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产生量(t/a)</w:t>
            </w:r>
          </w:p>
        </w:tc>
        <w:tc>
          <w:tcPr>
            <w:tcW w:w="19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处理能力m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/d</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治理工艺</w:t>
            </w:r>
          </w:p>
        </w:tc>
        <w:tc>
          <w:tcPr>
            <w:tcW w:w="144"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治理效率/%</w:t>
            </w:r>
          </w:p>
        </w:tc>
        <w:tc>
          <w:tcPr>
            <w:tcW w:w="13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是否为可行技术</w:t>
            </w:r>
          </w:p>
        </w:tc>
        <w:tc>
          <w:tcPr>
            <w:tcW w:w="727" w:type="pct"/>
            <w:gridSpan w:val="3"/>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纳管排放</w:t>
            </w:r>
          </w:p>
        </w:tc>
        <w:tc>
          <w:tcPr>
            <w:tcW w:w="497" w:type="pct"/>
            <w:gridSpan w:val="2"/>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排外环境</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编号</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名称</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类型</w:t>
            </w:r>
          </w:p>
        </w:tc>
        <w:tc>
          <w:tcPr>
            <w:tcW w:w="47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地理坐标</w:t>
            </w:r>
          </w:p>
        </w:tc>
        <w:tc>
          <w:tcPr>
            <w:tcW w:w="16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0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55"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浓度(mg/L)</w:t>
            </w:r>
          </w:p>
        </w:tc>
        <w:tc>
          <w:tcPr>
            <w:tcW w:w="24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44"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2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排放废水量(m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/a)</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排放浓度(mg/L)</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排放量(t/a)</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排放浓度(mg/L)</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排放量(t/a)</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6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生活办公</w:t>
            </w:r>
          </w:p>
        </w:tc>
        <w:tc>
          <w:tcPr>
            <w:tcW w:w="10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生活污水</w:t>
            </w: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COD</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类比法</w:t>
            </w:r>
          </w:p>
        </w:tc>
        <w:tc>
          <w:tcPr>
            <w:tcW w:w="229"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96</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400</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0.0384</w:t>
            </w:r>
          </w:p>
        </w:tc>
        <w:tc>
          <w:tcPr>
            <w:tcW w:w="19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8</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化粪池</w:t>
            </w: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30</w:t>
            </w:r>
          </w:p>
        </w:tc>
        <w:tc>
          <w:tcPr>
            <w:tcW w:w="13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是</w:t>
            </w:r>
          </w:p>
        </w:tc>
        <w:tc>
          <w:tcPr>
            <w:tcW w:w="22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96</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280</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0.0269 </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0.0048 </w:t>
            </w:r>
          </w:p>
        </w:tc>
        <w:tc>
          <w:tcPr>
            <w:tcW w:w="19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7200</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间接排放</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元洪投资区污水处理厂</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间歇排放</w:t>
            </w:r>
          </w:p>
        </w:tc>
        <w:tc>
          <w:tcPr>
            <w:tcW w:w="271"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DW001</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污水总排放口</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一般排放口</w:t>
            </w:r>
          </w:p>
        </w:tc>
        <w:tc>
          <w:tcPr>
            <w:tcW w:w="47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E119°28′35.074380″</w:t>
            </w:r>
          </w:p>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N25°42′55.298952″</w:t>
            </w: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BOD</w:t>
            </w:r>
            <w:r>
              <w:rPr>
                <w:rFonts w:hint="default" w:ascii="Times New Roman" w:hAnsi="Times New Roman" w:eastAsia="宋体" w:cs="Times New Roman"/>
                <w:color w:val="auto"/>
                <w:kern w:val="0"/>
                <w:sz w:val="18"/>
                <w:szCs w:val="18"/>
                <w:vertAlign w:val="subscript"/>
                <w:lang w:bidi="ar"/>
              </w:rPr>
              <w:t>5</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200</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0.0192</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180</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0.0173</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0.0010</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SS</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220</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0.0211</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60</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88</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0.0084 </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0.0010 </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NH</w:t>
            </w:r>
            <w:r>
              <w:rPr>
                <w:rFonts w:hint="default" w:ascii="Times New Roman" w:hAnsi="Times New Roman" w:eastAsia="宋体" w:cs="Times New Roman"/>
                <w:color w:val="auto"/>
                <w:kern w:val="0"/>
                <w:sz w:val="18"/>
                <w:szCs w:val="18"/>
                <w:vertAlign w:val="subscript"/>
                <w:lang w:bidi="ar"/>
              </w:rPr>
              <w:t>3</w:t>
            </w:r>
            <w:r>
              <w:rPr>
                <w:rFonts w:hint="default" w:ascii="Times New Roman" w:hAnsi="Times New Roman" w:eastAsia="宋体" w:cs="Times New Roman"/>
                <w:color w:val="auto"/>
                <w:kern w:val="0"/>
                <w:sz w:val="18"/>
                <w:szCs w:val="18"/>
                <w:lang w:bidi="ar"/>
              </w:rPr>
              <w:t>-N</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35</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0.00336</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bidi="ar"/>
              </w:rPr>
              <w:t>33.</w:t>
            </w:r>
            <w:r>
              <w:rPr>
                <w:rFonts w:hint="default" w:ascii="Times New Roman" w:hAnsi="Times New Roman" w:eastAsia="宋体" w:cs="Times New Roman"/>
                <w:color w:val="auto"/>
                <w:kern w:val="0"/>
                <w:sz w:val="18"/>
                <w:szCs w:val="18"/>
                <w:lang w:val="en-US" w:eastAsia="zh-CN" w:bidi="ar"/>
              </w:rPr>
              <w:t>3</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0.0032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0.0005 </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除油、水洗、废气喷淋</w:t>
            </w:r>
          </w:p>
        </w:tc>
        <w:tc>
          <w:tcPr>
            <w:tcW w:w="10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生产废水</w:t>
            </w: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COD</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类比法</w:t>
            </w:r>
          </w:p>
        </w:tc>
        <w:tc>
          <w:tcPr>
            <w:tcW w:w="229"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2265</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758</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1.717</w:t>
            </w:r>
          </w:p>
        </w:tc>
        <w:tc>
          <w:tcPr>
            <w:tcW w:w="192"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36</w:t>
            </w:r>
          </w:p>
        </w:tc>
        <w:tc>
          <w:tcPr>
            <w:tcW w:w="137"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隔油+调节+曝气+絮凝</w:t>
            </w: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58</w:t>
            </w:r>
          </w:p>
        </w:tc>
        <w:tc>
          <w:tcPr>
            <w:tcW w:w="138"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是</w:t>
            </w:r>
          </w:p>
        </w:tc>
        <w:tc>
          <w:tcPr>
            <w:tcW w:w="228"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2265</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318</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bidi="ar"/>
              </w:rPr>
              <w:t>0.7</w:t>
            </w:r>
            <w:r>
              <w:rPr>
                <w:rFonts w:hint="default" w:ascii="Times New Roman" w:hAnsi="Times New Roman" w:eastAsia="宋体" w:cs="Times New Roman"/>
                <w:color w:val="auto"/>
                <w:kern w:val="0"/>
                <w:sz w:val="18"/>
                <w:szCs w:val="18"/>
                <w:lang w:val="en-US" w:eastAsia="zh-CN" w:bidi="ar"/>
              </w:rPr>
              <w:t>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0.113</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restart"/>
            <w:tcBorders>
              <w:tl2br w:val="nil"/>
              <w:tr2bl w:val="nil"/>
            </w:tcBorders>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连续排放</w:t>
            </w: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NH</w:t>
            </w:r>
            <w:r>
              <w:rPr>
                <w:rFonts w:hint="default" w:ascii="Times New Roman" w:hAnsi="Times New Roman" w:eastAsia="宋体" w:cs="Times New Roman"/>
                <w:color w:val="auto"/>
                <w:kern w:val="0"/>
                <w:sz w:val="18"/>
                <w:szCs w:val="18"/>
                <w:vertAlign w:val="subscript"/>
                <w:lang w:bidi="ar"/>
              </w:rPr>
              <w:t>3</w:t>
            </w:r>
            <w:r>
              <w:rPr>
                <w:rFonts w:hint="default" w:ascii="Times New Roman" w:hAnsi="Times New Roman" w:eastAsia="宋体" w:cs="Times New Roman"/>
                <w:color w:val="auto"/>
                <w:kern w:val="0"/>
                <w:sz w:val="18"/>
                <w:szCs w:val="18"/>
                <w:lang w:bidi="ar"/>
              </w:rPr>
              <w:t>-N</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1</w:t>
            </w:r>
            <w:r>
              <w:rPr>
                <w:rFonts w:hint="default" w:ascii="Times New Roman" w:hAnsi="Times New Roman" w:eastAsia="宋体" w:cs="Times New Roman"/>
                <w:color w:val="auto"/>
                <w:kern w:val="0"/>
                <w:sz w:val="18"/>
                <w:szCs w:val="18"/>
                <w:lang w:val="en-US" w:eastAsia="zh-CN" w:bidi="ar"/>
              </w:rPr>
              <w:t>2.2</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28</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10</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w:t>
            </w:r>
            <w:r>
              <w:rPr>
                <w:rFonts w:hint="default" w:ascii="Times New Roman" w:hAnsi="Times New Roman" w:eastAsia="宋体" w:cs="Times New Roman"/>
                <w:color w:val="auto"/>
                <w:kern w:val="0"/>
                <w:sz w:val="18"/>
                <w:szCs w:val="18"/>
                <w:lang w:val="en-US" w:eastAsia="zh-CN" w:bidi="ar"/>
              </w:rPr>
              <w:t>023</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0.011</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SS</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92.5</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w:t>
            </w:r>
            <w:r>
              <w:rPr>
                <w:rFonts w:hint="default" w:ascii="Times New Roman" w:hAnsi="Times New Roman" w:eastAsia="宋体" w:cs="Times New Roman"/>
                <w:color w:val="auto"/>
                <w:kern w:val="0"/>
                <w:sz w:val="18"/>
                <w:szCs w:val="18"/>
                <w:lang w:val="en-US" w:eastAsia="zh-CN" w:bidi="ar"/>
              </w:rPr>
              <w:t>21</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75</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23</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52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0.023</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石油类</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20.1</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46</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78</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4.4</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01</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0.002</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TP</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002</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002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0.5</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0.001</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000" w:type="pct"/>
            <w:gridSpan w:val="25"/>
            <w:tcBorders>
              <w:tl2br w:val="nil"/>
              <w:tr2bl w:val="nil"/>
            </w:tcBorders>
            <w:vAlign w:val="center"/>
          </w:tcPr>
          <w:p>
            <w:pPr>
              <w:widowControl/>
              <w:jc w:val="left"/>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备注：</w:t>
            </w:r>
            <w:r>
              <w:rPr>
                <w:rFonts w:hint="default" w:ascii="Times New Roman" w:hAnsi="Times New Roman" w:eastAsia="宋体" w:cs="Times New Roman"/>
                <w:color w:val="auto"/>
                <w:sz w:val="18"/>
                <w:szCs w:val="18"/>
                <w:highlight w:val="none"/>
                <w:lang w:bidi="ar"/>
              </w:rPr>
              <w:t>a.根据调查</w:t>
            </w:r>
            <w:r>
              <w:rPr>
                <w:rFonts w:hint="eastAsia" w:cs="Times New Roman"/>
                <w:color w:val="auto"/>
                <w:sz w:val="18"/>
                <w:szCs w:val="18"/>
                <w:highlight w:val="none"/>
                <w:lang w:eastAsia="zh-CN" w:bidi="ar"/>
              </w:rPr>
              <w:t>，厂区内已有8m</w:t>
            </w:r>
            <w:r>
              <w:rPr>
                <w:rFonts w:hint="eastAsia" w:cs="Times New Roman"/>
                <w:color w:val="auto"/>
                <w:sz w:val="18"/>
                <w:szCs w:val="18"/>
                <w:highlight w:val="none"/>
                <w:vertAlign w:val="superscript"/>
                <w:lang w:eastAsia="zh-CN" w:bidi="ar"/>
              </w:rPr>
              <w:t>3</w:t>
            </w:r>
            <w:r>
              <w:rPr>
                <w:rFonts w:hint="eastAsia" w:cs="Times New Roman"/>
                <w:color w:val="auto"/>
                <w:sz w:val="18"/>
                <w:szCs w:val="18"/>
                <w:highlight w:val="none"/>
                <w:lang w:eastAsia="zh-CN" w:bidi="ar"/>
              </w:rPr>
              <w:t>的化粪池，位于厂房南侧，</w:t>
            </w:r>
            <w:r>
              <w:rPr>
                <w:rFonts w:hint="eastAsia" w:cs="Times New Roman"/>
                <w:color w:val="auto"/>
                <w:sz w:val="18"/>
                <w:szCs w:val="18"/>
                <w:highlight w:val="none"/>
                <w:lang w:val="en-US" w:eastAsia="zh-CN" w:bidi="ar"/>
              </w:rPr>
              <w:t>无</w:t>
            </w:r>
            <w:r>
              <w:rPr>
                <w:rFonts w:hint="default" w:ascii="Times New Roman" w:hAnsi="Times New Roman" w:eastAsia="宋体" w:cs="Times New Roman"/>
                <w:color w:val="auto"/>
                <w:sz w:val="18"/>
                <w:szCs w:val="18"/>
                <w:highlight w:val="none"/>
                <w:lang w:bidi="ar"/>
              </w:rPr>
              <w:t>占用，生活污水按停留时间12h计算，化粪池日处理量</w:t>
            </w:r>
            <w:r>
              <w:rPr>
                <w:rFonts w:hint="eastAsia" w:cs="Times New Roman"/>
                <w:color w:val="auto"/>
                <w:sz w:val="18"/>
                <w:szCs w:val="18"/>
                <w:highlight w:val="none"/>
                <w:lang w:val="en-US" w:eastAsia="zh-CN" w:bidi="ar"/>
              </w:rPr>
              <w:t>16</w:t>
            </w:r>
            <w:r>
              <w:rPr>
                <w:rFonts w:hint="default" w:ascii="Times New Roman" w:hAnsi="Times New Roman" w:eastAsia="宋体" w:cs="Times New Roman"/>
                <w:color w:val="auto"/>
                <w:sz w:val="18"/>
                <w:szCs w:val="18"/>
                <w:highlight w:val="none"/>
                <w:lang w:bidi="ar"/>
              </w:rPr>
              <w:t>m</w:t>
            </w:r>
            <w:r>
              <w:rPr>
                <w:rFonts w:hint="default" w:ascii="Times New Roman" w:hAnsi="Times New Roman" w:eastAsia="宋体" w:cs="Times New Roman"/>
                <w:color w:val="auto"/>
                <w:sz w:val="18"/>
                <w:szCs w:val="18"/>
                <w:highlight w:val="none"/>
                <w:vertAlign w:val="superscript"/>
                <w:lang w:bidi="ar"/>
              </w:rPr>
              <w:t>3</w:t>
            </w:r>
            <w:r>
              <w:rPr>
                <w:rFonts w:hint="default" w:ascii="Times New Roman" w:hAnsi="Times New Roman" w:eastAsia="宋体" w:cs="Times New Roman"/>
                <w:color w:val="auto"/>
                <w:sz w:val="18"/>
                <w:szCs w:val="18"/>
                <w:highlight w:val="none"/>
                <w:lang w:bidi="ar"/>
              </w:rPr>
              <w:t>/d，因此厂区化粪池可满足本项目生活污水的处理需求。</w:t>
            </w:r>
          </w:p>
        </w:tc>
      </w:tr>
    </w:tbl>
    <w:p>
      <w:pPr>
        <w:pStyle w:val="10"/>
        <w:ind w:firstLine="0" w:firstLineChars="0"/>
        <w:rPr>
          <w:rFonts w:hint="default" w:ascii="Times New Roman" w:hAnsi="Times New Roman" w:eastAsia="宋体" w:cs="Times New Roman"/>
          <w:color w:val="auto"/>
        </w:rPr>
        <w:sectPr>
          <w:pgSz w:w="16840" w:h="11907" w:orient="landscape"/>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tbl>
      <w:tblPr>
        <w:tblStyle w:val="32"/>
        <w:tblpPr w:leftFromText="180" w:rightFromText="180" w:vertAnchor="text" w:horzAnchor="page" w:tblpX="1352" w:tblpY="4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8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pStyle w:val="22"/>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749" w:type="dxa"/>
            <w:vAlign w:val="center"/>
          </w:tcPr>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4.2.2.2 废水达标排放分析</w:t>
            </w:r>
          </w:p>
          <w:p>
            <w:pPr>
              <w:spacing w:line="360" w:lineRule="auto"/>
              <w:ind w:firstLine="480" w:firstLineChars="200"/>
              <w:rPr>
                <w:rFonts w:hint="default" w:ascii="Times New Roman" w:hAnsi="Times New Roman" w:eastAsia="宋体" w:cs="Times New Roman"/>
                <w:color w:val="auto"/>
                <w:lang w:bidi="he-IL"/>
              </w:rPr>
            </w:pPr>
            <w:r>
              <w:rPr>
                <w:rFonts w:hint="default" w:ascii="Times New Roman" w:hAnsi="Times New Roman" w:eastAsia="宋体" w:cs="Times New Roman"/>
                <w:color w:val="auto"/>
              </w:rPr>
              <w:t>本项目生活污水经化粪池处理后、生产废水经厂内污水处理设施处理后通过市政管道进入元洪投资区污水处理厂深度处理后排放，项目废水处理后出水水质可符合《污水综合排放标准》（GB 8978-1996）表4中的三级排放标准要求（其中氨氮参照执行《污水排入城镇下水道水质标准》（GB/T 31962-2015）表1中B级标准限值）（COD≤500 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≤300 mg/L、SS≤400 mg/L、氨氮≤45 mg/L）</w:t>
            </w:r>
            <w:r>
              <w:rPr>
                <w:rFonts w:hint="default" w:ascii="Times New Roman" w:hAnsi="Times New Roman" w:eastAsia="宋体" w:cs="Times New Roman"/>
                <w:color w:val="auto"/>
                <w:lang w:bidi="he-IL"/>
              </w:rPr>
              <w:t>。拟建项目废水排放达标情况见表4.2-</w:t>
            </w:r>
            <w:r>
              <w:rPr>
                <w:rFonts w:hint="default" w:ascii="Times New Roman" w:hAnsi="Times New Roman" w:eastAsia="宋体" w:cs="Times New Roman"/>
                <w:color w:val="auto"/>
                <w:lang w:val="en-US" w:eastAsia="zh-CN" w:bidi="he-IL"/>
              </w:rPr>
              <w:t>11</w:t>
            </w:r>
            <w:r>
              <w:rPr>
                <w:rFonts w:hint="default" w:ascii="Times New Roman" w:hAnsi="Times New Roman" w:eastAsia="宋体" w:cs="Times New Roman"/>
                <w:color w:val="auto"/>
                <w:lang w:bidi="he-IL"/>
              </w:rPr>
              <w:t>。</w:t>
            </w:r>
          </w:p>
          <w:p>
            <w:pPr>
              <w:pStyle w:val="106"/>
              <w:spacing w:before="120" w:line="240" w:lineRule="auto"/>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表4.2-</w:t>
            </w:r>
            <w:r>
              <w:rPr>
                <w:rFonts w:hint="default" w:ascii="Times New Roman" w:hAnsi="Times New Roman" w:eastAsia="宋体" w:cs="Times New Roman"/>
                <w:b/>
                <w:bCs w:val="0"/>
                <w:color w:val="auto"/>
                <w:lang w:val="en-US" w:eastAsia="zh-CN"/>
              </w:rPr>
              <w:t>11</w:t>
            </w:r>
            <w:r>
              <w:rPr>
                <w:rFonts w:hint="default" w:ascii="Times New Roman" w:hAnsi="Times New Roman" w:eastAsia="宋体" w:cs="Times New Roman"/>
                <w:b/>
                <w:bCs w:val="0"/>
                <w:color w:val="auto"/>
              </w:rPr>
              <w:t xml:space="preserve">  本项目废水排放达标情况一览表</w:t>
            </w:r>
          </w:p>
          <w:tbl>
            <w:tblPr>
              <w:tblStyle w:val="32"/>
              <w:tblW w:w="0" w:type="auto"/>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57"/>
              <w:gridCol w:w="636"/>
              <w:gridCol w:w="1193"/>
              <w:gridCol w:w="1081"/>
              <w:gridCol w:w="719"/>
              <w:gridCol w:w="988"/>
              <w:gridCol w:w="779"/>
              <w:gridCol w:w="809"/>
              <w:gridCol w:w="685"/>
              <w:gridCol w:w="686"/>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废水污染源</w:t>
                  </w:r>
                </w:p>
              </w:tc>
              <w:tc>
                <w:tcPr>
                  <w:tcW w:w="1800" w:type="dxa"/>
                  <w:gridSpan w:val="2"/>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排水量m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/a</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单位</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COD</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BOD</w:t>
                  </w:r>
                  <w:r>
                    <w:rPr>
                      <w:rFonts w:hint="default" w:ascii="Times New Roman" w:hAnsi="Times New Roman" w:eastAsia="宋体" w:cs="Times New Roman"/>
                      <w:color w:val="auto"/>
                      <w:kern w:val="0"/>
                      <w:sz w:val="21"/>
                      <w:szCs w:val="21"/>
                      <w:vertAlign w:val="subscript"/>
                      <w:lang w:bidi="ar"/>
                    </w:rPr>
                    <w:t>5</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SS</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NH</w:t>
                  </w:r>
                  <w:r>
                    <w:rPr>
                      <w:rFonts w:hint="default" w:ascii="Times New Roman" w:hAnsi="Times New Roman" w:eastAsia="宋体" w:cs="Times New Roman"/>
                      <w:color w:val="auto"/>
                      <w:kern w:val="0"/>
                      <w:sz w:val="21"/>
                      <w:szCs w:val="21"/>
                      <w:vertAlign w:val="subscript"/>
                      <w:lang w:bidi="ar"/>
                    </w:rPr>
                    <w:t>3</w:t>
                  </w:r>
                  <w:r>
                    <w:rPr>
                      <w:rFonts w:hint="default" w:ascii="Times New Roman" w:hAnsi="Times New Roman" w:eastAsia="宋体" w:cs="Times New Roman"/>
                      <w:color w:val="auto"/>
                      <w:kern w:val="0"/>
                      <w:sz w:val="21"/>
                      <w:szCs w:val="21"/>
                      <w:lang w:bidi="ar"/>
                    </w:rPr>
                    <w:t>-N</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石油类</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TP</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生活污水</w:t>
                  </w:r>
                </w:p>
              </w:tc>
              <w:tc>
                <w:tcPr>
                  <w:tcW w:w="584"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w:t>
                  </w: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处理前</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400</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200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220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35</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34" w:hRule="atLeast"/>
                <w:jc w:val="center"/>
              </w:trPr>
              <w:tc>
                <w:tcPr>
                  <w:tcW w:w="973"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84" w:type="dxa"/>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处理后</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280</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180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88</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33.25</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34" w:hRule="atLeast"/>
                <w:jc w:val="center"/>
              </w:trPr>
              <w:tc>
                <w:tcPr>
                  <w:tcW w:w="973" w:type="dxa"/>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584"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2265</w:t>
                  </w: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处理前</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758</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92.5</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12.2</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20.1</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0.07</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34" w:hRule="atLeast"/>
                <w:jc w:val="center"/>
              </w:trPr>
              <w:tc>
                <w:tcPr>
                  <w:tcW w:w="973" w:type="dxa"/>
                  <w:vMerge w:val="continue"/>
                  <w:tcBorders>
                    <w:tl2br w:val="nil"/>
                    <w:tr2bl w:val="nil"/>
                  </w:tcBorders>
                  <w:vAlign w:val="center"/>
                </w:tcPr>
                <w:p>
                  <w:pPr>
                    <w:rPr>
                      <w:rFonts w:hint="default" w:ascii="Times New Roman" w:hAnsi="Times New Roman" w:eastAsia="宋体" w:cs="Times New Roman"/>
                      <w:color w:val="auto"/>
                      <w:sz w:val="21"/>
                      <w:szCs w:val="21"/>
                    </w:rPr>
                  </w:pPr>
                </w:p>
              </w:tc>
              <w:tc>
                <w:tcPr>
                  <w:tcW w:w="584" w:type="dxa"/>
                  <w:vMerge w:val="continue"/>
                  <w:tcBorders>
                    <w:tl2br w:val="nil"/>
                    <w:tr2bl w:val="nil"/>
                  </w:tcBorders>
                  <w:vAlign w:val="center"/>
                </w:tcPr>
                <w:p>
                  <w:pPr>
                    <w:widowControl/>
                    <w:jc w:val="left"/>
                    <w:textAlignment w:val="center"/>
                    <w:rPr>
                      <w:rFonts w:hint="default" w:ascii="Times New Roman" w:hAnsi="Times New Roman" w:eastAsia="宋体" w:cs="Times New Roman"/>
                      <w:color w:val="auto"/>
                      <w:sz w:val="21"/>
                      <w:szCs w:val="21"/>
                    </w:rPr>
                  </w:pP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处理后</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318</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23</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1</w:t>
                  </w:r>
                  <w:r>
                    <w:rPr>
                      <w:rFonts w:hint="default" w:ascii="Times New Roman" w:hAnsi="Times New Roman" w:eastAsia="宋体" w:cs="Times New Roman"/>
                      <w:color w:val="auto"/>
                      <w:kern w:val="0"/>
                      <w:sz w:val="21"/>
                      <w:szCs w:val="21"/>
                      <w:lang w:val="en-US" w:eastAsia="zh-CN" w:bidi="ar"/>
                    </w:rPr>
                    <w:t>0</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4.4</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0.07</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34" w:hRule="atLeast"/>
                <w:jc w:val="center"/>
              </w:trPr>
              <w:tc>
                <w:tcPr>
                  <w:tcW w:w="2773"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《污水综合排放标准》（GB 8978-1996）表4中的三级排放标准（其中氨氮参照执行《污水排入城镇下水道水质标准》（GB/T 31962-2015）表1中B级标准限值）</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500</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300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400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4.2.2.3 废水治理措施可行性分析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1、废水治理措施</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（1）生活污水</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本项目生活污水排放量0.32m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/d（96t/a），依托厂区现有1个容积为8m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的化粪池处理</w:t>
            </w:r>
            <w:r>
              <w:rPr>
                <w:rFonts w:hint="default" w:ascii="Times New Roman" w:hAnsi="Times New Roman" w:eastAsia="宋体" w:cs="Times New Roman"/>
                <w:bCs/>
                <w:color w:val="auto"/>
                <w:kern w:val="28"/>
              </w:rPr>
              <w:t>，</w:t>
            </w:r>
            <w:r>
              <w:rPr>
                <w:rFonts w:hint="default" w:ascii="Times New Roman" w:hAnsi="Times New Roman" w:eastAsia="宋体" w:cs="Times New Roman"/>
                <w:color w:val="auto"/>
              </w:rPr>
              <w:t>生活污水按停留时间12h计算，化粪池日处理量16m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cs="Times New Roman"/>
                <w:color w:val="auto"/>
                <w:lang w:val="en-US" w:eastAsia="zh-CN"/>
              </w:rPr>
              <w:t>目前无人使用，</w:t>
            </w:r>
            <w:r>
              <w:rPr>
                <w:rFonts w:hint="default" w:ascii="Times New Roman" w:hAnsi="Times New Roman" w:eastAsia="宋体" w:cs="Times New Roman"/>
                <w:color w:val="auto"/>
              </w:rPr>
              <w:t>因此厂区化粪池可满足生活污水的处理需求。生活污水经过厂区化粪池处理达到《污水综合排放标准》（GB8978-1996）表4中的三级标准（氨氮参照《污水排入城镇下水道水质标准》(GB/T31962-2015)表1中B级标准限值）后接入市政污水管网，纳入元洪投资区污水处理厂。</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（2）生产废水</w:t>
            </w:r>
          </w:p>
          <w:p>
            <w:pPr>
              <w:pStyle w:val="31"/>
              <w:spacing w:after="0"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本项目生产废水排放量7.55m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d（2265t/a），拟在厂内配套1.5t/h（36t/d）的废水处理设施，处理工艺为“隔油+调节+曝气+絮凝”，处理达到《污水综合排放标准》（GB8978-1996）表4中的三级标准（氨氮参照《污水排入城镇下水道水质标准》(GB/T31962-2015)表1中B级标准限值）后接入市政污水管网，纳入元洪投资区污水处理厂。</w:t>
            </w:r>
          </w:p>
          <w:p>
            <w:pPr>
              <w:pStyle w:val="31"/>
              <w:spacing w:after="0"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本项目污水处理设施采用“隔油+调节+曝气+絮凝”工艺为成熟技术运行稳定，属《排污许可证申请和核发技术规范 汽车制造业》(HJ971-2018)中推荐的处理技术。</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2、项目废水排入污水处理厂的可行性及影响分析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（1）接管可行性</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元洪投资区污水处理厂主要服务范围是投资区内企业工业污水及城镇生活污水，福州市元洪投资区规划为三个片区，分别为西部特色产业区、中部综合产业区和东部特色产业区。从元洪投资区管理委员会了解到，目前，投资区污水处理厂一期工程处于运行阶段，污水主干管网已完成A、B、C、D标段，覆盖园区整个东部和中部片区，沿主干管两侧企业均已接管。</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（2）水质负荷</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源强核算可知，项目废水所含污染因子浓度低，污染物成分简单，不含有腐蚀成分，污水可生化性高，废水经处理可以达到《污水综合排放标准》(GB8978-1996)表4中的三级排放标准纳入元洪投资区污水处理厂集中处理。因此，从水质方面分析，元洪投资区污水处理厂可接纳项目综合废水，不会对污水厂水质负荷造成冲击。</w:t>
            </w:r>
          </w:p>
          <w:p>
            <w:pPr>
              <w:pStyle w:val="2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（3）处理能力及处理工艺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元洪投资区污水处理厂设计处理能力4万m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/d，一期1万m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/d于2011年10月建成投入生产；二期规模2万m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/d于2017年初投入使用；三期规模1万m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于2023年6月初投入使用。一期工程污水处理主要工艺为水解池+改进型SBR池+高密度澄清池工艺；二期、三期工程污水处理工艺为水解池+改良型卡式氧化沟+二沉池+高密度澄清池工艺。三期工程建成后污水处理厂整体执行《城镇污水处理厂污染物排放标准》(GB18918-2002)一级A标准污水处理后利用现有元洪码头栈桥下排放口排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元洪投资区污水处理厂现状废水处理规模为4万m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/d；依据福建省污染源监测信息综合发布平台公示的《福州富春紫光污水处理有限公司2023年自行监测年度报告》(即元洪投资区污水处理厂)可知，2023年该污水厂全年污水处理量为1349.5657m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，日处理规模为36974.4m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/d，剩余处理余量约3025.6m³/d。由此可见，元洪投资区污水处理厂有足够余量接纳本项目新增废水排放量，因此，本项目产生的废水不会对元洪投资区污水处理厂造成明显的负荷冲击。</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综上所述，本项目新增生活污水、生产废水经厂内预处理后接入市政污水管网排入元洪投资区污水处理厂处理是可行的。</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4.2.2.4水环境影响分析结论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上述分析，本项目生活污水、生产废水经厂区预处理后排入市政污水管网，纳入元洪投资区污水处理厂集中处理达标后排放，项目废水水质、水量不会对污水处理厂造成负荷冲击。项目废水不直接排入地表水体，因此不会对区域地表水环境产生直接不利影响。</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4.2.2.5监测要求</w:t>
            </w:r>
          </w:p>
          <w:p>
            <w:pPr>
              <w:pStyle w:val="168"/>
              <w:rPr>
                <w:rFonts w:hint="default" w:ascii="Times New Roman" w:hAnsi="Times New Roman" w:eastAsia="宋体" w:cs="Times New Roman"/>
                <w:color w:val="auto"/>
              </w:rPr>
            </w:pPr>
            <w:r>
              <w:rPr>
                <w:rFonts w:hint="default" w:ascii="Times New Roman" w:hAnsi="Times New Roman" w:eastAsia="宋体" w:cs="Times New Roman"/>
                <w:color w:val="auto"/>
                <w:kern w:val="2"/>
                <w:szCs w:val="24"/>
                <w:lang w:bidi="zh-CN"/>
              </w:rPr>
              <w:t>对照</w:t>
            </w:r>
            <w:r>
              <w:rPr>
                <w:rFonts w:hint="default" w:ascii="Times New Roman" w:hAnsi="Times New Roman" w:eastAsia="宋体" w:cs="Times New Roman"/>
                <w:bCs/>
                <w:color w:val="auto"/>
              </w:rPr>
              <w:t>《排污许可证申请与核发技术规范 汽车制造业》（HJ971-2018）</w:t>
            </w:r>
            <w:r>
              <w:rPr>
                <w:rFonts w:hint="default" w:ascii="Times New Roman" w:hAnsi="Times New Roman" w:eastAsia="宋体" w:cs="Times New Roman"/>
                <w:color w:val="auto"/>
              </w:rPr>
              <w:t>、《排污单位自行监测技术指南 总则》（HJ819-2017）</w:t>
            </w:r>
            <w:r>
              <w:rPr>
                <w:rFonts w:hint="default" w:ascii="Times New Roman" w:hAnsi="Times New Roman" w:eastAsia="宋体" w:cs="Times New Roman"/>
                <w:color w:val="auto"/>
                <w:kern w:val="2"/>
                <w:szCs w:val="24"/>
                <w:lang w:bidi="zh-CN"/>
              </w:rPr>
              <w:t>，</w:t>
            </w:r>
            <w:r>
              <w:rPr>
                <w:rFonts w:hint="default" w:ascii="Times New Roman" w:hAnsi="Times New Roman" w:eastAsia="宋体" w:cs="Times New Roman"/>
                <w:color w:val="auto"/>
              </w:rPr>
              <w:t>项目废水属于间接排放，项目废气监测要求详见表4.2-</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w:t>
            </w:r>
          </w:p>
          <w:p>
            <w:pPr>
              <w:pStyle w:val="171"/>
              <w:spacing w:before="120" w:beforeLines="5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w:t>
            </w:r>
            <w:r>
              <w:rPr>
                <w:rFonts w:hint="default" w:ascii="Times New Roman" w:hAnsi="Times New Roman" w:eastAsia="宋体" w:cs="Times New Roman"/>
                <w:b/>
                <w:bCs/>
                <w:color w:val="auto"/>
                <w:lang w:val="en-US" w:eastAsia="zh-CN"/>
              </w:rPr>
              <w:t>12</w:t>
            </w:r>
            <w:r>
              <w:rPr>
                <w:rFonts w:hint="default" w:ascii="Times New Roman" w:hAnsi="Times New Roman" w:eastAsia="宋体" w:cs="Times New Roman"/>
                <w:b/>
                <w:bCs/>
                <w:color w:val="auto"/>
              </w:rPr>
              <w:t xml:space="preserve">  监测计划内容一览表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1821"/>
              <w:gridCol w:w="3133"/>
              <w:gridCol w:w="1333"/>
              <w:gridCol w:w="1140"/>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106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183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78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68"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5"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067"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DW001总排放口</w:t>
                  </w:r>
                </w:p>
              </w:tc>
              <w:tc>
                <w:tcPr>
                  <w:tcW w:w="183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流量、pH、COD、NH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-N、TP</w:t>
                  </w:r>
                </w:p>
              </w:tc>
              <w:tc>
                <w:tcPr>
                  <w:tcW w:w="78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自动监测</w:t>
                  </w:r>
                </w:p>
              </w:tc>
              <w:tc>
                <w:tcPr>
                  <w:tcW w:w="668"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5"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06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83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、SS、石油类</w:t>
                  </w:r>
                </w:p>
              </w:tc>
              <w:tc>
                <w:tcPr>
                  <w:tcW w:w="78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bl>
          <w:p>
            <w:pPr>
              <w:pStyle w:val="165"/>
              <w:spacing w:line="360" w:lineRule="auto"/>
              <w:ind w:firstLine="480" w:firstLineChars="200"/>
              <w:rPr>
                <w:rFonts w:hint="default" w:ascii="Times New Roman" w:hAnsi="Times New Roman" w:eastAsia="宋体" w:cs="Times New Roman"/>
                <w:color w:val="auto"/>
                <w:lang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22"/>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运营期环境影响和保护措施</w:t>
            </w:r>
          </w:p>
        </w:tc>
        <w:tc>
          <w:tcPr>
            <w:tcW w:w="8749" w:type="dxa"/>
            <w:vAlign w:val="center"/>
          </w:tcPr>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4.2.3 运营期噪声影响分析和防范措施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4.2.3.1 噪声源强分析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工程分析，项目运营期大部分为连续排放，声级范围在70～85dB之间。以生产车间中心119.475975°，25.715467°为坐标原点，正东向为X轴正方向，正北向为Y轴正方向，步距为1m。项目设备均放置在室内，各噪声源与场界的距离见表4.2-1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pPr>
              <w:pStyle w:val="171"/>
              <w:spacing w:before="120" w:beforeLines="5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表4.2-1</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 xml:space="preserve">  主要噪声设备声级特性 单位：dB（A）</w:t>
            </w:r>
          </w:p>
          <w:tbl>
            <w:tblPr>
              <w:tblStyle w:val="32"/>
              <w:tblW w:w="4997"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7"/>
              <w:gridCol w:w="1235"/>
              <w:gridCol w:w="697"/>
              <w:gridCol w:w="734"/>
              <w:gridCol w:w="890"/>
              <w:gridCol w:w="1257"/>
              <w:gridCol w:w="1122"/>
              <w:gridCol w:w="902"/>
              <w:gridCol w:w="707"/>
              <w:gridCol w:w="657"/>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724"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408"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声源类型</w:t>
                  </w:r>
                </w:p>
              </w:tc>
              <w:tc>
                <w:tcPr>
                  <w:tcW w:w="521"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噪声源强</w:t>
                  </w:r>
                </w:p>
              </w:tc>
              <w:tc>
                <w:tcPr>
                  <w:tcW w:w="736"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坐标（x,y,z）</w:t>
                  </w:r>
                </w:p>
              </w:tc>
              <w:tc>
                <w:tcPr>
                  <w:tcW w:w="1185" w:type="pct"/>
                  <w:gridSpan w:val="2"/>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降噪措施</w:t>
                  </w:r>
                </w:p>
              </w:tc>
              <w:tc>
                <w:tcPr>
                  <w:tcW w:w="414"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持续时间（h/d）</w:t>
                  </w:r>
                </w:p>
              </w:tc>
              <w:tc>
                <w:tcPr>
                  <w:tcW w:w="385"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排放值</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72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0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30"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736"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57"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527"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降噪效果</w:t>
                  </w: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放卷机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-37,-10,1.2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continue"/>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408" w:type="pct"/>
                  <w:vMerge w:val="continue"/>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30"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-36,-10,1.2</w:t>
                  </w:r>
                </w:p>
              </w:tc>
              <w:tc>
                <w:tcPr>
                  <w:tcW w:w="65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除油水洗线</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2套</w:t>
                  </w:r>
                </w:p>
              </w:tc>
              <w:tc>
                <w:tcPr>
                  <w:tcW w:w="430"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continue"/>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408" w:type="pct"/>
                  <w:vMerge w:val="continue"/>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30"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-21,-10,1.2</w:t>
                  </w:r>
                </w:p>
              </w:tc>
              <w:tc>
                <w:tcPr>
                  <w:tcW w:w="65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涂胶机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-17,-10,1.2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烘干线</w:t>
                  </w:r>
                </w:p>
              </w:tc>
              <w:tc>
                <w:tcPr>
                  <w:tcW w:w="408"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1条</w:t>
                  </w:r>
                </w:p>
              </w:tc>
              <w:tc>
                <w:tcPr>
                  <w:tcW w:w="430"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-15,-10,1.2</w:t>
                  </w:r>
                </w:p>
              </w:tc>
              <w:tc>
                <w:tcPr>
                  <w:tcW w:w="65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分散机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偶发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35,8,1.2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真空泵</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33,8,1.2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32,8,1.2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三辊轴研磨机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31,6,1.2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30,6,1.2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橡胶涂覆机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-13,-6,1.2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鼓式硫化机</w:t>
                  </w:r>
                </w:p>
              </w:tc>
              <w:tc>
                <w:tcPr>
                  <w:tcW w:w="40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430"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-10,-8,1.2</w:t>
                  </w:r>
                </w:p>
              </w:tc>
              <w:tc>
                <w:tcPr>
                  <w:tcW w:w="65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辊涂机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收卷机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冲压机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pStyle w:val="165"/>
                    <w:jc w:val="center"/>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风机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-10,-15,1.2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pStyle w:val="165"/>
                    <w:jc w:val="center"/>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水泵</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35,-10,1.2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4.2.3.2噪声达标及影响分析</w:t>
            </w:r>
          </w:p>
          <w:p>
            <w:pPr>
              <w:autoSpaceDE w:val="0"/>
              <w:autoSpaceDN w:val="0"/>
              <w:spacing w:line="360" w:lineRule="auto"/>
              <w:ind w:firstLine="480" w:firstLineChars="200"/>
              <w:jc w:val="left"/>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根据《环境影响评价技术导则声环境》（HJ2. 4-2021）附录B，声环境影响预测，一般采用声源的倍频带声功率级、A声功率级或靠近声源某一位置的倍频带声压级、A声级来预测计算距声源不同距离的声级。工业声源有室外和室内两种声源，本项目仅涉及室内声源，因此仅进行室内声源的计算。</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 声环境》（HJ2.4-2021）推荐方法，采用附录B中的B.1工业噪声预测计算模型，工业声源有室外和室内两种声源，应分别计算。具体分析如下：</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①室外声源</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工业噪声源按点声源处理，声源处于半自由场，室外声源的预测模式为：</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2"/>
              </w:rPr>
              <w:object>
                <v:shape id="_x0000_i1026" o:spt="75" type="#_x0000_t75" style="height:19pt;width:116.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式中：LA(r) ——距声源r处的A声级，dB(A)；</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 xml:space="preserve">Aw  </w:t>
            </w:r>
            <w:r>
              <w:rPr>
                <w:rFonts w:hint="default" w:ascii="Times New Roman" w:hAnsi="Times New Roman" w:eastAsia="宋体" w:cs="Times New Roman"/>
                <w:color w:val="auto"/>
              </w:rPr>
              <w:t>——点声源A计权声功率级，</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②室内声源</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（Ⅰ）如下图所示，首先计算出某个室内靠近围护结构处的倍频带声压级；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7" o:spt="75" type="#_x0000_t75" style="height:33.95pt;width:136.5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 xml:space="preserve">p1 </w:t>
            </w:r>
            <w:r>
              <w:rPr>
                <w:rFonts w:hint="default" w:ascii="Times New Roman" w:hAnsi="Times New Roman" w:eastAsia="宋体" w:cs="Times New Roman"/>
                <w:color w:val="auto"/>
              </w:rPr>
              <w:t>为某个室内声源在靠近围护结构处产生的倍频带声压级，L</w:t>
            </w:r>
            <w:r>
              <w:rPr>
                <w:rFonts w:hint="default" w:ascii="Times New Roman" w:hAnsi="Times New Roman" w:eastAsia="宋体" w:cs="Times New Roman"/>
                <w:color w:val="auto"/>
                <w:vertAlign w:val="subscript"/>
              </w:rPr>
              <w:t>w</w:t>
            </w:r>
            <w:r>
              <w:rPr>
                <w:rFonts w:hint="default" w:ascii="Times New Roman" w:hAnsi="Times New Roman" w:eastAsia="宋体" w:cs="Times New Roman"/>
                <w:color w:val="auto"/>
              </w:rPr>
              <w:t>为某个声源的倍频带声功率级，r为室内某个声源与靠近围护结构处的距离，R为房间常数，Q为方向因子。</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1654175" cy="854075"/>
                  <wp:effectExtent l="0" t="0" r="3175"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1"/>
                          <a:stretch>
                            <a:fillRect/>
                          </a:stretch>
                        </pic:blipFill>
                        <pic:spPr>
                          <a:xfrm>
                            <a:off x="0" y="0"/>
                            <a:ext cx="1654175" cy="854075"/>
                          </a:xfrm>
                          <a:prstGeom prst="rect">
                            <a:avLst/>
                          </a:prstGeom>
                          <a:noFill/>
                          <a:ln>
                            <a:noFill/>
                          </a:ln>
                        </pic:spPr>
                      </pic:pic>
                    </a:graphicData>
                  </a:graphic>
                </wp:inline>
              </w:drawing>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（Ⅱ）计算出所有室内声源在靠近围护结构处产生的总倍频带声压级：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2"/>
              </w:rPr>
              <w:object>
                <v:shape id="_x0000_i1028" o:spt="75" type="#_x0000_t75" style="height:38.05pt;width:127.7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p1i</w:t>
            </w:r>
            <w:r>
              <w:rPr>
                <w:rFonts w:hint="default" w:ascii="Times New Roman" w:hAnsi="Times New Roman" w:eastAsia="宋体" w:cs="Times New Roman"/>
                <w:color w:val="auto"/>
              </w:rPr>
              <w:t>（T）——靠近围护结构处室内N个声源i倍频带的叠加声压级，dB；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p1ij</w:t>
            </w:r>
            <w:r>
              <w:rPr>
                <w:rFonts w:hint="default" w:ascii="Times New Roman" w:hAnsi="Times New Roman" w:eastAsia="宋体" w:cs="Times New Roman"/>
                <w:color w:val="auto"/>
              </w:rPr>
              <w:t>——室内j声源i倍频带的声压级，dB；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N ——室内声源总数。</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（Ⅲ）计算出靠近室外围护结构处的声压级：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4"/>
              </w:rPr>
              <w:object>
                <v:shape id="_x0000_i1029" o:spt="75" type="#_x0000_t75" style="height:19pt;width:135.1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p2i</w:t>
            </w:r>
            <w:r>
              <w:rPr>
                <w:rFonts w:hint="default" w:ascii="Times New Roman" w:hAnsi="Times New Roman" w:eastAsia="宋体" w:cs="Times New Roman"/>
                <w:color w:val="auto"/>
              </w:rPr>
              <w:t>（T）——靠近围护结构处室外N个声源i倍频带的叠加声压级，dB；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pli</w:t>
            </w:r>
            <w:r>
              <w:rPr>
                <w:rFonts w:hint="default" w:ascii="Times New Roman" w:hAnsi="Times New Roman" w:eastAsia="宋体" w:cs="Times New Roman"/>
                <w:color w:val="auto"/>
              </w:rPr>
              <w:t>（T）——靠近围护结构处室内N个声源i倍频带的叠加声压级，dB；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TLi ——围护结构i倍频带的隔声量，dB。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（Ⅳ）将室外声源的声压级和透过面积换算成等效的室外声源，计算出中心位置位于透声（S）处的等效声源的倍频带声功率级。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4"/>
              </w:rPr>
              <w:object>
                <v:shape id="_x0000_i1030" o:spt="75" type="#_x0000_t75" style="height:19pt;width:101.2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w</w:t>
            </w:r>
            <w:r>
              <w:rPr>
                <w:rFonts w:hint="default" w:ascii="Times New Roman" w:hAnsi="Times New Roman" w:eastAsia="宋体" w:cs="Times New Roman"/>
                <w:color w:val="auto"/>
              </w:rPr>
              <w:t xml:space="preserve"> ——中心位置位于透声面积（S）处的等效声源的倍频带声功率级，dB；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p2</w:t>
            </w:r>
            <w:r>
              <w:rPr>
                <w:rFonts w:hint="default" w:ascii="Times New Roman" w:hAnsi="Times New Roman" w:eastAsia="宋体" w:cs="Times New Roman"/>
                <w:color w:val="auto"/>
              </w:rPr>
              <w:t>(T)——靠近围护结构处室外声源的声压级，dB；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S——透声面积，m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然后按室外声源预测方法计算预测点处的A声级。</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③工业企业噪声计算</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设第i个室外声源在预测点产生的A声级为L</w:t>
            </w:r>
            <w:r>
              <w:rPr>
                <w:rFonts w:hint="default" w:ascii="Times New Roman" w:hAnsi="Times New Roman" w:eastAsia="宋体" w:cs="Times New Roman"/>
                <w:color w:val="auto"/>
                <w:vertAlign w:val="subscript"/>
              </w:rPr>
              <w:t>Ai</w:t>
            </w:r>
            <w:r>
              <w:rPr>
                <w:rFonts w:hint="default" w:ascii="Times New Roman" w:hAnsi="Times New Roman" w:eastAsia="宋体" w:cs="Times New Roman"/>
                <w:color w:val="auto"/>
              </w:rPr>
              <w:t>，在T时间内该声源工作时间为t</w:t>
            </w:r>
            <w:r>
              <w:rPr>
                <w:rFonts w:hint="default" w:ascii="Times New Roman" w:hAnsi="Times New Roman" w:eastAsia="宋体" w:cs="Times New Roman"/>
                <w:color w:val="auto"/>
                <w:vertAlign w:val="subscript"/>
              </w:rPr>
              <w:t>i</w:t>
            </w:r>
            <w:r>
              <w:rPr>
                <w:rFonts w:hint="default" w:ascii="Times New Roman" w:hAnsi="Times New Roman" w:eastAsia="宋体" w:cs="Times New Roman"/>
                <w:color w:val="auto"/>
              </w:rPr>
              <w:t>；第j个等效室外声源在预测点产生的A声级为L</w:t>
            </w:r>
            <w:r>
              <w:rPr>
                <w:rFonts w:hint="default" w:ascii="Times New Roman" w:hAnsi="Times New Roman" w:eastAsia="宋体" w:cs="Times New Roman"/>
                <w:color w:val="auto"/>
                <w:vertAlign w:val="subscript"/>
              </w:rPr>
              <w:t>Aj</w:t>
            </w:r>
            <w:r>
              <w:rPr>
                <w:rFonts w:hint="default" w:ascii="Times New Roman" w:hAnsi="Times New Roman" w:eastAsia="宋体" w:cs="Times New Roman"/>
                <w:color w:val="auto"/>
              </w:rPr>
              <w:t>，在T时间内该声源工作时间为t</w:t>
            </w:r>
            <w:r>
              <w:rPr>
                <w:rFonts w:hint="default" w:ascii="Times New Roman" w:hAnsi="Times New Roman" w:eastAsia="宋体" w:cs="Times New Roman"/>
                <w:color w:val="auto"/>
                <w:vertAlign w:val="subscript"/>
              </w:rPr>
              <w:t>j</w:t>
            </w:r>
            <w:r>
              <w:rPr>
                <w:rFonts w:hint="default" w:ascii="Times New Roman" w:hAnsi="Times New Roman" w:eastAsia="宋体" w:cs="Times New Roman"/>
                <w:color w:val="auto"/>
              </w:rPr>
              <w:t>，则拟建工程声源对预测点产生的贡献值（Leqg）为：</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4"/>
              </w:rPr>
              <w:object>
                <v:shape id="_x0000_i1031" o:spt="75" type="#_x0000_t75" style="height:40.1pt;width:205.1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eqg</w:t>
            </w:r>
            <w:r>
              <w:rPr>
                <w:rFonts w:hint="default" w:ascii="Times New Roman" w:hAnsi="Times New Roman" w:eastAsia="宋体" w:cs="Times New Roman"/>
                <w:color w:val="auto"/>
              </w:rPr>
              <w:t>——建设项目声源在预测点产生的噪声贡献值，dB；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 ——用于计算等效声级的时间，s；</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N ——室外声源个数；</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vertAlign w:val="subscript"/>
              </w:rPr>
              <w:t xml:space="preserve">i </w:t>
            </w:r>
            <w:r>
              <w:rPr>
                <w:rFonts w:hint="default" w:ascii="Times New Roman" w:hAnsi="Times New Roman" w:eastAsia="宋体" w:cs="Times New Roman"/>
                <w:color w:val="auto"/>
              </w:rPr>
              <w:t>——在T时间内i声源工作时间，s；</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M ——等效室外声源个数；</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vertAlign w:val="subscript"/>
              </w:rPr>
              <w:t xml:space="preserve">j  </w:t>
            </w:r>
            <w:r>
              <w:rPr>
                <w:rFonts w:hint="default" w:ascii="Times New Roman" w:hAnsi="Times New Roman" w:eastAsia="宋体" w:cs="Times New Roman"/>
                <w:color w:val="auto"/>
              </w:rPr>
              <w:t>——在T时间内j声源工作时间，s。</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④预测值计算</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预测点的贡献值和背景值按能量叠加方法计算得到的声级。</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噪声预测值（L</w:t>
            </w:r>
            <w:r>
              <w:rPr>
                <w:rFonts w:hint="default" w:ascii="Times New Roman" w:hAnsi="Times New Roman" w:eastAsia="宋体" w:cs="Times New Roman"/>
                <w:color w:val="auto"/>
                <w:vertAlign w:val="subscript"/>
              </w:rPr>
              <w:t>eq</w:t>
            </w:r>
            <w:r>
              <w:rPr>
                <w:rFonts w:hint="default" w:ascii="Times New Roman" w:hAnsi="Times New Roman" w:eastAsia="宋体" w:cs="Times New Roman"/>
                <w:color w:val="auto"/>
              </w:rPr>
              <w:t>）计算公式为：</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position w:val="-14"/>
              </w:rPr>
              <w:object>
                <v:shape id="_x0000_i1032" o:spt="75" type="#_x0000_t75" style="height:21.05pt;width:135.15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eq</w:t>
            </w:r>
            <w:r>
              <w:rPr>
                <w:rFonts w:hint="default" w:ascii="Times New Roman" w:hAnsi="Times New Roman" w:eastAsia="宋体" w:cs="Times New Roman"/>
                <w:color w:val="auto"/>
              </w:rPr>
              <w:t xml:space="preserve"> ——预测点的噪声预测值，dB；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eqg</w:t>
            </w:r>
            <w:r>
              <w:rPr>
                <w:rFonts w:hint="default" w:ascii="Times New Roman" w:hAnsi="Times New Roman" w:eastAsia="宋体" w:cs="Times New Roman"/>
                <w:color w:val="auto"/>
              </w:rPr>
              <w:t xml:space="preserve"> ——建设项目声源在预测点产生的噪声贡献值，dB；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eqb</w:t>
            </w:r>
            <w:r>
              <w:rPr>
                <w:rFonts w:hint="default" w:ascii="Times New Roman" w:hAnsi="Times New Roman" w:eastAsia="宋体" w:cs="Times New Roman"/>
                <w:color w:val="auto"/>
              </w:rPr>
              <w:t xml:space="preserve"> ——预测点的背景噪声值，dB。</w:t>
            </w:r>
          </w:p>
          <w:p>
            <w:pPr>
              <w:pStyle w:val="141"/>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根据公式计算，厂界噪声影响预测结果见表4.2-1</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w:t>
            </w:r>
          </w:p>
          <w:p>
            <w:pPr>
              <w:tabs>
                <w:tab w:val="left" w:pos="4659"/>
              </w:tabs>
              <w:spacing w:before="120" w:beforeLine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表4.2-1</w:t>
            </w:r>
            <w:r>
              <w:rPr>
                <w:rFonts w:hint="default" w:ascii="Times New Roman" w:hAnsi="Times New Roman" w:eastAsia="宋体" w:cs="Times New Roman"/>
                <w:b/>
                <w:color w:val="auto"/>
                <w:lang w:val="en-US" w:eastAsia="zh-CN"/>
              </w:rPr>
              <w:t>4</w:t>
            </w:r>
            <w:r>
              <w:rPr>
                <w:rFonts w:hint="default" w:ascii="Times New Roman" w:hAnsi="Times New Roman" w:eastAsia="宋体" w:cs="Times New Roman"/>
                <w:b/>
                <w:color w:val="auto"/>
              </w:rPr>
              <w:t xml:space="preserve">   项目厂界噪声影响预测汇总表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1365"/>
              <w:gridCol w:w="2012"/>
              <w:gridCol w:w="1007"/>
              <w:gridCol w:w="1007"/>
              <w:gridCol w:w="162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886"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预测方位</w:t>
                  </w:r>
                </w:p>
              </w:tc>
              <w:tc>
                <w:tcPr>
                  <w:tcW w:w="800"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1179"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贡献值（dB(A)）</w:t>
                  </w:r>
                </w:p>
              </w:tc>
              <w:tc>
                <w:tcPr>
                  <w:tcW w:w="1180" w:type="pct"/>
                  <w:gridSpan w:val="2"/>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标准限值（dB(A)）</w:t>
                  </w:r>
                </w:p>
              </w:tc>
              <w:tc>
                <w:tcPr>
                  <w:tcW w:w="953"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86"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800"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117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953"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800" w:type="pct"/>
                  <w:tcBorders>
                    <w:tl2br w:val="nil"/>
                    <w:tr2bl w:val="nil"/>
                  </w:tcBorders>
                  <w:shd w:val="clear" w:color="auto" w:fill="FFFFFF"/>
                  <w:vAlign w:val="center"/>
                </w:tcPr>
                <w:p>
                  <w:pPr>
                    <w:pStyle w:val="18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42.49</w:t>
                  </w: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800" w:type="pct"/>
                  <w:tcBorders>
                    <w:tl2br w:val="nil"/>
                    <w:tr2bl w:val="nil"/>
                  </w:tcBorders>
                  <w:shd w:val="clear" w:color="auto" w:fill="FFFFFF"/>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47.3</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800" w:type="pct"/>
                  <w:tcBorders>
                    <w:tl2br w:val="nil"/>
                    <w:tr2bl w:val="nil"/>
                  </w:tcBorders>
                  <w:shd w:val="clear" w:color="auto" w:fill="FFFFFF"/>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41.86</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800" w:type="pct"/>
                  <w:tcBorders>
                    <w:tl2br w:val="nil"/>
                    <w:tr2bl w:val="nil"/>
                  </w:tcBorders>
                  <w:shd w:val="clear" w:color="auto" w:fill="FFFFFF"/>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47.68</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由上表可知，本项目投产后正常运行过程中对厂界的噪声贡献值可以满足《工业企业厂界环境噪声排放标准》（GB12348-2008）3类标准，正常生产时不会造成噪声污染，声环境影响可以接受。</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4.2.3.3 噪声治理措施可行性分析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根据对本项目运营期噪声环境影响分析可得：各厂界可达到《工业企业厂界环境噪声排放标准》（GB 12348-2008）中相应标准限值。因此项目运营后产生的噪声对周边声环境产生影响较小。但厂方应对高噪声设备采取减震等综合措施进行降噪，加大设备用房的隔声效果，确保厂界噪声达标排放。本次环评建议厂方采取以下措施来减小噪声对外界环境的影响：</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（1）厂区设备应合理布局，尽可能使高噪声设备远离居民敏感点，减少噪声对居民生活的影响。</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设备的安装、调试、使用和维护管理。建立设备使用档案，做好日常维护保养，使其处于良好的工况下运行。正确的安装、调试、使用，良好的润滑和合理有效的检修，积极应用各种设备状态监测和故障诊断技术，对运行的设备进行及时、合理而有效的维护保养，能有效防止零部件的松动、磨损和设备运转状态的劣化，从而减小摩擦和撞击振动所产生的噪声。综上，本项目运营期声防治措施基本可行。</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4.2.3.4监测要求</w:t>
            </w:r>
          </w:p>
          <w:p>
            <w:pPr>
              <w:pStyle w:val="168"/>
              <w:rPr>
                <w:rFonts w:hint="default" w:ascii="Times New Roman" w:hAnsi="Times New Roman" w:eastAsia="宋体" w:cs="Times New Roman"/>
                <w:color w:val="auto"/>
              </w:rPr>
            </w:pPr>
            <w:r>
              <w:rPr>
                <w:rFonts w:hint="default" w:ascii="Times New Roman" w:hAnsi="Times New Roman" w:eastAsia="宋体" w:cs="Times New Roman"/>
                <w:color w:val="auto"/>
              </w:rPr>
              <w:t>根据《排污许可证申请与核发技术规范 工业噪声》（HJ 1301-2023），项目声环境监测计划见表4.2-1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p>
            <w:pPr>
              <w:pStyle w:val="168"/>
              <w:spacing w:before="120" w:beforeLines="50"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表4.2-1</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 xml:space="preserve">  声环境监测计划内容一览表</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2"/>
              <w:gridCol w:w="2563"/>
              <w:gridCol w:w="1862"/>
              <w:gridCol w:w="1756"/>
              <w:gridCol w:w="1137"/>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1502"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109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1029"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6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502"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东、西、南、北厂界外1m</w:t>
                  </w:r>
                </w:p>
              </w:tc>
              <w:tc>
                <w:tcPr>
                  <w:tcW w:w="109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等效连续A声级</w:t>
                  </w:r>
                </w:p>
              </w:tc>
              <w:tc>
                <w:tcPr>
                  <w:tcW w:w="1029"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bl>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4.2.4 运营期固废影响分析和防范措施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4.2.4.1 固废种类</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项目固废主要为生产过程中产生的一般工业固废（废包装袋、废边角料）、危险废物（废胶粘剂、有毒有害废包装桶、槽渣、防锈槽液、隔油池浮油、污泥、废活性炭）和员工生活垃圾。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（1）一般工业固废</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废包装袋：本项目需新增使用无磷除油粉、防锈粉等原辅材料，合计3.46t/a，会产生废包装袋，以每袋25kg计，全年共产生包装袋139只，每个包装袋重约150g，则包装袋产生量0.02t/a，属于一般固废，集中收集后外售。</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废边角料：根据物料平衡核算、本项目废边角料产生量为</w:t>
            </w:r>
            <w:r>
              <w:rPr>
                <w:rFonts w:hint="eastAsia" w:cs="Times New Roman"/>
                <w:color w:val="auto"/>
                <w:lang w:val="en-US" w:eastAsia="zh-CN"/>
              </w:rPr>
              <w:t>85.781</w:t>
            </w:r>
            <w:r>
              <w:rPr>
                <w:rFonts w:hint="default" w:ascii="Times New Roman" w:hAnsi="Times New Roman" w:eastAsia="宋体" w:cs="Times New Roman"/>
                <w:color w:val="auto"/>
              </w:rPr>
              <w:t>t/a，属于一般固废，集中收集后外售。</w:t>
            </w:r>
          </w:p>
          <w:p>
            <w:pPr>
              <w:numPr>
                <w:ilvl w:val="0"/>
                <w:numId w:val="5"/>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废胶粘剂：项目涂胶过程会使用金属橡胶胶粘剂过程中会产生少许废胶粘剂，废胶粘剂产生量约为金属橡胶胶粘剂用量的2%，本项目胶粘剂用量为1.425t/a，则废胶粘剂产生量为0.03t/a。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有毒有害废包装物：本项目生产过程中会产生一定量混炼胶、金属橡胶胶粘剂(热硫化胶黏剂)、软化剂、隔离剂原辅料废包装桶。根据建设单位提供的资料，混炼胶用量77.28t/a，以每桶200kg计，全年共产生包装桶387个，每个包装桶重约2kg，则包装桶年产生量0.77t/a；金属橡胶胶粘剂(热硫化胶黏剂)、软化剂、隔离剂等用量9.155t/a，以每桶25kg计，全年共产生包装桶367个，每个包装桶重约0.5kg，则包装桶年产生量0.18t/a。故全厂有毒有害废包装桶的产生量约为0.95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槽渣：本项目除油、防锈等槽液需定期清渣，类比同类金属件除油、清洗工艺的行业槽渣产污情况，项目工艺槽槽渣年产生量约1t/a。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废防锈槽液：本项目防锈槽液循环使用，每年更换一次，单个防锈槽液为1.32m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，则产生废防锈槽液约2.64t/a。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隔油池浮油：本项目生产废水需经过隔油池处理，去除废水表面浮油后再进行后续处理，根据项目污水石油类去除率计算，隔油池浮油年产生量约0.0</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4t/a。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污泥：本项目生产废水经厂内预处理后排入市政管网，根据项目污水悬浮物去除率计算，废水处理设施绝干污泥产生量约0.</w:t>
            </w:r>
            <w:r>
              <w:rPr>
                <w:rFonts w:hint="default" w:ascii="Times New Roman" w:hAnsi="Times New Roman" w:eastAsia="宋体" w:cs="Times New Roman"/>
                <w:color w:val="auto"/>
                <w:lang w:val="en-US" w:eastAsia="zh-CN"/>
              </w:rPr>
              <w:t>157</w:t>
            </w:r>
            <w:r>
              <w:rPr>
                <w:rFonts w:hint="default" w:ascii="Times New Roman" w:hAnsi="Times New Roman" w:eastAsia="宋体" w:cs="Times New Roman"/>
                <w:color w:val="auto"/>
              </w:rPr>
              <w:t>t/a，项目产生污泥脱水后含水率约60%，则污泥量约为0.</w:t>
            </w:r>
            <w:r>
              <w:rPr>
                <w:rFonts w:hint="default" w:ascii="Times New Roman" w:hAnsi="Times New Roman" w:eastAsia="宋体" w:cs="Times New Roman"/>
                <w:color w:val="auto"/>
                <w:lang w:val="en-US" w:eastAsia="zh-CN"/>
              </w:rPr>
              <w:t>262</w:t>
            </w:r>
            <w:r>
              <w:rPr>
                <w:rFonts w:hint="default" w:ascii="Times New Roman" w:hAnsi="Times New Roman" w:eastAsia="宋体" w:cs="Times New Roman"/>
                <w:color w:val="auto"/>
              </w:rPr>
              <w:t>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废活性炭：项目有机废气采用活性炭吸附装置进行处理，活性炭吸附有机废气一段时间内后饱和，需要更换，产生废活性炭。参考《关于指导大气污染治理项目入库工作的通知》（粤环办〔2021〕92号）：“颗粒炭取值10%，纤维状活性炭取值15%；蜂窝状活性炭取值20%”，本项目拟设置3t</w:t>
            </w:r>
            <w:r>
              <w:rPr>
                <w:rFonts w:hint="default" w:ascii="Times New Roman" w:hAnsi="Times New Roman" w:eastAsia="宋体" w:cs="Times New Roman"/>
                <w:color w:val="auto"/>
                <w:lang w:val="en-US" w:eastAsia="zh-CN"/>
              </w:rPr>
              <w:t>和1t</w:t>
            </w:r>
            <w:r>
              <w:rPr>
                <w:rFonts w:hint="default" w:ascii="Times New Roman" w:hAnsi="Times New Roman" w:eastAsia="宋体" w:cs="Times New Roman"/>
                <w:color w:val="auto"/>
              </w:rPr>
              <w:t>填充量的蜂窝活性炭箱，保守取值以每千克活性炭动态吸附量为15%计，根据4.2.1.1章节分析，</w:t>
            </w:r>
            <w:r>
              <w:rPr>
                <w:rFonts w:hint="default" w:ascii="Times New Roman" w:hAnsi="Times New Roman" w:eastAsia="宋体" w:cs="Times New Roman"/>
                <w:color w:val="auto"/>
                <w:lang w:val="en-US" w:eastAsia="zh-CN"/>
              </w:rPr>
              <w:t>橡胶软化、</w:t>
            </w:r>
            <w:r>
              <w:rPr>
                <w:rFonts w:hint="eastAsia" w:cs="Times New Roman"/>
                <w:color w:val="auto"/>
                <w:lang w:val="en-US" w:eastAsia="zh-CN"/>
              </w:rPr>
              <w:t>研磨、</w:t>
            </w:r>
            <w:r>
              <w:rPr>
                <w:rFonts w:hint="default" w:ascii="Times New Roman" w:hAnsi="Times New Roman" w:eastAsia="宋体" w:cs="Times New Roman"/>
                <w:color w:val="auto"/>
                <w:lang w:val="en-US" w:eastAsia="zh-CN"/>
              </w:rPr>
              <w:t>涂覆及烘干</w:t>
            </w:r>
            <w:r>
              <w:rPr>
                <w:rFonts w:hint="default" w:ascii="Times New Roman" w:hAnsi="Times New Roman" w:eastAsia="宋体" w:cs="Times New Roman"/>
                <w:color w:val="auto"/>
              </w:rPr>
              <w:t>挥发性有机物废气收集量为</w:t>
            </w:r>
            <w:r>
              <w:rPr>
                <w:rFonts w:hint="default" w:ascii="Times New Roman" w:hAnsi="Times New Roman" w:eastAsia="宋体" w:cs="Times New Roman"/>
                <w:color w:val="auto"/>
                <w:lang w:val="en-US" w:eastAsia="zh-CN"/>
              </w:rPr>
              <w:t>6.048</w:t>
            </w:r>
            <w:r>
              <w:rPr>
                <w:rFonts w:hint="default" w:ascii="Times New Roman" w:hAnsi="Times New Roman" w:eastAsia="宋体" w:cs="Times New Roman"/>
                <w:color w:val="auto"/>
              </w:rPr>
              <w:t>t/a，</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、硫化、隔离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挥发性有机物废气收集量为</w:t>
            </w:r>
            <w:r>
              <w:rPr>
                <w:rFonts w:hint="default" w:ascii="Times New Roman" w:hAnsi="Times New Roman" w:eastAsia="宋体" w:cs="Times New Roman"/>
                <w:color w:val="auto"/>
                <w:lang w:val="en-US" w:eastAsia="zh-CN"/>
              </w:rPr>
              <w:t>1.064</w:t>
            </w:r>
            <w:r>
              <w:rPr>
                <w:rFonts w:hint="default" w:ascii="Times New Roman" w:hAnsi="Times New Roman" w:eastAsia="宋体" w:cs="Times New Roman"/>
                <w:color w:val="auto"/>
              </w:rPr>
              <w:t>t/a，处理效率为80%，则本项目共有</w:t>
            </w:r>
            <w:r>
              <w:rPr>
                <w:rFonts w:hint="default" w:ascii="Times New Roman" w:hAnsi="Times New Roman" w:eastAsia="宋体" w:cs="Times New Roman"/>
                <w:color w:val="auto"/>
                <w:lang w:val="en-US" w:eastAsia="zh-CN"/>
              </w:rPr>
              <w:t>5.69</w:t>
            </w:r>
            <w:r>
              <w:rPr>
                <w:rFonts w:hint="default" w:ascii="Times New Roman" w:hAnsi="Times New Roman" w:eastAsia="宋体" w:cs="Times New Roman"/>
                <w:color w:val="auto"/>
              </w:rPr>
              <w:t>t有机废气被吸附处理，活性炭用量为</w:t>
            </w:r>
            <w:r>
              <w:rPr>
                <w:rFonts w:hint="default" w:ascii="Times New Roman" w:hAnsi="Times New Roman" w:eastAsia="宋体" w:cs="Times New Roman"/>
                <w:color w:val="auto"/>
                <w:lang w:val="en-US" w:eastAsia="zh-CN"/>
              </w:rPr>
              <w:t>37.933</w:t>
            </w:r>
            <w:r>
              <w:rPr>
                <w:rFonts w:hint="default" w:ascii="Times New Roman" w:hAnsi="Times New Roman" w:eastAsia="宋体" w:cs="Times New Roman"/>
                <w:color w:val="auto"/>
              </w:rPr>
              <w:t>t/a，故项目废活性炭产生量约</w:t>
            </w:r>
            <w:r>
              <w:rPr>
                <w:rFonts w:hint="default" w:ascii="Times New Roman" w:hAnsi="Times New Roman" w:eastAsia="宋体" w:cs="Times New Roman"/>
                <w:color w:val="auto"/>
                <w:lang w:val="en-US" w:eastAsia="zh-CN"/>
              </w:rPr>
              <w:t>43.623</w:t>
            </w:r>
            <w:r>
              <w:rPr>
                <w:rFonts w:hint="default" w:ascii="Times New Roman" w:hAnsi="Times New Roman" w:eastAsia="宋体" w:cs="Times New Roman"/>
                <w:color w:val="auto"/>
              </w:rPr>
              <w:t>t/a。</w:t>
            </w:r>
          </w:p>
          <w:p>
            <w:pPr>
              <w:topLinePunct/>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T=m×s÷(c×10</w:t>
            </w:r>
            <w:r>
              <w:rPr>
                <w:rFonts w:hint="default" w:ascii="Times New Roman" w:hAnsi="Times New Roman" w:eastAsia="宋体" w:cs="Times New Roman"/>
                <w:color w:val="auto"/>
                <w:vertAlign w:val="superscript"/>
              </w:rPr>
              <w:t>-6</w:t>
            </w:r>
            <w:r>
              <w:rPr>
                <w:rFonts w:hint="default" w:ascii="Times New Roman" w:hAnsi="Times New Roman" w:eastAsia="宋体" w:cs="Times New Roman"/>
                <w:color w:val="auto"/>
              </w:rPr>
              <w:t>×Q×t)</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T-更换周期，d；</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m-活性炭的用量，kg，本项目取值3000kg、</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00kg；</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s-动态吸附量，%，本项目取值15%；</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c-活性炭削减的VOCs浓度，mg/m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，经前文分析，本项目取值3</w:t>
            </w:r>
            <w:r>
              <w:rPr>
                <w:rFonts w:hint="default" w:ascii="Times New Roman" w:hAnsi="Times New Roman" w:eastAsia="宋体" w:cs="Times New Roman"/>
                <w:color w:val="auto"/>
                <w:lang w:val="en-US" w:eastAsia="zh-CN"/>
              </w:rPr>
              <w:t>7.4</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7.9</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Q-风量，m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/h，本项目配套风机风量18000m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/h、15000m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t-运行时间，h/d，本项目运行时间为24h/d。</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为保证处理设施的去除效率，应及时更换饱和的活性炭，本项目拟设置1个3t填充量的活性炭箱处理</w:t>
            </w:r>
            <w:r>
              <w:rPr>
                <w:rFonts w:hint="default" w:ascii="Times New Roman" w:hAnsi="Times New Roman" w:eastAsia="宋体" w:cs="Times New Roman"/>
                <w:color w:val="auto"/>
                <w:lang w:val="en-US" w:eastAsia="zh-CN"/>
              </w:rPr>
              <w:t>橡胶软化、</w:t>
            </w:r>
            <w:r>
              <w:rPr>
                <w:rFonts w:hint="eastAsia" w:cs="Times New Roman"/>
                <w:color w:val="auto"/>
                <w:lang w:val="en-US" w:eastAsia="zh-CN"/>
              </w:rPr>
              <w:t>研磨、</w:t>
            </w:r>
            <w:r>
              <w:rPr>
                <w:rFonts w:hint="default" w:ascii="Times New Roman" w:hAnsi="Times New Roman" w:eastAsia="宋体" w:cs="Times New Roman"/>
                <w:color w:val="auto"/>
                <w:lang w:val="en-US" w:eastAsia="zh-CN"/>
              </w:rPr>
              <w:t>涂覆及烘干</w:t>
            </w:r>
            <w:r>
              <w:rPr>
                <w:rFonts w:hint="default" w:ascii="Times New Roman" w:hAnsi="Times New Roman" w:eastAsia="宋体" w:cs="Times New Roman"/>
                <w:color w:val="auto"/>
              </w:rPr>
              <w:t>废气，根据上式计算，更换周期为</w:t>
            </w:r>
            <w:r>
              <w:rPr>
                <w:rFonts w:hint="default" w:ascii="Times New Roman" w:hAnsi="Times New Roman" w:eastAsia="宋体" w:cs="Times New Roman"/>
                <w:color w:val="auto"/>
                <w:lang w:val="en-US" w:eastAsia="zh-CN"/>
              </w:rPr>
              <w:t>28</w:t>
            </w:r>
            <w:r>
              <w:rPr>
                <w:rFonts w:hint="default" w:ascii="Times New Roman" w:hAnsi="Times New Roman" w:eastAsia="宋体" w:cs="Times New Roman"/>
                <w:color w:val="auto"/>
              </w:rPr>
              <w:t>天。拟设置1个</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t填充量的活性炭箱处理</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废气，根据上式计算，更换周期为</w:t>
            </w:r>
            <w:r>
              <w:rPr>
                <w:rFonts w:hint="default" w:ascii="Times New Roman" w:hAnsi="Times New Roman" w:eastAsia="宋体" w:cs="Times New Roman"/>
                <w:color w:val="auto"/>
                <w:lang w:val="en-US" w:eastAsia="zh-CN"/>
              </w:rPr>
              <w:t>53</w:t>
            </w:r>
            <w:r>
              <w:rPr>
                <w:rFonts w:hint="default" w:ascii="Times New Roman" w:hAnsi="Times New Roman" w:eastAsia="宋体" w:cs="Times New Roman"/>
                <w:color w:val="auto"/>
              </w:rPr>
              <w:t>天。</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（3）生活垃圾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项目职工定员8人，均不住厂。参照我国生活垃圾排放系数，住厂职工计算为1kg/（人·天）、不住厂职工减半计算为0.5kg/（人·天），年工作日300天，则项目生活垃圾产生量为1.2t/a。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本项目固废源强见表4.2-1</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p>
          <w:p>
            <w:pPr>
              <w:spacing w:before="120" w:beforeLines="50"/>
              <w:jc w:val="center"/>
              <w:rPr>
                <w:rFonts w:hint="default" w:ascii="Times New Roman" w:hAnsi="Times New Roman" w:eastAsia="宋体" w:cs="Times New Roman"/>
                <w:b/>
                <w:snapToGrid w:val="0"/>
                <w:color w:val="auto"/>
                <w:kern w:val="0"/>
              </w:rPr>
            </w:pPr>
            <w:r>
              <w:rPr>
                <w:rFonts w:hint="default" w:ascii="Times New Roman" w:hAnsi="Times New Roman" w:eastAsia="宋体" w:cs="Times New Roman"/>
                <w:b/>
                <w:snapToGrid w:val="0"/>
                <w:color w:val="auto"/>
                <w:kern w:val="0"/>
              </w:rPr>
              <w:t>表4.2-1</w:t>
            </w:r>
            <w:r>
              <w:rPr>
                <w:rFonts w:hint="default" w:ascii="Times New Roman" w:hAnsi="Times New Roman" w:eastAsia="宋体" w:cs="Times New Roman"/>
                <w:b/>
                <w:snapToGrid w:val="0"/>
                <w:color w:val="auto"/>
                <w:kern w:val="0"/>
                <w:lang w:val="en-US" w:eastAsia="zh-CN"/>
              </w:rPr>
              <w:t>6</w:t>
            </w:r>
            <w:r>
              <w:rPr>
                <w:rFonts w:hint="default" w:ascii="Times New Roman" w:hAnsi="Times New Roman" w:eastAsia="宋体" w:cs="Times New Roman"/>
                <w:b/>
                <w:snapToGrid w:val="0"/>
                <w:color w:val="auto"/>
                <w:kern w:val="0"/>
              </w:rPr>
              <w:t xml:space="preserve">  固体污染源源强核算结果及相关参数一览表</w:t>
            </w:r>
          </w:p>
          <w:tbl>
            <w:tblPr>
              <w:tblStyle w:val="32"/>
              <w:tblW w:w="4998"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6"/>
              <w:gridCol w:w="1339"/>
              <w:gridCol w:w="866"/>
              <w:gridCol w:w="1313"/>
              <w:gridCol w:w="1072"/>
              <w:gridCol w:w="739"/>
              <w:gridCol w:w="796"/>
              <w:gridCol w:w="868"/>
              <w:gridCol w:w="881"/>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固废类别</w:t>
                  </w:r>
                </w:p>
              </w:tc>
              <w:tc>
                <w:tcPr>
                  <w:tcW w:w="784"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固体废物名称</w:t>
                  </w:r>
                </w:p>
              </w:tc>
              <w:tc>
                <w:tcPr>
                  <w:tcW w:w="507"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产生工序</w:t>
                  </w:r>
                </w:p>
              </w:tc>
              <w:tc>
                <w:tcPr>
                  <w:tcW w:w="769"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废物代码</w:t>
                  </w:r>
                </w:p>
              </w:tc>
              <w:tc>
                <w:tcPr>
                  <w:tcW w:w="628"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主要成分</w:t>
                  </w:r>
                </w:p>
              </w:tc>
              <w:tc>
                <w:tcPr>
                  <w:tcW w:w="433"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环境危险特征</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产生量</w:t>
                  </w:r>
                </w:p>
              </w:tc>
              <w:tc>
                <w:tcPr>
                  <w:tcW w:w="508"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利用处置措施</w:t>
                  </w:r>
                </w:p>
              </w:tc>
              <w:tc>
                <w:tcPr>
                  <w:tcW w:w="516"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最终去向</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507"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69"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628"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433"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 xml:space="preserve"> t/a</w:t>
                  </w:r>
                </w:p>
              </w:tc>
              <w:tc>
                <w:tcPr>
                  <w:tcW w:w="508"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废包装袋</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原料包装</w:t>
                  </w:r>
                </w:p>
              </w:tc>
              <w:tc>
                <w:tcPr>
                  <w:tcW w:w="769" w:type="pct"/>
                  <w:tcBorders>
                    <w:tl2br w:val="nil"/>
                    <w:tr2bl w:val="nil"/>
                  </w:tcBorders>
                  <w:vAlign w:val="center"/>
                </w:tcPr>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900-099-S59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508" w:type="pct"/>
                  <w:vMerge w:val="restart"/>
                  <w:tcBorders>
                    <w:tl2br w:val="nil"/>
                    <w:tr2bl w:val="nil"/>
                  </w:tcBorders>
                  <w:vAlign w:val="center"/>
                </w:tcPr>
                <w:p>
                  <w:pPr>
                    <w:widowControl/>
                    <w:bidi/>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一般固废贮存间</w:t>
                  </w:r>
                </w:p>
              </w:tc>
              <w:tc>
                <w:tcPr>
                  <w:tcW w:w="516"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外售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废边角料</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冲压</w:t>
                  </w:r>
                </w:p>
              </w:tc>
              <w:tc>
                <w:tcPr>
                  <w:tcW w:w="769" w:type="pct"/>
                  <w:tcBorders>
                    <w:tl2br w:val="nil"/>
                    <w:tr2bl w:val="nil"/>
                  </w:tcBorders>
                  <w:vAlign w:val="center"/>
                </w:tcPr>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900-099-S59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铁、钢、橡胶</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85.781</w:t>
                  </w:r>
                </w:p>
              </w:tc>
              <w:tc>
                <w:tcPr>
                  <w:tcW w:w="508"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zh-CN" w:bidi="ar"/>
                    </w:rPr>
                    <w:t>3</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危险废物</w:t>
                  </w: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废胶粘剂</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涂胶</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HW13</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900-014-13</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胶装机</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508"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危险废物贮存库</w:t>
                  </w:r>
                </w:p>
              </w:tc>
              <w:tc>
                <w:tcPr>
                  <w:tcW w:w="516"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定期委托有资质公司清运处置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有毒有害废包装桶</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原辅料包装</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HW49</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900-041-49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橡胶、胶粘剂、软化剂、隔离剂等</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T/In</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0.95</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槽渣</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除油清洗</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HW17</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336-064-17</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金属边角料、除油剂等</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T/C</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防锈槽液</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防锈</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HW17</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336-064-17</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亚硝酸钠</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T/C</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2.64</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隔油池浮油</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废水处理</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HW08</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900-210-08</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石油类</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T,I</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4</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污泥</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废水处理</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HW17</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336-064-17</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悬浮物</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T/C</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262</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废活性炭</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废气处理装置</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HW49 900-039-49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活性炭、有机废气</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43.623</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生活垃圾</w:t>
                  </w: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生活垃圾</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办公生活区</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纸张、废塑料</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0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生活垃圾桶</w:t>
                  </w:r>
                </w:p>
              </w:tc>
              <w:tc>
                <w:tcPr>
                  <w:tcW w:w="51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环卫集中处置</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4.2.4.2固体废物管理要求 </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（1）一般工业固体废物的贮存和管理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根据国家《一般工业固体废物贮存和填埋污染控制标准》（GB 18599-2020）中的要求，一般工业固体废物的贮存和管理应做到：</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①暂存场所的建设类型，必须与将要堆放的一般工业固体废物的类别一致；</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②暂存场所应采取防止粉尘污染的措施；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③暂存场所周边应设置导流沟渠；</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③应设计渗滤集排水设施；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④为防止一般工业固体废物和渗滤液流失，应构筑堤、坝、挡土墙等设施；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⑤一般工业固体废物贮存、处置场，禁止危险废物和生活垃圾混入；</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⑥应建立检查维护制度、档案制度；</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⑦贮存场所的环境保护图形标志，应按照规定进行检查和维护。</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（2）危险废物的贮存和管理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本项目拟建设1个面积为10m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的危险废物贮存库，用于暂存生产过程中产生的危险废物。根据《危险废物贮存污染控制标准》(GB18597-2023)，危险废物具体环境管理要求如下：</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①危险废物的收集容器和临时贮存场所应严格按照《危险废物贮存污染控制标准》（GB 18597-2023）中的有关规定执行。贮存设施或场所、容器和包装物应按HJ 1276要求设置危险废物贮存设施或场所标志、危险废物贮存分区标志和危险废物标签等危险废物识别标志。</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危险废物临时贮存的几点要求：</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A、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B、按《危险废物识别标志设置技术规范》（HJ 1276-2022）在收集场所醒目的地方设置危险废物警告标识。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C、由专人负责管理。危险废物按不同名录分类分区堆放，并做好隔离、防水、防晒、防雨、防渗、防火处理。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D、应配备通讯设备、照明设施、安全防护服装及工具，并设有报警装置和应急防护设施。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E、贮存区内禁止混放不相容危险废物；禁止危险废物混入非危险废物中贮存；危险废物按种类分别存放，且不同类废物间有明显的间隔（如过道等）。</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F、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cm/s），或至少2mm厚高密度聚乙烯膜等人工防渗材料（渗透系数不大于10</w:t>
            </w:r>
            <w:r>
              <w:rPr>
                <w:rFonts w:hint="default" w:ascii="Times New Roman" w:hAnsi="Times New Roman" w:eastAsia="宋体" w:cs="Times New Roman"/>
                <w:color w:val="auto"/>
                <w:vertAlign w:val="superscript"/>
              </w:rPr>
              <w:t>-10</w:t>
            </w:r>
            <w:r>
              <w:rPr>
                <w:rFonts w:hint="default" w:ascii="Times New Roman" w:hAnsi="Times New Roman" w:eastAsia="宋体" w:cs="Times New Roman"/>
                <w:color w:val="auto"/>
              </w:rPr>
              <w:t>cm/s），或其他防渗性能等效的材料。</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建立危废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GB 18597-2023）要求执行。建设单位应强化废物产生、收集、贮放各环节的管理，各种固体废物按照类别分类存放，杜绝固体废物在厂区内散失、渗漏，达到无害化的目的，避免产生二次污染。</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危险废物的运输应保证运输安全，防止非法转移和非法处置，保证危险废物的安全监控，防止危险废物污染事故发生。</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③应将危险废物提供或者委托给有危险废物经营许可证的单位从事利用和处置，并签订处置合同。同时应加强对运输单位及处置单位的跟踪检查，控制运输过程中的环境风险。</w:t>
            </w:r>
          </w:p>
          <w:p>
            <w:pPr>
              <w:autoSpaceDE w:val="0"/>
              <w:autoSpaceDN w:val="0"/>
              <w:spacing w:line="360" w:lineRule="auto"/>
              <w:jc w:val="center"/>
              <w:rPr>
                <w:rFonts w:hint="default" w:ascii="Times New Roman" w:hAnsi="Times New Roman" w:eastAsia="宋体" w:cs="Times New Roman"/>
                <w:b/>
                <w:bCs/>
                <w:color w:val="auto"/>
                <w:lang w:val="zh-CN" w:bidi="zh-CN"/>
              </w:rPr>
            </w:pPr>
            <w:r>
              <w:rPr>
                <w:rFonts w:hint="default" w:ascii="Times New Roman" w:hAnsi="Times New Roman" w:eastAsia="宋体" w:cs="Times New Roman"/>
                <w:b/>
                <w:bCs/>
                <w:color w:val="auto"/>
                <w:lang w:val="zh-CN" w:bidi="zh-CN"/>
              </w:rPr>
              <w:t>表4.2-1</w:t>
            </w:r>
            <w:r>
              <w:rPr>
                <w:rFonts w:hint="default" w:ascii="Times New Roman" w:hAnsi="Times New Roman" w:eastAsia="宋体" w:cs="Times New Roman"/>
                <w:b/>
                <w:bCs/>
                <w:color w:val="auto"/>
                <w:lang w:val="en-US" w:eastAsia="zh-CN" w:bidi="zh-CN"/>
              </w:rPr>
              <w:t>7</w:t>
            </w:r>
            <w:r>
              <w:rPr>
                <w:rFonts w:hint="default" w:ascii="Times New Roman" w:hAnsi="Times New Roman" w:eastAsia="宋体" w:cs="Times New Roman"/>
                <w:b/>
                <w:bCs/>
                <w:color w:val="auto"/>
                <w:lang w:val="zh-CN" w:bidi="zh-CN"/>
              </w:rPr>
              <w:t xml:space="preserve"> 项目危险废物分类贮存与处置管理要求表</w:t>
            </w:r>
          </w:p>
          <w:tbl>
            <w:tblPr>
              <w:tblStyle w:val="32"/>
              <w:tblW w:w="4994"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1083"/>
              <w:gridCol w:w="1124"/>
              <w:gridCol w:w="867"/>
              <w:gridCol w:w="1174"/>
              <w:gridCol w:w="1107"/>
              <w:gridCol w:w="783"/>
              <w:gridCol w:w="776"/>
              <w:gridCol w:w="792"/>
              <w:gridCol w:w="81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20" w:hRule="atLeast"/>
                <w:jc w:val="center"/>
              </w:trPr>
              <w:tc>
                <w:tcPr>
                  <w:tcW w:w="63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贮存场所（设施）名称</w:t>
                  </w:r>
                </w:p>
              </w:tc>
              <w:tc>
                <w:tcPr>
                  <w:tcW w:w="65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危险废物名称</w:t>
                  </w:r>
                </w:p>
              </w:tc>
              <w:tc>
                <w:tcPr>
                  <w:tcW w:w="508"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危废类别</w:t>
                  </w:r>
                </w:p>
              </w:tc>
              <w:tc>
                <w:tcPr>
                  <w:tcW w:w="688"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危废代码</w:t>
                  </w:r>
                </w:p>
              </w:tc>
              <w:tc>
                <w:tcPr>
                  <w:tcW w:w="64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45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占地面积m</w:t>
                  </w:r>
                  <w:r>
                    <w:rPr>
                      <w:rFonts w:hint="default" w:ascii="Times New Roman" w:hAnsi="Times New Roman" w:eastAsia="宋体" w:cs="Times New Roman"/>
                      <w:color w:val="auto"/>
                      <w:sz w:val="21"/>
                      <w:szCs w:val="21"/>
                      <w:vertAlign w:val="superscript"/>
                    </w:rPr>
                    <w:t>2</w:t>
                  </w: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贮存方式</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贮存能力</w:t>
                  </w:r>
                  <w:r>
                    <w:rPr>
                      <w:rFonts w:hint="default" w:ascii="Times New Roman" w:hAnsi="Times New Roman" w:eastAsia="宋体" w:cs="Times New Roman"/>
                      <w:color w:val="auto"/>
                      <w:sz w:val="21"/>
                      <w:szCs w:val="21"/>
                      <w:lang w:val="en-US" w:eastAsia="zh-CN"/>
                    </w:rPr>
                    <w:t>t</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贮存周期</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78" w:hRule="atLeast"/>
                <w:jc w:val="center"/>
              </w:trPr>
              <w:tc>
                <w:tcPr>
                  <w:tcW w:w="635" w:type="pct"/>
                  <w:vMerge w:val="restar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危险废物贮存库</w:t>
                  </w: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废活性炭</w:t>
                  </w:r>
                </w:p>
              </w:tc>
              <w:tc>
                <w:tcPr>
                  <w:tcW w:w="50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tc>
              <w:tc>
                <w:tcPr>
                  <w:tcW w:w="68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rPr>
                    <w:t>900-0</w:t>
                  </w:r>
                  <w:r>
                    <w:rPr>
                      <w:rFonts w:hint="default" w:ascii="Times New Roman" w:hAnsi="Times New Roman" w:eastAsia="宋体" w:cs="Times New Roman"/>
                      <w:color w:val="auto"/>
                      <w:szCs w:val="21"/>
                    </w:rPr>
                    <w:t>39</w:t>
                  </w:r>
                  <w:r>
                    <w:rPr>
                      <w:rFonts w:hint="default" w:ascii="Times New Roman" w:hAnsi="Times New Roman" w:eastAsia="宋体" w:cs="Times New Roman"/>
                      <w:color w:val="auto"/>
                      <w:szCs w:val="21"/>
                      <w:lang w:val="zh-CN"/>
                    </w:rPr>
                    <w:t>-49</w:t>
                  </w:r>
                </w:p>
              </w:tc>
              <w:tc>
                <w:tcPr>
                  <w:tcW w:w="649" w:type="pct"/>
                  <w:vMerge w:val="restar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厂区东北侧</w:t>
                  </w:r>
                </w:p>
              </w:tc>
              <w:tc>
                <w:tcPr>
                  <w:tcW w:w="459" w:type="pct"/>
                  <w:vMerge w:val="restar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季度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废胶粘剂</w:t>
                  </w:r>
                </w:p>
              </w:tc>
              <w:tc>
                <w:tcPr>
                  <w:tcW w:w="50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HW13</w:t>
                  </w:r>
                </w:p>
              </w:tc>
              <w:tc>
                <w:tcPr>
                  <w:tcW w:w="68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900-014-13</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有毒有害废包装桶</w:t>
                  </w:r>
                </w:p>
              </w:tc>
              <w:tc>
                <w:tcPr>
                  <w:tcW w:w="50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HW49</w:t>
                  </w:r>
                </w:p>
              </w:tc>
              <w:tc>
                <w:tcPr>
                  <w:tcW w:w="68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900-041-49</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防锈槽液、槽渣、污泥</w:t>
                  </w:r>
                </w:p>
              </w:tc>
              <w:tc>
                <w:tcPr>
                  <w:tcW w:w="50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HW17</w:t>
                  </w:r>
                </w:p>
              </w:tc>
              <w:tc>
                <w:tcPr>
                  <w:tcW w:w="68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336-064-17</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0.75</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季度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隔油池浮油</w:t>
                  </w:r>
                </w:p>
              </w:tc>
              <w:tc>
                <w:tcPr>
                  <w:tcW w:w="50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HW08</w:t>
                  </w:r>
                </w:p>
              </w:tc>
              <w:tc>
                <w:tcPr>
                  <w:tcW w:w="68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900-210-08</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2</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4.2.4.3 固体废物环境影响分析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生活垃圾在厂区垃圾收集点统一收集后由当地环卫部门及时外运处理；本项目产生的一般工业固废外售综合再利用；本项目产生的危险废物均委托有资质的单位进行处置。</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总体上分析，本项目固体废物均根据环评时段的具体要求，采取了相应的处置措施，只要建设单位认真落实本环评提出的各项固体废物处置措施，并按照固体废物的相关管理要求，加强各类固体废物的收集、分类储存、转移和处置管理，本工程全厂产生的固体废物均不会造成二次污染，因此对环境的影响很小。</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4.2.5 地下水、土壤环境影响分析</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4.2.5.1地下水环境影响分析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对照《环境影响评价技术导则 地下水环境》（HJ610-2016）附录A中“73汽车、摩托车资质”行业，属于“IV类项目”，可不进行地下水环境影响评价。</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4.2.5.2土壤环境影响分析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 土壤环境（试行）》（HJ964-2018）附录A（土壤环境影响评价项目类别表），项目属于“其他行业”，为IV类项目，可不开展土壤环境影响评价工作。</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4.2.6 运营期环境风险影响分析和防范措施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4.2.6.1评价等级</w:t>
            </w:r>
          </w:p>
          <w:p>
            <w:pPr>
              <w:pStyle w:val="164"/>
              <w:ind w:firstLine="480"/>
              <w:rPr>
                <w:rFonts w:hint="default" w:ascii="Times New Roman" w:hAnsi="Times New Roman" w:eastAsia="宋体" w:cs="Times New Roman"/>
                <w:color w:val="auto"/>
                <w:lang w:val="zh-CN" w:bidi="zh-CN"/>
              </w:rPr>
            </w:pPr>
            <w:r>
              <w:rPr>
                <w:rFonts w:hint="default" w:ascii="Times New Roman" w:hAnsi="Times New Roman" w:eastAsia="宋体" w:cs="Times New Roman"/>
                <w:color w:val="auto"/>
              </w:rPr>
              <w:t>对照《建设项目环境风险评价技术导则》(HJ 169-2018)附录B涉及的风险物质及临界量，</w:t>
            </w:r>
            <w:r>
              <w:rPr>
                <w:rFonts w:hint="default" w:ascii="Times New Roman" w:hAnsi="Times New Roman" w:eastAsia="宋体" w:cs="Times New Roman"/>
                <w:color w:val="auto"/>
                <w:lang w:val="zh-CN" w:bidi="zh-CN"/>
              </w:rPr>
              <w:t>项目涉及主要</w:t>
            </w:r>
            <w:r>
              <w:rPr>
                <w:rFonts w:hint="eastAsia" w:cs="Times New Roman"/>
                <w:color w:val="auto"/>
                <w:lang w:val="en-US" w:bidi="zh-CN"/>
              </w:rPr>
              <w:t>风险</w:t>
            </w:r>
            <w:r>
              <w:rPr>
                <w:rFonts w:hint="default" w:ascii="Times New Roman" w:hAnsi="Times New Roman" w:eastAsia="宋体" w:cs="Times New Roman"/>
                <w:color w:val="auto"/>
                <w:lang w:val="zh-CN" w:bidi="zh-CN"/>
              </w:rPr>
              <w:t>物质，确定</w:t>
            </w:r>
            <w:r>
              <w:rPr>
                <w:rFonts w:hint="eastAsia" w:cs="Times New Roman"/>
                <w:color w:val="auto"/>
                <w:lang w:val="en-US" w:bidi="zh-CN"/>
              </w:rPr>
              <w:t>风险</w:t>
            </w:r>
            <w:r>
              <w:rPr>
                <w:rFonts w:hint="default" w:ascii="Times New Roman" w:hAnsi="Times New Roman" w:eastAsia="宋体" w:cs="Times New Roman"/>
                <w:color w:val="auto"/>
                <w:lang w:val="zh-CN" w:bidi="zh-CN"/>
              </w:rPr>
              <w:t>物质数量与临界量的比值Q，见表</w:t>
            </w:r>
            <w:r>
              <w:rPr>
                <w:rFonts w:hint="default" w:ascii="Times New Roman" w:hAnsi="Times New Roman" w:eastAsia="宋体" w:cs="Times New Roman"/>
                <w:color w:val="auto"/>
                <w:lang w:bidi="zh-CN"/>
              </w:rPr>
              <w:t>4.2-</w:t>
            </w:r>
            <w:r>
              <w:rPr>
                <w:rFonts w:hint="default" w:ascii="Times New Roman" w:hAnsi="Times New Roman" w:eastAsia="宋体" w:cs="Times New Roman"/>
                <w:color w:val="auto"/>
                <w:lang w:val="en-US" w:bidi="zh-CN"/>
              </w:rPr>
              <w:t>20</w:t>
            </w:r>
            <w:r>
              <w:rPr>
                <w:rFonts w:hint="default" w:ascii="Times New Roman" w:hAnsi="Times New Roman" w:eastAsia="宋体" w:cs="Times New Roman"/>
                <w:color w:val="auto"/>
                <w:lang w:val="zh-CN" w:bidi="zh-CN"/>
              </w:rPr>
              <w:t>。</w:t>
            </w:r>
          </w:p>
          <w:p>
            <w:pPr>
              <w:autoSpaceDE w:val="0"/>
              <w:autoSpaceDN w:val="0"/>
              <w:spacing w:line="360" w:lineRule="auto"/>
              <w:jc w:val="center"/>
              <w:rPr>
                <w:rFonts w:hint="default" w:ascii="Times New Roman" w:hAnsi="Times New Roman" w:eastAsia="宋体" w:cs="Times New Roman"/>
                <w:b/>
                <w:bCs/>
                <w:color w:val="auto"/>
                <w:lang w:val="zh-CN" w:bidi="zh-CN"/>
              </w:rPr>
            </w:pPr>
            <w:r>
              <w:rPr>
                <w:rFonts w:hint="default" w:ascii="Times New Roman" w:hAnsi="Times New Roman" w:eastAsia="宋体" w:cs="Times New Roman"/>
                <w:b/>
                <w:bCs/>
                <w:color w:val="auto"/>
                <w:lang w:val="zh-CN" w:bidi="zh-CN"/>
              </w:rPr>
              <w:t>表</w:t>
            </w:r>
            <w:r>
              <w:rPr>
                <w:rFonts w:hint="default" w:ascii="Times New Roman" w:hAnsi="Times New Roman" w:eastAsia="宋体" w:cs="Times New Roman"/>
                <w:b/>
                <w:bCs/>
                <w:color w:val="auto"/>
                <w:lang w:bidi="zh-CN"/>
              </w:rPr>
              <w:t>4.2-</w:t>
            </w:r>
            <w:r>
              <w:rPr>
                <w:rFonts w:hint="default" w:ascii="Times New Roman" w:hAnsi="Times New Roman" w:eastAsia="宋体" w:cs="Times New Roman"/>
                <w:b/>
                <w:bCs/>
                <w:color w:val="auto"/>
                <w:lang w:val="en-US" w:bidi="zh-CN"/>
              </w:rPr>
              <w:t>20</w:t>
            </w:r>
            <w:r>
              <w:rPr>
                <w:rFonts w:hint="default" w:ascii="Times New Roman" w:hAnsi="Times New Roman" w:eastAsia="宋体" w:cs="Times New Roman"/>
                <w:b/>
                <w:bCs/>
                <w:color w:val="auto"/>
                <w:lang w:bidi="zh-CN"/>
              </w:rPr>
              <w:t xml:space="preserve"> </w:t>
            </w:r>
            <w:r>
              <w:rPr>
                <w:rFonts w:hint="default" w:ascii="Times New Roman" w:hAnsi="Times New Roman" w:eastAsia="宋体" w:cs="Times New Roman"/>
                <w:b/>
                <w:bCs/>
                <w:color w:val="auto"/>
                <w:lang w:val="zh-CN" w:bidi="zh-CN"/>
              </w:rPr>
              <w:t xml:space="preserve"> 建设项目Q 值确定表</w:t>
            </w:r>
          </w:p>
          <w:tbl>
            <w:tblPr>
              <w:tblStyle w:val="32"/>
              <w:tblW w:w="4998"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59"/>
              <w:gridCol w:w="1611"/>
              <w:gridCol w:w="1379"/>
              <w:gridCol w:w="1606"/>
              <w:gridCol w:w="1266"/>
              <w:gridCol w:w="1309"/>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79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危险单元</w:t>
                  </w:r>
                </w:p>
              </w:tc>
              <w:tc>
                <w:tcPr>
                  <w:tcW w:w="944"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危险物质名称</w:t>
                  </w:r>
                </w:p>
              </w:tc>
              <w:tc>
                <w:tcPr>
                  <w:tcW w:w="808"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CAS 号</w:t>
                  </w:r>
                </w:p>
              </w:tc>
              <w:tc>
                <w:tcPr>
                  <w:tcW w:w="941"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最大存在总量qn/t</w:t>
                  </w:r>
                </w:p>
              </w:tc>
              <w:tc>
                <w:tcPr>
                  <w:tcW w:w="740"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临界量Qn/t</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Q（qn/Qn）</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7" w:type="pct"/>
                  <w:vMerge w:val="restar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bidi="zh-CN"/>
                    </w:rPr>
                    <w:t>原料区</w:t>
                  </w:r>
                </w:p>
              </w:tc>
              <w:tc>
                <w:tcPr>
                  <w:tcW w:w="944"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bidi="zh-CN"/>
                    </w:rPr>
                    <w:t>软化剂（二甲苯）</w:t>
                  </w:r>
                </w:p>
              </w:tc>
              <w:tc>
                <w:tcPr>
                  <w:tcW w:w="808"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1330-20-7</w:t>
                  </w:r>
                </w:p>
              </w:tc>
              <w:tc>
                <w:tcPr>
                  <w:tcW w:w="941"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zh-CN"/>
                    </w:rPr>
                    <w:t>6.72</w:t>
                  </w:r>
                </w:p>
              </w:tc>
              <w:tc>
                <w:tcPr>
                  <w:tcW w:w="740"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10</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val="zh-CN" w:bidi="zh-CN"/>
                    </w:rPr>
                    <w:t>0.</w:t>
                  </w:r>
                  <w:r>
                    <w:rPr>
                      <w:rFonts w:hint="default" w:ascii="Times New Roman" w:hAnsi="Times New Roman" w:eastAsia="宋体" w:cs="Times New Roman"/>
                      <w:color w:val="auto"/>
                      <w:sz w:val="21"/>
                      <w:szCs w:val="21"/>
                      <w:lang w:bidi="zh-CN"/>
                    </w:rPr>
                    <w:t>672</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7" w:type="pct"/>
                  <w:vMerge w:val="continue"/>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p>
              </w:tc>
              <w:tc>
                <w:tcPr>
                  <w:tcW w:w="944"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金属橡胶胶粘剂（60%二甲苯）</w:t>
                  </w:r>
                </w:p>
              </w:tc>
              <w:tc>
                <w:tcPr>
                  <w:tcW w:w="808"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1330-20-7</w:t>
                  </w:r>
                </w:p>
              </w:tc>
              <w:tc>
                <w:tcPr>
                  <w:tcW w:w="941"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0.855</w:t>
                  </w:r>
                </w:p>
              </w:tc>
              <w:tc>
                <w:tcPr>
                  <w:tcW w:w="740"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10</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0.0855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4232" w:type="pct"/>
                  <w:gridSpan w:val="5"/>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合计</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zh-CN" w:bidi="zh-CN"/>
                    </w:rPr>
                    <w:t>0.</w:t>
                  </w:r>
                  <w:r>
                    <w:rPr>
                      <w:rFonts w:hint="default" w:ascii="Times New Roman" w:hAnsi="Times New Roman" w:eastAsia="宋体" w:cs="Times New Roman"/>
                      <w:color w:val="auto"/>
                      <w:sz w:val="21"/>
                      <w:szCs w:val="21"/>
                      <w:lang w:val="en-US" w:bidi="zh-CN"/>
                    </w:rPr>
                    <w:t>7125</w:t>
                  </w:r>
                </w:p>
              </w:tc>
            </w:tr>
          </w:tbl>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szCs w:val="20"/>
              </w:rPr>
              <w:t>q</w:t>
            </w:r>
            <w:r>
              <w:rPr>
                <w:rFonts w:hint="default" w:ascii="Times New Roman" w:hAnsi="Times New Roman" w:eastAsia="宋体" w:cs="Times New Roman"/>
                <w:color w:val="auto"/>
                <w:szCs w:val="20"/>
                <w:vertAlign w:val="subscript"/>
              </w:rPr>
              <w:t>n</w:t>
            </w:r>
            <w:r>
              <w:rPr>
                <w:rFonts w:hint="default" w:ascii="Times New Roman" w:hAnsi="Times New Roman" w:eastAsia="宋体" w:cs="Times New Roman"/>
                <w:color w:val="auto"/>
                <w:szCs w:val="20"/>
              </w:rPr>
              <w:t>/Q</w:t>
            </w:r>
            <w:r>
              <w:rPr>
                <w:rFonts w:hint="default" w:ascii="Times New Roman" w:hAnsi="Times New Roman" w:eastAsia="宋体" w:cs="Times New Roman"/>
                <w:color w:val="auto"/>
                <w:szCs w:val="20"/>
                <w:vertAlign w:val="subscript"/>
              </w:rPr>
              <w:t>n</w:t>
            </w:r>
            <w:r>
              <w:rPr>
                <w:rFonts w:hint="default" w:ascii="Times New Roman" w:hAnsi="Times New Roman" w:eastAsia="宋体" w:cs="Times New Roman"/>
                <w:color w:val="auto"/>
                <w:szCs w:val="20"/>
              </w:rPr>
              <w:t>=0.</w:t>
            </w:r>
            <w:r>
              <w:rPr>
                <w:rFonts w:hint="default" w:ascii="Times New Roman" w:hAnsi="Times New Roman" w:eastAsia="宋体" w:cs="Times New Roman"/>
                <w:color w:val="auto"/>
                <w:szCs w:val="20"/>
                <w:lang w:val="en-US" w:eastAsia="zh-CN"/>
              </w:rPr>
              <w:t>7125</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rPr>
              <w:t>Q值</w:t>
            </w:r>
            <w:bookmarkStart w:id="13" w:name="OLE_LINK2"/>
            <w:r>
              <w:rPr>
                <w:rFonts w:hint="default" w:ascii="Times New Roman" w:hAnsi="Times New Roman" w:eastAsia="宋体" w:cs="Times New Roman"/>
                <w:color w:val="auto"/>
              </w:rPr>
              <w:t>小于1，直接判定风险潜势为Ⅰ</w:t>
            </w:r>
            <w:bookmarkEnd w:id="13"/>
            <w:r>
              <w:rPr>
                <w:rFonts w:hint="default" w:ascii="Times New Roman" w:hAnsi="Times New Roman" w:eastAsia="宋体" w:cs="Times New Roman"/>
                <w:color w:val="auto"/>
              </w:rPr>
              <w:t>。对照《建设项目环境风险评价技术导则》（HJ 169—2018）本项目环境风险潜势为Ⅰ级，</w:t>
            </w:r>
            <w:bookmarkStart w:id="14" w:name="OLE_LINK3"/>
            <w:r>
              <w:rPr>
                <w:rFonts w:hint="default" w:ascii="Times New Roman" w:hAnsi="Times New Roman" w:eastAsia="宋体" w:cs="Times New Roman"/>
                <w:color w:val="auto"/>
              </w:rPr>
              <w:t>需进行简要分析</w:t>
            </w:r>
            <w:r>
              <w:rPr>
                <w:rFonts w:hint="eastAsia" w:cs="Times New Roman"/>
                <w:color w:val="auto"/>
                <w:lang w:eastAsia="zh-CN"/>
              </w:rPr>
              <w:t>，</w:t>
            </w:r>
            <w:bookmarkEnd w:id="14"/>
            <w:r>
              <w:rPr>
                <w:rFonts w:hint="eastAsia" w:cs="Times New Roman"/>
                <w:b w:val="0"/>
                <w:bCs w:val="0"/>
                <w:color w:val="auto"/>
                <w:lang w:val="en-US" w:eastAsia="zh-CN"/>
              </w:rPr>
              <w:t>无需开展环境风险专项评价</w:t>
            </w:r>
            <w:r>
              <w:rPr>
                <w:rFonts w:hint="default" w:ascii="Times New Roman" w:hAnsi="Times New Roman" w:eastAsia="宋体" w:cs="Times New Roman"/>
                <w:color w:val="auto"/>
              </w:rPr>
              <w:t>。</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4.2.6.2环境风险识别</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本项目涉及环境危险物质的使用、贮存，主要可能发生的突发环境事件为废水、废气处理设施故障事件、危险物质泄漏事件。</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4.2.6.3环境风险分析</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①废水处理设施事件</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厂内污水处理设施故障，会对元洪投资区污水处理厂造成冲击，若污水管网破损泄漏，将导致超标污水外排</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szCs w:val="24"/>
              </w:rPr>
              <w:t>外环境造成不良影响。</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②废气处理设施故障事件</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橡胶软化、</w:t>
            </w:r>
            <w:r>
              <w:rPr>
                <w:rFonts w:hint="eastAsia" w:cs="Times New Roman"/>
                <w:color w:val="auto"/>
                <w:lang w:val="en-US" w:eastAsia="zh-CN"/>
              </w:rPr>
              <w:t>研磨、</w:t>
            </w:r>
            <w:r>
              <w:rPr>
                <w:rFonts w:hint="default" w:ascii="Times New Roman" w:hAnsi="Times New Roman" w:eastAsia="宋体" w:cs="Times New Roman"/>
                <w:color w:val="auto"/>
                <w:lang w:val="en-US" w:eastAsia="zh-CN"/>
              </w:rPr>
              <w:t>涂覆及烘干</w:t>
            </w:r>
            <w:r>
              <w:rPr>
                <w:rFonts w:hint="default" w:ascii="Times New Roman" w:hAnsi="Times New Roman" w:eastAsia="宋体" w:cs="Times New Roman"/>
                <w:color w:val="auto"/>
              </w:rPr>
              <w:t>废气收集后经活性炭吸附，通过1根15m高排气筒（DA001）排放，</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废气收集后经喷淋除雾+活性炭吸附，通过1根15m高排气筒（DA002）排放。</w:t>
            </w:r>
            <w:r>
              <w:rPr>
                <w:rFonts w:hint="default" w:ascii="Times New Roman" w:hAnsi="Times New Roman" w:eastAsia="宋体" w:cs="Times New Roman"/>
                <w:color w:val="auto"/>
                <w:szCs w:val="24"/>
              </w:rPr>
              <w:t>若废气处理设施发生故障时，将导致挥发性有机物超标排放至大气环境。</w:t>
            </w:r>
          </w:p>
          <w:p>
            <w:pPr>
              <w:pStyle w:val="181"/>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③危险物质泄漏</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项目营运期涉及</w:t>
            </w:r>
            <w:r>
              <w:rPr>
                <w:rFonts w:hint="default" w:ascii="Times New Roman" w:hAnsi="Times New Roman" w:eastAsia="宋体" w:cs="Times New Roman"/>
                <w:color w:val="auto"/>
                <w:szCs w:val="24"/>
              </w:rPr>
              <w:t>危险</w:t>
            </w:r>
            <w:r>
              <w:rPr>
                <w:rFonts w:hint="default" w:ascii="Times New Roman" w:hAnsi="Times New Roman" w:eastAsia="宋体" w:cs="Times New Roman"/>
                <w:color w:val="auto"/>
              </w:rPr>
              <w:t>物质，采用专用桶收集，贮存在原料区。若包装桶破损或工作人员操作不当，使</w:t>
            </w:r>
            <w:r>
              <w:rPr>
                <w:rFonts w:hint="default" w:ascii="Times New Roman" w:hAnsi="Times New Roman" w:eastAsia="宋体" w:cs="Times New Roman"/>
                <w:color w:val="auto"/>
                <w:szCs w:val="24"/>
              </w:rPr>
              <w:t>危险</w:t>
            </w:r>
            <w:r>
              <w:rPr>
                <w:rFonts w:hint="default" w:ascii="Times New Roman" w:hAnsi="Times New Roman" w:eastAsia="宋体" w:cs="Times New Roman"/>
                <w:color w:val="auto"/>
              </w:rPr>
              <w:t>物质发生泄漏，将对大气环境和水环境造成污染。</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4.2.6.4应急处置措施</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①废水处理设施故障事件</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当现场人员发现废水处理设施故障的情况，</w:t>
            </w:r>
            <w:r>
              <w:rPr>
                <w:rFonts w:hint="default" w:ascii="Times New Roman" w:hAnsi="Times New Roman" w:eastAsia="宋体" w:cs="Times New Roman"/>
                <w:color w:val="auto"/>
                <w:kern w:val="0"/>
                <w:szCs w:val="24"/>
              </w:rPr>
              <w:t>可能导致废水外流的环境风险时，现场周边人员应及时抢修，现场设立警戒线。若经排查，确定因废水管道破损或池体发生破裂导致废水泄漏时，及时对泄露的位置进行抢修堵漏；确定因水池内污泥膨胀时，应立即组织进行清理；确定废水超标是由于设备故障的原因引起的，应对故障设备进行维修、更换或启用备用设备。</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②废气处理设施故障事件</w:t>
            </w:r>
          </w:p>
          <w:p>
            <w:pPr>
              <w:pStyle w:val="182"/>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当现场人员发现废气处理设施故障的情况时，应立即通知故障废气处理设施相应工段的职工关闭生产设备，停止生产；对故障设备进行排查检修；若检修过程中发现废气处理设施故障时由于集气管道阻塞引起的，则疏通管道恢复生产；若检修过程中发现废气处理设施故障是由于设备老化等原因引起的，或无法查出故障原因，应联系故障设备厂家或专业维修人员对故障设备进行检修。</w:t>
            </w:r>
          </w:p>
          <w:p>
            <w:pPr>
              <w:pStyle w:val="31"/>
              <w:spacing w:after="0"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Cs w:val="24"/>
              </w:rPr>
              <w:t>③</w:t>
            </w:r>
            <w:r>
              <w:rPr>
                <w:rFonts w:hint="default" w:ascii="Times New Roman" w:hAnsi="Times New Roman" w:eastAsia="宋体" w:cs="Times New Roman"/>
                <w:color w:val="auto"/>
                <w:sz w:val="24"/>
                <w:szCs w:val="24"/>
              </w:rPr>
              <w:t>危险</w:t>
            </w:r>
            <w:r>
              <w:rPr>
                <w:rFonts w:hint="default" w:ascii="Times New Roman" w:hAnsi="Times New Roman" w:eastAsia="宋体" w:cs="Times New Roman"/>
                <w:color w:val="auto"/>
                <w:sz w:val="24"/>
              </w:rPr>
              <w:t>物质泄漏事件</w:t>
            </w:r>
          </w:p>
          <w:p>
            <w:pPr>
              <w:topLinePunct/>
              <w:spacing w:line="360" w:lineRule="auto"/>
              <w:ind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kern w:val="0"/>
              </w:rPr>
              <w:t>当现场人员发现</w:t>
            </w:r>
            <w:r>
              <w:rPr>
                <w:rFonts w:hint="default" w:ascii="Times New Roman" w:hAnsi="Times New Roman" w:eastAsia="宋体" w:cs="Times New Roman"/>
                <w:color w:val="auto"/>
              </w:rPr>
              <w:t>危险</w:t>
            </w:r>
            <w:r>
              <w:rPr>
                <w:rFonts w:hint="default" w:ascii="Times New Roman" w:hAnsi="Times New Roman" w:eastAsia="宋体" w:cs="Times New Roman"/>
                <w:color w:val="auto"/>
                <w:kern w:val="0"/>
              </w:rPr>
              <w:t>物质泄漏时，应立即穿戴好个人防护用品，找出泄漏位置，切断污染源；在贮存间周围拉上警戒线或竖立警示标志，禁止无关人员进入现场；将围堰内的泄漏物吸附收集处置。</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4.2.6.5风险防范措施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①建立健全车间的各项安全管理制度，明确生产车间各岗位人员的责任制和奖惩制度。在生产车间、运输道路、仓库设立禁止明火标示和消防安全宣传警示。</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②在生产车间配备灭火器等火灾消防器材，配备电气防护用品和防火、防毒的劳保用品，并有专人管理和维护。</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③厂区排水实行雨污分流，雨水经雨水管网排入外环境。</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④制定废水及废气处理操作规程并上墙，严格按照操作规范的要求进行运行控制，防止误操作导致的废水或废气事故超标排放。</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⑤</w:t>
            </w:r>
            <w:r>
              <w:rPr>
                <w:rFonts w:hint="default" w:ascii="Times New Roman" w:hAnsi="Times New Roman" w:eastAsia="宋体" w:cs="Times New Roman"/>
                <w:color w:val="auto"/>
                <w:szCs w:val="24"/>
              </w:rPr>
              <w:t>建立巡查制度，定期对废水、废气处理设施进行巡查，并做好记录，发现问题及时停工检修。</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⑥化学品存储容器必须密闭包装，严禁滴漏，入库时，应有完整、准确、清晰的产品包装标志、检验合格证和说明书。</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⑦危险废物的收集容器和临时贮存场所应严格按照《危险废物贮存污染控制标准》（GB 18597-2023）中的有关规定执行。贮存区必须按《环境保护图形标志—固体废物贮存（处置）场》（GB 15562.2-1995）、《危险废物识别标志设置技术规范》（HJ 1276—2022）的规定设置警示标志，并具有防雨淋、防日晒、防渗漏措施，且危险废物要有专用的收集容器，定期对所贮存的危险废物贮存设施进行检查，发现破损，应及时采取措施。</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（6）结论</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综上分析可知，项目</w:t>
            </w:r>
            <w:r>
              <w:rPr>
                <w:rFonts w:hint="default" w:ascii="Times New Roman" w:hAnsi="Times New Roman" w:eastAsia="宋体" w:cs="Times New Roman"/>
                <w:snapToGrid w:val="0"/>
                <w:color w:val="auto"/>
              </w:rPr>
              <w:t>不构成重大危险源，主要可能发生的突发环境事件为废气处理设施故障事件，无需建设事故应急池，应通过一系列环境风险防范措施，可有效降低环境风险的发生概率，其环境风险水平能控制在可以接受的范</w:t>
            </w:r>
            <w:r>
              <w:rPr>
                <w:rFonts w:hint="default" w:ascii="Times New Roman" w:hAnsi="Times New Roman" w:eastAsia="宋体" w:cs="Times New Roman"/>
                <w:color w:val="auto"/>
              </w:rPr>
              <w:t>围内。</w:t>
            </w:r>
          </w:p>
          <w:p>
            <w:pPr>
              <w:tabs>
                <w:tab w:val="left" w:pos="1171"/>
              </w:tabs>
              <w:spacing w:before="120"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w:t>
            </w:r>
            <w:r>
              <w:rPr>
                <w:rFonts w:hint="default" w:ascii="Times New Roman" w:hAnsi="Times New Roman" w:eastAsia="宋体" w:cs="Times New Roman"/>
                <w:b/>
                <w:bCs/>
                <w:color w:val="auto"/>
                <w:lang w:val="en-US" w:eastAsia="zh-CN"/>
              </w:rPr>
              <w:t>21</w:t>
            </w:r>
            <w:r>
              <w:rPr>
                <w:rFonts w:hint="default" w:ascii="Times New Roman" w:hAnsi="Times New Roman" w:eastAsia="宋体" w:cs="Times New Roman"/>
                <w:b/>
                <w:bCs/>
                <w:color w:val="auto"/>
              </w:rPr>
              <w:tab/>
            </w:r>
            <w:r>
              <w:rPr>
                <w:rFonts w:hint="default" w:ascii="Times New Roman" w:hAnsi="Times New Roman" w:eastAsia="宋体" w:cs="Times New Roman"/>
                <w:b/>
                <w:bCs/>
                <w:color w:val="auto"/>
              </w:rPr>
              <w:t>建设项目环境风险简单分析内容表</w:t>
            </w:r>
          </w:p>
          <w:tbl>
            <w:tblPr>
              <w:tblStyle w:val="32"/>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692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4055" w:type="pct"/>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福清市安耐达密封材料有限公司年加工汽车零配件3200万件</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40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福建省福州市福清市元洪投资区城头镇黄墩村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40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东经119°28′49.500″，北纬25°42′47.121″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主要危险物质分布</w:t>
                  </w:r>
                </w:p>
              </w:tc>
              <w:tc>
                <w:tcPr>
                  <w:tcW w:w="40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环境影响途经及危害后果</w:t>
                  </w:r>
                </w:p>
              </w:tc>
              <w:tc>
                <w:tcPr>
                  <w:tcW w:w="6922"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危险物质贮存不当，发生泄露出现下渗等情况，将会对地表水造成污染，进而会对土壤、地下水产生环境危害。</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风险防范措施要求</w:t>
                  </w:r>
                </w:p>
              </w:tc>
              <w:tc>
                <w:tcPr>
                  <w:tcW w:w="6922"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危险物质贮存区地面防渗，用桶密封储存，放置于设置围堰中；不得放置无关的物品、禁止堆放易燃易爆物品及腐蚀性物品，严禁随意堆放乱放固体废弃物，保持贮存区环境的清洁卫生；贯彻落实各项安全管理制度，定期对危险物质进行检查。</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填表说明</w:t>
                  </w:r>
                </w:p>
              </w:tc>
              <w:tc>
                <w:tcPr>
                  <w:tcW w:w="6922"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建设项目涉及环境风险物质的使用、生产、产生和贮存，经计算项目Q值=0.</w:t>
                  </w:r>
                  <w:r>
                    <w:rPr>
                      <w:rFonts w:hint="eastAsia" w:cs="Times New Roman"/>
                      <w:color w:val="auto"/>
                      <w:sz w:val="21"/>
                      <w:szCs w:val="21"/>
                      <w:lang w:val="en-US" w:eastAsia="zh-CN"/>
                    </w:rPr>
                    <w:t>7125</w:t>
                  </w:r>
                  <w:r>
                    <w:rPr>
                      <w:rFonts w:hint="default" w:ascii="Times New Roman" w:hAnsi="Times New Roman" w:eastAsia="宋体" w:cs="Times New Roman"/>
                      <w:color w:val="auto"/>
                      <w:sz w:val="21"/>
                      <w:szCs w:val="21"/>
                    </w:rPr>
                    <w:t>，因此建设项目环境风险潜势为Ⅰ级。</w:t>
                  </w:r>
                </w:p>
              </w:tc>
            </w:tr>
          </w:tbl>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4.2.7 运营期电磁辐射影响分析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本项目不涉及电磁辐射源。</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4.2.8 运营期生态影响分析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本项目位于福建省福州市福清市元洪投资区城头镇黄墩村，租用已建工业厂房 进行建设，不新增用地。因此，本项目的建设不会对周边生态环境造成明显影响。</w:t>
            </w:r>
          </w:p>
        </w:tc>
      </w:tr>
    </w:tbl>
    <w:p>
      <w:pPr>
        <w:rPr>
          <w:rFonts w:hint="default" w:ascii="Times New Roman" w:hAnsi="Times New Roman" w:eastAsia="宋体" w:cs="Times New Roman"/>
          <w:color w:val="auto"/>
        </w:rPr>
        <w:sectPr>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15" w:name="_Toc22260"/>
      <w:bookmarkStart w:id="16" w:name="_Toc4977"/>
      <w:r>
        <w:rPr>
          <w:rFonts w:hint="default" w:ascii="Times New Roman" w:hAnsi="Times New Roman" w:eastAsia="宋体" w:cs="Times New Roman"/>
          <w:b/>
          <w:bCs/>
          <w:snapToGrid w:val="0"/>
          <w:color w:val="auto"/>
          <w:sz w:val="32"/>
          <w:szCs w:val="32"/>
        </w:rPr>
        <w:t>五、</w:t>
      </w:r>
      <w:bookmarkStart w:id="17" w:name="_Hlk54167917"/>
      <w:r>
        <w:rPr>
          <w:rFonts w:hint="default" w:ascii="Times New Roman" w:hAnsi="Times New Roman" w:eastAsia="宋体" w:cs="Times New Roman"/>
          <w:b/>
          <w:bCs/>
          <w:snapToGrid w:val="0"/>
          <w:color w:val="auto"/>
          <w:sz w:val="32"/>
          <w:szCs w:val="32"/>
        </w:rPr>
        <w:t>环境保护措施监督检查清单</w:t>
      </w:r>
      <w:bookmarkEnd w:id="15"/>
      <w:bookmarkEnd w:id="16"/>
      <w:bookmarkEnd w:id="17"/>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835"/>
        <w:gridCol w:w="689"/>
        <w:gridCol w:w="919"/>
        <w:gridCol w:w="1112"/>
        <w:gridCol w:w="1255"/>
        <w:gridCol w:w="33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tcBorders>
              <w:tl2br w:val="single" w:color="auto" w:sz="4" w:space="0"/>
            </w:tcBorders>
          </w:tcPr>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388"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排放口（编号、名称）/污染源</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331"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351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1108" w:type="dxa"/>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694"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DA001废气排放口</w:t>
            </w:r>
          </w:p>
        </w:tc>
        <w:tc>
          <w:tcPr>
            <w:tcW w:w="694"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橡胶软化、</w:t>
            </w:r>
            <w:r>
              <w:rPr>
                <w:rFonts w:hint="eastAsia" w:cs="Times New Roman"/>
                <w:color w:val="auto"/>
                <w:sz w:val="21"/>
                <w:szCs w:val="21"/>
                <w:lang w:val="en-US" w:eastAsia="zh-CN"/>
              </w:rPr>
              <w:t>研磨、</w:t>
            </w:r>
            <w:r>
              <w:rPr>
                <w:rFonts w:hint="default" w:ascii="Times New Roman" w:hAnsi="Times New Roman" w:eastAsia="宋体" w:cs="Times New Roman"/>
                <w:color w:val="auto"/>
                <w:sz w:val="21"/>
                <w:szCs w:val="21"/>
                <w:lang w:val="en-US" w:eastAsia="zh-CN"/>
              </w:rPr>
              <w:t>涂覆及烘干</w:t>
            </w:r>
            <w:r>
              <w:rPr>
                <w:rFonts w:hint="default" w:ascii="Times New Roman" w:hAnsi="Times New Roman" w:eastAsia="宋体" w:cs="Times New Roman"/>
                <w:color w:val="auto"/>
                <w:sz w:val="21"/>
                <w:szCs w:val="21"/>
              </w:rPr>
              <w:t>废气</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非甲烷总烃、二甲苯</w:t>
            </w:r>
          </w:p>
        </w:tc>
        <w:tc>
          <w:tcPr>
            <w:tcW w:w="1158" w:type="dxa"/>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经集气罩收集后，由“活性炭吸附”处理</w:t>
            </w:r>
          </w:p>
        </w:tc>
        <w:tc>
          <w:tcPr>
            <w:tcW w:w="1173"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通过1根15m高排气筒（DA001）排放</w:t>
            </w:r>
          </w:p>
        </w:tc>
        <w:tc>
          <w:tcPr>
            <w:tcW w:w="3510" w:type="dxa"/>
            <w:vAlign w:val="center"/>
          </w:tcPr>
          <w:p>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排放参照执行</w:t>
            </w: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中表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eastAsia="zh-CN"/>
              </w:rPr>
              <w:t>：</w:t>
            </w:r>
            <w:bookmarkStart w:id="18" w:name="OLE_LINK4"/>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、甲苯15mg/m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甲苯</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bookmarkEnd w:id="1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rPr>
            </w:pPr>
          </w:p>
        </w:tc>
        <w:tc>
          <w:tcPr>
            <w:tcW w:w="694" w:type="dxa"/>
            <w:vMerge w:val="restart"/>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DA002废气排放口</w:t>
            </w:r>
          </w:p>
        </w:tc>
        <w:tc>
          <w:tcPr>
            <w:tcW w:w="694" w:type="dxa"/>
            <w:vMerge w:val="restart"/>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二甲苯、甲苯</w:t>
            </w:r>
          </w:p>
        </w:tc>
        <w:tc>
          <w:tcPr>
            <w:tcW w:w="1158" w:type="dxa"/>
            <w:vMerge w:val="restart"/>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经集气罩收集后，由“喷淋除雾+活性炭吸附”处理</w:t>
            </w:r>
          </w:p>
        </w:tc>
        <w:tc>
          <w:tcPr>
            <w:tcW w:w="1173" w:type="dxa"/>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通过1根15m高排气筒（DA002）排放</w:t>
            </w:r>
          </w:p>
        </w:tc>
        <w:tc>
          <w:tcPr>
            <w:tcW w:w="3510" w:type="dxa"/>
            <w:vAlign w:val="center"/>
          </w:tcPr>
          <w:p>
            <w:pPr>
              <w:adjustRightInd w:val="0"/>
              <w:snapToGrid w:val="0"/>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szCs w:val="21"/>
              </w:rPr>
              <w:t>排放参照执行</w:t>
            </w: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中表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、甲苯15mg/m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甲苯</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rPr>
            </w:pPr>
          </w:p>
        </w:tc>
        <w:tc>
          <w:tcPr>
            <w:tcW w:w="694"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694"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二硫化碳、硫化氢</w:t>
            </w:r>
          </w:p>
        </w:tc>
        <w:tc>
          <w:tcPr>
            <w:tcW w:w="1158" w:type="dxa"/>
            <w:vMerge w:val="continue"/>
            <w:vAlign w:val="center"/>
          </w:tcPr>
          <w:p>
            <w:pPr>
              <w:widowControl/>
              <w:adjustRightInd w:val="0"/>
              <w:snapToGrid w:val="0"/>
              <w:jc w:val="center"/>
              <w:rPr>
                <w:rFonts w:hint="default" w:ascii="Times New Roman" w:hAnsi="Times New Roman" w:eastAsia="宋体" w:cs="Times New Roman"/>
                <w:color w:val="auto"/>
                <w:sz w:val="21"/>
                <w:szCs w:val="21"/>
              </w:rPr>
            </w:pPr>
          </w:p>
        </w:tc>
        <w:tc>
          <w:tcPr>
            <w:tcW w:w="1173"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3510" w:type="dxa"/>
            <w:vAlign w:val="center"/>
          </w:tcPr>
          <w:p>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《恶臭污染物排放标准》（GB14554-93）表2</w:t>
            </w:r>
            <w:r>
              <w:rPr>
                <w:rFonts w:hint="default"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二硫化碳1.5kg/h、硫化氢0.33kg/h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非甲烷总烃、二甲苯、甲苯</w:t>
            </w:r>
          </w:p>
        </w:tc>
        <w:tc>
          <w:tcPr>
            <w:tcW w:w="2331" w:type="dxa"/>
            <w:gridSpan w:val="2"/>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10" w:type="dxa"/>
            <w:vMerge w:val="restart"/>
            <w:vAlign w:val="center"/>
          </w:tcPr>
          <w:p>
            <w:pPr>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排放参照执行</w:t>
            </w: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中表</w:t>
            </w: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中排放限值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，甲苯</w:t>
            </w:r>
            <w:r>
              <w:rPr>
                <w:rFonts w:hint="eastAsia" w:cs="Times New Roman"/>
                <w:color w:val="auto"/>
                <w:sz w:val="21"/>
                <w:szCs w:val="21"/>
                <w:lang w:val="en-US" w:eastAsia="zh-CN"/>
              </w:rPr>
              <w:t>0.6</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，二甲苯</w:t>
            </w:r>
            <w:r>
              <w:rPr>
                <w:rFonts w:hint="eastAsia" w:cs="Times New Roman"/>
                <w:color w:val="auto"/>
                <w:sz w:val="21"/>
                <w:szCs w:val="21"/>
                <w:lang w:val="en-US" w:eastAsia="zh-CN"/>
              </w:rPr>
              <w:t>0.2</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二硫化碳、硫化氢</w:t>
            </w:r>
          </w:p>
        </w:tc>
        <w:tc>
          <w:tcPr>
            <w:tcW w:w="2331"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3510" w:type="dxa"/>
            <w:vAlign w:val="center"/>
          </w:tcPr>
          <w:p>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《恶臭污染物排放标准》（GB14554-93）表1标准限值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二硫化碳3.0mg/m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、硫化</w:t>
            </w:r>
            <w:r>
              <w:rPr>
                <w:rFonts w:hint="eastAsia" w:cs="Times New Roman"/>
                <w:color w:val="auto"/>
                <w:sz w:val="21"/>
                <w:szCs w:val="21"/>
                <w:lang w:val="en-US" w:eastAsia="zh-CN"/>
              </w:rPr>
              <w:t>氢</w:t>
            </w:r>
            <w:r>
              <w:rPr>
                <w:rFonts w:hint="default" w:ascii="Times New Roman" w:hAnsi="Times New Roman" w:eastAsia="宋体" w:cs="Times New Roman"/>
                <w:color w:val="auto"/>
                <w:sz w:val="21"/>
                <w:szCs w:val="21"/>
                <w:lang w:val="en-US" w:eastAsia="zh-CN"/>
              </w:rPr>
              <w:t>0.06mg/m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厂内</w:t>
            </w: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非甲烷总烃</w:t>
            </w:r>
          </w:p>
        </w:tc>
        <w:tc>
          <w:tcPr>
            <w:tcW w:w="2331"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10" w:type="dxa"/>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18"/>
                <w:sz w:val="21"/>
                <w:szCs w:val="21"/>
              </w:rPr>
              <w:t>《挥发性有机物无组织排放控制标准》（GB37822-2019）中附录A表A.1相关标准：非甲烷总烃监控点处1h平均浓度值</w:t>
            </w:r>
            <w:r>
              <w:rPr>
                <w:rFonts w:hint="default" w:ascii="Times New Roman" w:hAnsi="Times New Roman" w:eastAsia="宋体" w:cs="Times New Roman"/>
                <w:color w:val="auto"/>
                <w:sz w:val="21"/>
                <w:szCs w:val="21"/>
              </w:rPr>
              <w:t>6.0mg/m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18"/>
                <w:sz w:val="21"/>
                <w:szCs w:val="21"/>
              </w:rPr>
              <w:t>；监控点处任意一次浓度值</w:t>
            </w:r>
            <w:r>
              <w:rPr>
                <w:rFonts w:hint="default" w:ascii="Times New Roman" w:hAnsi="Times New Roman" w:eastAsia="宋体" w:cs="Times New Roman"/>
                <w:color w:val="auto"/>
                <w:sz w:val="21"/>
                <w:szCs w:val="21"/>
              </w:rPr>
              <w:t>20.0mg/ m</w:t>
            </w:r>
            <w:r>
              <w:rPr>
                <w:rFonts w:hint="default" w:ascii="Times New Roman" w:hAnsi="Times New Roman" w:eastAsia="宋体" w:cs="Times New Roman"/>
                <w:color w:val="auto"/>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388" w:type="dxa"/>
            <w:gridSpan w:val="2"/>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DW001污水排放口</w:t>
            </w: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pH</w:t>
            </w:r>
          </w:p>
        </w:tc>
        <w:tc>
          <w:tcPr>
            <w:tcW w:w="1158" w:type="dxa"/>
            <w:vMerge w:val="restart"/>
            <w:vAlign w:val="center"/>
          </w:tcPr>
          <w:p>
            <w:pPr>
              <w:adjustRightInd w:val="0"/>
              <w:snapToGrid w:val="0"/>
              <w:spacing w:line="240" w:lineRule="atLeast"/>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生活污水由化粪池处理、生产废水</w:t>
            </w:r>
            <w:r>
              <w:rPr>
                <w:rFonts w:hint="eastAsia" w:cs="Times New Roman"/>
                <w:color w:val="auto"/>
                <w:sz w:val="21"/>
                <w:szCs w:val="21"/>
                <w:lang w:eastAsia="zh-CN"/>
              </w:rPr>
              <w:t>（除油、水洗、废气喷淋</w:t>
            </w:r>
            <w:r>
              <w:rPr>
                <w:rFonts w:hint="eastAsia" w:cs="Times New Roman"/>
                <w:color w:val="auto"/>
                <w:sz w:val="21"/>
                <w:szCs w:val="21"/>
                <w:lang w:val="en-US" w:eastAsia="zh-CN"/>
              </w:rPr>
              <w:t>废水</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经厂内污水处理设施处理后接入市政管网纳入元洪投资区污水处理厂</w:t>
            </w: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6~9</w:t>
            </w:r>
          </w:p>
        </w:tc>
        <w:tc>
          <w:tcPr>
            <w:tcW w:w="3510" w:type="dxa"/>
            <w:vMerge w:val="restart"/>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 8978-1996）表4中的三级排放标准，其中氨氮参照执行《污水排入城镇下水道水质标准》（GB/T 31962-2015）表1中B级标准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BOD</w:t>
            </w:r>
            <w:r>
              <w:rPr>
                <w:rFonts w:hint="default" w:ascii="Times New Roman" w:hAnsi="Times New Roman" w:eastAsia="宋体" w:cs="Times New Roman"/>
                <w:color w:val="auto"/>
                <w:sz w:val="21"/>
                <w:vertAlign w:val="subscript"/>
              </w:rPr>
              <w:t>5</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300</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COD</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500</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SS</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400</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石油类</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20mg/L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NH</w:t>
            </w:r>
            <w:r>
              <w:rPr>
                <w:rFonts w:hint="default" w:ascii="Times New Roman" w:hAnsi="Times New Roman" w:eastAsia="宋体" w:cs="Times New Roman"/>
                <w:color w:val="auto"/>
                <w:sz w:val="21"/>
                <w:vertAlign w:val="subscript"/>
              </w:rPr>
              <w:t>3</w:t>
            </w:r>
            <w:r>
              <w:rPr>
                <w:rFonts w:hint="default" w:ascii="Times New Roman" w:hAnsi="Times New Roman" w:eastAsia="宋体" w:cs="Times New Roman"/>
                <w:color w:val="auto"/>
                <w:sz w:val="21"/>
              </w:rPr>
              <w:t>-N</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45</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388" w:type="dxa"/>
            <w:gridSpan w:val="2"/>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车间设备</w:t>
            </w: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2331" w:type="dxa"/>
            <w:gridSpan w:val="2"/>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基础减振、厂房隔声</w:t>
            </w:r>
          </w:p>
        </w:tc>
        <w:tc>
          <w:tcPr>
            <w:tcW w:w="3510" w:type="dxa"/>
            <w:vAlign w:val="center"/>
          </w:tcPr>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厂界执行《工业企业厂界环境噪声排放标准》（GB 12348-2008）3类标准：昼间65 dB（A）、夜间55dB（A）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8159" w:type="dxa"/>
            <w:gridSpan w:val="6"/>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8159" w:type="dxa"/>
            <w:gridSpan w:val="6"/>
            <w:vAlign w:val="center"/>
          </w:tcPr>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①废包装袋、废边角料属于一般固废，集中收集于一般固废间（10m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rPr>
              <w:t>）后外售，一般固废间应满足《一般工业固体废物贮存和填埋污染控制标准》（GB18599-2020）的相关要求；</w:t>
            </w:r>
          </w:p>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②废胶粘剂、有毒有害废包装桶、槽渣、废防锈槽液、废活性炭等属于危险固废，暂存于危险废物贮存库（10m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rPr>
              <w:t>），妥善收集后定期委托有资质的单位进行处置，危险废物贮存库满足《危险废物贮存污染控制标准》（GB 18597-2023）要求。危废转移应严格按《危险废物转移管理办法》要求；</w:t>
            </w:r>
          </w:p>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③生活垃圾由垃圾桶收集，由市政环卫部门统一清运处理。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8159" w:type="dxa"/>
            <w:gridSpan w:val="6"/>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项目生产车间已全部进行地面硬化，能有效防止渗漏对土壤环境及地下水水质造成污染。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8159" w:type="dxa"/>
            <w:gridSpan w:val="6"/>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①加强宣传教育，对职工进行环保知识的教育，提高环保意识和注重环保的自觉性。</w:t>
            </w: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②加强厂区绿化，对厂区内现有的植物、草皮、树木做好防护。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环境风险防范措施</w:t>
            </w:r>
          </w:p>
        </w:tc>
        <w:tc>
          <w:tcPr>
            <w:tcW w:w="8159" w:type="dxa"/>
            <w:gridSpan w:val="6"/>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①建立健全车间的各项安全管理制度，明确生产车间各岗位人员的责任制和奖惩制度。在生产车间、运输道路、仓库设立禁止明火标示和消防安全宣传警示。</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②在生产车间配备灭火器等火灾消防器材，配备电气防护用品和防火、防毒的劳保用品，并有专人管理和维护。</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③厂区排水实行雨污分流，雨水经雨水管网排入外环境。</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④制定废水及废气处理操作规程并上墙，严格按照操作规范的要求进行运行控制，防止误操作导致的废水或废气事故超标排放。</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⑤建立巡查制度，定期对废水、废气处理设施进行巡查，并做好记录，发现问题及时停工检修。</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⑥化学品存储容器必须密闭包装，严禁滴漏，入库时，应有完整、准确、清晰的产品包装标志、检验合格证和说明书。</w:t>
            </w: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⑦危险废物的收集容器和临时贮存场所应严格按照《危险废物贮存污染控制标准》（GB 18597-2023）中的有关规定执行。贮存区必须按《环境保护图形标志—固体废物贮存（处置）场》（GB 15562.2-1995）、《危险废物识别标志设置技术规范》（HJ 1276—2022）的规定设置警示标志，并具有防雨淋、防日晒、防渗漏措施，且危险废物要有专用的收集容器，定期对所贮存的危险废物贮存设施进行检查，发现破损，应及时采取措施。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其他环境</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管理要求</w:t>
            </w:r>
          </w:p>
        </w:tc>
        <w:tc>
          <w:tcPr>
            <w:tcW w:w="8159" w:type="dxa"/>
            <w:gridSpan w:val="6"/>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1、排污口规范化管理</w:t>
            </w:r>
          </w:p>
          <w:p>
            <w:pPr>
              <w:pStyle w:val="173"/>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据闽环保（1999）理3号“关于转发《关于开展排污口规范化整治工作的通知》的通知”文件规定要求：一切新建、改建的排污单位以及限期治理的排污单位，都必须在建设污染治理设施的同时建设规范化排污口。因此，排污口规范化工作应纳入项目“三同时”进行实施，并列入项目环保验收内容。</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2、落实排污许可证制度</w:t>
            </w:r>
          </w:p>
          <w:p>
            <w:pPr>
              <w:pStyle w:val="173"/>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根据《固定污染源排污许可分类管理名录》（2019版），本项目属于“85 汽车零部件及配件制造367”，为简化管理行业，应对照《排污许可证申请与核发技术规范 总则》（HJ 942-2018）、《排污许可证申请与核发技术规范 汽车制造业》（HJ 971-2018），实际排污行为之前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3、落实自行监测</w:t>
            </w:r>
          </w:p>
          <w:p>
            <w:pPr>
              <w:pStyle w:val="173"/>
              <w:ind w:firstLine="420" w:firstLineChars="20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依法开展自行监测，使用监测设备应符合国家有关环境监测、计量认证规定和技术规范，保障数据合法有效，保证设备正常运行，妥善保存原始记录，建立准确完整的环境管理台账</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监测计划内容详见下表1。</w:t>
            </w:r>
          </w:p>
          <w:p>
            <w:pPr>
              <w:pStyle w:val="171"/>
              <w:spacing w:before="120" w:beforeLines="5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zCs w:val="21"/>
                <w:lang w:val="en-US" w:eastAsia="zh-CN"/>
              </w:rPr>
              <w:t xml:space="preserve">表1 </w:t>
            </w:r>
            <w:r>
              <w:rPr>
                <w:rFonts w:hint="default" w:ascii="Times New Roman" w:hAnsi="Times New Roman" w:eastAsia="宋体" w:cs="Times New Roman"/>
                <w:b w:val="0"/>
                <w:bCs w:val="0"/>
                <w:color w:val="auto"/>
              </w:rPr>
              <w:t xml:space="preserve"> 监测计划内容一览表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2"/>
              <w:gridCol w:w="1480"/>
              <w:gridCol w:w="3267"/>
              <w:gridCol w:w="1060"/>
              <w:gridCol w:w="1070"/>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92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927"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DA001排气筒</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7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二甲苯</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排气筒</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二甲苯、</w:t>
                  </w:r>
                  <w:r>
                    <w:rPr>
                      <w:rFonts w:hint="default" w:ascii="Times New Roman" w:hAnsi="Times New Roman" w:eastAsia="宋体" w:cs="Times New Roman"/>
                      <w:color w:val="auto"/>
                      <w:szCs w:val="21"/>
                    </w:rPr>
                    <w:t>甲苯、二硫化氢、硫化氢</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厂界</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非甲烷总烃、甲苯、二甲苯、二硫化氢、硫化氢</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厂内监控点</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restar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废水</w:t>
                  </w:r>
                </w:p>
              </w:tc>
              <w:tc>
                <w:tcPr>
                  <w:tcW w:w="927" w:type="pct"/>
                  <w:vMerge w:val="restar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DW001总排放口</w:t>
                  </w:r>
                </w:p>
              </w:tc>
              <w:tc>
                <w:tcPr>
                  <w:tcW w:w="2046"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流量、pH、COD、NH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-N、TP</w:t>
                  </w:r>
                </w:p>
              </w:tc>
              <w:tc>
                <w:tcPr>
                  <w:tcW w:w="664"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自动监测</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2046"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、SS、石油类</w:t>
                  </w:r>
                </w:p>
              </w:tc>
              <w:tc>
                <w:tcPr>
                  <w:tcW w:w="664"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1次/季度</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噪声</w:t>
                  </w:r>
                </w:p>
              </w:tc>
              <w:tc>
                <w:tcPr>
                  <w:tcW w:w="927"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东、西、南、北厂界外1m</w:t>
                  </w:r>
                </w:p>
              </w:tc>
              <w:tc>
                <w:tcPr>
                  <w:tcW w:w="2046"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等效连续A声级</w:t>
                  </w:r>
                </w:p>
              </w:tc>
              <w:tc>
                <w:tcPr>
                  <w:tcW w:w="664"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1次/季度</w:t>
                  </w:r>
                </w:p>
              </w:tc>
              <w:tc>
                <w:tcPr>
                  <w:tcW w:w="670" w:type="pct"/>
                  <w:vMerge w:val="continue"/>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p>
              </w:tc>
            </w:tr>
          </w:tbl>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4、落实项目竣工环境保护验收</w:t>
            </w:r>
          </w:p>
          <w:p>
            <w:pPr>
              <w:pStyle w:val="173"/>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竣工环境保护验收暂行办法》（国环规环评[2017]4号）第四条规定：“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第十二条规定：“除需要取得排污许可证的水和大气污染防治设施外，其他环境保护设施的验收期限一般不超过3个月；需要对该类环境保护设施进行调试和整改的，验收期限可以适当延期，但最长不超过12个月。验收期限是指自建设项目环境保护设施竣工之日起至建设单位向社会公开验收报告之日止的时间。”</w:t>
            </w:r>
          </w:p>
        </w:tc>
      </w:tr>
    </w:tbl>
    <w:p>
      <w:pPr>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br w:type="page"/>
      </w:r>
    </w:p>
    <w:p>
      <w:pPr>
        <w:pStyle w:val="27"/>
        <w:jc w:val="center"/>
        <w:rPr>
          <w:rFonts w:hint="default" w:ascii="Times New Roman" w:hAnsi="Times New Roman" w:eastAsia="宋体" w:cs="Times New Roman"/>
          <w:b/>
          <w:bCs/>
          <w:snapToGrid w:val="0"/>
          <w:color w:val="auto"/>
          <w:sz w:val="32"/>
          <w:szCs w:val="32"/>
        </w:rPr>
        <w:sectPr>
          <w:pgSz w:w="11906" w:h="16838"/>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pStyle w:val="27"/>
        <w:jc w:val="center"/>
        <w:rPr>
          <w:rFonts w:hint="eastAsia" w:ascii="Times New Roman" w:hAnsi="Times New Roman" w:eastAsia="宋体" w:cs="Times New Roman"/>
          <w:b/>
          <w:bCs/>
          <w:snapToGrid w:val="0"/>
          <w:color w:val="auto"/>
          <w:sz w:val="32"/>
          <w:szCs w:val="32"/>
          <w:lang w:eastAsia="zh-CN"/>
        </w:rPr>
        <w:sectPr>
          <w:pgSz w:w="11906" w:h="16838"/>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cs="Times New Roman"/>
          <w:b/>
          <w:bCs/>
          <w:snapToGrid w:val="0"/>
          <w:color w:val="auto"/>
          <w:sz w:val="32"/>
          <w:szCs w:val="32"/>
          <w:lang w:eastAsia="zh-CN"/>
        </w:rPr>
        <w:drawing>
          <wp:inline distT="0" distB="0" distL="114300" distR="114300">
            <wp:extent cx="5741035" cy="8714105"/>
            <wp:effectExtent l="0" t="0" r="12065" b="10795"/>
            <wp:docPr id="116" name="图片 116" descr="f4bc92f51934dea0260458cf85a0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f4bc92f51934dea0260458cf85a00d7"/>
                    <pic:cNvPicPr>
                      <a:picLocks noChangeAspect="1"/>
                    </pic:cNvPicPr>
                  </pic:nvPicPr>
                  <pic:blipFill>
                    <a:blip r:embed="rId32"/>
                    <a:stretch>
                      <a:fillRect/>
                    </a:stretch>
                  </pic:blipFill>
                  <pic:spPr>
                    <a:xfrm>
                      <a:off x="0" y="0"/>
                      <a:ext cx="5741035" cy="871410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firstLine="0"/>
        <w:jc w:val="left"/>
        <w:textAlignment w:val="auto"/>
        <w:rPr>
          <w:rFonts w:hint="default" w:ascii="Times New Roman" w:hAnsi="Times New Roman" w:eastAsia="宋体" w:cs="Times New Roman"/>
          <w:color w:val="auto"/>
          <w:sz w:val="32"/>
          <w:szCs w:val="36"/>
        </w:rPr>
      </w:pPr>
      <w:bookmarkStart w:id="19" w:name="_Toc30056"/>
      <w:bookmarkStart w:id="20" w:name="_Toc24176"/>
      <w:r>
        <w:rPr>
          <w:rFonts w:hint="default" w:ascii="Times New Roman" w:hAnsi="Times New Roman" w:eastAsia="宋体" w:cs="Times New Roman"/>
          <w:color w:val="auto"/>
          <w:sz w:val="32"/>
          <w:szCs w:val="36"/>
        </w:rPr>
        <w:t>附表</w:t>
      </w:r>
      <w:bookmarkEnd w:id="19"/>
      <w:bookmarkEnd w:id="20"/>
    </w:p>
    <w:p>
      <w:pPr>
        <w:pStyle w:val="3"/>
        <w:keepNext w:val="0"/>
        <w:keepLines w:val="0"/>
        <w:pageBreakBefore w:val="0"/>
        <w:widowControl w:val="0"/>
        <w:tabs>
          <w:tab w:val="left" w:pos="5400"/>
        </w:tabs>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szCs w:val="30"/>
        </w:rPr>
      </w:pPr>
      <w:bookmarkStart w:id="21" w:name="_Toc4446"/>
      <w:r>
        <w:rPr>
          <w:rFonts w:hint="default" w:ascii="Times New Roman" w:hAnsi="Times New Roman" w:eastAsia="宋体" w:cs="Times New Roman"/>
          <w:color w:val="auto"/>
          <w:szCs w:val="30"/>
        </w:rPr>
        <w:t>建设项目污染物排放量汇总表</w:t>
      </w:r>
      <w:bookmarkEnd w:id="21"/>
    </w:p>
    <w:tbl>
      <w:tblPr>
        <w:tblStyle w:val="32"/>
        <w:tblW w:w="0" w:type="auto"/>
        <w:jc w:val="center"/>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5"/>
        <w:gridCol w:w="2270"/>
        <w:gridCol w:w="1447"/>
        <w:gridCol w:w="1039"/>
        <w:gridCol w:w="1403"/>
        <w:gridCol w:w="1609"/>
        <w:gridCol w:w="1350"/>
        <w:gridCol w:w="1705"/>
        <w:gridCol w:w="1760"/>
      </w:tblGrid>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1" w:hRule="atLeast"/>
          <w:jc w:val="center"/>
        </w:trPr>
        <w:tc>
          <w:tcPr>
            <w:tcW w:w="1205" w:type="dxa"/>
            <w:tcBorders>
              <w:tl2br w:val="single" w:color="auto" w:sz="4" w:space="0"/>
            </w:tcBorders>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jc w:val="righ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分类</w:t>
            </w:r>
          </w:p>
          <w:p>
            <w:pPr>
              <w:pStyle w:val="61"/>
              <w:keepNext w:val="0"/>
              <w:keepLines w:val="0"/>
              <w:pageBreakBefore w:val="0"/>
              <w:kinsoku/>
              <w:wordWrap/>
              <w:overflowPunct/>
              <w:topLinePunct w:val="0"/>
              <w:autoSpaceDE/>
              <w:autoSpaceDN/>
              <w:bidi w:val="0"/>
              <w:spacing w:beforeLines="0" w:afterLines="0" w:line="260" w:lineRule="exact"/>
              <w:jc w:val="right"/>
              <w:rPr>
                <w:rFonts w:hint="default" w:ascii="Times New Roman" w:hAnsi="Times New Roman" w:eastAsia="宋体" w:cs="Times New Roman"/>
                <w:snapToGrid w:val="0"/>
                <w:color w:val="auto"/>
                <w:kern w:val="21"/>
                <w:sz w:val="21"/>
                <w:szCs w:val="21"/>
              </w:rPr>
            </w:pPr>
          </w:p>
          <w:p>
            <w:pPr>
              <w:pStyle w:val="61"/>
              <w:keepNext w:val="0"/>
              <w:keepLines w:val="0"/>
              <w:pageBreakBefore w:val="0"/>
              <w:kinsoku/>
              <w:wordWrap/>
              <w:overflowPunct/>
              <w:topLinePunct w:val="0"/>
              <w:autoSpaceDE/>
              <w:autoSpaceDN/>
              <w:bidi w:val="0"/>
              <w:spacing w:beforeLines="0" w:afterLines="0" w:line="260" w:lineRule="exact"/>
              <w:jc w:val="lef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项目</w:t>
            </w:r>
          </w:p>
        </w:tc>
        <w:tc>
          <w:tcPr>
            <w:tcW w:w="2270"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污染物名称</w:t>
            </w:r>
          </w:p>
        </w:tc>
        <w:tc>
          <w:tcPr>
            <w:tcW w:w="1447"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现有工程</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1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kern w:val="21"/>
                <w:sz w:val="21"/>
                <w:szCs w:val="21"/>
              </w:rPr>
              <w:fldChar w:fldCharType="end"/>
            </w:r>
          </w:p>
        </w:tc>
        <w:tc>
          <w:tcPr>
            <w:tcW w:w="1039"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现有工程许可排放量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2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snapToGrid w:val="0"/>
                <w:color w:val="auto"/>
                <w:kern w:val="21"/>
                <w:sz w:val="21"/>
                <w:szCs w:val="21"/>
              </w:rPr>
              <w:t>②</w:t>
            </w:r>
            <w:r>
              <w:rPr>
                <w:rFonts w:hint="default" w:ascii="Times New Roman" w:hAnsi="Times New Roman" w:eastAsia="宋体" w:cs="Times New Roman"/>
                <w:snapToGrid w:val="0"/>
                <w:color w:val="auto"/>
                <w:kern w:val="21"/>
                <w:sz w:val="21"/>
                <w:szCs w:val="21"/>
              </w:rPr>
              <w:fldChar w:fldCharType="end"/>
            </w:r>
          </w:p>
        </w:tc>
        <w:tc>
          <w:tcPr>
            <w:tcW w:w="1403"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在建工程</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3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kern w:val="21"/>
                <w:sz w:val="21"/>
                <w:szCs w:val="21"/>
              </w:rPr>
              <w:fldChar w:fldCharType="end"/>
            </w:r>
          </w:p>
        </w:tc>
        <w:tc>
          <w:tcPr>
            <w:tcW w:w="1609"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本项目</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4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kern w:val="21"/>
                <w:sz w:val="21"/>
                <w:szCs w:val="21"/>
              </w:rPr>
              <w:fldChar w:fldCharType="end"/>
            </w:r>
          </w:p>
        </w:tc>
        <w:tc>
          <w:tcPr>
            <w:tcW w:w="1350"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以新带老削减量（新建项目不填）</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5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kern w:val="21"/>
                <w:sz w:val="21"/>
                <w:szCs w:val="21"/>
              </w:rPr>
              <w:fldChar w:fldCharType="end"/>
            </w:r>
          </w:p>
        </w:tc>
        <w:tc>
          <w:tcPr>
            <w:tcW w:w="1705"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本项目建成后</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全厂排放量（固体废物产生量）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6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kern w:val="21"/>
                <w:sz w:val="21"/>
                <w:szCs w:val="21"/>
              </w:rPr>
              <w:fldChar w:fldCharType="end"/>
            </w:r>
          </w:p>
        </w:tc>
        <w:tc>
          <w:tcPr>
            <w:tcW w:w="1760"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变化量</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7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kern w:val="21"/>
                <w:sz w:val="21"/>
                <w:szCs w:val="21"/>
              </w:rPr>
              <w:fldChar w:fldCharType="end"/>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废气</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颗粒物（t/a）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0.076</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0.076</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kern w:val="0"/>
                <w:sz w:val="21"/>
                <w:szCs w:val="21"/>
                <w:lang w:bidi="ar"/>
              </w:rPr>
              <w:t>非甲烷总烃（t/a）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bidi="ar"/>
              </w:rPr>
              <w:t>0.533</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2.213</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eastAsia" w:cs="Times New Roman"/>
                <w:color w:val="auto"/>
                <w:kern w:val="0"/>
                <w:sz w:val="21"/>
                <w:szCs w:val="21"/>
                <w:lang w:val="en-US" w:eastAsia="zh-CN" w:bidi="ar"/>
              </w:rPr>
              <w:t>2.746</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+2.213</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二甲苯（t/a）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2.122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2.122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+2.122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0.097</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eastAsia" w:cs="Times New Roman"/>
                <w:color w:val="auto"/>
                <w:kern w:val="0"/>
                <w:sz w:val="21"/>
                <w:szCs w:val="21"/>
                <w:lang w:val="en-US" w:eastAsia="zh-CN" w:bidi="ar"/>
              </w:rPr>
              <w:t>105</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二硫化碳（kg/a）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338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338</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338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硫化氢（kg/a）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0.144</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28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0.172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28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废水</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COD（t/a）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0.392</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r>
              <w:rPr>
                <w:rFonts w:hint="eastAsia" w:cs="Times New Roman"/>
                <w:color w:val="auto"/>
                <w:kern w:val="0"/>
                <w:sz w:val="21"/>
                <w:szCs w:val="21"/>
                <w:lang w:val="en-US" w:eastAsia="zh-CN" w:bidi="ar"/>
              </w:rPr>
              <w:t>118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w:t>
            </w:r>
            <w:r>
              <w:rPr>
                <w:rFonts w:hint="eastAsia" w:cs="Times New Roman"/>
                <w:color w:val="auto"/>
                <w:kern w:val="0"/>
                <w:sz w:val="21"/>
                <w:szCs w:val="21"/>
                <w:lang w:val="en-US" w:eastAsia="zh-CN" w:bidi="ar"/>
              </w:rPr>
              <w:t>51</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w:t>
            </w:r>
            <w:r>
              <w:rPr>
                <w:rFonts w:hint="eastAsia" w:cs="Times New Roman"/>
                <w:color w:val="auto"/>
                <w:kern w:val="0"/>
                <w:sz w:val="21"/>
                <w:szCs w:val="21"/>
                <w:lang w:val="en-US" w:eastAsia="zh-CN" w:bidi="ar"/>
              </w:rPr>
              <w:t>118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NH</w:t>
            </w:r>
            <w:r>
              <w:rPr>
                <w:rFonts w:hint="default" w:ascii="Times New Roman" w:hAnsi="Times New Roman" w:eastAsia="宋体" w:cs="Times New Roman"/>
                <w:color w:val="auto"/>
                <w:kern w:val="0"/>
                <w:sz w:val="21"/>
                <w:szCs w:val="21"/>
                <w:vertAlign w:val="subscript"/>
                <w:lang w:bidi="ar"/>
              </w:rPr>
              <w:t>3</w:t>
            </w:r>
            <w:r>
              <w:rPr>
                <w:rFonts w:hint="default" w:ascii="Times New Roman" w:hAnsi="Times New Roman" w:eastAsia="宋体" w:cs="Times New Roman"/>
                <w:color w:val="auto"/>
                <w:kern w:val="0"/>
                <w:sz w:val="21"/>
                <w:szCs w:val="21"/>
                <w:lang w:bidi="ar"/>
              </w:rPr>
              <w:t>-N（t/a）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0.0588</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w:t>
            </w:r>
            <w:r>
              <w:rPr>
                <w:rFonts w:hint="eastAsia" w:cs="Times New Roman"/>
                <w:color w:val="auto"/>
                <w:kern w:val="0"/>
                <w:sz w:val="21"/>
                <w:szCs w:val="21"/>
                <w:lang w:val="en-US" w:eastAsia="zh-CN" w:bidi="ar"/>
              </w:rPr>
              <w:t>12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0.0</w:t>
            </w:r>
            <w:r>
              <w:rPr>
                <w:rFonts w:hint="eastAsia" w:cs="Times New Roman"/>
                <w:color w:val="auto"/>
                <w:kern w:val="0"/>
                <w:sz w:val="21"/>
                <w:szCs w:val="21"/>
                <w:lang w:val="en-US" w:eastAsia="zh-CN" w:bidi="ar"/>
              </w:rPr>
              <w:t>708</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+0.0</w:t>
            </w:r>
            <w:r>
              <w:rPr>
                <w:rFonts w:hint="eastAsia" w:cs="Times New Roman"/>
                <w:color w:val="auto"/>
                <w:kern w:val="0"/>
                <w:sz w:val="21"/>
                <w:szCs w:val="21"/>
                <w:lang w:val="en-US" w:eastAsia="zh-CN" w:bidi="ar"/>
              </w:rPr>
              <w:t>12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SS（t/a）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52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52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52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石油类（t/a）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01</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01</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01</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TP（t/a）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02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02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02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一般工业固体废物</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废包装袋（t/a）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0.3</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废边角料</w:t>
            </w:r>
            <w:r>
              <w:rPr>
                <w:rFonts w:hint="default" w:ascii="Times New Roman" w:hAnsi="Times New Roman" w:eastAsia="宋体" w:cs="Times New Roman"/>
                <w:color w:val="auto"/>
                <w:kern w:val="0"/>
                <w:sz w:val="21"/>
                <w:szCs w:val="21"/>
                <w:lang w:bidi="ar"/>
              </w:rPr>
              <w:t>（t/a）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11</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85.781</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96.781</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85.781</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粉尘（t/a）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0.154</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0.154</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危险废物</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废胶粘剂（t/a）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0.03</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0.03</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+0.03</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有毒有害废包装桶（t/a）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0.95</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0.95</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+0.95</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槽渣（t/a）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w:t>
            </w:r>
            <w:r>
              <w:rPr>
                <w:rFonts w:hint="eastAsia" w:cs="Times New Roman"/>
                <w:color w:val="auto"/>
                <w:kern w:val="0"/>
                <w:sz w:val="21"/>
                <w:szCs w:val="21"/>
                <w:lang w:val="en-US" w:eastAsia="zh-CN" w:bidi="ar"/>
              </w:rPr>
              <w:t>.6</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废防锈槽液（t/a）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2.6</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2.64</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5.2</w:t>
            </w:r>
            <w:r>
              <w:rPr>
                <w:rFonts w:hint="default" w:ascii="Times New Roman" w:hAnsi="Times New Roman" w:eastAsia="宋体" w:cs="Times New Roman"/>
                <w:color w:val="auto"/>
                <w:kern w:val="0"/>
                <w:sz w:val="21"/>
                <w:szCs w:val="21"/>
                <w:lang w:bidi="ar"/>
              </w:rPr>
              <w:t>4</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+2.64</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隔油池浮油（t/a）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4</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4</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4</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污泥（t/a）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eastAsia="zh-CN" w:bidi="ar"/>
              </w:rPr>
            </w:pPr>
            <w:r>
              <w:rPr>
                <w:rFonts w:hint="eastAsia" w:cs="Times New Roman"/>
                <w:color w:val="auto"/>
                <w:kern w:val="0"/>
                <w:sz w:val="21"/>
                <w:szCs w:val="21"/>
                <w:lang w:val="en-US" w:eastAsia="zh-CN" w:bidi="ar"/>
              </w:rPr>
              <w:t>8</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262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w:t>
            </w: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262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262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废活性炭（t/a）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43.623</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43.623</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43.623</w:t>
            </w:r>
          </w:p>
        </w:tc>
      </w:tr>
    </w:tbl>
    <w:p>
      <w:pPr>
        <w:pStyle w:val="61"/>
        <w:spacing w:beforeLines="0" w:afterLines="0" w:line="240" w:lineRule="auto"/>
        <w:jc w:val="left"/>
        <w:rPr>
          <w:rFonts w:hint="default" w:ascii="Times New Roman" w:hAnsi="Times New Roman" w:eastAsia="宋体" w:cs="Times New Roman"/>
          <w:color w:val="auto"/>
        </w:rPr>
        <w:sectPr>
          <w:footerReference r:id="rId7" w:type="default"/>
          <w:pgSz w:w="16838" w:h="11906" w:orient="landscape"/>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6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1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3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4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5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7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6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1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color w:val="auto"/>
        </w:rPr>
        <w:t>本表填写的排放量均为纳管排放量。</w:t>
      </w:r>
    </w:p>
    <w:p>
      <w:pPr>
        <w:pStyle w:val="2"/>
        <w:spacing w:after="120"/>
        <w:ind w:left="0" w:firstLine="0"/>
        <w:jc w:val="left"/>
        <w:rPr>
          <w:rFonts w:hint="default" w:ascii="Times New Roman" w:hAnsi="Times New Roman" w:eastAsia="宋体" w:cs="Times New Roman"/>
          <w:color w:val="auto"/>
        </w:rPr>
      </w:pPr>
      <w:bookmarkStart w:id="22" w:name="_Toc18499"/>
      <w:bookmarkStart w:id="23" w:name="_Toc941"/>
      <w:r>
        <w:rPr>
          <w:rFonts w:hint="default" w:ascii="Times New Roman" w:hAnsi="Times New Roman" w:eastAsia="宋体" w:cs="Times New Roman"/>
          <w:color w:val="auto"/>
        </w:rPr>
        <w:t>附件</w:t>
      </w:r>
      <w:bookmarkEnd w:id="22"/>
      <w:bookmarkEnd w:id="23"/>
    </w:p>
    <w:p>
      <w:pPr>
        <w:pStyle w:val="3"/>
        <w:keepNext w:val="0"/>
        <w:keepLines w:val="0"/>
        <w:widowControl w:val="0"/>
        <w:shd w:val="clear"/>
        <w:tabs>
          <w:tab w:val="left" w:pos="5400"/>
        </w:tabs>
        <w:topLinePunct/>
        <w:spacing w:before="0" w:line="360" w:lineRule="auto"/>
        <w:rPr>
          <w:rFonts w:hint="default" w:ascii="Times New Roman" w:hAnsi="Times New Roman" w:eastAsia="宋体" w:cs="Times New Roman"/>
          <w:color w:val="auto"/>
          <w:highlight w:val="none"/>
          <w:lang w:val="en-US" w:eastAsia="zh-CN"/>
        </w:rPr>
      </w:pPr>
      <w:bookmarkStart w:id="24" w:name="_Toc32504"/>
      <w:bookmarkStart w:id="25" w:name="_Toc29038"/>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3是否涉密说明</w:t>
      </w:r>
      <w:bookmarkEnd w:id="24"/>
      <w:bookmarkEnd w:id="25"/>
    </w:p>
    <w:p>
      <w:pP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drawing>
          <wp:inline distT="0" distB="0" distL="114300" distR="114300">
            <wp:extent cx="5327015" cy="7538085"/>
            <wp:effectExtent l="0" t="0" r="6985" b="5715"/>
            <wp:docPr id="15" name="图片 15" descr="福清安耐达2024-11-11 (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福清安耐达2024-11-11 (1)_03"/>
                    <pic:cNvPicPr>
                      <a:picLocks noChangeAspect="1"/>
                    </pic:cNvPicPr>
                  </pic:nvPicPr>
                  <pic:blipFill>
                    <a:blip r:embed="rId33"/>
                    <a:stretch>
                      <a:fillRect/>
                    </a:stretch>
                  </pic:blipFill>
                  <pic:spPr>
                    <a:xfrm>
                      <a:off x="0" y="0"/>
                      <a:ext cx="5327015" cy="7538085"/>
                    </a:xfrm>
                    <a:prstGeom prst="rect">
                      <a:avLst/>
                    </a:prstGeom>
                  </pic:spPr>
                </pic:pic>
              </a:graphicData>
            </a:graphic>
          </wp:inline>
        </w:drawing>
      </w:r>
      <w:r>
        <w:rPr>
          <w:rFonts w:hint="default" w:ascii="Times New Roman" w:hAnsi="Times New Roman" w:eastAsia="宋体" w:cs="Times New Roman"/>
          <w:color w:val="auto"/>
          <w:lang w:val="en-US" w:eastAsia="zh-CN"/>
        </w:rPr>
        <w:drawing>
          <wp:inline distT="0" distB="0" distL="114300" distR="114300">
            <wp:extent cx="5758815" cy="8148955"/>
            <wp:effectExtent l="0" t="0" r="13335" b="4445"/>
            <wp:docPr id="41" name="图片 41" descr="福清安耐达2024-11-11 (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福清安耐达2024-11-11 (1)_04"/>
                    <pic:cNvPicPr>
                      <a:picLocks noChangeAspect="1"/>
                    </pic:cNvPicPr>
                  </pic:nvPicPr>
                  <pic:blipFill>
                    <a:blip r:embed="rId34"/>
                    <a:stretch>
                      <a:fillRect/>
                    </a:stretch>
                  </pic:blipFill>
                  <pic:spPr>
                    <a:xfrm>
                      <a:off x="0" y="0"/>
                      <a:ext cx="5758815" cy="8148955"/>
                    </a:xfrm>
                    <a:prstGeom prst="rect">
                      <a:avLst/>
                    </a:prstGeom>
                  </pic:spPr>
                </pic:pic>
              </a:graphicData>
            </a:graphic>
          </wp:inline>
        </w:drawing>
      </w:r>
    </w:p>
    <w:p>
      <w:pPr>
        <w:rPr>
          <w:rFonts w:hint="eastAsia" w:ascii="Times New Roman" w:hAnsi="Times New Roman" w:eastAsia="宋体" w:cs="Times New Roman"/>
          <w:color w:val="auto"/>
          <w:highlight w:val="none"/>
          <w:lang w:eastAsia="zh-CN"/>
        </w:rPr>
      </w:pPr>
    </w:p>
    <w:sectPr>
      <w:footerReference r:id="rId8" w:type="default"/>
      <w:pgSz w:w="11905" w:h="16838"/>
      <w:pgMar w:top="1417" w:right="1417" w:bottom="1417" w:left="1417" w:header="850"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onstantia">
    <w:panose1 w:val="02030602050306030303"/>
    <w:charset w:val="00"/>
    <w:family w:val="auto"/>
    <w:pitch w:val="default"/>
    <w:sig w:usb0="A00002EF" w:usb1="4000204B" w:usb2="00000000" w:usb3="00000000" w:csb0="2000019F" w:csb1="00000000"/>
  </w:font>
  <w:font w:name="方正楷体简体">
    <w:altName w:val="宋体"/>
    <w:panose1 w:val="02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embedRegular r:id="rId1" w:fontKey="{0C98549B-71DF-48EA-9E3D-9B7DD156E9A0}"/>
  </w:font>
  <w:font w:name="Guli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13</w:t>
                    </w:r>
                    <w:r>
                      <w:fldChar w:fldCharType="end"/>
                    </w:r>
                  </w:p>
                </w:txbxContent>
              </v:textbox>
            </v:shape>
          </w:pict>
        </mc:Fallback>
      </mc:AlternateContent>
    </w:r>
  </w:p>
  <w:p>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52</w:t>
                    </w:r>
                    <w:r>
                      <w:fldChar w:fldCharType="end"/>
                    </w:r>
                  </w:p>
                </w:txbxContent>
              </v:textbox>
            </v:shape>
          </w:pict>
        </mc:Fallback>
      </mc:AlternateContent>
    </w:r>
  </w:p>
  <w:p>
    <w:pPr>
      <w:pStyle w:val="21"/>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012o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r012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582264"/>
    <w:multiLevelType w:val="singleLevel"/>
    <w:tmpl w:val="C2582264"/>
    <w:lvl w:ilvl="0" w:tentative="0">
      <w:start w:val="1"/>
      <w:numFmt w:val="chineseCounting"/>
      <w:suff w:val="nothing"/>
      <w:lvlText w:val="（%1）"/>
      <w:lvlJc w:val="left"/>
      <w:rPr>
        <w:rFonts w:hint="eastAsia"/>
      </w:rPr>
    </w:lvl>
  </w:abstractNum>
  <w:abstractNum w:abstractNumId="1">
    <w:nsid w:val="045363D8"/>
    <w:multiLevelType w:val="singleLevel"/>
    <w:tmpl w:val="045363D8"/>
    <w:lvl w:ilvl="0" w:tentative="0">
      <w:start w:val="2"/>
      <w:numFmt w:val="decimal"/>
      <w:suff w:val="nothing"/>
      <w:lvlText w:val="（%1）"/>
      <w:lvlJc w:val="left"/>
    </w:lvl>
  </w:abstractNum>
  <w:abstractNum w:abstractNumId="2">
    <w:nsid w:val="54BAFA6A"/>
    <w:multiLevelType w:val="singleLevel"/>
    <w:tmpl w:val="54BAFA6A"/>
    <w:lvl w:ilvl="0" w:tentative="0">
      <w:start w:val="1"/>
      <w:numFmt w:val="decimal"/>
      <w:suff w:val="nothing"/>
      <w:lvlText w:val="（%1）"/>
      <w:lvlJc w:val="left"/>
    </w:lvl>
  </w:abstractNum>
  <w:abstractNum w:abstractNumId="3">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pStyle w:val="129"/>
      <w:isLgl/>
      <w:suff w:val="space"/>
      <w:lvlText w:val="%1.%2.%3"/>
      <w:lvlJc w:val="left"/>
      <w:pPr>
        <w:ind w:left="0" w:firstLine="0"/>
      </w:pPr>
      <w:rPr>
        <w:rFonts w:hint="eastAsia"/>
      </w:rPr>
    </w:lvl>
    <w:lvl w:ilvl="3" w:tentative="0">
      <w:start w:val="1"/>
      <w:numFmt w:val="decimal"/>
      <w:lvlRestart w:val="2"/>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4">
    <w:nsid w:val="7E292496"/>
    <w:multiLevelType w:val="singleLevel"/>
    <w:tmpl w:val="7E292496"/>
    <w:lvl w:ilvl="0" w:tentative="0">
      <w:start w:val="1"/>
      <w:numFmt w:val="chineseCounting"/>
      <w:suff w:val="nothing"/>
      <w:lvlText w:val="（%1）"/>
      <w:lvlJc w:val="left"/>
      <w:rPr>
        <w:rFonts w:hint="eastAsia"/>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5NTIzMmMyZjdjYmI2NDFiNjhiODMzODBiY2RkZjIifQ=="/>
  </w:docVars>
  <w:rsids>
    <w:rsidRoot w:val="00172A27"/>
    <w:rsid w:val="000060B3"/>
    <w:rsid w:val="000077C8"/>
    <w:rsid w:val="00017FBD"/>
    <w:rsid w:val="00043144"/>
    <w:rsid w:val="0004364B"/>
    <w:rsid w:val="00047AF1"/>
    <w:rsid w:val="00061B1F"/>
    <w:rsid w:val="000733C4"/>
    <w:rsid w:val="00074783"/>
    <w:rsid w:val="0008070B"/>
    <w:rsid w:val="00080B96"/>
    <w:rsid w:val="000810AC"/>
    <w:rsid w:val="00081A02"/>
    <w:rsid w:val="00082231"/>
    <w:rsid w:val="00084615"/>
    <w:rsid w:val="00092D38"/>
    <w:rsid w:val="0009377B"/>
    <w:rsid w:val="00095BCB"/>
    <w:rsid w:val="00096D97"/>
    <w:rsid w:val="000A20C9"/>
    <w:rsid w:val="000B058F"/>
    <w:rsid w:val="000B4467"/>
    <w:rsid w:val="000B4DB9"/>
    <w:rsid w:val="000C09AC"/>
    <w:rsid w:val="000C5A39"/>
    <w:rsid w:val="000C767F"/>
    <w:rsid w:val="000D5A44"/>
    <w:rsid w:val="000E2E1E"/>
    <w:rsid w:val="000E3ED2"/>
    <w:rsid w:val="000F5AB9"/>
    <w:rsid w:val="001151F1"/>
    <w:rsid w:val="001204BE"/>
    <w:rsid w:val="00131F42"/>
    <w:rsid w:val="001357F1"/>
    <w:rsid w:val="00140FA8"/>
    <w:rsid w:val="00142506"/>
    <w:rsid w:val="00142FEB"/>
    <w:rsid w:val="00143A2D"/>
    <w:rsid w:val="00145A41"/>
    <w:rsid w:val="00151675"/>
    <w:rsid w:val="00157435"/>
    <w:rsid w:val="001657AA"/>
    <w:rsid w:val="00172A27"/>
    <w:rsid w:val="0017504D"/>
    <w:rsid w:val="0017671A"/>
    <w:rsid w:val="00177422"/>
    <w:rsid w:val="00184590"/>
    <w:rsid w:val="00186BF0"/>
    <w:rsid w:val="001870D1"/>
    <w:rsid w:val="0018781E"/>
    <w:rsid w:val="0019262D"/>
    <w:rsid w:val="001954D3"/>
    <w:rsid w:val="001A1AA5"/>
    <w:rsid w:val="001A1B35"/>
    <w:rsid w:val="001A48A2"/>
    <w:rsid w:val="001A6F61"/>
    <w:rsid w:val="001B1A39"/>
    <w:rsid w:val="001B72B8"/>
    <w:rsid w:val="001B76CA"/>
    <w:rsid w:val="001C186E"/>
    <w:rsid w:val="001C69B3"/>
    <w:rsid w:val="001D375A"/>
    <w:rsid w:val="001D5595"/>
    <w:rsid w:val="001D7874"/>
    <w:rsid w:val="001D7F22"/>
    <w:rsid w:val="001E4F1F"/>
    <w:rsid w:val="001F0F17"/>
    <w:rsid w:val="001F3347"/>
    <w:rsid w:val="001F69E4"/>
    <w:rsid w:val="00207BC9"/>
    <w:rsid w:val="002125B4"/>
    <w:rsid w:val="00212AFC"/>
    <w:rsid w:val="002155B8"/>
    <w:rsid w:val="00224839"/>
    <w:rsid w:val="002249B2"/>
    <w:rsid w:val="0022640A"/>
    <w:rsid w:val="00226574"/>
    <w:rsid w:val="002278EC"/>
    <w:rsid w:val="0023280E"/>
    <w:rsid w:val="002377D1"/>
    <w:rsid w:val="00245594"/>
    <w:rsid w:val="002506BC"/>
    <w:rsid w:val="0025148B"/>
    <w:rsid w:val="0025264E"/>
    <w:rsid w:val="00254345"/>
    <w:rsid w:val="0025574F"/>
    <w:rsid w:val="00257AA2"/>
    <w:rsid w:val="00264557"/>
    <w:rsid w:val="00276BF2"/>
    <w:rsid w:val="002805AB"/>
    <w:rsid w:val="00284204"/>
    <w:rsid w:val="00290252"/>
    <w:rsid w:val="00291773"/>
    <w:rsid w:val="00292CF2"/>
    <w:rsid w:val="0029498E"/>
    <w:rsid w:val="002950A5"/>
    <w:rsid w:val="002A168C"/>
    <w:rsid w:val="002A3DC7"/>
    <w:rsid w:val="002A6175"/>
    <w:rsid w:val="002B49E2"/>
    <w:rsid w:val="002B7B00"/>
    <w:rsid w:val="002B7C44"/>
    <w:rsid w:val="002C2B17"/>
    <w:rsid w:val="002C6951"/>
    <w:rsid w:val="002D03D2"/>
    <w:rsid w:val="002D14B1"/>
    <w:rsid w:val="002D3DD0"/>
    <w:rsid w:val="002E1F3A"/>
    <w:rsid w:val="002E298A"/>
    <w:rsid w:val="00301978"/>
    <w:rsid w:val="0030332C"/>
    <w:rsid w:val="003051C2"/>
    <w:rsid w:val="00312296"/>
    <w:rsid w:val="0031380D"/>
    <w:rsid w:val="00314F0E"/>
    <w:rsid w:val="0031711D"/>
    <w:rsid w:val="00321D8E"/>
    <w:rsid w:val="00325928"/>
    <w:rsid w:val="00327CB1"/>
    <w:rsid w:val="00332863"/>
    <w:rsid w:val="0033684D"/>
    <w:rsid w:val="00337B42"/>
    <w:rsid w:val="00341938"/>
    <w:rsid w:val="00341B42"/>
    <w:rsid w:val="0034348F"/>
    <w:rsid w:val="00356653"/>
    <w:rsid w:val="0035743F"/>
    <w:rsid w:val="00357BE2"/>
    <w:rsid w:val="0036170C"/>
    <w:rsid w:val="00366500"/>
    <w:rsid w:val="00366E0F"/>
    <w:rsid w:val="00372996"/>
    <w:rsid w:val="00381A72"/>
    <w:rsid w:val="00384676"/>
    <w:rsid w:val="00390857"/>
    <w:rsid w:val="0039246F"/>
    <w:rsid w:val="00396FA9"/>
    <w:rsid w:val="003A0E2A"/>
    <w:rsid w:val="003A4BF3"/>
    <w:rsid w:val="003B420D"/>
    <w:rsid w:val="003C14D4"/>
    <w:rsid w:val="003C6C16"/>
    <w:rsid w:val="003D1991"/>
    <w:rsid w:val="003D3520"/>
    <w:rsid w:val="003D794D"/>
    <w:rsid w:val="003E3058"/>
    <w:rsid w:val="003E76A9"/>
    <w:rsid w:val="003F0809"/>
    <w:rsid w:val="003F0EA2"/>
    <w:rsid w:val="003F6A8C"/>
    <w:rsid w:val="003F755C"/>
    <w:rsid w:val="00406F01"/>
    <w:rsid w:val="0041381D"/>
    <w:rsid w:val="00416D50"/>
    <w:rsid w:val="00416FD5"/>
    <w:rsid w:val="00417772"/>
    <w:rsid w:val="00417EF4"/>
    <w:rsid w:val="00420E6A"/>
    <w:rsid w:val="00425A9E"/>
    <w:rsid w:val="00426B5A"/>
    <w:rsid w:val="00426D6B"/>
    <w:rsid w:val="004277C9"/>
    <w:rsid w:val="004302EC"/>
    <w:rsid w:val="00431E6C"/>
    <w:rsid w:val="00433CE7"/>
    <w:rsid w:val="004346EF"/>
    <w:rsid w:val="00452738"/>
    <w:rsid w:val="00454CEA"/>
    <w:rsid w:val="00456091"/>
    <w:rsid w:val="00466321"/>
    <w:rsid w:val="00480EF6"/>
    <w:rsid w:val="00484B9B"/>
    <w:rsid w:val="004855F6"/>
    <w:rsid w:val="0048661E"/>
    <w:rsid w:val="00494670"/>
    <w:rsid w:val="004959E6"/>
    <w:rsid w:val="004A26C2"/>
    <w:rsid w:val="004A3823"/>
    <w:rsid w:val="004C691F"/>
    <w:rsid w:val="004E43BF"/>
    <w:rsid w:val="004E6946"/>
    <w:rsid w:val="004F1AD8"/>
    <w:rsid w:val="005039CB"/>
    <w:rsid w:val="0050558F"/>
    <w:rsid w:val="00506286"/>
    <w:rsid w:val="00507B98"/>
    <w:rsid w:val="00510813"/>
    <w:rsid w:val="00511990"/>
    <w:rsid w:val="00511DE0"/>
    <w:rsid w:val="00514870"/>
    <w:rsid w:val="00514B9B"/>
    <w:rsid w:val="00517F02"/>
    <w:rsid w:val="00524303"/>
    <w:rsid w:val="005258A2"/>
    <w:rsid w:val="00530E63"/>
    <w:rsid w:val="005401AE"/>
    <w:rsid w:val="00541B16"/>
    <w:rsid w:val="00542E07"/>
    <w:rsid w:val="005448BF"/>
    <w:rsid w:val="00545424"/>
    <w:rsid w:val="00554A7B"/>
    <w:rsid w:val="00554AE3"/>
    <w:rsid w:val="0055572C"/>
    <w:rsid w:val="0056106A"/>
    <w:rsid w:val="005720AE"/>
    <w:rsid w:val="00577094"/>
    <w:rsid w:val="00594D77"/>
    <w:rsid w:val="005969E4"/>
    <w:rsid w:val="005A06B7"/>
    <w:rsid w:val="005A1759"/>
    <w:rsid w:val="005A68A7"/>
    <w:rsid w:val="005A6922"/>
    <w:rsid w:val="005A75BB"/>
    <w:rsid w:val="005C6A9B"/>
    <w:rsid w:val="005D0F47"/>
    <w:rsid w:val="005D36AB"/>
    <w:rsid w:val="005D7776"/>
    <w:rsid w:val="0061040B"/>
    <w:rsid w:val="00613623"/>
    <w:rsid w:val="00615B82"/>
    <w:rsid w:val="00617CC3"/>
    <w:rsid w:val="00630FBD"/>
    <w:rsid w:val="006377A6"/>
    <w:rsid w:val="00637A3D"/>
    <w:rsid w:val="006411EF"/>
    <w:rsid w:val="00645991"/>
    <w:rsid w:val="006748B8"/>
    <w:rsid w:val="006775C3"/>
    <w:rsid w:val="00680F96"/>
    <w:rsid w:val="0069290A"/>
    <w:rsid w:val="0069436C"/>
    <w:rsid w:val="0069775A"/>
    <w:rsid w:val="00697813"/>
    <w:rsid w:val="006A3EE8"/>
    <w:rsid w:val="006A4970"/>
    <w:rsid w:val="006A72BF"/>
    <w:rsid w:val="006B03F2"/>
    <w:rsid w:val="006B37DC"/>
    <w:rsid w:val="006B3FFD"/>
    <w:rsid w:val="006B4F68"/>
    <w:rsid w:val="006C0592"/>
    <w:rsid w:val="006C272E"/>
    <w:rsid w:val="006C5479"/>
    <w:rsid w:val="006C7C06"/>
    <w:rsid w:val="006D13B5"/>
    <w:rsid w:val="006E12FF"/>
    <w:rsid w:val="006E607E"/>
    <w:rsid w:val="006F7283"/>
    <w:rsid w:val="00706C5D"/>
    <w:rsid w:val="00732922"/>
    <w:rsid w:val="00732BE7"/>
    <w:rsid w:val="007353B9"/>
    <w:rsid w:val="0075162E"/>
    <w:rsid w:val="00751F35"/>
    <w:rsid w:val="00754034"/>
    <w:rsid w:val="00755860"/>
    <w:rsid w:val="00756074"/>
    <w:rsid w:val="00756556"/>
    <w:rsid w:val="007618C4"/>
    <w:rsid w:val="00767980"/>
    <w:rsid w:val="00770B19"/>
    <w:rsid w:val="00773361"/>
    <w:rsid w:val="0077463F"/>
    <w:rsid w:val="00775B17"/>
    <w:rsid w:val="007836EA"/>
    <w:rsid w:val="00784CDA"/>
    <w:rsid w:val="007906C4"/>
    <w:rsid w:val="007940EA"/>
    <w:rsid w:val="007967E8"/>
    <w:rsid w:val="007A1658"/>
    <w:rsid w:val="007A2170"/>
    <w:rsid w:val="007A22BF"/>
    <w:rsid w:val="007A3323"/>
    <w:rsid w:val="007B72B8"/>
    <w:rsid w:val="007B7A58"/>
    <w:rsid w:val="007C21B5"/>
    <w:rsid w:val="007D65E7"/>
    <w:rsid w:val="007E33F7"/>
    <w:rsid w:val="007E4BD2"/>
    <w:rsid w:val="00801393"/>
    <w:rsid w:val="00802F88"/>
    <w:rsid w:val="0081293E"/>
    <w:rsid w:val="00815465"/>
    <w:rsid w:val="00817E9A"/>
    <w:rsid w:val="008306BD"/>
    <w:rsid w:val="00831A80"/>
    <w:rsid w:val="00833743"/>
    <w:rsid w:val="008340A4"/>
    <w:rsid w:val="00837F16"/>
    <w:rsid w:val="0087135F"/>
    <w:rsid w:val="00872D94"/>
    <w:rsid w:val="00880364"/>
    <w:rsid w:val="0088106B"/>
    <w:rsid w:val="00884753"/>
    <w:rsid w:val="00891592"/>
    <w:rsid w:val="00891E9E"/>
    <w:rsid w:val="008A2F68"/>
    <w:rsid w:val="008A3562"/>
    <w:rsid w:val="008B4FA6"/>
    <w:rsid w:val="008B5282"/>
    <w:rsid w:val="008B57F9"/>
    <w:rsid w:val="008B7C17"/>
    <w:rsid w:val="008C2D01"/>
    <w:rsid w:val="008C40E6"/>
    <w:rsid w:val="008D0F7A"/>
    <w:rsid w:val="008D68E4"/>
    <w:rsid w:val="008E0506"/>
    <w:rsid w:val="008E0CFF"/>
    <w:rsid w:val="008E294F"/>
    <w:rsid w:val="008E5D6B"/>
    <w:rsid w:val="008E76F0"/>
    <w:rsid w:val="008F15FE"/>
    <w:rsid w:val="008F2D29"/>
    <w:rsid w:val="008F5187"/>
    <w:rsid w:val="008F60D8"/>
    <w:rsid w:val="00902727"/>
    <w:rsid w:val="0090312B"/>
    <w:rsid w:val="00913260"/>
    <w:rsid w:val="0091736D"/>
    <w:rsid w:val="00924332"/>
    <w:rsid w:val="0093037A"/>
    <w:rsid w:val="00937BFD"/>
    <w:rsid w:val="0094154D"/>
    <w:rsid w:val="0095155F"/>
    <w:rsid w:val="00954429"/>
    <w:rsid w:val="009563CE"/>
    <w:rsid w:val="009566D1"/>
    <w:rsid w:val="0096208F"/>
    <w:rsid w:val="0096657E"/>
    <w:rsid w:val="00976328"/>
    <w:rsid w:val="0097680D"/>
    <w:rsid w:val="009775ED"/>
    <w:rsid w:val="00982438"/>
    <w:rsid w:val="0098404C"/>
    <w:rsid w:val="00985283"/>
    <w:rsid w:val="00985A5D"/>
    <w:rsid w:val="00995992"/>
    <w:rsid w:val="009A03E5"/>
    <w:rsid w:val="009A0F3B"/>
    <w:rsid w:val="009A1BB4"/>
    <w:rsid w:val="009A2628"/>
    <w:rsid w:val="009A3200"/>
    <w:rsid w:val="009B0897"/>
    <w:rsid w:val="009B5DD0"/>
    <w:rsid w:val="009B7BD9"/>
    <w:rsid w:val="009C7DD5"/>
    <w:rsid w:val="009D52DC"/>
    <w:rsid w:val="009E227D"/>
    <w:rsid w:val="009E4D8F"/>
    <w:rsid w:val="009E5019"/>
    <w:rsid w:val="00A04F1B"/>
    <w:rsid w:val="00A0501B"/>
    <w:rsid w:val="00A14947"/>
    <w:rsid w:val="00A32A83"/>
    <w:rsid w:val="00A368DB"/>
    <w:rsid w:val="00A423AA"/>
    <w:rsid w:val="00A53EC6"/>
    <w:rsid w:val="00A54FC4"/>
    <w:rsid w:val="00A55C0F"/>
    <w:rsid w:val="00A75489"/>
    <w:rsid w:val="00A80AFA"/>
    <w:rsid w:val="00A84824"/>
    <w:rsid w:val="00A8713F"/>
    <w:rsid w:val="00A90BA1"/>
    <w:rsid w:val="00A97A9A"/>
    <w:rsid w:val="00A97B39"/>
    <w:rsid w:val="00AA0671"/>
    <w:rsid w:val="00AA2531"/>
    <w:rsid w:val="00AA3631"/>
    <w:rsid w:val="00AB1E09"/>
    <w:rsid w:val="00AB5330"/>
    <w:rsid w:val="00AB7747"/>
    <w:rsid w:val="00AC14CE"/>
    <w:rsid w:val="00AC2A56"/>
    <w:rsid w:val="00AD055E"/>
    <w:rsid w:val="00AD47A7"/>
    <w:rsid w:val="00AE4D24"/>
    <w:rsid w:val="00AF0CBF"/>
    <w:rsid w:val="00AF1529"/>
    <w:rsid w:val="00AF257F"/>
    <w:rsid w:val="00AF33CF"/>
    <w:rsid w:val="00AF4D50"/>
    <w:rsid w:val="00AF6179"/>
    <w:rsid w:val="00B118FD"/>
    <w:rsid w:val="00B1295A"/>
    <w:rsid w:val="00B20A45"/>
    <w:rsid w:val="00B22C5C"/>
    <w:rsid w:val="00B24F30"/>
    <w:rsid w:val="00B26436"/>
    <w:rsid w:val="00B31ABF"/>
    <w:rsid w:val="00B33BE3"/>
    <w:rsid w:val="00B34633"/>
    <w:rsid w:val="00B53B5D"/>
    <w:rsid w:val="00B5595F"/>
    <w:rsid w:val="00B6055E"/>
    <w:rsid w:val="00B6317D"/>
    <w:rsid w:val="00B701B7"/>
    <w:rsid w:val="00B7325D"/>
    <w:rsid w:val="00B7723F"/>
    <w:rsid w:val="00B80534"/>
    <w:rsid w:val="00B8433C"/>
    <w:rsid w:val="00B8614E"/>
    <w:rsid w:val="00B87491"/>
    <w:rsid w:val="00BA29E9"/>
    <w:rsid w:val="00BA543B"/>
    <w:rsid w:val="00BA7142"/>
    <w:rsid w:val="00BB237C"/>
    <w:rsid w:val="00BB41A3"/>
    <w:rsid w:val="00BC32DC"/>
    <w:rsid w:val="00BC35B6"/>
    <w:rsid w:val="00BD1B51"/>
    <w:rsid w:val="00BD4596"/>
    <w:rsid w:val="00BD599F"/>
    <w:rsid w:val="00BD6840"/>
    <w:rsid w:val="00BE1405"/>
    <w:rsid w:val="00BE312D"/>
    <w:rsid w:val="00BF1C20"/>
    <w:rsid w:val="00C000AA"/>
    <w:rsid w:val="00C06D46"/>
    <w:rsid w:val="00C10578"/>
    <w:rsid w:val="00C11768"/>
    <w:rsid w:val="00C135BC"/>
    <w:rsid w:val="00C15C95"/>
    <w:rsid w:val="00C2596A"/>
    <w:rsid w:val="00C27537"/>
    <w:rsid w:val="00C328FE"/>
    <w:rsid w:val="00C32A26"/>
    <w:rsid w:val="00C33507"/>
    <w:rsid w:val="00C43960"/>
    <w:rsid w:val="00C4409D"/>
    <w:rsid w:val="00C44E72"/>
    <w:rsid w:val="00C45A06"/>
    <w:rsid w:val="00C47E5B"/>
    <w:rsid w:val="00C50F0B"/>
    <w:rsid w:val="00C5424A"/>
    <w:rsid w:val="00C61E4B"/>
    <w:rsid w:val="00C64BFF"/>
    <w:rsid w:val="00C704E9"/>
    <w:rsid w:val="00C750AA"/>
    <w:rsid w:val="00C761A0"/>
    <w:rsid w:val="00C763C9"/>
    <w:rsid w:val="00C80057"/>
    <w:rsid w:val="00C82232"/>
    <w:rsid w:val="00C82913"/>
    <w:rsid w:val="00C972B1"/>
    <w:rsid w:val="00CA26CB"/>
    <w:rsid w:val="00CA2CCE"/>
    <w:rsid w:val="00CA43FD"/>
    <w:rsid w:val="00CA7EF8"/>
    <w:rsid w:val="00CC489B"/>
    <w:rsid w:val="00CC4974"/>
    <w:rsid w:val="00CD2BCD"/>
    <w:rsid w:val="00CD3A4C"/>
    <w:rsid w:val="00CE10E9"/>
    <w:rsid w:val="00CE2910"/>
    <w:rsid w:val="00CE4983"/>
    <w:rsid w:val="00CE5393"/>
    <w:rsid w:val="00CF368A"/>
    <w:rsid w:val="00CF36BE"/>
    <w:rsid w:val="00CF6000"/>
    <w:rsid w:val="00D003F3"/>
    <w:rsid w:val="00D0364F"/>
    <w:rsid w:val="00D04708"/>
    <w:rsid w:val="00D04DD0"/>
    <w:rsid w:val="00D06834"/>
    <w:rsid w:val="00D20E5A"/>
    <w:rsid w:val="00D2615A"/>
    <w:rsid w:val="00D308ED"/>
    <w:rsid w:val="00D36D86"/>
    <w:rsid w:val="00D428AA"/>
    <w:rsid w:val="00D5041D"/>
    <w:rsid w:val="00D50A34"/>
    <w:rsid w:val="00D51110"/>
    <w:rsid w:val="00D53EFA"/>
    <w:rsid w:val="00D5688F"/>
    <w:rsid w:val="00D64AE1"/>
    <w:rsid w:val="00D709DB"/>
    <w:rsid w:val="00D752AD"/>
    <w:rsid w:val="00D94A7C"/>
    <w:rsid w:val="00D95896"/>
    <w:rsid w:val="00D9640E"/>
    <w:rsid w:val="00DB2106"/>
    <w:rsid w:val="00DB2983"/>
    <w:rsid w:val="00DB5B1A"/>
    <w:rsid w:val="00DC1257"/>
    <w:rsid w:val="00DC3DC0"/>
    <w:rsid w:val="00DC4034"/>
    <w:rsid w:val="00DC5B2B"/>
    <w:rsid w:val="00DD22C6"/>
    <w:rsid w:val="00DD318D"/>
    <w:rsid w:val="00DE0CFA"/>
    <w:rsid w:val="00DE5743"/>
    <w:rsid w:val="00DF2E12"/>
    <w:rsid w:val="00DF514A"/>
    <w:rsid w:val="00DF6690"/>
    <w:rsid w:val="00DF6804"/>
    <w:rsid w:val="00E020F4"/>
    <w:rsid w:val="00E0358D"/>
    <w:rsid w:val="00E04323"/>
    <w:rsid w:val="00E070A2"/>
    <w:rsid w:val="00E15234"/>
    <w:rsid w:val="00E2656A"/>
    <w:rsid w:val="00E412D0"/>
    <w:rsid w:val="00E56322"/>
    <w:rsid w:val="00E57094"/>
    <w:rsid w:val="00E60316"/>
    <w:rsid w:val="00E60982"/>
    <w:rsid w:val="00E62C62"/>
    <w:rsid w:val="00E64A1F"/>
    <w:rsid w:val="00E6528F"/>
    <w:rsid w:val="00E654C1"/>
    <w:rsid w:val="00E65D97"/>
    <w:rsid w:val="00E66B00"/>
    <w:rsid w:val="00E71ED0"/>
    <w:rsid w:val="00E72A5A"/>
    <w:rsid w:val="00E73354"/>
    <w:rsid w:val="00E84564"/>
    <w:rsid w:val="00E9242D"/>
    <w:rsid w:val="00EA55F3"/>
    <w:rsid w:val="00EA6541"/>
    <w:rsid w:val="00EB5255"/>
    <w:rsid w:val="00EB5C47"/>
    <w:rsid w:val="00ED0639"/>
    <w:rsid w:val="00EE1A1D"/>
    <w:rsid w:val="00EF4271"/>
    <w:rsid w:val="00EF4755"/>
    <w:rsid w:val="00EF7135"/>
    <w:rsid w:val="00F027DB"/>
    <w:rsid w:val="00F03CE3"/>
    <w:rsid w:val="00F1415F"/>
    <w:rsid w:val="00F14A7A"/>
    <w:rsid w:val="00F22985"/>
    <w:rsid w:val="00F3136A"/>
    <w:rsid w:val="00F32D1F"/>
    <w:rsid w:val="00F3383E"/>
    <w:rsid w:val="00F465A7"/>
    <w:rsid w:val="00F50B7C"/>
    <w:rsid w:val="00F543D5"/>
    <w:rsid w:val="00F550E6"/>
    <w:rsid w:val="00F72CA9"/>
    <w:rsid w:val="00F74345"/>
    <w:rsid w:val="00F80A0A"/>
    <w:rsid w:val="00F82B19"/>
    <w:rsid w:val="00F86168"/>
    <w:rsid w:val="00F9212D"/>
    <w:rsid w:val="00F965DA"/>
    <w:rsid w:val="00FA406A"/>
    <w:rsid w:val="00FB167F"/>
    <w:rsid w:val="00FB4547"/>
    <w:rsid w:val="00FB503A"/>
    <w:rsid w:val="00FB516C"/>
    <w:rsid w:val="00FD0236"/>
    <w:rsid w:val="00FD18F4"/>
    <w:rsid w:val="00FD450D"/>
    <w:rsid w:val="00FD54DB"/>
    <w:rsid w:val="00FD619F"/>
    <w:rsid w:val="00FF7F9E"/>
    <w:rsid w:val="010C0502"/>
    <w:rsid w:val="012515C4"/>
    <w:rsid w:val="01290F7E"/>
    <w:rsid w:val="012B64AF"/>
    <w:rsid w:val="013B2B96"/>
    <w:rsid w:val="013C690E"/>
    <w:rsid w:val="014F03EF"/>
    <w:rsid w:val="015024C4"/>
    <w:rsid w:val="015821CD"/>
    <w:rsid w:val="015D1E09"/>
    <w:rsid w:val="016A6FD7"/>
    <w:rsid w:val="017D428D"/>
    <w:rsid w:val="018600C9"/>
    <w:rsid w:val="01881AF6"/>
    <w:rsid w:val="01A7647D"/>
    <w:rsid w:val="01A85D51"/>
    <w:rsid w:val="01A87AFF"/>
    <w:rsid w:val="01C70332"/>
    <w:rsid w:val="01CA63A7"/>
    <w:rsid w:val="01D65505"/>
    <w:rsid w:val="01DF5C17"/>
    <w:rsid w:val="01E5415A"/>
    <w:rsid w:val="01E847E5"/>
    <w:rsid w:val="01F0289D"/>
    <w:rsid w:val="01FA65AD"/>
    <w:rsid w:val="020F7B7E"/>
    <w:rsid w:val="022E44A8"/>
    <w:rsid w:val="023B77F4"/>
    <w:rsid w:val="023C4E17"/>
    <w:rsid w:val="024737BC"/>
    <w:rsid w:val="02624152"/>
    <w:rsid w:val="026954E1"/>
    <w:rsid w:val="02697903"/>
    <w:rsid w:val="026D3223"/>
    <w:rsid w:val="026E2AF7"/>
    <w:rsid w:val="02922C89"/>
    <w:rsid w:val="029B6B48"/>
    <w:rsid w:val="029D33DC"/>
    <w:rsid w:val="02A66DC4"/>
    <w:rsid w:val="02AD7AC3"/>
    <w:rsid w:val="02B27065"/>
    <w:rsid w:val="02B82731"/>
    <w:rsid w:val="02BA21E0"/>
    <w:rsid w:val="02CB4D02"/>
    <w:rsid w:val="02CE3596"/>
    <w:rsid w:val="02D54924"/>
    <w:rsid w:val="02DC5124"/>
    <w:rsid w:val="02F94AB6"/>
    <w:rsid w:val="02F96569"/>
    <w:rsid w:val="03035935"/>
    <w:rsid w:val="03036481"/>
    <w:rsid w:val="0314369E"/>
    <w:rsid w:val="031636B5"/>
    <w:rsid w:val="03236818"/>
    <w:rsid w:val="03253AFD"/>
    <w:rsid w:val="0329220A"/>
    <w:rsid w:val="03304250"/>
    <w:rsid w:val="03394EB3"/>
    <w:rsid w:val="033D1E15"/>
    <w:rsid w:val="033E7623"/>
    <w:rsid w:val="033F6241"/>
    <w:rsid w:val="035C5045"/>
    <w:rsid w:val="03657F4F"/>
    <w:rsid w:val="036B6A09"/>
    <w:rsid w:val="036F67A3"/>
    <w:rsid w:val="03727200"/>
    <w:rsid w:val="03806F86"/>
    <w:rsid w:val="03942A31"/>
    <w:rsid w:val="039C5442"/>
    <w:rsid w:val="03B31109"/>
    <w:rsid w:val="03CF75C5"/>
    <w:rsid w:val="03D251BA"/>
    <w:rsid w:val="03D64DF8"/>
    <w:rsid w:val="03EA7B21"/>
    <w:rsid w:val="03EE3926"/>
    <w:rsid w:val="03FC35CA"/>
    <w:rsid w:val="040000C7"/>
    <w:rsid w:val="04025BED"/>
    <w:rsid w:val="041B7A76"/>
    <w:rsid w:val="041D6583"/>
    <w:rsid w:val="041E1B93"/>
    <w:rsid w:val="0433224A"/>
    <w:rsid w:val="04344FFD"/>
    <w:rsid w:val="043E509C"/>
    <w:rsid w:val="043F0BEF"/>
    <w:rsid w:val="04671EF4"/>
    <w:rsid w:val="046862DE"/>
    <w:rsid w:val="04697A1A"/>
    <w:rsid w:val="046A41AC"/>
    <w:rsid w:val="04706FFA"/>
    <w:rsid w:val="049820AD"/>
    <w:rsid w:val="049A4077"/>
    <w:rsid w:val="04A40A52"/>
    <w:rsid w:val="04B862AB"/>
    <w:rsid w:val="04C3537C"/>
    <w:rsid w:val="04D05224"/>
    <w:rsid w:val="04EB042F"/>
    <w:rsid w:val="04F01EE9"/>
    <w:rsid w:val="05010BC4"/>
    <w:rsid w:val="05026FE8"/>
    <w:rsid w:val="05104339"/>
    <w:rsid w:val="05332F18"/>
    <w:rsid w:val="053E2C54"/>
    <w:rsid w:val="055B3806"/>
    <w:rsid w:val="056106F1"/>
    <w:rsid w:val="056401E1"/>
    <w:rsid w:val="05717247"/>
    <w:rsid w:val="058014BF"/>
    <w:rsid w:val="05860158"/>
    <w:rsid w:val="058645FB"/>
    <w:rsid w:val="058F58EC"/>
    <w:rsid w:val="059A29B0"/>
    <w:rsid w:val="059C0325"/>
    <w:rsid w:val="05A8133D"/>
    <w:rsid w:val="05AD1B88"/>
    <w:rsid w:val="05C50C80"/>
    <w:rsid w:val="05CA44E8"/>
    <w:rsid w:val="05D11D1B"/>
    <w:rsid w:val="05F652DD"/>
    <w:rsid w:val="05F83EAE"/>
    <w:rsid w:val="05F9301F"/>
    <w:rsid w:val="05FE4192"/>
    <w:rsid w:val="061D6D0E"/>
    <w:rsid w:val="06214938"/>
    <w:rsid w:val="06225F92"/>
    <w:rsid w:val="063A78C0"/>
    <w:rsid w:val="063B2C07"/>
    <w:rsid w:val="063E7D85"/>
    <w:rsid w:val="06416BB8"/>
    <w:rsid w:val="064C13A1"/>
    <w:rsid w:val="065564A8"/>
    <w:rsid w:val="0656156B"/>
    <w:rsid w:val="0659586C"/>
    <w:rsid w:val="066F6E3E"/>
    <w:rsid w:val="067B4119"/>
    <w:rsid w:val="06850C3E"/>
    <w:rsid w:val="06963466"/>
    <w:rsid w:val="069741C7"/>
    <w:rsid w:val="069D7E4F"/>
    <w:rsid w:val="06A42F8B"/>
    <w:rsid w:val="06AE5BB8"/>
    <w:rsid w:val="06BD1462"/>
    <w:rsid w:val="06C278B5"/>
    <w:rsid w:val="06DA4BFF"/>
    <w:rsid w:val="06E25862"/>
    <w:rsid w:val="06E31D05"/>
    <w:rsid w:val="06E33337"/>
    <w:rsid w:val="070B4DB8"/>
    <w:rsid w:val="07155C37"/>
    <w:rsid w:val="071A4FFB"/>
    <w:rsid w:val="071E213B"/>
    <w:rsid w:val="071F2612"/>
    <w:rsid w:val="07261BF2"/>
    <w:rsid w:val="07293586"/>
    <w:rsid w:val="07295285"/>
    <w:rsid w:val="072D7728"/>
    <w:rsid w:val="07397B77"/>
    <w:rsid w:val="073D0CEA"/>
    <w:rsid w:val="073E518E"/>
    <w:rsid w:val="074C45A5"/>
    <w:rsid w:val="074F1149"/>
    <w:rsid w:val="0753050D"/>
    <w:rsid w:val="07577FFE"/>
    <w:rsid w:val="07636392"/>
    <w:rsid w:val="076D234F"/>
    <w:rsid w:val="076E3F95"/>
    <w:rsid w:val="07770C56"/>
    <w:rsid w:val="079052BE"/>
    <w:rsid w:val="07A80859"/>
    <w:rsid w:val="07C338E5"/>
    <w:rsid w:val="07C76200"/>
    <w:rsid w:val="07CF4038"/>
    <w:rsid w:val="07D96C64"/>
    <w:rsid w:val="07E850FA"/>
    <w:rsid w:val="07EE58E7"/>
    <w:rsid w:val="07F910B5"/>
    <w:rsid w:val="080D690E"/>
    <w:rsid w:val="080F2686"/>
    <w:rsid w:val="081B102B"/>
    <w:rsid w:val="081C4DA3"/>
    <w:rsid w:val="08202AE5"/>
    <w:rsid w:val="08311B3B"/>
    <w:rsid w:val="083420ED"/>
    <w:rsid w:val="08440554"/>
    <w:rsid w:val="084D037F"/>
    <w:rsid w:val="08595C52"/>
    <w:rsid w:val="0869448C"/>
    <w:rsid w:val="087B5F6E"/>
    <w:rsid w:val="08844E22"/>
    <w:rsid w:val="08856DEC"/>
    <w:rsid w:val="08874912"/>
    <w:rsid w:val="088A57DC"/>
    <w:rsid w:val="08A125AA"/>
    <w:rsid w:val="08B80F70"/>
    <w:rsid w:val="08BD33F4"/>
    <w:rsid w:val="08BF530D"/>
    <w:rsid w:val="08BF736C"/>
    <w:rsid w:val="08C064E0"/>
    <w:rsid w:val="08CF1BA3"/>
    <w:rsid w:val="08D44FBA"/>
    <w:rsid w:val="08DD4532"/>
    <w:rsid w:val="08E2283A"/>
    <w:rsid w:val="08E458C1"/>
    <w:rsid w:val="08EE6740"/>
    <w:rsid w:val="090E6DE2"/>
    <w:rsid w:val="09192CB9"/>
    <w:rsid w:val="091A12E3"/>
    <w:rsid w:val="092217DD"/>
    <w:rsid w:val="092A46D9"/>
    <w:rsid w:val="09302957"/>
    <w:rsid w:val="093A7294"/>
    <w:rsid w:val="094877B5"/>
    <w:rsid w:val="095011A8"/>
    <w:rsid w:val="095A00C3"/>
    <w:rsid w:val="095A2897"/>
    <w:rsid w:val="095F3781"/>
    <w:rsid w:val="09627CCF"/>
    <w:rsid w:val="09652EA6"/>
    <w:rsid w:val="09807D20"/>
    <w:rsid w:val="09864BCA"/>
    <w:rsid w:val="098A2126"/>
    <w:rsid w:val="09945539"/>
    <w:rsid w:val="09970B85"/>
    <w:rsid w:val="09A03EDE"/>
    <w:rsid w:val="09A31262"/>
    <w:rsid w:val="09BA4874"/>
    <w:rsid w:val="09BA730C"/>
    <w:rsid w:val="09C474A0"/>
    <w:rsid w:val="09C50FEF"/>
    <w:rsid w:val="09DC2A3C"/>
    <w:rsid w:val="09E0507F"/>
    <w:rsid w:val="09E244F6"/>
    <w:rsid w:val="0A073F5D"/>
    <w:rsid w:val="0A116B8A"/>
    <w:rsid w:val="0A263993"/>
    <w:rsid w:val="0A2D3AC2"/>
    <w:rsid w:val="0A2F02E7"/>
    <w:rsid w:val="0A334D52"/>
    <w:rsid w:val="0A3E54A5"/>
    <w:rsid w:val="0A466107"/>
    <w:rsid w:val="0A4F1460"/>
    <w:rsid w:val="0A5B7E05"/>
    <w:rsid w:val="0A5C43D0"/>
    <w:rsid w:val="0A636CB9"/>
    <w:rsid w:val="0A637B5A"/>
    <w:rsid w:val="0A752CB8"/>
    <w:rsid w:val="0A8C09D7"/>
    <w:rsid w:val="0A8E234B"/>
    <w:rsid w:val="0A9E5F43"/>
    <w:rsid w:val="0AA755DF"/>
    <w:rsid w:val="0AC00FAA"/>
    <w:rsid w:val="0AD97CBD"/>
    <w:rsid w:val="0ADB2CF4"/>
    <w:rsid w:val="0ADD081A"/>
    <w:rsid w:val="0AE24082"/>
    <w:rsid w:val="0AF049F1"/>
    <w:rsid w:val="0B073AE9"/>
    <w:rsid w:val="0B0C10FF"/>
    <w:rsid w:val="0B120D44"/>
    <w:rsid w:val="0B27418B"/>
    <w:rsid w:val="0B2D79F3"/>
    <w:rsid w:val="0B34558F"/>
    <w:rsid w:val="0B36617C"/>
    <w:rsid w:val="0B3A5C6C"/>
    <w:rsid w:val="0B3F49FB"/>
    <w:rsid w:val="0B4237EB"/>
    <w:rsid w:val="0B446C7B"/>
    <w:rsid w:val="0B4E7969"/>
    <w:rsid w:val="0B552304"/>
    <w:rsid w:val="0B8E57A5"/>
    <w:rsid w:val="0B923CFA"/>
    <w:rsid w:val="0B930840"/>
    <w:rsid w:val="0B9B0319"/>
    <w:rsid w:val="0B9F01C5"/>
    <w:rsid w:val="0BA23811"/>
    <w:rsid w:val="0BAA1044"/>
    <w:rsid w:val="0BAB6B6A"/>
    <w:rsid w:val="0BAE21B6"/>
    <w:rsid w:val="0BB31137"/>
    <w:rsid w:val="0BB6678C"/>
    <w:rsid w:val="0BB772BD"/>
    <w:rsid w:val="0BC814CA"/>
    <w:rsid w:val="0BCA3494"/>
    <w:rsid w:val="0BCB4B16"/>
    <w:rsid w:val="0BCF2858"/>
    <w:rsid w:val="0BD25035"/>
    <w:rsid w:val="0BD27BF6"/>
    <w:rsid w:val="0BDF4C6D"/>
    <w:rsid w:val="0BEE52A9"/>
    <w:rsid w:val="0BEF4CA9"/>
    <w:rsid w:val="0C0A1D5F"/>
    <w:rsid w:val="0C0D6C26"/>
    <w:rsid w:val="0C100AE7"/>
    <w:rsid w:val="0C1404FD"/>
    <w:rsid w:val="0C1704AC"/>
    <w:rsid w:val="0C1B6ADB"/>
    <w:rsid w:val="0C2D2D0D"/>
    <w:rsid w:val="0C35055F"/>
    <w:rsid w:val="0C3748A2"/>
    <w:rsid w:val="0C3B3C7D"/>
    <w:rsid w:val="0C3D3FF4"/>
    <w:rsid w:val="0C3E178C"/>
    <w:rsid w:val="0C3E6076"/>
    <w:rsid w:val="0C547201"/>
    <w:rsid w:val="0C600706"/>
    <w:rsid w:val="0C647D62"/>
    <w:rsid w:val="0C664657"/>
    <w:rsid w:val="0C6E2E22"/>
    <w:rsid w:val="0C7A5796"/>
    <w:rsid w:val="0C7B29E0"/>
    <w:rsid w:val="0C7C53BE"/>
    <w:rsid w:val="0C8573BB"/>
    <w:rsid w:val="0C8D16BA"/>
    <w:rsid w:val="0C8D626F"/>
    <w:rsid w:val="0C8E2713"/>
    <w:rsid w:val="0C915D60"/>
    <w:rsid w:val="0C9413AC"/>
    <w:rsid w:val="0CA35A93"/>
    <w:rsid w:val="0CAB2EAE"/>
    <w:rsid w:val="0CAB5C71"/>
    <w:rsid w:val="0CD65E68"/>
    <w:rsid w:val="0CE75980"/>
    <w:rsid w:val="0D006A41"/>
    <w:rsid w:val="0D066EAA"/>
    <w:rsid w:val="0D1150F2"/>
    <w:rsid w:val="0D116EA1"/>
    <w:rsid w:val="0D1C6DBA"/>
    <w:rsid w:val="0D312C9C"/>
    <w:rsid w:val="0D3D1A44"/>
    <w:rsid w:val="0D5864CD"/>
    <w:rsid w:val="0D5A0848"/>
    <w:rsid w:val="0D5D20E6"/>
    <w:rsid w:val="0D621C7D"/>
    <w:rsid w:val="0D6276FC"/>
    <w:rsid w:val="0D70006B"/>
    <w:rsid w:val="0D71793F"/>
    <w:rsid w:val="0D725B91"/>
    <w:rsid w:val="0D73130E"/>
    <w:rsid w:val="0D7A67F4"/>
    <w:rsid w:val="0D957AD2"/>
    <w:rsid w:val="0DA27AF9"/>
    <w:rsid w:val="0DA8151C"/>
    <w:rsid w:val="0DBC505E"/>
    <w:rsid w:val="0DBD4932"/>
    <w:rsid w:val="0DD34156"/>
    <w:rsid w:val="0DDC300B"/>
    <w:rsid w:val="0DDD6D83"/>
    <w:rsid w:val="0DDE3227"/>
    <w:rsid w:val="0DFE7425"/>
    <w:rsid w:val="0DFF4F4B"/>
    <w:rsid w:val="0E0B7D94"/>
    <w:rsid w:val="0E123F91"/>
    <w:rsid w:val="0E124C7E"/>
    <w:rsid w:val="0E3015A8"/>
    <w:rsid w:val="0E3C1CFB"/>
    <w:rsid w:val="0E4806A0"/>
    <w:rsid w:val="0E5434E9"/>
    <w:rsid w:val="0E5E7EC3"/>
    <w:rsid w:val="0E6D6359"/>
    <w:rsid w:val="0E73034D"/>
    <w:rsid w:val="0E782A66"/>
    <w:rsid w:val="0E796AAB"/>
    <w:rsid w:val="0E8A0B69"/>
    <w:rsid w:val="0E947D89"/>
    <w:rsid w:val="0EA13663"/>
    <w:rsid w:val="0EAA4EB7"/>
    <w:rsid w:val="0EB32B5C"/>
    <w:rsid w:val="0EC94CD8"/>
    <w:rsid w:val="0ECA5559"/>
    <w:rsid w:val="0ECC12D1"/>
    <w:rsid w:val="0ED44466"/>
    <w:rsid w:val="0EDB32C2"/>
    <w:rsid w:val="0EF0492F"/>
    <w:rsid w:val="0F053294"/>
    <w:rsid w:val="0F0A3BA7"/>
    <w:rsid w:val="0F0C5B71"/>
    <w:rsid w:val="0F0F5662"/>
    <w:rsid w:val="0F13775A"/>
    <w:rsid w:val="0F1C2F56"/>
    <w:rsid w:val="0F1D14FC"/>
    <w:rsid w:val="0F2954D4"/>
    <w:rsid w:val="0F2B6888"/>
    <w:rsid w:val="0F2F360E"/>
    <w:rsid w:val="0F515C7A"/>
    <w:rsid w:val="0F544433"/>
    <w:rsid w:val="0F576E3B"/>
    <w:rsid w:val="0F5D63CD"/>
    <w:rsid w:val="0F5D7898"/>
    <w:rsid w:val="0F5F45FE"/>
    <w:rsid w:val="0F5F5667"/>
    <w:rsid w:val="0F622820"/>
    <w:rsid w:val="0F6C5AC6"/>
    <w:rsid w:val="0F7D25CB"/>
    <w:rsid w:val="0F7E171D"/>
    <w:rsid w:val="0F8971C2"/>
    <w:rsid w:val="0F8B02EB"/>
    <w:rsid w:val="0F8B118C"/>
    <w:rsid w:val="0F9A112B"/>
    <w:rsid w:val="0F9C6EF5"/>
    <w:rsid w:val="0FB81855"/>
    <w:rsid w:val="0FC1695C"/>
    <w:rsid w:val="0FC4644C"/>
    <w:rsid w:val="0FCE72CB"/>
    <w:rsid w:val="0FDD306A"/>
    <w:rsid w:val="0FDE750E"/>
    <w:rsid w:val="0FE7058E"/>
    <w:rsid w:val="0FFA3C1C"/>
    <w:rsid w:val="0FFC1742"/>
    <w:rsid w:val="100F5919"/>
    <w:rsid w:val="101051ED"/>
    <w:rsid w:val="10152804"/>
    <w:rsid w:val="10152CFE"/>
    <w:rsid w:val="10245EA5"/>
    <w:rsid w:val="10463305"/>
    <w:rsid w:val="104A4BA3"/>
    <w:rsid w:val="105574D7"/>
    <w:rsid w:val="10625508"/>
    <w:rsid w:val="10635C65"/>
    <w:rsid w:val="106A6FF4"/>
    <w:rsid w:val="106D2F64"/>
    <w:rsid w:val="106E0499"/>
    <w:rsid w:val="10727C56"/>
    <w:rsid w:val="107734BE"/>
    <w:rsid w:val="108A1444"/>
    <w:rsid w:val="10956024"/>
    <w:rsid w:val="109D57D6"/>
    <w:rsid w:val="109E0A4B"/>
    <w:rsid w:val="10AB495D"/>
    <w:rsid w:val="10B269C4"/>
    <w:rsid w:val="10B63710"/>
    <w:rsid w:val="10D2374C"/>
    <w:rsid w:val="10D937AD"/>
    <w:rsid w:val="10DC4D6D"/>
    <w:rsid w:val="10E32902"/>
    <w:rsid w:val="10F10820"/>
    <w:rsid w:val="10F47FA5"/>
    <w:rsid w:val="110C1E59"/>
    <w:rsid w:val="1111746F"/>
    <w:rsid w:val="111B6540"/>
    <w:rsid w:val="111C2F7A"/>
    <w:rsid w:val="11286567"/>
    <w:rsid w:val="113D2012"/>
    <w:rsid w:val="114C1172"/>
    <w:rsid w:val="114C494B"/>
    <w:rsid w:val="11554AFB"/>
    <w:rsid w:val="115B693C"/>
    <w:rsid w:val="11665CA1"/>
    <w:rsid w:val="11691059"/>
    <w:rsid w:val="116F23E8"/>
    <w:rsid w:val="11AF7CCD"/>
    <w:rsid w:val="11B0043B"/>
    <w:rsid w:val="11B5604C"/>
    <w:rsid w:val="11B76268"/>
    <w:rsid w:val="11BB05F6"/>
    <w:rsid w:val="11BF55BC"/>
    <w:rsid w:val="11C20769"/>
    <w:rsid w:val="11C6025A"/>
    <w:rsid w:val="11C81388"/>
    <w:rsid w:val="11CC3396"/>
    <w:rsid w:val="11CD086F"/>
    <w:rsid w:val="11E15093"/>
    <w:rsid w:val="11EF6A15"/>
    <w:rsid w:val="11FF376C"/>
    <w:rsid w:val="120668A8"/>
    <w:rsid w:val="120F6673"/>
    <w:rsid w:val="12130FC5"/>
    <w:rsid w:val="12282CC2"/>
    <w:rsid w:val="122B57CA"/>
    <w:rsid w:val="122B630F"/>
    <w:rsid w:val="122C2A91"/>
    <w:rsid w:val="12307DC9"/>
    <w:rsid w:val="123E4294"/>
    <w:rsid w:val="12514DCD"/>
    <w:rsid w:val="125A6BF4"/>
    <w:rsid w:val="12681311"/>
    <w:rsid w:val="12AB56A1"/>
    <w:rsid w:val="12BA7692"/>
    <w:rsid w:val="12C86253"/>
    <w:rsid w:val="12D93FBD"/>
    <w:rsid w:val="12EC0194"/>
    <w:rsid w:val="12F63D44"/>
    <w:rsid w:val="12F64D40"/>
    <w:rsid w:val="12F72004"/>
    <w:rsid w:val="12FB0D49"/>
    <w:rsid w:val="12FD414F"/>
    <w:rsid w:val="12FE7EC7"/>
    <w:rsid w:val="130F6C00"/>
    <w:rsid w:val="131821D8"/>
    <w:rsid w:val="131A681F"/>
    <w:rsid w:val="131D034D"/>
    <w:rsid w:val="131D6B8F"/>
    <w:rsid w:val="1324792E"/>
    <w:rsid w:val="133856D1"/>
    <w:rsid w:val="135B0E75"/>
    <w:rsid w:val="135F602A"/>
    <w:rsid w:val="136F501E"/>
    <w:rsid w:val="137B32C6"/>
    <w:rsid w:val="138959E3"/>
    <w:rsid w:val="13914897"/>
    <w:rsid w:val="13951726"/>
    <w:rsid w:val="13A823A0"/>
    <w:rsid w:val="13B179BB"/>
    <w:rsid w:val="13B275C3"/>
    <w:rsid w:val="13C133CE"/>
    <w:rsid w:val="13CC1D73"/>
    <w:rsid w:val="13CF716E"/>
    <w:rsid w:val="13D5487D"/>
    <w:rsid w:val="13D61A1C"/>
    <w:rsid w:val="13EA459B"/>
    <w:rsid w:val="13F54E26"/>
    <w:rsid w:val="13FC61B5"/>
    <w:rsid w:val="14005579"/>
    <w:rsid w:val="140504E8"/>
    <w:rsid w:val="14092D0F"/>
    <w:rsid w:val="140A3B78"/>
    <w:rsid w:val="140C2170"/>
    <w:rsid w:val="14186D67"/>
    <w:rsid w:val="14270D58"/>
    <w:rsid w:val="143040B0"/>
    <w:rsid w:val="143376FC"/>
    <w:rsid w:val="14396509"/>
    <w:rsid w:val="1468384A"/>
    <w:rsid w:val="147D5D8D"/>
    <w:rsid w:val="147F49DD"/>
    <w:rsid w:val="148C0F7C"/>
    <w:rsid w:val="14A46014"/>
    <w:rsid w:val="14A95079"/>
    <w:rsid w:val="14AF4973"/>
    <w:rsid w:val="14C173FE"/>
    <w:rsid w:val="14C30A80"/>
    <w:rsid w:val="14C60571"/>
    <w:rsid w:val="14DD2C3C"/>
    <w:rsid w:val="14EB6229"/>
    <w:rsid w:val="150D43F1"/>
    <w:rsid w:val="151B4D60"/>
    <w:rsid w:val="151C63E2"/>
    <w:rsid w:val="152B4878"/>
    <w:rsid w:val="15312A9E"/>
    <w:rsid w:val="153B4ABB"/>
    <w:rsid w:val="15453B8B"/>
    <w:rsid w:val="15542020"/>
    <w:rsid w:val="15543DCE"/>
    <w:rsid w:val="155E2E9F"/>
    <w:rsid w:val="157E2FE7"/>
    <w:rsid w:val="15806971"/>
    <w:rsid w:val="15987930"/>
    <w:rsid w:val="159D25E0"/>
    <w:rsid w:val="15B731BB"/>
    <w:rsid w:val="15C4283C"/>
    <w:rsid w:val="15DA10F2"/>
    <w:rsid w:val="15DD457C"/>
    <w:rsid w:val="15E46F00"/>
    <w:rsid w:val="15E74C42"/>
    <w:rsid w:val="15E909BB"/>
    <w:rsid w:val="15E96A4C"/>
    <w:rsid w:val="15F01D49"/>
    <w:rsid w:val="15F5110D"/>
    <w:rsid w:val="15FF3D3A"/>
    <w:rsid w:val="16087E1D"/>
    <w:rsid w:val="160C28FB"/>
    <w:rsid w:val="160F5DEA"/>
    <w:rsid w:val="161B48EC"/>
    <w:rsid w:val="1620742A"/>
    <w:rsid w:val="16230D78"/>
    <w:rsid w:val="16341CFD"/>
    <w:rsid w:val="163756F8"/>
    <w:rsid w:val="16436C21"/>
    <w:rsid w:val="16437B7C"/>
    <w:rsid w:val="164D369E"/>
    <w:rsid w:val="16630F0C"/>
    <w:rsid w:val="16646293"/>
    <w:rsid w:val="16707CBC"/>
    <w:rsid w:val="16834F76"/>
    <w:rsid w:val="168406E3"/>
    <w:rsid w:val="16852CFE"/>
    <w:rsid w:val="168E1562"/>
    <w:rsid w:val="168F6EA7"/>
    <w:rsid w:val="169923E1"/>
    <w:rsid w:val="169E17A5"/>
    <w:rsid w:val="16AC58E6"/>
    <w:rsid w:val="16B56AEF"/>
    <w:rsid w:val="16C3745D"/>
    <w:rsid w:val="16D74CB7"/>
    <w:rsid w:val="16DB245C"/>
    <w:rsid w:val="16DC22CD"/>
    <w:rsid w:val="16DE6045"/>
    <w:rsid w:val="16EB5276"/>
    <w:rsid w:val="16FA1C56"/>
    <w:rsid w:val="16FE3FF2"/>
    <w:rsid w:val="17013AE2"/>
    <w:rsid w:val="17057F60"/>
    <w:rsid w:val="170F26A3"/>
    <w:rsid w:val="1711672C"/>
    <w:rsid w:val="17286CD0"/>
    <w:rsid w:val="172A3E82"/>
    <w:rsid w:val="17495DBF"/>
    <w:rsid w:val="1752433D"/>
    <w:rsid w:val="17527E35"/>
    <w:rsid w:val="175E4A03"/>
    <w:rsid w:val="176522C3"/>
    <w:rsid w:val="17701D14"/>
    <w:rsid w:val="177249E0"/>
    <w:rsid w:val="17735226"/>
    <w:rsid w:val="177D715A"/>
    <w:rsid w:val="178070FD"/>
    <w:rsid w:val="17894BEF"/>
    <w:rsid w:val="17935082"/>
    <w:rsid w:val="17936E30"/>
    <w:rsid w:val="17A440D7"/>
    <w:rsid w:val="17A50911"/>
    <w:rsid w:val="17A82BF0"/>
    <w:rsid w:val="17B21D4E"/>
    <w:rsid w:val="17B84AE8"/>
    <w:rsid w:val="17BB6387"/>
    <w:rsid w:val="17BC1C4F"/>
    <w:rsid w:val="17D17958"/>
    <w:rsid w:val="17D2722C"/>
    <w:rsid w:val="17D66D1D"/>
    <w:rsid w:val="17DD62FD"/>
    <w:rsid w:val="17E40A83"/>
    <w:rsid w:val="17E520D8"/>
    <w:rsid w:val="17F6116D"/>
    <w:rsid w:val="18187335"/>
    <w:rsid w:val="1820443C"/>
    <w:rsid w:val="182B52BA"/>
    <w:rsid w:val="183121A5"/>
    <w:rsid w:val="184616E8"/>
    <w:rsid w:val="184B770B"/>
    <w:rsid w:val="18504D21"/>
    <w:rsid w:val="185502AE"/>
    <w:rsid w:val="186364ED"/>
    <w:rsid w:val="186905D1"/>
    <w:rsid w:val="186E51A7"/>
    <w:rsid w:val="18707171"/>
    <w:rsid w:val="18730A0F"/>
    <w:rsid w:val="18883C44"/>
    <w:rsid w:val="189015C1"/>
    <w:rsid w:val="18980476"/>
    <w:rsid w:val="189C0982"/>
    <w:rsid w:val="189F624C"/>
    <w:rsid w:val="18AD3F21"/>
    <w:rsid w:val="18C14F50"/>
    <w:rsid w:val="18C82B09"/>
    <w:rsid w:val="18CD6371"/>
    <w:rsid w:val="18D01ADB"/>
    <w:rsid w:val="18D53478"/>
    <w:rsid w:val="18DC7CA7"/>
    <w:rsid w:val="18E24C39"/>
    <w:rsid w:val="18ED6A14"/>
    <w:rsid w:val="19017DC9"/>
    <w:rsid w:val="190D49C0"/>
    <w:rsid w:val="191775DC"/>
    <w:rsid w:val="19235F91"/>
    <w:rsid w:val="19241D0A"/>
    <w:rsid w:val="19246D19"/>
    <w:rsid w:val="192B12EA"/>
    <w:rsid w:val="192C71C4"/>
    <w:rsid w:val="1941466A"/>
    <w:rsid w:val="194660D8"/>
    <w:rsid w:val="19474EBB"/>
    <w:rsid w:val="194B4765"/>
    <w:rsid w:val="196A0064"/>
    <w:rsid w:val="196B7938"/>
    <w:rsid w:val="196C1A2A"/>
    <w:rsid w:val="19882298"/>
    <w:rsid w:val="199455B4"/>
    <w:rsid w:val="19AA4A1C"/>
    <w:rsid w:val="19B906A4"/>
    <w:rsid w:val="19C07C84"/>
    <w:rsid w:val="19CB0575"/>
    <w:rsid w:val="19E75211"/>
    <w:rsid w:val="19EF40C6"/>
    <w:rsid w:val="19F8741E"/>
    <w:rsid w:val="19FE07AD"/>
    <w:rsid w:val="1A1A3838"/>
    <w:rsid w:val="1A1C66C0"/>
    <w:rsid w:val="1A253F8B"/>
    <w:rsid w:val="1A287FE7"/>
    <w:rsid w:val="1A3B37AF"/>
    <w:rsid w:val="1A42393B"/>
    <w:rsid w:val="1A4F5002"/>
    <w:rsid w:val="1A622AE9"/>
    <w:rsid w:val="1A6C5716"/>
    <w:rsid w:val="1A6D4BB7"/>
    <w:rsid w:val="1A704A61"/>
    <w:rsid w:val="1A705206"/>
    <w:rsid w:val="1A7806FD"/>
    <w:rsid w:val="1A7B3BAB"/>
    <w:rsid w:val="1A845156"/>
    <w:rsid w:val="1A854A21"/>
    <w:rsid w:val="1A8E1B30"/>
    <w:rsid w:val="1AA13BF7"/>
    <w:rsid w:val="1AAD45DE"/>
    <w:rsid w:val="1AB66933"/>
    <w:rsid w:val="1ABD41C4"/>
    <w:rsid w:val="1AE14356"/>
    <w:rsid w:val="1AE17C0B"/>
    <w:rsid w:val="1AEF625F"/>
    <w:rsid w:val="1AFC4CEC"/>
    <w:rsid w:val="1B046F80"/>
    <w:rsid w:val="1B0C6778"/>
    <w:rsid w:val="1B0D131B"/>
    <w:rsid w:val="1B161797"/>
    <w:rsid w:val="1B210BF7"/>
    <w:rsid w:val="1B2B13B7"/>
    <w:rsid w:val="1B307A4D"/>
    <w:rsid w:val="1B31159D"/>
    <w:rsid w:val="1B3267B5"/>
    <w:rsid w:val="1B3A75C2"/>
    <w:rsid w:val="1B3D20DD"/>
    <w:rsid w:val="1B40161D"/>
    <w:rsid w:val="1B4346C9"/>
    <w:rsid w:val="1B441859"/>
    <w:rsid w:val="1B46065D"/>
    <w:rsid w:val="1B656D35"/>
    <w:rsid w:val="1B6606B1"/>
    <w:rsid w:val="1B666609"/>
    <w:rsid w:val="1B740D26"/>
    <w:rsid w:val="1B7F1479"/>
    <w:rsid w:val="1B873D79"/>
    <w:rsid w:val="1B9C1031"/>
    <w:rsid w:val="1BAF7FB0"/>
    <w:rsid w:val="1BB47800"/>
    <w:rsid w:val="1BC8714D"/>
    <w:rsid w:val="1BD47A17"/>
    <w:rsid w:val="1BD73063"/>
    <w:rsid w:val="1BE834C2"/>
    <w:rsid w:val="1BEA2D97"/>
    <w:rsid w:val="1BF105C9"/>
    <w:rsid w:val="1BF73705"/>
    <w:rsid w:val="1BFC0812"/>
    <w:rsid w:val="1C09276F"/>
    <w:rsid w:val="1C1036BB"/>
    <w:rsid w:val="1C4A7CD9"/>
    <w:rsid w:val="1C4B5294"/>
    <w:rsid w:val="1C5C6219"/>
    <w:rsid w:val="1C5E47EB"/>
    <w:rsid w:val="1C5E7925"/>
    <w:rsid w:val="1C6E0AF0"/>
    <w:rsid w:val="1C76287C"/>
    <w:rsid w:val="1C816AA4"/>
    <w:rsid w:val="1C8431EB"/>
    <w:rsid w:val="1C913B5A"/>
    <w:rsid w:val="1C9D301D"/>
    <w:rsid w:val="1CA7512B"/>
    <w:rsid w:val="1CB05D8E"/>
    <w:rsid w:val="1CB2219C"/>
    <w:rsid w:val="1CB8334F"/>
    <w:rsid w:val="1CCC75E5"/>
    <w:rsid w:val="1CD06590"/>
    <w:rsid w:val="1CD32CF2"/>
    <w:rsid w:val="1CE27F12"/>
    <w:rsid w:val="1CE617B0"/>
    <w:rsid w:val="1CF11810"/>
    <w:rsid w:val="1CFA34AD"/>
    <w:rsid w:val="1CFD070F"/>
    <w:rsid w:val="1CFD2F9D"/>
    <w:rsid w:val="1D097B94"/>
    <w:rsid w:val="1D2B3667"/>
    <w:rsid w:val="1D2F7CC7"/>
    <w:rsid w:val="1D303373"/>
    <w:rsid w:val="1D423107"/>
    <w:rsid w:val="1D436C02"/>
    <w:rsid w:val="1D544216"/>
    <w:rsid w:val="1D5C7CC4"/>
    <w:rsid w:val="1D5F6196"/>
    <w:rsid w:val="1D6132A5"/>
    <w:rsid w:val="1D6B7F07"/>
    <w:rsid w:val="1D6E2F6B"/>
    <w:rsid w:val="1D774AFE"/>
    <w:rsid w:val="1D7768AC"/>
    <w:rsid w:val="1D8058CD"/>
    <w:rsid w:val="1D812310"/>
    <w:rsid w:val="1D82779C"/>
    <w:rsid w:val="1D8E56D5"/>
    <w:rsid w:val="1D927673"/>
    <w:rsid w:val="1D9E3B6B"/>
    <w:rsid w:val="1D9F5E03"/>
    <w:rsid w:val="1DCC309C"/>
    <w:rsid w:val="1DD261D8"/>
    <w:rsid w:val="1DD87B86"/>
    <w:rsid w:val="1DF3741E"/>
    <w:rsid w:val="1DF60118"/>
    <w:rsid w:val="1DFD7ED8"/>
    <w:rsid w:val="1E01086B"/>
    <w:rsid w:val="1E0A1C72"/>
    <w:rsid w:val="1E1D56A5"/>
    <w:rsid w:val="1E1D5C20"/>
    <w:rsid w:val="1E1E766F"/>
    <w:rsid w:val="1E4C0CF3"/>
    <w:rsid w:val="1E4C7F89"/>
    <w:rsid w:val="1E721445"/>
    <w:rsid w:val="1E74103D"/>
    <w:rsid w:val="1E7A43DA"/>
    <w:rsid w:val="1E7F6837"/>
    <w:rsid w:val="1E937715"/>
    <w:rsid w:val="1E9A6CF6"/>
    <w:rsid w:val="1EA41923"/>
    <w:rsid w:val="1EA71413"/>
    <w:rsid w:val="1EAF2075"/>
    <w:rsid w:val="1EBD29E4"/>
    <w:rsid w:val="1ECF44C6"/>
    <w:rsid w:val="1ED41FB5"/>
    <w:rsid w:val="1EDB2E6A"/>
    <w:rsid w:val="1EE73F05"/>
    <w:rsid w:val="1EF620A4"/>
    <w:rsid w:val="1EF74148"/>
    <w:rsid w:val="1EFD7285"/>
    <w:rsid w:val="1F0C50AF"/>
    <w:rsid w:val="1F114ADE"/>
    <w:rsid w:val="1F1545CE"/>
    <w:rsid w:val="1F3240BB"/>
    <w:rsid w:val="1F3507CD"/>
    <w:rsid w:val="1F3E47CD"/>
    <w:rsid w:val="1F436688"/>
    <w:rsid w:val="1F46080D"/>
    <w:rsid w:val="1F491442"/>
    <w:rsid w:val="1F5E5F75"/>
    <w:rsid w:val="1F642DCD"/>
    <w:rsid w:val="1F6D7F66"/>
    <w:rsid w:val="1F6F6B0B"/>
    <w:rsid w:val="1F7C464D"/>
    <w:rsid w:val="1F95570F"/>
    <w:rsid w:val="1FA660DC"/>
    <w:rsid w:val="1FAD4807"/>
    <w:rsid w:val="1FE7539E"/>
    <w:rsid w:val="1FF00B97"/>
    <w:rsid w:val="1FF43BB1"/>
    <w:rsid w:val="1FFB35E3"/>
    <w:rsid w:val="20200F8C"/>
    <w:rsid w:val="20313EF6"/>
    <w:rsid w:val="203C3DDD"/>
    <w:rsid w:val="20541126"/>
    <w:rsid w:val="205904EB"/>
    <w:rsid w:val="206375BB"/>
    <w:rsid w:val="20671BE0"/>
    <w:rsid w:val="206D21E8"/>
    <w:rsid w:val="208C6B12"/>
    <w:rsid w:val="2091237A"/>
    <w:rsid w:val="20931C4F"/>
    <w:rsid w:val="20963CB8"/>
    <w:rsid w:val="20A81A1B"/>
    <w:rsid w:val="20AD0837"/>
    <w:rsid w:val="20B07FB6"/>
    <w:rsid w:val="20B3409F"/>
    <w:rsid w:val="20B60088"/>
    <w:rsid w:val="20B646FB"/>
    <w:rsid w:val="20B6593D"/>
    <w:rsid w:val="2102613C"/>
    <w:rsid w:val="210C6A10"/>
    <w:rsid w:val="210E7527"/>
    <w:rsid w:val="2110329F"/>
    <w:rsid w:val="2113059E"/>
    <w:rsid w:val="213B74B1"/>
    <w:rsid w:val="213D7E0C"/>
    <w:rsid w:val="214A44E5"/>
    <w:rsid w:val="214C62A1"/>
    <w:rsid w:val="215A2310"/>
    <w:rsid w:val="21601B8B"/>
    <w:rsid w:val="216929AF"/>
    <w:rsid w:val="21701F90"/>
    <w:rsid w:val="21767713"/>
    <w:rsid w:val="218E0668"/>
    <w:rsid w:val="21937A2C"/>
    <w:rsid w:val="219E4D4F"/>
    <w:rsid w:val="21A970E2"/>
    <w:rsid w:val="21B207FA"/>
    <w:rsid w:val="21B225A8"/>
    <w:rsid w:val="21BE69FE"/>
    <w:rsid w:val="21C30312"/>
    <w:rsid w:val="21C347B6"/>
    <w:rsid w:val="21D06ED2"/>
    <w:rsid w:val="21D50045"/>
    <w:rsid w:val="21D97B35"/>
    <w:rsid w:val="21DE318A"/>
    <w:rsid w:val="21EF5B80"/>
    <w:rsid w:val="21F20BF7"/>
    <w:rsid w:val="21FC7CC7"/>
    <w:rsid w:val="21FF7025"/>
    <w:rsid w:val="22160D89"/>
    <w:rsid w:val="221F0585"/>
    <w:rsid w:val="222705BD"/>
    <w:rsid w:val="222958CF"/>
    <w:rsid w:val="222A213F"/>
    <w:rsid w:val="223905D4"/>
    <w:rsid w:val="22497C45"/>
    <w:rsid w:val="224E25CD"/>
    <w:rsid w:val="225047C3"/>
    <w:rsid w:val="22576990"/>
    <w:rsid w:val="22592A24"/>
    <w:rsid w:val="22605CB1"/>
    <w:rsid w:val="22613331"/>
    <w:rsid w:val="22721D38"/>
    <w:rsid w:val="22821F7B"/>
    <w:rsid w:val="228E2802"/>
    <w:rsid w:val="228E4DC3"/>
    <w:rsid w:val="22916662"/>
    <w:rsid w:val="22943A5C"/>
    <w:rsid w:val="229B0D12"/>
    <w:rsid w:val="22A75E85"/>
    <w:rsid w:val="22A93FFA"/>
    <w:rsid w:val="22B8599C"/>
    <w:rsid w:val="22D93B65"/>
    <w:rsid w:val="22DF561F"/>
    <w:rsid w:val="22E569AE"/>
    <w:rsid w:val="22EE67C3"/>
    <w:rsid w:val="22F4274D"/>
    <w:rsid w:val="22F47480"/>
    <w:rsid w:val="22F514EE"/>
    <w:rsid w:val="22FF3DB9"/>
    <w:rsid w:val="2300417F"/>
    <w:rsid w:val="23072480"/>
    <w:rsid w:val="230E7CB2"/>
    <w:rsid w:val="23243032"/>
    <w:rsid w:val="233139A1"/>
    <w:rsid w:val="233174FD"/>
    <w:rsid w:val="233B65CE"/>
    <w:rsid w:val="234611FA"/>
    <w:rsid w:val="234E1AFB"/>
    <w:rsid w:val="23621DAC"/>
    <w:rsid w:val="23713D9D"/>
    <w:rsid w:val="23733FB9"/>
    <w:rsid w:val="237F3D9F"/>
    <w:rsid w:val="238241FC"/>
    <w:rsid w:val="238735C1"/>
    <w:rsid w:val="238F70F2"/>
    <w:rsid w:val="239D1036"/>
    <w:rsid w:val="239D7D85"/>
    <w:rsid w:val="23A94469"/>
    <w:rsid w:val="23B4085A"/>
    <w:rsid w:val="23CE11F0"/>
    <w:rsid w:val="23D22A8E"/>
    <w:rsid w:val="23DA3DA3"/>
    <w:rsid w:val="23DC56BB"/>
    <w:rsid w:val="23DE1C48"/>
    <w:rsid w:val="23F07A01"/>
    <w:rsid w:val="23F21382"/>
    <w:rsid w:val="23F91733"/>
    <w:rsid w:val="23FA529B"/>
    <w:rsid w:val="240210CD"/>
    <w:rsid w:val="24042E63"/>
    <w:rsid w:val="240A66CC"/>
    <w:rsid w:val="24174945"/>
    <w:rsid w:val="241E6ECF"/>
    <w:rsid w:val="24500B7F"/>
    <w:rsid w:val="246A716A"/>
    <w:rsid w:val="248C1C53"/>
    <w:rsid w:val="24A02B8C"/>
    <w:rsid w:val="24A85EE5"/>
    <w:rsid w:val="24A86184"/>
    <w:rsid w:val="24B10C03"/>
    <w:rsid w:val="24BF09F7"/>
    <w:rsid w:val="24BF52EC"/>
    <w:rsid w:val="24C90335"/>
    <w:rsid w:val="24CD14A7"/>
    <w:rsid w:val="24CD76F9"/>
    <w:rsid w:val="24D46CDA"/>
    <w:rsid w:val="24D6308C"/>
    <w:rsid w:val="24D80E54"/>
    <w:rsid w:val="24E54A43"/>
    <w:rsid w:val="24F64A0B"/>
    <w:rsid w:val="24FC3F2A"/>
    <w:rsid w:val="25055DB0"/>
    <w:rsid w:val="25057744"/>
    <w:rsid w:val="25090731"/>
    <w:rsid w:val="250D05B7"/>
    <w:rsid w:val="250E5D48"/>
    <w:rsid w:val="25273966"/>
    <w:rsid w:val="252B659C"/>
    <w:rsid w:val="252D53FE"/>
    <w:rsid w:val="253151AB"/>
    <w:rsid w:val="25331C52"/>
    <w:rsid w:val="253961E2"/>
    <w:rsid w:val="253E7682"/>
    <w:rsid w:val="254402E0"/>
    <w:rsid w:val="2546265C"/>
    <w:rsid w:val="25575B08"/>
    <w:rsid w:val="25592D3B"/>
    <w:rsid w:val="255F65A3"/>
    <w:rsid w:val="256B319A"/>
    <w:rsid w:val="257A5F66"/>
    <w:rsid w:val="2580651A"/>
    <w:rsid w:val="25897EAD"/>
    <w:rsid w:val="259D0E7A"/>
    <w:rsid w:val="25BD776E"/>
    <w:rsid w:val="25BF34E6"/>
    <w:rsid w:val="25C4045F"/>
    <w:rsid w:val="25E42F4C"/>
    <w:rsid w:val="25EC2D81"/>
    <w:rsid w:val="26013AFE"/>
    <w:rsid w:val="260D5EB5"/>
    <w:rsid w:val="261F5D33"/>
    <w:rsid w:val="262014A0"/>
    <w:rsid w:val="26325420"/>
    <w:rsid w:val="263E08AF"/>
    <w:rsid w:val="26461511"/>
    <w:rsid w:val="2677349D"/>
    <w:rsid w:val="26773DC1"/>
    <w:rsid w:val="2677791D"/>
    <w:rsid w:val="26833001"/>
    <w:rsid w:val="269C55D5"/>
    <w:rsid w:val="26AD77E2"/>
    <w:rsid w:val="26AF0B88"/>
    <w:rsid w:val="26BB6C46"/>
    <w:rsid w:val="26C863CA"/>
    <w:rsid w:val="26C879CF"/>
    <w:rsid w:val="26DA390F"/>
    <w:rsid w:val="26E66850"/>
    <w:rsid w:val="26E75B07"/>
    <w:rsid w:val="26ED5E31"/>
    <w:rsid w:val="26F7280B"/>
    <w:rsid w:val="26FF5B24"/>
    <w:rsid w:val="27070CA1"/>
    <w:rsid w:val="27207FB4"/>
    <w:rsid w:val="2722007C"/>
    <w:rsid w:val="2725381D"/>
    <w:rsid w:val="273961A8"/>
    <w:rsid w:val="274B7E0A"/>
    <w:rsid w:val="27561C28"/>
    <w:rsid w:val="275A34C6"/>
    <w:rsid w:val="277057A2"/>
    <w:rsid w:val="277D0F63"/>
    <w:rsid w:val="278C564A"/>
    <w:rsid w:val="27A42993"/>
    <w:rsid w:val="27A97FAA"/>
    <w:rsid w:val="27B20563"/>
    <w:rsid w:val="27B5378A"/>
    <w:rsid w:val="27D52B4D"/>
    <w:rsid w:val="27E65BDD"/>
    <w:rsid w:val="27F136FF"/>
    <w:rsid w:val="27FA6A57"/>
    <w:rsid w:val="2802590C"/>
    <w:rsid w:val="2815563F"/>
    <w:rsid w:val="28173165"/>
    <w:rsid w:val="282509C7"/>
    <w:rsid w:val="28334373"/>
    <w:rsid w:val="283C7070"/>
    <w:rsid w:val="283D6A2C"/>
    <w:rsid w:val="284035F2"/>
    <w:rsid w:val="28520641"/>
    <w:rsid w:val="285C6DCA"/>
    <w:rsid w:val="28686B1F"/>
    <w:rsid w:val="287560DE"/>
    <w:rsid w:val="28757938"/>
    <w:rsid w:val="28861EB0"/>
    <w:rsid w:val="2886653D"/>
    <w:rsid w:val="28941C39"/>
    <w:rsid w:val="28A6098D"/>
    <w:rsid w:val="28B22E8E"/>
    <w:rsid w:val="28B409B4"/>
    <w:rsid w:val="28B44E58"/>
    <w:rsid w:val="28BB6529"/>
    <w:rsid w:val="28BE7A85"/>
    <w:rsid w:val="28C055AB"/>
    <w:rsid w:val="28C921EC"/>
    <w:rsid w:val="28D41056"/>
    <w:rsid w:val="28D61AB0"/>
    <w:rsid w:val="28DB0E62"/>
    <w:rsid w:val="28E026ED"/>
    <w:rsid w:val="28E374EB"/>
    <w:rsid w:val="28EC259B"/>
    <w:rsid w:val="28F33BD2"/>
    <w:rsid w:val="291C35D2"/>
    <w:rsid w:val="291E49C7"/>
    <w:rsid w:val="29206EB8"/>
    <w:rsid w:val="29211A14"/>
    <w:rsid w:val="293B1D0E"/>
    <w:rsid w:val="2959155B"/>
    <w:rsid w:val="29595666"/>
    <w:rsid w:val="295B5A84"/>
    <w:rsid w:val="296028EA"/>
    <w:rsid w:val="2967011C"/>
    <w:rsid w:val="296A19BB"/>
    <w:rsid w:val="296D5007"/>
    <w:rsid w:val="29785E86"/>
    <w:rsid w:val="297B3BC8"/>
    <w:rsid w:val="298365D8"/>
    <w:rsid w:val="29874881"/>
    <w:rsid w:val="299D769A"/>
    <w:rsid w:val="29A24CB1"/>
    <w:rsid w:val="29A273A6"/>
    <w:rsid w:val="29AC5B2F"/>
    <w:rsid w:val="29B85BAF"/>
    <w:rsid w:val="29BB2086"/>
    <w:rsid w:val="29C9718D"/>
    <w:rsid w:val="29E325E0"/>
    <w:rsid w:val="29E90B31"/>
    <w:rsid w:val="29F179E6"/>
    <w:rsid w:val="2A005E7B"/>
    <w:rsid w:val="2A027E45"/>
    <w:rsid w:val="2A047719"/>
    <w:rsid w:val="2A0B4F4C"/>
    <w:rsid w:val="2A1262DA"/>
    <w:rsid w:val="2A236073"/>
    <w:rsid w:val="2A276771"/>
    <w:rsid w:val="2A2E0C3A"/>
    <w:rsid w:val="2A375D41"/>
    <w:rsid w:val="2A385615"/>
    <w:rsid w:val="2A452503"/>
    <w:rsid w:val="2A5306A1"/>
    <w:rsid w:val="2A53244F"/>
    <w:rsid w:val="2A5341FD"/>
    <w:rsid w:val="2A75032D"/>
    <w:rsid w:val="2A787ED2"/>
    <w:rsid w:val="2A8B1DAE"/>
    <w:rsid w:val="2A900FAD"/>
    <w:rsid w:val="2A924D25"/>
    <w:rsid w:val="2A96781F"/>
    <w:rsid w:val="2AA44A58"/>
    <w:rsid w:val="2AC241F2"/>
    <w:rsid w:val="2ACB46DB"/>
    <w:rsid w:val="2AD27817"/>
    <w:rsid w:val="2ADD7F15"/>
    <w:rsid w:val="2AE05406"/>
    <w:rsid w:val="2AE337D3"/>
    <w:rsid w:val="2AE80DE9"/>
    <w:rsid w:val="2AE9690F"/>
    <w:rsid w:val="2AEC6B2B"/>
    <w:rsid w:val="2AEF2177"/>
    <w:rsid w:val="2AFC6F9C"/>
    <w:rsid w:val="2B00270B"/>
    <w:rsid w:val="2B1020EE"/>
    <w:rsid w:val="2B1478F6"/>
    <w:rsid w:val="2B1C6CE5"/>
    <w:rsid w:val="2B2D78A2"/>
    <w:rsid w:val="2B4A3852"/>
    <w:rsid w:val="2B5F2304"/>
    <w:rsid w:val="2B6E1413"/>
    <w:rsid w:val="2B7733E2"/>
    <w:rsid w:val="2B822FEC"/>
    <w:rsid w:val="2B8925CC"/>
    <w:rsid w:val="2B8B7160"/>
    <w:rsid w:val="2BA15987"/>
    <w:rsid w:val="2BA529DB"/>
    <w:rsid w:val="2BA936A8"/>
    <w:rsid w:val="2BAA609E"/>
    <w:rsid w:val="2BB331A5"/>
    <w:rsid w:val="2BB626C9"/>
    <w:rsid w:val="2BBA3CA9"/>
    <w:rsid w:val="2BEC2B5B"/>
    <w:rsid w:val="2BF632B8"/>
    <w:rsid w:val="2BFD2672"/>
    <w:rsid w:val="2C002162"/>
    <w:rsid w:val="2C167BD8"/>
    <w:rsid w:val="2C1A3224"/>
    <w:rsid w:val="2C2E6CCF"/>
    <w:rsid w:val="2C315A5A"/>
    <w:rsid w:val="2C3B2FAB"/>
    <w:rsid w:val="2C416A03"/>
    <w:rsid w:val="2C4B1C25"/>
    <w:rsid w:val="2C4C53A8"/>
    <w:rsid w:val="2C5801F0"/>
    <w:rsid w:val="2C5D5807"/>
    <w:rsid w:val="2C5F157F"/>
    <w:rsid w:val="2C6223F8"/>
    <w:rsid w:val="2C6B7F24"/>
    <w:rsid w:val="2C7A1F15"/>
    <w:rsid w:val="2C7C3EDF"/>
    <w:rsid w:val="2C844B41"/>
    <w:rsid w:val="2C862667"/>
    <w:rsid w:val="2C92725E"/>
    <w:rsid w:val="2CA84CD4"/>
    <w:rsid w:val="2CBE44F7"/>
    <w:rsid w:val="2CCF04B2"/>
    <w:rsid w:val="2CD70CBA"/>
    <w:rsid w:val="2CDE24A4"/>
    <w:rsid w:val="2CF11895"/>
    <w:rsid w:val="2CF15C51"/>
    <w:rsid w:val="2D233ABE"/>
    <w:rsid w:val="2D2B7C85"/>
    <w:rsid w:val="2D2F01DE"/>
    <w:rsid w:val="2D396A90"/>
    <w:rsid w:val="2D5409B8"/>
    <w:rsid w:val="2D684463"/>
    <w:rsid w:val="2D6B22BD"/>
    <w:rsid w:val="2D9D49C2"/>
    <w:rsid w:val="2D9E56F5"/>
    <w:rsid w:val="2DA57465"/>
    <w:rsid w:val="2DCA0C7A"/>
    <w:rsid w:val="2DD218DC"/>
    <w:rsid w:val="2DD9710F"/>
    <w:rsid w:val="2DDF7C5A"/>
    <w:rsid w:val="2DE81100"/>
    <w:rsid w:val="2DE955A4"/>
    <w:rsid w:val="2DEB68B1"/>
    <w:rsid w:val="2DF80BB4"/>
    <w:rsid w:val="2DFE26D1"/>
    <w:rsid w:val="2E083954"/>
    <w:rsid w:val="2E0C51E3"/>
    <w:rsid w:val="2E0C688C"/>
    <w:rsid w:val="2E1B3283"/>
    <w:rsid w:val="2E1D284D"/>
    <w:rsid w:val="2E1E1F8C"/>
    <w:rsid w:val="2E2E7268"/>
    <w:rsid w:val="2E3B3926"/>
    <w:rsid w:val="2E450300"/>
    <w:rsid w:val="2E61458C"/>
    <w:rsid w:val="2E667F96"/>
    <w:rsid w:val="2E7A26A0"/>
    <w:rsid w:val="2E8226AB"/>
    <w:rsid w:val="2EC07B78"/>
    <w:rsid w:val="2ED973C6"/>
    <w:rsid w:val="2EE10029"/>
    <w:rsid w:val="2F0121E9"/>
    <w:rsid w:val="2F05640D"/>
    <w:rsid w:val="2F146650"/>
    <w:rsid w:val="2F1E36D3"/>
    <w:rsid w:val="2F1F0B51"/>
    <w:rsid w:val="2F1F7A9A"/>
    <w:rsid w:val="2F2A30B8"/>
    <w:rsid w:val="2F2B5748"/>
    <w:rsid w:val="2F391C13"/>
    <w:rsid w:val="2F4862FA"/>
    <w:rsid w:val="2F503401"/>
    <w:rsid w:val="2F5702EB"/>
    <w:rsid w:val="2F671B2F"/>
    <w:rsid w:val="2F68074A"/>
    <w:rsid w:val="2F6F3887"/>
    <w:rsid w:val="2F7D2448"/>
    <w:rsid w:val="2F8F78DA"/>
    <w:rsid w:val="2F94153F"/>
    <w:rsid w:val="2F9D1AF3"/>
    <w:rsid w:val="2FA0432F"/>
    <w:rsid w:val="2FA70495"/>
    <w:rsid w:val="2FAB6BD3"/>
    <w:rsid w:val="2FB120F1"/>
    <w:rsid w:val="2FB13980"/>
    <w:rsid w:val="2FB61DF6"/>
    <w:rsid w:val="2FB67708"/>
    <w:rsid w:val="2FBA323E"/>
    <w:rsid w:val="2FD065E6"/>
    <w:rsid w:val="2FD600FB"/>
    <w:rsid w:val="2FD90947"/>
    <w:rsid w:val="2FD96870"/>
    <w:rsid w:val="2FF16992"/>
    <w:rsid w:val="2FF827FE"/>
    <w:rsid w:val="300930AE"/>
    <w:rsid w:val="30124A30"/>
    <w:rsid w:val="30161F54"/>
    <w:rsid w:val="30580BC9"/>
    <w:rsid w:val="30666833"/>
    <w:rsid w:val="3069477A"/>
    <w:rsid w:val="30896BCA"/>
    <w:rsid w:val="30980055"/>
    <w:rsid w:val="30A65790"/>
    <w:rsid w:val="30BC0D4E"/>
    <w:rsid w:val="30BF083E"/>
    <w:rsid w:val="30D00355"/>
    <w:rsid w:val="30D047F9"/>
    <w:rsid w:val="30D342E9"/>
    <w:rsid w:val="30D5727F"/>
    <w:rsid w:val="30D616E4"/>
    <w:rsid w:val="30DD3E35"/>
    <w:rsid w:val="30E11085"/>
    <w:rsid w:val="30E12562"/>
    <w:rsid w:val="30E72D87"/>
    <w:rsid w:val="30FA7AC8"/>
    <w:rsid w:val="311E2ED7"/>
    <w:rsid w:val="312132A7"/>
    <w:rsid w:val="31244195"/>
    <w:rsid w:val="313152CA"/>
    <w:rsid w:val="313C7C2B"/>
    <w:rsid w:val="314501A8"/>
    <w:rsid w:val="314F1BC2"/>
    <w:rsid w:val="3150593A"/>
    <w:rsid w:val="315619EE"/>
    <w:rsid w:val="315C42DF"/>
    <w:rsid w:val="315C449C"/>
    <w:rsid w:val="317C228B"/>
    <w:rsid w:val="317C672F"/>
    <w:rsid w:val="3186310A"/>
    <w:rsid w:val="319121DA"/>
    <w:rsid w:val="31A33CBC"/>
    <w:rsid w:val="31A737AC"/>
    <w:rsid w:val="31B45EC9"/>
    <w:rsid w:val="31B5579D"/>
    <w:rsid w:val="31B82709"/>
    <w:rsid w:val="31C0661C"/>
    <w:rsid w:val="31CA5529"/>
    <w:rsid w:val="31D010A8"/>
    <w:rsid w:val="31D05482"/>
    <w:rsid w:val="31DD60F7"/>
    <w:rsid w:val="31F2254D"/>
    <w:rsid w:val="3204466B"/>
    <w:rsid w:val="32052280"/>
    <w:rsid w:val="32241728"/>
    <w:rsid w:val="32340DB8"/>
    <w:rsid w:val="32400B34"/>
    <w:rsid w:val="3241232A"/>
    <w:rsid w:val="324234D5"/>
    <w:rsid w:val="3247469D"/>
    <w:rsid w:val="324760F6"/>
    <w:rsid w:val="324E3C27"/>
    <w:rsid w:val="325154C6"/>
    <w:rsid w:val="32560D2E"/>
    <w:rsid w:val="3257018C"/>
    <w:rsid w:val="326C06C8"/>
    <w:rsid w:val="3284589B"/>
    <w:rsid w:val="328533C1"/>
    <w:rsid w:val="32896631"/>
    <w:rsid w:val="32935ADE"/>
    <w:rsid w:val="329E6876"/>
    <w:rsid w:val="32A001FB"/>
    <w:rsid w:val="32A54BEB"/>
    <w:rsid w:val="32A55811"/>
    <w:rsid w:val="32B334A9"/>
    <w:rsid w:val="32B7300E"/>
    <w:rsid w:val="32C46B15"/>
    <w:rsid w:val="32D63C1D"/>
    <w:rsid w:val="32D87995"/>
    <w:rsid w:val="32F8303F"/>
    <w:rsid w:val="32FB60E4"/>
    <w:rsid w:val="330368D7"/>
    <w:rsid w:val="3307027A"/>
    <w:rsid w:val="330B7D6A"/>
    <w:rsid w:val="33154745"/>
    <w:rsid w:val="3316226B"/>
    <w:rsid w:val="33185FE3"/>
    <w:rsid w:val="33242BDA"/>
    <w:rsid w:val="332C1A8F"/>
    <w:rsid w:val="332C482A"/>
    <w:rsid w:val="333015F2"/>
    <w:rsid w:val="333948D8"/>
    <w:rsid w:val="334B6320"/>
    <w:rsid w:val="337C266D"/>
    <w:rsid w:val="337D5EB4"/>
    <w:rsid w:val="337E27C7"/>
    <w:rsid w:val="3380202C"/>
    <w:rsid w:val="338F274A"/>
    <w:rsid w:val="33977850"/>
    <w:rsid w:val="33B757FC"/>
    <w:rsid w:val="33BC62D4"/>
    <w:rsid w:val="33C61EE3"/>
    <w:rsid w:val="33D068BE"/>
    <w:rsid w:val="33D360B3"/>
    <w:rsid w:val="33D934D4"/>
    <w:rsid w:val="33DC5895"/>
    <w:rsid w:val="33E134E0"/>
    <w:rsid w:val="33EB6F0B"/>
    <w:rsid w:val="33EC7B9C"/>
    <w:rsid w:val="33F56325"/>
    <w:rsid w:val="33F87432"/>
    <w:rsid w:val="33FE2F6A"/>
    <w:rsid w:val="34030A42"/>
    <w:rsid w:val="340D18C0"/>
    <w:rsid w:val="340D7B12"/>
    <w:rsid w:val="340E07E5"/>
    <w:rsid w:val="3420323F"/>
    <w:rsid w:val="34235BF7"/>
    <w:rsid w:val="34352F7A"/>
    <w:rsid w:val="34384B8F"/>
    <w:rsid w:val="343C3F54"/>
    <w:rsid w:val="34677222"/>
    <w:rsid w:val="346911EC"/>
    <w:rsid w:val="346A6D13"/>
    <w:rsid w:val="346D0B79"/>
    <w:rsid w:val="34831B82"/>
    <w:rsid w:val="34871673"/>
    <w:rsid w:val="34931DC5"/>
    <w:rsid w:val="34967B08"/>
    <w:rsid w:val="34A00986"/>
    <w:rsid w:val="34A2025B"/>
    <w:rsid w:val="34B85CD0"/>
    <w:rsid w:val="34BB131C"/>
    <w:rsid w:val="34CA77B1"/>
    <w:rsid w:val="34CE72A2"/>
    <w:rsid w:val="34D83C7C"/>
    <w:rsid w:val="34E22D4D"/>
    <w:rsid w:val="34E34B75"/>
    <w:rsid w:val="34E73EBF"/>
    <w:rsid w:val="34E94521"/>
    <w:rsid w:val="35011425"/>
    <w:rsid w:val="351647A5"/>
    <w:rsid w:val="35262C3A"/>
    <w:rsid w:val="3529272A"/>
    <w:rsid w:val="355163EF"/>
    <w:rsid w:val="355377A7"/>
    <w:rsid w:val="35577297"/>
    <w:rsid w:val="3558300F"/>
    <w:rsid w:val="357C6CFE"/>
    <w:rsid w:val="35855EE2"/>
    <w:rsid w:val="358C5FA8"/>
    <w:rsid w:val="359A7F9B"/>
    <w:rsid w:val="35AD335B"/>
    <w:rsid w:val="35AD5109"/>
    <w:rsid w:val="35AF70D3"/>
    <w:rsid w:val="35BE10C4"/>
    <w:rsid w:val="35C15DF1"/>
    <w:rsid w:val="35E770AE"/>
    <w:rsid w:val="36074A7F"/>
    <w:rsid w:val="361B4126"/>
    <w:rsid w:val="362A49AB"/>
    <w:rsid w:val="362F5B1E"/>
    <w:rsid w:val="363E0457"/>
    <w:rsid w:val="36420F81"/>
    <w:rsid w:val="36496FF1"/>
    <w:rsid w:val="36644727"/>
    <w:rsid w:val="366C6D72"/>
    <w:rsid w:val="366D6646"/>
    <w:rsid w:val="367E2601"/>
    <w:rsid w:val="368220F2"/>
    <w:rsid w:val="36877708"/>
    <w:rsid w:val="3689036D"/>
    <w:rsid w:val="36923549"/>
    <w:rsid w:val="369342FF"/>
    <w:rsid w:val="369E0EF6"/>
    <w:rsid w:val="36A33BF4"/>
    <w:rsid w:val="36B349A1"/>
    <w:rsid w:val="36B35051"/>
    <w:rsid w:val="36B42484"/>
    <w:rsid w:val="36B75FBF"/>
    <w:rsid w:val="36BD0C45"/>
    <w:rsid w:val="36C416DE"/>
    <w:rsid w:val="36E4415C"/>
    <w:rsid w:val="37021484"/>
    <w:rsid w:val="37206A37"/>
    <w:rsid w:val="37377380"/>
    <w:rsid w:val="373D24BC"/>
    <w:rsid w:val="37415DB1"/>
    <w:rsid w:val="374C59AF"/>
    <w:rsid w:val="375F0685"/>
    <w:rsid w:val="37621F23"/>
    <w:rsid w:val="37704640"/>
    <w:rsid w:val="37744822"/>
    <w:rsid w:val="37B564F7"/>
    <w:rsid w:val="37BC1BF7"/>
    <w:rsid w:val="37CF2144"/>
    <w:rsid w:val="37D2266D"/>
    <w:rsid w:val="37D90546"/>
    <w:rsid w:val="37DA41AF"/>
    <w:rsid w:val="37DA7D0B"/>
    <w:rsid w:val="37E00298"/>
    <w:rsid w:val="37E213A2"/>
    <w:rsid w:val="37E62B54"/>
    <w:rsid w:val="37E679B6"/>
    <w:rsid w:val="37F52D97"/>
    <w:rsid w:val="37F708BD"/>
    <w:rsid w:val="380A28CA"/>
    <w:rsid w:val="3814146F"/>
    <w:rsid w:val="38435613"/>
    <w:rsid w:val="38460BE9"/>
    <w:rsid w:val="386341A5"/>
    <w:rsid w:val="386352F8"/>
    <w:rsid w:val="387078CE"/>
    <w:rsid w:val="388135EA"/>
    <w:rsid w:val="38824072"/>
    <w:rsid w:val="38871C41"/>
    <w:rsid w:val="388859B9"/>
    <w:rsid w:val="389242B4"/>
    <w:rsid w:val="389600D6"/>
    <w:rsid w:val="389B56ED"/>
    <w:rsid w:val="38A547BD"/>
    <w:rsid w:val="38B302F9"/>
    <w:rsid w:val="38B844F1"/>
    <w:rsid w:val="38B90269"/>
    <w:rsid w:val="38B92017"/>
    <w:rsid w:val="38BF587F"/>
    <w:rsid w:val="38C537E4"/>
    <w:rsid w:val="38C84008"/>
    <w:rsid w:val="38E47094"/>
    <w:rsid w:val="38EC7622"/>
    <w:rsid w:val="38F117B0"/>
    <w:rsid w:val="38F12CD3"/>
    <w:rsid w:val="38F66DC7"/>
    <w:rsid w:val="38F94775"/>
    <w:rsid w:val="38F9569D"/>
    <w:rsid w:val="391334D5"/>
    <w:rsid w:val="392503FB"/>
    <w:rsid w:val="392971ED"/>
    <w:rsid w:val="39325651"/>
    <w:rsid w:val="39331DC9"/>
    <w:rsid w:val="3951224F"/>
    <w:rsid w:val="39535FC7"/>
    <w:rsid w:val="39570DCA"/>
    <w:rsid w:val="396F0351"/>
    <w:rsid w:val="39732F39"/>
    <w:rsid w:val="39743126"/>
    <w:rsid w:val="39846E2E"/>
    <w:rsid w:val="39873EC3"/>
    <w:rsid w:val="398D772B"/>
    <w:rsid w:val="39917C51"/>
    <w:rsid w:val="399565E0"/>
    <w:rsid w:val="399D7242"/>
    <w:rsid w:val="399F2FBB"/>
    <w:rsid w:val="39B527DE"/>
    <w:rsid w:val="39B60304"/>
    <w:rsid w:val="39CA01D5"/>
    <w:rsid w:val="39CE1AF2"/>
    <w:rsid w:val="39D07618"/>
    <w:rsid w:val="39DA2245"/>
    <w:rsid w:val="39F257E0"/>
    <w:rsid w:val="39F72DF7"/>
    <w:rsid w:val="39FC0403"/>
    <w:rsid w:val="39FF1CAB"/>
    <w:rsid w:val="3A145757"/>
    <w:rsid w:val="3A197299"/>
    <w:rsid w:val="3A1E4827"/>
    <w:rsid w:val="3A27603D"/>
    <w:rsid w:val="3A301503"/>
    <w:rsid w:val="3A361B71"/>
    <w:rsid w:val="3A541ADA"/>
    <w:rsid w:val="3A5F274A"/>
    <w:rsid w:val="3A7206CF"/>
    <w:rsid w:val="3A7E52C6"/>
    <w:rsid w:val="3A872856"/>
    <w:rsid w:val="3A880EC7"/>
    <w:rsid w:val="3A8B1791"/>
    <w:rsid w:val="3A916DA7"/>
    <w:rsid w:val="3A920D71"/>
    <w:rsid w:val="3AA647EE"/>
    <w:rsid w:val="3AC058DE"/>
    <w:rsid w:val="3AC52EF5"/>
    <w:rsid w:val="3AC55AB3"/>
    <w:rsid w:val="3ACD736D"/>
    <w:rsid w:val="3AD15CB4"/>
    <w:rsid w:val="3AD24831"/>
    <w:rsid w:val="3AD33C5B"/>
    <w:rsid w:val="3AEC66D3"/>
    <w:rsid w:val="3AF23EBB"/>
    <w:rsid w:val="3AFC6F67"/>
    <w:rsid w:val="3B023801"/>
    <w:rsid w:val="3B027CA5"/>
    <w:rsid w:val="3B091033"/>
    <w:rsid w:val="3B0C0D90"/>
    <w:rsid w:val="3B1D4ADF"/>
    <w:rsid w:val="3B2319C9"/>
    <w:rsid w:val="3B232166"/>
    <w:rsid w:val="3B2A2D58"/>
    <w:rsid w:val="3B2E2848"/>
    <w:rsid w:val="3B3763D1"/>
    <w:rsid w:val="3B3E69F4"/>
    <w:rsid w:val="3B5B6A00"/>
    <w:rsid w:val="3B5C2A14"/>
    <w:rsid w:val="3B5D4EDB"/>
    <w:rsid w:val="3B89694A"/>
    <w:rsid w:val="3BB30F9F"/>
    <w:rsid w:val="3BBA40DC"/>
    <w:rsid w:val="3BC01081"/>
    <w:rsid w:val="3BC13445"/>
    <w:rsid w:val="3BC92571"/>
    <w:rsid w:val="3BC96A15"/>
    <w:rsid w:val="3BDB3226"/>
    <w:rsid w:val="3BDC22A4"/>
    <w:rsid w:val="3BE63123"/>
    <w:rsid w:val="3BF07AFD"/>
    <w:rsid w:val="3BFB7BD3"/>
    <w:rsid w:val="3C067321"/>
    <w:rsid w:val="3C073099"/>
    <w:rsid w:val="3C0E4427"/>
    <w:rsid w:val="3C1F6635"/>
    <w:rsid w:val="3C236125"/>
    <w:rsid w:val="3C287664"/>
    <w:rsid w:val="3C2F6E1E"/>
    <w:rsid w:val="3C3F2833"/>
    <w:rsid w:val="3C4F64BA"/>
    <w:rsid w:val="3C577B7C"/>
    <w:rsid w:val="3C6329C5"/>
    <w:rsid w:val="3C687FDC"/>
    <w:rsid w:val="3C6B7ACC"/>
    <w:rsid w:val="3C6E670E"/>
    <w:rsid w:val="3C720E5A"/>
    <w:rsid w:val="3CA07775"/>
    <w:rsid w:val="3CA13016"/>
    <w:rsid w:val="3CA64660"/>
    <w:rsid w:val="3CB46D7D"/>
    <w:rsid w:val="3CB52AF5"/>
    <w:rsid w:val="3CB66F99"/>
    <w:rsid w:val="3CDA245A"/>
    <w:rsid w:val="3CDE3D1B"/>
    <w:rsid w:val="3CE5162C"/>
    <w:rsid w:val="3CEE34ED"/>
    <w:rsid w:val="3CF96E86"/>
    <w:rsid w:val="3D030051"/>
    <w:rsid w:val="3D100A5B"/>
    <w:rsid w:val="3D1E06B7"/>
    <w:rsid w:val="3D26172C"/>
    <w:rsid w:val="3D274C6D"/>
    <w:rsid w:val="3D4311FF"/>
    <w:rsid w:val="3D4520CB"/>
    <w:rsid w:val="3D4549B9"/>
    <w:rsid w:val="3D464256"/>
    <w:rsid w:val="3D475E43"/>
    <w:rsid w:val="3D502BD6"/>
    <w:rsid w:val="3D516CC2"/>
    <w:rsid w:val="3D606F05"/>
    <w:rsid w:val="3D78424E"/>
    <w:rsid w:val="3D791099"/>
    <w:rsid w:val="3D804EB1"/>
    <w:rsid w:val="3D8175A7"/>
    <w:rsid w:val="3D8B21D4"/>
    <w:rsid w:val="3D9A2417"/>
    <w:rsid w:val="3DA6700D"/>
    <w:rsid w:val="3DB73C74"/>
    <w:rsid w:val="3DBD7EB3"/>
    <w:rsid w:val="3DC04E1D"/>
    <w:rsid w:val="3DD07BE6"/>
    <w:rsid w:val="3DD562BA"/>
    <w:rsid w:val="3DEC0798"/>
    <w:rsid w:val="3DF17B5D"/>
    <w:rsid w:val="3DFD6502"/>
    <w:rsid w:val="3E043D34"/>
    <w:rsid w:val="3E09134A"/>
    <w:rsid w:val="3E0945B1"/>
    <w:rsid w:val="3E0F1616"/>
    <w:rsid w:val="3E1000F5"/>
    <w:rsid w:val="3E18158D"/>
    <w:rsid w:val="3E407289"/>
    <w:rsid w:val="3E495BEB"/>
    <w:rsid w:val="3E500D27"/>
    <w:rsid w:val="3E554590"/>
    <w:rsid w:val="3E55633E"/>
    <w:rsid w:val="3E5B4683"/>
    <w:rsid w:val="3E671F4D"/>
    <w:rsid w:val="3E703177"/>
    <w:rsid w:val="3E704F26"/>
    <w:rsid w:val="3E7F160D"/>
    <w:rsid w:val="3E861193"/>
    <w:rsid w:val="3E8804C1"/>
    <w:rsid w:val="3E8D2B73"/>
    <w:rsid w:val="3E92675F"/>
    <w:rsid w:val="3E9A01F4"/>
    <w:rsid w:val="3EA572C5"/>
    <w:rsid w:val="3ED22D6A"/>
    <w:rsid w:val="3EDA0523"/>
    <w:rsid w:val="3EEB0A50"/>
    <w:rsid w:val="3EFC4A0B"/>
    <w:rsid w:val="3EFF1387"/>
    <w:rsid w:val="3F060AA7"/>
    <w:rsid w:val="3F0F7F37"/>
    <w:rsid w:val="3F1767A4"/>
    <w:rsid w:val="3F1A6771"/>
    <w:rsid w:val="3F227801"/>
    <w:rsid w:val="3F2D2E17"/>
    <w:rsid w:val="3F3D5750"/>
    <w:rsid w:val="3F485DF7"/>
    <w:rsid w:val="3F4C624D"/>
    <w:rsid w:val="3F5E7474"/>
    <w:rsid w:val="3F657FC1"/>
    <w:rsid w:val="3F7153F9"/>
    <w:rsid w:val="3F7B2B5F"/>
    <w:rsid w:val="3F836E9B"/>
    <w:rsid w:val="3F8C2233"/>
    <w:rsid w:val="3F8F3AD1"/>
    <w:rsid w:val="3F9D61EE"/>
    <w:rsid w:val="3F9F1F66"/>
    <w:rsid w:val="3FA44371"/>
    <w:rsid w:val="3FA7706D"/>
    <w:rsid w:val="3FAA26B9"/>
    <w:rsid w:val="3FAC6431"/>
    <w:rsid w:val="3FC06850"/>
    <w:rsid w:val="3FD55759"/>
    <w:rsid w:val="3FDD6F27"/>
    <w:rsid w:val="3FEA68C5"/>
    <w:rsid w:val="3FF027C2"/>
    <w:rsid w:val="3FF1653A"/>
    <w:rsid w:val="3FFA0F4B"/>
    <w:rsid w:val="40026051"/>
    <w:rsid w:val="401108F4"/>
    <w:rsid w:val="40155D85"/>
    <w:rsid w:val="40185875"/>
    <w:rsid w:val="402638F8"/>
    <w:rsid w:val="40326DEC"/>
    <w:rsid w:val="4037219F"/>
    <w:rsid w:val="40510A2D"/>
    <w:rsid w:val="4057639D"/>
    <w:rsid w:val="40646D0C"/>
    <w:rsid w:val="406805AA"/>
    <w:rsid w:val="40771D19"/>
    <w:rsid w:val="40774C91"/>
    <w:rsid w:val="40784565"/>
    <w:rsid w:val="407A6407"/>
    <w:rsid w:val="408178BE"/>
    <w:rsid w:val="40980764"/>
    <w:rsid w:val="40A23390"/>
    <w:rsid w:val="40A23B78"/>
    <w:rsid w:val="40D310C8"/>
    <w:rsid w:val="40E439A9"/>
    <w:rsid w:val="40FA31CC"/>
    <w:rsid w:val="410142A2"/>
    <w:rsid w:val="41102DB8"/>
    <w:rsid w:val="41151DB4"/>
    <w:rsid w:val="411617A1"/>
    <w:rsid w:val="41270465"/>
    <w:rsid w:val="412D5350"/>
    <w:rsid w:val="413606A8"/>
    <w:rsid w:val="413A2E0B"/>
    <w:rsid w:val="413E130B"/>
    <w:rsid w:val="413F3604"/>
    <w:rsid w:val="4141149B"/>
    <w:rsid w:val="41432F6C"/>
    <w:rsid w:val="41466412"/>
    <w:rsid w:val="4159130B"/>
    <w:rsid w:val="415F489E"/>
    <w:rsid w:val="416074D3"/>
    <w:rsid w:val="417B60BB"/>
    <w:rsid w:val="418530D3"/>
    <w:rsid w:val="419248B1"/>
    <w:rsid w:val="419C5498"/>
    <w:rsid w:val="419E6238"/>
    <w:rsid w:val="41B06E4B"/>
    <w:rsid w:val="41B25855"/>
    <w:rsid w:val="41C061C4"/>
    <w:rsid w:val="41C77552"/>
    <w:rsid w:val="41ED7771"/>
    <w:rsid w:val="41F63994"/>
    <w:rsid w:val="41F75D39"/>
    <w:rsid w:val="4200449D"/>
    <w:rsid w:val="42162288"/>
    <w:rsid w:val="421F0F04"/>
    <w:rsid w:val="423A3BCC"/>
    <w:rsid w:val="423A7D24"/>
    <w:rsid w:val="42415557"/>
    <w:rsid w:val="42424E2B"/>
    <w:rsid w:val="424E57D2"/>
    <w:rsid w:val="424F44AD"/>
    <w:rsid w:val="4274031A"/>
    <w:rsid w:val="42815953"/>
    <w:rsid w:val="42862F6A"/>
    <w:rsid w:val="429200DE"/>
    <w:rsid w:val="42985594"/>
    <w:rsid w:val="42A11E98"/>
    <w:rsid w:val="42B074AD"/>
    <w:rsid w:val="42B26C49"/>
    <w:rsid w:val="42C121F4"/>
    <w:rsid w:val="42C2426D"/>
    <w:rsid w:val="42C53C19"/>
    <w:rsid w:val="42CB3A88"/>
    <w:rsid w:val="42D34AAA"/>
    <w:rsid w:val="42DF267A"/>
    <w:rsid w:val="42FB5E19"/>
    <w:rsid w:val="43091CC8"/>
    <w:rsid w:val="431247FD"/>
    <w:rsid w:val="43153C13"/>
    <w:rsid w:val="431C6452"/>
    <w:rsid w:val="431C742A"/>
    <w:rsid w:val="432A3781"/>
    <w:rsid w:val="432D1637"/>
    <w:rsid w:val="432E715D"/>
    <w:rsid w:val="43367407"/>
    <w:rsid w:val="433A6FE6"/>
    <w:rsid w:val="43480868"/>
    <w:rsid w:val="434D31F4"/>
    <w:rsid w:val="4350713C"/>
    <w:rsid w:val="435D316C"/>
    <w:rsid w:val="436334A9"/>
    <w:rsid w:val="436653E0"/>
    <w:rsid w:val="436D4FAD"/>
    <w:rsid w:val="438C45B0"/>
    <w:rsid w:val="438F22F2"/>
    <w:rsid w:val="438F40A0"/>
    <w:rsid w:val="43994F1E"/>
    <w:rsid w:val="43A833B4"/>
    <w:rsid w:val="43B91808"/>
    <w:rsid w:val="43C4431A"/>
    <w:rsid w:val="43C71A8C"/>
    <w:rsid w:val="43E029AE"/>
    <w:rsid w:val="43F16B09"/>
    <w:rsid w:val="43F21357"/>
    <w:rsid w:val="43FE2FD4"/>
    <w:rsid w:val="44006D4C"/>
    <w:rsid w:val="44093499"/>
    <w:rsid w:val="441416DA"/>
    <w:rsid w:val="441E71D2"/>
    <w:rsid w:val="442471ED"/>
    <w:rsid w:val="443A04B0"/>
    <w:rsid w:val="443D58AA"/>
    <w:rsid w:val="4444468D"/>
    <w:rsid w:val="44450C02"/>
    <w:rsid w:val="445157F9"/>
    <w:rsid w:val="44676E58"/>
    <w:rsid w:val="446948F1"/>
    <w:rsid w:val="4470139D"/>
    <w:rsid w:val="44711358"/>
    <w:rsid w:val="447B1636"/>
    <w:rsid w:val="44915BF6"/>
    <w:rsid w:val="44936E0C"/>
    <w:rsid w:val="4497145E"/>
    <w:rsid w:val="449A2CFC"/>
    <w:rsid w:val="449B5C55"/>
    <w:rsid w:val="449F6565"/>
    <w:rsid w:val="44A771C7"/>
    <w:rsid w:val="44B00772"/>
    <w:rsid w:val="44B64E17"/>
    <w:rsid w:val="44B951CC"/>
    <w:rsid w:val="44BA763E"/>
    <w:rsid w:val="44C64DC5"/>
    <w:rsid w:val="44CD14E0"/>
    <w:rsid w:val="44D334D7"/>
    <w:rsid w:val="44D81A76"/>
    <w:rsid w:val="44D94BD0"/>
    <w:rsid w:val="44E4041B"/>
    <w:rsid w:val="44F14DE5"/>
    <w:rsid w:val="44F20B0B"/>
    <w:rsid w:val="44F22B38"/>
    <w:rsid w:val="44F3065E"/>
    <w:rsid w:val="44FA7C3F"/>
    <w:rsid w:val="45107462"/>
    <w:rsid w:val="45174543"/>
    <w:rsid w:val="45246A6A"/>
    <w:rsid w:val="452E5F4C"/>
    <w:rsid w:val="453A628D"/>
    <w:rsid w:val="453E7B2C"/>
    <w:rsid w:val="4545710C"/>
    <w:rsid w:val="45460117"/>
    <w:rsid w:val="454B3FF6"/>
    <w:rsid w:val="454D7C03"/>
    <w:rsid w:val="454F3AE7"/>
    <w:rsid w:val="45600EFB"/>
    <w:rsid w:val="45612018"/>
    <w:rsid w:val="456A6B72"/>
    <w:rsid w:val="457C2402"/>
    <w:rsid w:val="458946E9"/>
    <w:rsid w:val="458E0C7A"/>
    <w:rsid w:val="458E50FB"/>
    <w:rsid w:val="45A47C0E"/>
    <w:rsid w:val="45AA3413"/>
    <w:rsid w:val="45AA6F6F"/>
    <w:rsid w:val="45C64F3E"/>
    <w:rsid w:val="45CA5863"/>
    <w:rsid w:val="45D95AA6"/>
    <w:rsid w:val="45F91CA4"/>
    <w:rsid w:val="46195EA3"/>
    <w:rsid w:val="462A4554"/>
    <w:rsid w:val="463351B6"/>
    <w:rsid w:val="46503FBA"/>
    <w:rsid w:val="46577FD6"/>
    <w:rsid w:val="46607F75"/>
    <w:rsid w:val="46693F3D"/>
    <w:rsid w:val="466C6B04"/>
    <w:rsid w:val="466E0B17"/>
    <w:rsid w:val="468A0F7A"/>
    <w:rsid w:val="469043B7"/>
    <w:rsid w:val="46963997"/>
    <w:rsid w:val="469B0FAE"/>
    <w:rsid w:val="46A165C4"/>
    <w:rsid w:val="46B53E1D"/>
    <w:rsid w:val="46D955A7"/>
    <w:rsid w:val="46EE10DD"/>
    <w:rsid w:val="46F30DEA"/>
    <w:rsid w:val="47046B53"/>
    <w:rsid w:val="470D43A0"/>
    <w:rsid w:val="47133957"/>
    <w:rsid w:val="47146532"/>
    <w:rsid w:val="471A1ED2"/>
    <w:rsid w:val="472471F5"/>
    <w:rsid w:val="47256E27"/>
    <w:rsid w:val="47502C34"/>
    <w:rsid w:val="47507FEA"/>
    <w:rsid w:val="475D106F"/>
    <w:rsid w:val="475E7622"/>
    <w:rsid w:val="476240E0"/>
    <w:rsid w:val="4770243A"/>
    <w:rsid w:val="478F28C0"/>
    <w:rsid w:val="479954ED"/>
    <w:rsid w:val="47A07E0C"/>
    <w:rsid w:val="47C167F2"/>
    <w:rsid w:val="47C63E08"/>
    <w:rsid w:val="47D209FF"/>
    <w:rsid w:val="47D6229D"/>
    <w:rsid w:val="47E32C0C"/>
    <w:rsid w:val="47E726FC"/>
    <w:rsid w:val="47EA16BA"/>
    <w:rsid w:val="47F46BC7"/>
    <w:rsid w:val="480C3F44"/>
    <w:rsid w:val="48313978"/>
    <w:rsid w:val="48335942"/>
    <w:rsid w:val="48415AB2"/>
    <w:rsid w:val="48457423"/>
    <w:rsid w:val="484B7280"/>
    <w:rsid w:val="4867383D"/>
    <w:rsid w:val="486F688E"/>
    <w:rsid w:val="4870272E"/>
    <w:rsid w:val="487877F8"/>
    <w:rsid w:val="487B4BF3"/>
    <w:rsid w:val="487F2935"/>
    <w:rsid w:val="48890A85"/>
    <w:rsid w:val="489F1E0A"/>
    <w:rsid w:val="48A04659"/>
    <w:rsid w:val="48A8276D"/>
    <w:rsid w:val="48A91760"/>
    <w:rsid w:val="48B30830"/>
    <w:rsid w:val="48BD16AF"/>
    <w:rsid w:val="48D10CB7"/>
    <w:rsid w:val="48EC789E"/>
    <w:rsid w:val="490354FF"/>
    <w:rsid w:val="490746D8"/>
    <w:rsid w:val="49177011"/>
    <w:rsid w:val="491F7C74"/>
    <w:rsid w:val="49267AD3"/>
    <w:rsid w:val="492A36D2"/>
    <w:rsid w:val="493354CD"/>
    <w:rsid w:val="493D0D2B"/>
    <w:rsid w:val="49417BEA"/>
    <w:rsid w:val="4961203A"/>
    <w:rsid w:val="49627B61"/>
    <w:rsid w:val="496E69A4"/>
    <w:rsid w:val="497D499A"/>
    <w:rsid w:val="49861AA1"/>
    <w:rsid w:val="498705B1"/>
    <w:rsid w:val="49885819"/>
    <w:rsid w:val="49975B39"/>
    <w:rsid w:val="49A458D4"/>
    <w:rsid w:val="49A60395"/>
    <w:rsid w:val="49B74350"/>
    <w:rsid w:val="49B963E8"/>
    <w:rsid w:val="49BB5939"/>
    <w:rsid w:val="49BE123B"/>
    <w:rsid w:val="49D15412"/>
    <w:rsid w:val="49DC7715"/>
    <w:rsid w:val="49DE23C0"/>
    <w:rsid w:val="49F66C27"/>
    <w:rsid w:val="49FB277C"/>
    <w:rsid w:val="49FC1D63"/>
    <w:rsid w:val="4A023139"/>
    <w:rsid w:val="4A050C18"/>
    <w:rsid w:val="4A0B35B5"/>
    <w:rsid w:val="4A2009C9"/>
    <w:rsid w:val="4A25750C"/>
    <w:rsid w:val="4A266DE0"/>
    <w:rsid w:val="4A3271EB"/>
    <w:rsid w:val="4A396B13"/>
    <w:rsid w:val="4A3B0ADD"/>
    <w:rsid w:val="4A3D2AA8"/>
    <w:rsid w:val="4A4110E0"/>
    <w:rsid w:val="4A442959"/>
    <w:rsid w:val="4A4E6A63"/>
    <w:rsid w:val="4A6859CC"/>
    <w:rsid w:val="4A6A3171"/>
    <w:rsid w:val="4A6F69D9"/>
    <w:rsid w:val="4A7B576F"/>
    <w:rsid w:val="4A995804"/>
    <w:rsid w:val="4AA5064D"/>
    <w:rsid w:val="4AA91EEB"/>
    <w:rsid w:val="4AAE12AF"/>
    <w:rsid w:val="4AB34B18"/>
    <w:rsid w:val="4ABD43B0"/>
    <w:rsid w:val="4ABD7744"/>
    <w:rsid w:val="4AC22FAD"/>
    <w:rsid w:val="4AD14F9E"/>
    <w:rsid w:val="4AD4683C"/>
    <w:rsid w:val="4AF40C8C"/>
    <w:rsid w:val="4AF561A9"/>
    <w:rsid w:val="4AFA62A3"/>
    <w:rsid w:val="4B157580"/>
    <w:rsid w:val="4B307F16"/>
    <w:rsid w:val="4B5A0CCB"/>
    <w:rsid w:val="4B661B8A"/>
    <w:rsid w:val="4B692D16"/>
    <w:rsid w:val="4B7F348A"/>
    <w:rsid w:val="4B9304A5"/>
    <w:rsid w:val="4B9F32EE"/>
    <w:rsid w:val="4BB20330"/>
    <w:rsid w:val="4BB2183B"/>
    <w:rsid w:val="4BB87F0C"/>
    <w:rsid w:val="4BBC5C4E"/>
    <w:rsid w:val="4BC13264"/>
    <w:rsid w:val="4BD24E2E"/>
    <w:rsid w:val="4BD765E4"/>
    <w:rsid w:val="4BDA60D4"/>
    <w:rsid w:val="4BDB2578"/>
    <w:rsid w:val="4BE156B5"/>
    <w:rsid w:val="4C0A4C0B"/>
    <w:rsid w:val="4C161994"/>
    <w:rsid w:val="4C1635B0"/>
    <w:rsid w:val="4C1A6793"/>
    <w:rsid w:val="4C1B2975"/>
    <w:rsid w:val="4C365A00"/>
    <w:rsid w:val="4C400831"/>
    <w:rsid w:val="4C417F01"/>
    <w:rsid w:val="4C4A0649"/>
    <w:rsid w:val="4C786019"/>
    <w:rsid w:val="4C7E5ECA"/>
    <w:rsid w:val="4C876AA5"/>
    <w:rsid w:val="4CA21884"/>
    <w:rsid w:val="4CA23096"/>
    <w:rsid w:val="4CA961D2"/>
    <w:rsid w:val="4CC27513"/>
    <w:rsid w:val="4CC84B86"/>
    <w:rsid w:val="4CCA7EF7"/>
    <w:rsid w:val="4CD858AC"/>
    <w:rsid w:val="4CD9638C"/>
    <w:rsid w:val="4CD96B54"/>
    <w:rsid w:val="4CDB65A8"/>
    <w:rsid w:val="4CE0002E"/>
    <w:rsid w:val="4CEA67EB"/>
    <w:rsid w:val="4CF66F3E"/>
    <w:rsid w:val="4CF907DC"/>
    <w:rsid w:val="4CFB342A"/>
    <w:rsid w:val="4CFE6DF2"/>
    <w:rsid w:val="4D0E00FB"/>
    <w:rsid w:val="4D153868"/>
    <w:rsid w:val="4D1608A4"/>
    <w:rsid w:val="4D176606"/>
    <w:rsid w:val="4D1B0752"/>
    <w:rsid w:val="4D20220D"/>
    <w:rsid w:val="4D275349"/>
    <w:rsid w:val="4D36558C"/>
    <w:rsid w:val="4D3D2DBF"/>
    <w:rsid w:val="4D485708"/>
    <w:rsid w:val="4D4E28D6"/>
    <w:rsid w:val="4D550108"/>
    <w:rsid w:val="4D557F3F"/>
    <w:rsid w:val="4D5D520F"/>
    <w:rsid w:val="4D7367E0"/>
    <w:rsid w:val="4D9549A9"/>
    <w:rsid w:val="4DA04ECB"/>
    <w:rsid w:val="4DA2003D"/>
    <w:rsid w:val="4DA60964"/>
    <w:rsid w:val="4DBF5582"/>
    <w:rsid w:val="4DC4703C"/>
    <w:rsid w:val="4DC64B62"/>
    <w:rsid w:val="4DC66910"/>
    <w:rsid w:val="4DD059E1"/>
    <w:rsid w:val="4DEA6AA2"/>
    <w:rsid w:val="4DEC4FB0"/>
    <w:rsid w:val="4DED20EF"/>
    <w:rsid w:val="4E075D8A"/>
    <w:rsid w:val="4E0B07C7"/>
    <w:rsid w:val="4E102281"/>
    <w:rsid w:val="4E165AE9"/>
    <w:rsid w:val="4E261AA5"/>
    <w:rsid w:val="4E29093D"/>
    <w:rsid w:val="4E3A10AC"/>
    <w:rsid w:val="4E3C79A4"/>
    <w:rsid w:val="4E5403C0"/>
    <w:rsid w:val="4E571C5E"/>
    <w:rsid w:val="4E6B160F"/>
    <w:rsid w:val="4E766EAA"/>
    <w:rsid w:val="4EB559C3"/>
    <w:rsid w:val="4EBE3A8B"/>
    <w:rsid w:val="4EC00FAD"/>
    <w:rsid w:val="4EC92072"/>
    <w:rsid w:val="4EDB4732"/>
    <w:rsid w:val="4EE03A01"/>
    <w:rsid w:val="4EE31744"/>
    <w:rsid w:val="4EEE2A3C"/>
    <w:rsid w:val="4EFA0405"/>
    <w:rsid w:val="4F293E29"/>
    <w:rsid w:val="4F4F2935"/>
    <w:rsid w:val="4F541CA3"/>
    <w:rsid w:val="4F5C783F"/>
    <w:rsid w:val="4F6100A4"/>
    <w:rsid w:val="4F6B59C1"/>
    <w:rsid w:val="4F74239C"/>
    <w:rsid w:val="4F7903EF"/>
    <w:rsid w:val="4F7D74A2"/>
    <w:rsid w:val="4F8545A9"/>
    <w:rsid w:val="4F9843DC"/>
    <w:rsid w:val="4FA709C3"/>
    <w:rsid w:val="4FAE1D52"/>
    <w:rsid w:val="4FB07878"/>
    <w:rsid w:val="4FC62A8C"/>
    <w:rsid w:val="4FDD43E5"/>
    <w:rsid w:val="4FE20F0D"/>
    <w:rsid w:val="4FE51552"/>
    <w:rsid w:val="4FE90FDC"/>
    <w:rsid w:val="4FF963FF"/>
    <w:rsid w:val="500656EA"/>
    <w:rsid w:val="50074D28"/>
    <w:rsid w:val="50075DA1"/>
    <w:rsid w:val="5007625F"/>
    <w:rsid w:val="500F1150"/>
    <w:rsid w:val="50153B7F"/>
    <w:rsid w:val="5015592D"/>
    <w:rsid w:val="502327C4"/>
    <w:rsid w:val="50245B70"/>
    <w:rsid w:val="50285660"/>
    <w:rsid w:val="503264DF"/>
    <w:rsid w:val="50413F78"/>
    <w:rsid w:val="50447FC0"/>
    <w:rsid w:val="50504C4B"/>
    <w:rsid w:val="50746AF7"/>
    <w:rsid w:val="5076286F"/>
    <w:rsid w:val="508A00C9"/>
    <w:rsid w:val="509C6E7C"/>
    <w:rsid w:val="50A849F3"/>
    <w:rsid w:val="50AC6291"/>
    <w:rsid w:val="50B1791F"/>
    <w:rsid w:val="50C636F7"/>
    <w:rsid w:val="50C80BF1"/>
    <w:rsid w:val="50D61560"/>
    <w:rsid w:val="50DA6C25"/>
    <w:rsid w:val="50E13A61"/>
    <w:rsid w:val="50EC0D83"/>
    <w:rsid w:val="50F660E5"/>
    <w:rsid w:val="510D0FC2"/>
    <w:rsid w:val="51121E6C"/>
    <w:rsid w:val="51136310"/>
    <w:rsid w:val="51330760"/>
    <w:rsid w:val="51366F32"/>
    <w:rsid w:val="514209A3"/>
    <w:rsid w:val="51424ACB"/>
    <w:rsid w:val="51491D32"/>
    <w:rsid w:val="515057DB"/>
    <w:rsid w:val="51510BE7"/>
    <w:rsid w:val="5162104E"/>
    <w:rsid w:val="516A1362"/>
    <w:rsid w:val="51752B27"/>
    <w:rsid w:val="51825244"/>
    <w:rsid w:val="518920CE"/>
    <w:rsid w:val="51A056CA"/>
    <w:rsid w:val="51C6309D"/>
    <w:rsid w:val="51CF5C6B"/>
    <w:rsid w:val="51D03119"/>
    <w:rsid w:val="51E101BC"/>
    <w:rsid w:val="52043EAB"/>
    <w:rsid w:val="52171E30"/>
    <w:rsid w:val="522A0746"/>
    <w:rsid w:val="522F06A2"/>
    <w:rsid w:val="52425397"/>
    <w:rsid w:val="52432C25"/>
    <w:rsid w:val="5245699D"/>
    <w:rsid w:val="52552958"/>
    <w:rsid w:val="52606AE3"/>
    <w:rsid w:val="52704D94"/>
    <w:rsid w:val="52AE35F5"/>
    <w:rsid w:val="52BA59E5"/>
    <w:rsid w:val="52BD6B2D"/>
    <w:rsid w:val="52C63844"/>
    <w:rsid w:val="52D10231"/>
    <w:rsid w:val="52DA5D9C"/>
    <w:rsid w:val="52FB3500"/>
    <w:rsid w:val="5302488E"/>
    <w:rsid w:val="531540A5"/>
    <w:rsid w:val="531B7376"/>
    <w:rsid w:val="531C426E"/>
    <w:rsid w:val="53265EE4"/>
    <w:rsid w:val="534723DC"/>
    <w:rsid w:val="5354676C"/>
    <w:rsid w:val="535B5D4C"/>
    <w:rsid w:val="535D3B69"/>
    <w:rsid w:val="536F35A6"/>
    <w:rsid w:val="53972848"/>
    <w:rsid w:val="539D6365"/>
    <w:rsid w:val="53A039CC"/>
    <w:rsid w:val="53A1505A"/>
    <w:rsid w:val="53AA7C89"/>
    <w:rsid w:val="53B536AF"/>
    <w:rsid w:val="53B82429"/>
    <w:rsid w:val="53BA1261"/>
    <w:rsid w:val="53BC2C8F"/>
    <w:rsid w:val="53C733E2"/>
    <w:rsid w:val="53DD7947"/>
    <w:rsid w:val="53E421E6"/>
    <w:rsid w:val="53F817ED"/>
    <w:rsid w:val="53FC621D"/>
    <w:rsid w:val="54063E08"/>
    <w:rsid w:val="54084C4F"/>
    <w:rsid w:val="540939FA"/>
    <w:rsid w:val="540A36F6"/>
    <w:rsid w:val="540F56E9"/>
    <w:rsid w:val="541C1980"/>
    <w:rsid w:val="543437E8"/>
    <w:rsid w:val="5435659E"/>
    <w:rsid w:val="54372316"/>
    <w:rsid w:val="543A1E06"/>
    <w:rsid w:val="54422A68"/>
    <w:rsid w:val="545A4256"/>
    <w:rsid w:val="54662BFB"/>
    <w:rsid w:val="54837309"/>
    <w:rsid w:val="54907C78"/>
    <w:rsid w:val="54992FD0"/>
    <w:rsid w:val="549C661D"/>
    <w:rsid w:val="54A05D21"/>
    <w:rsid w:val="54A379AB"/>
    <w:rsid w:val="54AF3F11"/>
    <w:rsid w:val="54BC6A3F"/>
    <w:rsid w:val="54C3004D"/>
    <w:rsid w:val="54C975BA"/>
    <w:rsid w:val="54EB72AE"/>
    <w:rsid w:val="54F16968"/>
    <w:rsid w:val="54F621D1"/>
    <w:rsid w:val="54F73313"/>
    <w:rsid w:val="54F80955"/>
    <w:rsid w:val="54FE1085"/>
    <w:rsid w:val="54FE2E33"/>
    <w:rsid w:val="550146D2"/>
    <w:rsid w:val="550B5550"/>
    <w:rsid w:val="550D504A"/>
    <w:rsid w:val="5520724E"/>
    <w:rsid w:val="55254864"/>
    <w:rsid w:val="552B174F"/>
    <w:rsid w:val="553C395C"/>
    <w:rsid w:val="55466806"/>
    <w:rsid w:val="555170A7"/>
    <w:rsid w:val="55524F2D"/>
    <w:rsid w:val="55582CA1"/>
    <w:rsid w:val="55676C2B"/>
    <w:rsid w:val="556A04C9"/>
    <w:rsid w:val="556F73C3"/>
    <w:rsid w:val="55794BB0"/>
    <w:rsid w:val="5587536D"/>
    <w:rsid w:val="558F36ED"/>
    <w:rsid w:val="559317CE"/>
    <w:rsid w:val="55977CE7"/>
    <w:rsid w:val="55990DAE"/>
    <w:rsid w:val="559B174B"/>
    <w:rsid w:val="55BA31FE"/>
    <w:rsid w:val="55CE0CF4"/>
    <w:rsid w:val="55CF657E"/>
    <w:rsid w:val="55F52488"/>
    <w:rsid w:val="56030062"/>
    <w:rsid w:val="56156687"/>
    <w:rsid w:val="561623FF"/>
    <w:rsid w:val="56332C65"/>
    <w:rsid w:val="56446CFB"/>
    <w:rsid w:val="565005FD"/>
    <w:rsid w:val="56794E67"/>
    <w:rsid w:val="567A0BDF"/>
    <w:rsid w:val="567A473C"/>
    <w:rsid w:val="567D42C2"/>
    <w:rsid w:val="568850AA"/>
    <w:rsid w:val="568D446F"/>
    <w:rsid w:val="5694034B"/>
    <w:rsid w:val="56A8574D"/>
    <w:rsid w:val="56AD7B32"/>
    <w:rsid w:val="56AE58D0"/>
    <w:rsid w:val="56B22A9C"/>
    <w:rsid w:val="56F049FE"/>
    <w:rsid w:val="56F04AF3"/>
    <w:rsid w:val="56FC33A3"/>
    <w:rsid w:val="57007337"/>
    <w:rsid w:val="570D1A54"/>
    <w:rsid w:val="57136BE7"/>
    <w:rsid w:val="572C3BBB"/>
    <w:rsid w:val="573131FD"/>
    <w:rsid w:val="573D68B9"/>
    <w:rsid w:val="57580F21"/>
    <w:rsid w:val="575D6537"/>
    <w:rsid w:val="576158FB"/>
    <w:rsid w:val="576D604E"/>
    <w:rsid w:val="57713D91"/>
    <w:rsid w:val="578515EA"/>
    <w:rsid w:val="578D049F"/>
    <w:rsid w:val="579D4DAA"/>
    <w:rsid w:val="57A31A70"/>
    <w:rsid w:val="57AB24DB"/>
    <w:rsid w:val="57AD558C"/>
    <w:rsid w:val="57B72A76"/>
    <w:rsid w:val="57C3426C"/>
    <w:rsid w:val="57C57C38"/>
    <w:rsid w:val="57CE1F93"/>
    <w:rsid w:val="57D8796C"/>
    <w:rsid w:val="57EE3CFC"/>
    <w:rsid w:val="57F05693"/>
    <w:rsid w:val="57F4005C"/>
    <w:rsid w:val="5809221B"/>
    <w:rsid w:val="580E15DF"/>
    <w:rsid w:val="58262DCD"/>
    <w:rsid w:val="583019E9"/>
    <w:rsid w:val="58334AC7"/>
    <w:rsid w:val="58353010"/>
    <w:rsid w:val="58370398"/>
    <w:rsid w:val="58535244"/>
    <w:rsid w:val="58596B7D"/>
    <w:rsid w:val="58692CBA"/>
    <w:rsid w:val="587E01DD"/>
    <w:rsid w:val="587F5993"/>
    <w:rsid w:val="58871675"/>
    <w:rsid w:val="588743D1"/>
    <w:rsid w:val="5887701A"/>
    <w:rsid w:val="58A106A5"/>
    <w:rsid w:val="58A81A34"/>
    <w:rsid w:val="58AD0DF8"/>
    <w:rsid w:val="58B71C77"/>
    <w:rsid w:val="58BF0B2C"/>
    <w:rsid w:val="58D740C7"/>
    <w:rsid w:val="58E95BA9"/>
    <w:rsid w:val="58EA0DDF"/>
    <w:rsid w:val="58EB13A1"/>
    <w:rsid w:val="58F63101"/>
    <w:rsid w:val="58FE1654"/>
    <w:rsid w:val="59084281"/>
    <w:rsid w:val="59097FF9"/>
    <w:rsid w:val="593D25EC"/>
    <w:rsid w:val="59445C8D"/>
    <w:rsid w:val="59477EAF"/>
    <w:rsid w:val="594F1EAF"/>
    <w:rsid w:val="59505C28"/>
    <w:rsid w:val="59576FB6"/>
    <w:rsid w:val="595E20F3"/>
    <w:rsid w:val="59605E6B"/>
    <w:rsid w:val="5963595B"/>
    <w:rsid w:val="5975743C"/>
    <w:rsid w:val="598C4EB2"/>
    <w:rsid w:val="598D61FF"/>
    <w:rsid w:val="59A13DC4"/>
    <w:rsid w:val="59AC10B0"/>
    <w:rsid w:val="59B14918"/>
    <w:rsid w:val="59B461B6"/>
    <w:rsid w:val="59BF71FB"/>
    <w:rsid w:val="59C0439F"/>
    <w:rsid w:val="59C4289D"/>
    <w:rsid w:val="59C52172"/>
    <w:rsid w:val="59D32A10"/>
    <w:rsid w:val="59E352E3"/>
    <w:rsid w:val="59E738B8"/>
    <w:rsid w:val="59FD307A"/>
    <w:rsid w:val="5A056A12"/>
    <w:rsid w:val="5A1530F9"/>
    <w:rsid w:val="5A156FA8"/>
    <w:rsid w:val="5A1976E0"/>
    <w:rsid w:val="5A1B4488"/>
    <w:rsid w:val="5A252C10"/>
    <w:rsid w:val="5A3A2B60"/>
    <w:rsid w:val="5A3D43FE"/>
    <w:rsid w:val="5A47527D"/>
    <w:rsid w:val="5A61633E"/>
    <w:rsid w:val="5A6220B6"/>
    <w:rsid w:val="5A6574B1"/>
    <w:rsid w:val="5A951B44"/>
    <w:rsid w:val="5A9B2ED2"/>
    <w:rsid w:val="5A9E4D37"/>
    <w:rsid w:val="5AA47FD9"/>
    <w:rsid w:val="5AB75F5E"/>
    <w:rsid w:val="5ABA15AB"/>
    <w:rsid w:val="5ABE2233"/>
    <w:rsid w:val="5ABF12B7"/>
    <w:rsid w:val="5AC02939"/>
    <w:rsid w:val="5AC468CD"/>
    <w:rsid w:val="5AC47B41"/>
    <w:rsid w:val="5AC71F19"/>
    <w:rsid w:val="5ADF5547"/>
    <w:rsid w:val="5AE40D1D"/>
    <w:rsid w:val="5AE825BC"/>
    <w:rsid w:val="5AEF47D3"/>
    <w:rsid w:val="5AF820D3"/>
    <w:rsid w:val="5B0373F5"/>
    <w:rsid w:val="5B0B1E06"/>
    <w:rsid w:val="5B0D2022"/>
    <w:rsid w:val="5B0E5D35"/>
    <w:rsid w:val="5B1433B1"/>
    <w:rsid w:val="5B150ED7"/>
    <w:rsid w:val="5B1970D1"/>
    <w:rsid w:val="5B2B24A8"/>
    <w:rsid w:val="5B37709F"/>
    <w:rsid w:val="5B3C6463"/>
    <w:rsid w:val="5B411CCC"/>
    <w:rsid w:val="5B4F43E9"/>
    <w:rsid w:val="5B5365B0"/>
    <w:rsid w:val="5B5E63DA"/>
    <w:rsid w:val="5B743E4F"/>
    <w:rsid w:val="5B841BB9"/>
    <w:rsid w:val="5B8F5593"/>
    <w:rsid w:val="5B991B08"/>
    <w:rsid w:val="5B995664"/>
    <w:rsid w:val="5B9A0FAF"/>
    <w:rsid w:val="5BA504AD"/>
    <w:rsid w:val="5BA72CE5"/>
    <w:rsid w:val="5BAD47DE"/>
    <w:rsid w:val="5BAF6C35"/>
    <w:rsid w:val="5BB16E51"/>
    <w:rsid w:val="5BB44B12"/>
    <w:rsid w:val="5BBB382C"/>
    <w:rsid w:val="5BDF5D95"/>
    <w:rsid w:val="5BFE7528"/>
    <w:rsid w:val="5C004550"/>
    <w:rsid w:val="5C1D0043"/>
    <w:rsid w:val="5C317F92"/>
    <w:rsid w:val="5C441A74"/>
    <w:rsid w:val="5C5617A7"/>
    <w:rsid w:val="5C5D48E3"/>
    <w:rsid w:val="5C6500C4"/>
    <w:rsid w:val="5C68724D"/>
    <w:rsid w:val="5C6E6AF1"/>
    <w:rsid w:val="5C7406BD"/>
    <w:rsid w:val="5C741C2D"/>
    <w:rsid w:val="5C8E3DCD"/>
    <w:rsid w:val="5C91458D"/>
    <w:rsid w:val="5CB3676D"/>
    <w:rsid w:val="5CBB785C"/>
    <w:rsid w:val="5CCA7DBF"/>
    <w:rsid w:val="5CCC4C91"/>
    <w:rsid w:val="5CEE7C31"/>
    <w:rsid w:val="5D0C00B7"/>
    <w:rsid w:val="5D0C11C7"/>
    <w:rsid w:val="5D0C49FD"/>
    <w:rsid w:val="5D0D6309"/>
    <w:rsid w:val="5D1A4582"/>
    <w:rsid w:val="5D2B6790"/>
    <w:rsid w:val="5D55380D"/>
    <w:rsid w:val="5D5F28DD"/>
    <w:rsid w:val="5D777C27"/>
    <w:rsid w:val="5D9205BD"/>
    <w:rsid w:val="5D936056"/>
    <w:rsid w:val="5D9407D9"/>
    <w:rsid w:val="5D9F0F2C"/>
    <w:rsid w:val="5DBE5856"/>
    <w:rsid w:val="5DE51ACA"/>
    <w:rsid w:val="5DFB0858"/>
    <w:rsid w:val="5E0035B0"/>
    <w:rsid w:val="5E0B036F"/>
    <w:rsid w:val="5E1216FE"/>
    <w:rsid w:val="5E1611EE"/>
    <w:rsid w:val="5E2467F1"/>
    <w:rsid w:val="5E304AF2"/>
    <w:rsid w:val="5E3B2A02"/>
    <w:rsid w:val="5E452F7B"/>
    <w:rsid w:val="5E4D2736"/>
    <w:rsid w:val="5E544C51"/>
    <w:rsid w:val="5E6210AC"/>
    <w:rsid w:val="5E700844"/>
    <w:rsid w:val="5E705A5F"/>
    <w:rsid w:val="5E7D126D"/>
    <w:rsid w:val="5E807F04"/>
    <w:rsid w:val="5EA132E2"/>
    <w:rsid w:val="5EC14A97"/>
    <w:rsid w:val="5EDE4F76"/>
    <w:rsid w:val="5EE017FC"/>
    <w:rsid w:val="5EE74938"/>
    <w:rsid w:val="5EEF3A43"/>
    <w:rsid w:val="5EF01A3F"/>
    <w:rsid w:val="5EF744B5"/>
    <w:rsid w:val="5EFF047B"/>
    <w:rsid w:val="5F0059FA"/>
    <w:rsid w:val="5F1A2B43"/>
    <w:rsid w:val="5F1C2834"/>
    <w:rsid w:val="5F24793A"/>
    <w:rsid w:val="5F2E2567"/>
    <w:rsid w:val="5F2E6828"/>
    <w:rsid w:val="5F3202A9"/>
    <w:rsid w:val="5F3A715E"/>
    <w:rsid w:val="5F3C4C84"/>
    <w:rsid w:val="5F3F4774"/>
    <w:rsid w:val="5F4725B8"/>
    <w:rsid w:val="5F4955F3"/>
    <w:rsid w:val="5F516B5E"/>
    <w:rsid w:val="5F5C5FB8"/>
    <w:rsid w:val="5F6124AF"/>
    <w:rsid w:val="5F6D12E1"/>
    <w:rsid w:val="5F702B80"/>
    <w:rsid w:val="5F7563E8"/>
    <w:rsid w:val="5F8108E9"/>
    <w:rsid w:val="5F896220"/>
    <w:rsid w:val="5F8B1768"/>
    <w:rsid w:val="5F8F1C4A"/>
    <w:rsid w:val="5F922AF6"/>
    <w:rsid w:val="5F926F9A"/>
    <w:rsid w:val="5FA32F55"/>
    <w:rsid w:val="5FB837BB"/>
    <w:rsid w:val="5FC03B07"/>
    <w:rsid w:val="5FC609F2"/>
    <w:rsid w:val="5FCC1FAC"/>
    <w:rsid w:val="5FCC24AC"/>
    <w:rsid w:val="5FDA624B"/>
    <w:rsid w:val="5FDB04D8"/>
    <w:rsid w:val="5FDC03E0"/>
    <w:rsid w:val="5FDE21DF"/>
    <w:rsid w:val="5FEB167D"/>
    <w:rsid w:val="5FF732A1"/>
    <w:rsid w:val="5FFB68ED"/>
    <w:rsid w:val="600F3BC5"/>
    <w:rsid w:val="601654D5"/>
    <w:rsid w:val="602A14B1"/>
    <w:rsid w:val="603911C4"/>
    <w:rsid w:val="604A1623"/>
    <w:rsid w:val="60563B24"/>
    <w:rsid w:val="607F3485"/>
    <w:rsid w:val="608A1CA5"/>
    <w:rsid w:val="609A7072"/>
    <w:rsid w:val="609B00D0"/>
    <w:rsid w:val="609D79A4"/>
    <w:rsid w:val="60A9459B"/>
    <w:rsid w:val="60B60A66"/>
    <w:rsid w:val="60BD2365"/>
    <w:rsid w:val="60C65FE6"/>
    <w:rsid w:val="60C73D08"/>
    <w:rsid w:val="60CC2038"/>
    <w:rsid w:val="60CC405A"/>
    <w:rsid w:val="60CF38D6"/>
    <w:rsid w:val="60E76E71"/>
    <w:rsid w:val="60E94998"/>
    <w:rsid w:val="60EF0B8E"/>
    <w:rsid w:val="60EF5D26"/>
    <w:rsid w:val="60F03F78"/>
    <w:rsid w:val="6106379C"/>
    <w:rsid w:val="612400C6"/>
    <w:rsid w:val="61241E74"/>
    <w:rsid w:val="6131633F"/>
    <w:rsid w:val="61317B79"/>
    <w:rsid w:val="613227E3"/>
    <w:rsid w:val="613F7EC3"/>
    <w:rsid w:val="61446072"/>
    <w:rsid w:val="6146003C"/>
    <w:rsid w:val="615564D1"/>
    <w:rsid w:val="61616C24"/>
    <w:rsid w:val="61684974"/>
    <w:rsid w:val="61695482"/>
    <w:rsid w:val="616B35FF"/>
    <w:rsid w:val="616D381B"/>
    <w:rsid w:val="618F19E3"/>
    <w:rsid w:val="6192502F"/>
    <w:rsid w:val="61BF1B9C"/>
    <w:rsid w:val="61C827FF"/>
    <w:rsid w:val="61C930FF"/>
    <w:rsid w:val="61CC20BB"/>
    <w:rsid w:val="61CD6067"/>
    <w:rsid w:val="61D54F1C"/>
    <w:rsid w:val="61E215D8"/>
    <w:rsid w:val="61E41603"/>
    <w:rsid w:val="61F5736C"/>
    <w:rsid w:val="620353C5"/>
    <w:rsid w:val="621719D8"/>
    <w:rsid w:val="62185DA8"/>
    <w:rsid w:val="621B3775"/>
    <w:rsid w:val="621C0D9D"/>
    <w:rsid w:val="62210161"/>
    <w:rsid w:val="62364782"/>
    <w:rsid w:val="62402CDD"/>
    <w:rsid w:val="625E3163"/>
    <w:rsid w:val="627110E9"/>
    <w:rsid w:val="6271733B"/>
    <w:rsid w:val="6280757E"/>
    <w:rsid w:val="62A3326C"/>
    <w:rsid w:val="62A36DC8"/>
    <w:rsid w:val="62A40B69"/>
    <w:rsid w:val="62E73159"/>
    <w:rsid w:val="62FD0BCE"/>
    <w:rsid w:val="63043D0B"/>
    <w:rsid w:val="63293771"/>
    <w:rsid w:val="63500CFE"/>
    <w:rsid w:val="63503BD1"/>
    <w:rsid w:val="635A7DCF"/>
    <w:rsid w:val="63640C4D"/>
    <w:rsid w:val="63664ED9"/>
    <w:rsid w:val="63666D21"/>
    <w:rsid w:val="638766EA"/>
    <w:rsid w:val="638D3657"/>
    <w:rsid w:val="639332E1"/>
    <w:rsid w:val="6394356A"/>
    <w:rsid w:val="639E415F"/>
    <w:rsid w:val="63A14DDA"/>
    <w:rsid w:val="63AB062A"/>
    <w:rsid w:val="63AE3C76"/>
    <w:rsid w:val="63B84AF5"/>
    <w:rsid w:val="63B86B82"/>
    <w:rsid w:val="63C61B2C"/>
    <w:rsid w:val="63C90AB0"/>
    <w:rsid w:val="63D40BE9"/>
    <w:rsid w:val="63F43D7F"/>
    <w:rsid w:val="63F518A5"/>
    <w:rsid w:val="640502D6"/>
    <w:rsid w:val="64102431"/>
    <w:rsid w:val="64127E15"/>
    <w:rsid w:val="64185E08"/>
    <w:rsid w:val="64224927"/>
    <w:rsid w:val="64346872"/>
    <w:rsid w:val="64405216"/>
    <w:rsid w:val="64510652"/>
    <w:rsid w:val="64701FE6"/>
    <w:rsid w:val="6472739A"/>
    <w:rsid w:val="64744EC0"/>
    <w:rsid w:val="648275DD"/>
    <w:rsid w:val="64882719"/>
    <w:rsid w:val="649966D5"/>
    <w:rsid w:val="649A3A1C"/>
    <w:rsid w:val="64A5243A"/>
    <w:rsid w:val="64AC3E47"/>
    <w:rsid w:val="64AD03D2"/>
    <w:rsid w:val="64B11CDF"/>
    <w:rsid w:val="64B27796"/>
    <w:rsid w:val="64D15E6F"/>
    <w:rsid w:val="64D32AF5"/>
    <w:rsid w:val="64DA6254"/>
    <w:rsid w:val="64E75692"/>
    <w:rsid w:val="64E9765C"/>
    <w:rsid w:val="64F102BF"/>
    <w:rsid w:val="64F16511"/>
    <w:rsid w:val="64F360F8"/>
    <w:rsid w:val="64F531DE"/>
    <w:rsid w:val="64F747A2"/>
    <w:rsid w:val="64F81663"/>
    <w:rsid w:val="64FD6C64"/>
    <w:rsid w:val="651421FF"/>
    <w:rsid w:val="652C579B"/>
    <w:rsid w:val="65373578"/>
    <w:rsid w:val="653F727C"/>
    <w:rsid w:val="654E3963"/>
    <w:rsid w:val="656960A7"/>
    <w:rsid w:val="656E2BBA"/>
    <w:rsid w:val="6589499B"/>
    <w:rsid w:val="659868BE"/>
    <w:rsid w:val="659C46CE"/>
    <w:rsid w:val="65B732B6"/>
    <w:rsid w:val="65C02498"/>
    <w:rsid w:val="65C459D3"/>
    <w:rsid w:val="65E73470"/>
    <w:rsid w:val="65F31E15"/>
    <w:rsid w:val="66053E26"/>
    <w:rsid w:val="6609788A"/>
    <w:rsid w:val="661C7228"/>
    <w:rsid w:val="662F72F1"/>
    <w:rsid w:val="663302AE"/>
    <w:rsid w:val="663B7F8E"/>
    <w:rsid w:val="664802EF"/>
    <w:rsid w:val="664F1741"/>
    <w:rsid w:val="664F3812"/>
    <w:rsid w:val="665E1984"/>
    <w:rsid w:val="66676D2D"/>
    <w:rsid w:val="666A1A95"/>
    <w:rsid w:val="667E2026"/>
    <w:rsid w:val="667E3DD4"/>
    <w:rsid w:val="6684707D"/>
    <w:rsid w:val="66954647"/>
    <w:rsid w:val="66A952AF"/>
    <w:rsid w:val="66D63C10"/>
    <w:rsid w:val="66D73BDC"/>
    <w:rsid w:val="66E856F1"/>
    <w:rsid w:val="66E867D7"/>
    <w:rsid w:val="66EF4CD2"/>
    <w:rsid w:val="66F75934"/>
    <w:rsid w:val="67073DC9"/>
    <w:rsid w:val="67167D84"/>
    <w:rsid w:val="671F124A"/>
    <w:rsid w:val="671F55B7"/>
    <w:rsid w:val="67276EA3"/>
    <w:rsid w:val="67277FC8"/>
    <w:rsid w:val="67342DD7"/>
    <w:rsid w:val="674566A0"/>
    <w:rsid w:val="67521D4F"/>
    <w:rsid w:val="675D1C3B"/>
    <w:rsid w:val="67616FAC"/>
    <w:rsid w:val="676A4358"/>
    <w:rsid w:val="677671A1"/>
    <w:rsid w:val="677A33C6"/>
    <w:rsid w:val="678A0557"/>
    <w:rsid w:val="67922B54"/>
    <w:rsid w:val="679F04A6"/>
    <w:rsid w:val="67AE1CEA"/>
    <w:rsid w:val="67DA328C"/>
    <w:rsid w:val="67DA7730"/>
    <w:rsid w:val="68010AE0"/>
    <w:rsid w:val="680D18B3"/>
    <w:rsid w:val="681F6961"/>
    <w:rsid w:val="6841330B"/>
    <w:rsid w:val="684F3C7A"/>
    <w:rsid w:val="68582403"/>
    <w:rsid w:val="68610A2F"/>
    <w:rsid w:val="686F60CA"/>
    <w:rsid w:val="68805514"/>
    <w:rsid w:val="68955405"/>
    <w:rsid w:val="689B5F43"/>
    <w:rsid w:val="689C49E5"/>
    <w:rsid w:val="68A51AEC"/>
    <w:rsid w:val="68AF3B46"/>
    <w:rsid w:val="68B166E3"/>
    <w:rsid w:val="68C1269E"/>
    <w:rsid w:val="68C31F72"/>
    <w:rsid w:val="68C3471D"/>
    <w:rsid w:val="68C55CEA"/>
    <w:rsid w:val="68D67EF7"/>
    <w:rsid w:val="68D86496"/>
    <w:rsid w:val="68D979E8"/>
    <w:rsid w:val="69104274"/>
    <w:rsid w:val="69124CA8"/>
    <w:rsid w:val="69316E2F"/>
    <w:rsid w:val="693966D8"/>
    <w:rsid w:val="693E784B"/>
    <w:rsid w:val="69435FE9"/>
    <w:rsid w:val="694E2071"/>
    <w:rsid w:val="694F48C3"/>
    <w:rsid w:val="69653029"/>
    <w:rsid w:val="696B6C9C"/>
    <w:rsid w:val="69725F19"/>
    <w:rsid w:val="69766163"/>
    <w:rsid w:val="697A3B33"/>
    <w:rsid w:val="69836B84"/>
    <w:rsid w:val="699D0A15"/>
    <w:rsid w:val="69AF3217"/>
    <w:rsid w:val="69B30239"/>
    <w:rsid w:val="69BB533F"/>
    <w:rsid w:val="69BB70ED"/>
    <w:rsid w:val="69C2222A"/>
    <w:rsid w:val="69D44760"/>
    <w:rsid w:val="69D63F27"/>
    <w:rsid w:val="69DD0CCD"/>
    <w:rsid w:val="69E43118"/>
    <w:rsid w:val="69E91EAC"/>
    <w:rsid w:val="69EB79D2"/>
    <w:rsid w:val="69EC54F9"/>
    <w:rsid w:val="69F10D61"/>
    <w:rsid w:val="69F34AD9"/>
    <w:rsid w:val="69FF4345"/>
    <w:rsid w:val="6A107439"/>
    <w:rsid w:val="6A113580"/>
    <w:rsid w:val="6A162576"/>
    <w:rsid w:val="6A206B53"/>
    <w:rsid w:val="6A2E78BF"/>
    <w:rsid w:val="6A334ED5"/>
    <w:rsid w:val="6A3A2708"/>
    <w:rsid w:val="6A3A6264"/>
    <w:rsid w:val="6A4315BC"/>
    <w:rsid w:val="6A4D41E9"/>
    <w:rsid w:val="6A520EC7"/>
    <w:rsid w:val="6A634CF5"/>
    <w:rsid w:val="6A674B7F"/>
    <w:rsid w:val="6A690733"/>
    <w:rsid w:val="6A6C0BC3"/>
    <w:rsid w:val="6A731776"/>
    <w:rsid w:val="6A7D43A3"/>
    <w:rsid w:val="6A82754B"/>
    <w:rsid w:val="6A94006A"/>
    <w:rsid w:val="6A9516EC"/>
    <w:rsid w:val="6AA03569"/>
    <w:rsid w:val="6AA06A0F"/>
    <w:rsid w:val="6AA10B75"/>
    <w:rsid w:val="6AA140AA"/>
    <w:rsid w:val="6AB72D9B"/>
    <w:rsid w:val="6ACA3A8C"/>
    <w:rsid w:val="6ACA583A"/>
    <w:rsid w:val="6ACB15B2"/>
    <w:rsid w:val="6AD466B8"/>
    <w:rsid w:val="6AE10721"/>
    <w:rsid w:val="6AE6019A"/>
    <w:rsid w:val="6AEA1A38"/>
    <w:rsid w:val="6AF1726A"/>
    <w:rsid w:val="6AF87E20"/>
    <w:rsid w:val="6B040620"/>
    <w:rsid w:val="6B0D1BCA"/>
    <w:rsid w:val="6B2313EE"/>
    <w:rsid w:val="6B2D401B"/>
    <w:rsid w:val="6B2D5DC9"/>
    <w:rsid w:val="6B301415"/>
    <w:rsid w:val="6B3158B9"/>
    <w:rsid w:val="6B322639"/>
    <w:rsid w:val="6B607F4C"/>
    <w:rsid w:val="6B80514F"/>
    <w:rsid w:val="6B967A7B"/>
    <w:rsid w:val="6B9876E6"/>
    <w:rsid w:val="6BA529CA"/>
    <w:rsid w:val="6BA918F3"/>
    <w:rsid w:val="6BB27B85"/>
    <w:rsid w:val="6BBD539F"/>
    <w:rsid w:val="6BC26511"/>
    <w:rsid w:val="6BD44496"/>
    <w:rsid w:val="6BEC5157"/>
    <w:rsid w:val="6C026E9C"/>
    <w:rsid w:val="6C042FCD"/>
    <w:rsid w:val="6C150D37"/>
    <w:rsid w:val="6C172D01"/>
    <w:rsid w:val="6C1C49E1"/>
    <w:rsid w:val="6C2F0215"/>
    <w:rsid w:val="6C3E3329"/>
    <w:rsid w:val="6C507FC1"/>
    <w:rsid w:val="6C5F6456"/>
    <w:rsid w:val="6C636C38"/>
    <w:rsid w:val="6C727F37"/>
    <w:rsid w:val="6C735A5D"/>
    <w:rsid w:val="6C7D68DC"/>
    <w:rsid w:val="6C7F4402"/>
    <w:rsid w:val="6C943E46"/>
    <w:rsid w:val="6C944351"/>
    <w:rsid w:val="6C9500C9"/>
    <w:rsid w:val="6C983AD9"/>
    <w:rsid w:val="6CA66D11"/>
    <w:rsid w:val="6CA67BE1"/>
    <w:rsid w:val="6CC241C4"/>
    <w:rsid w:val="6CCB3AEB"/>
    <w:rsid w:val="6CD56718"/>
    <w:rsid w:val="6CD97FB6"/>
    <w:rsid w:val="6CE4059F"/>
    <w:rsid w:val="6CF738B6"/>
    <w:rsid w:val="6D0112BB"/>
    <w:rsid w:val="6D102710"/>
    <w:rsid w:val="6D1E3C1B"/>
    <w:rsid w:val="6D3E250F"/>
    <w:rsid w:val="6D54588F"/>
    <w:rsid w:val="6D592EA5"/>
    <w:rsid w:val="6D5C4209"/>
    <w:rsid w:val="6D611D5A"/>
    <w:rsid w:val="6D733672"/>
    <w:rsid w:val="6D8617C0"/>
    <w:rsid w:val="6D901DEE"/>
    <w:rsid w:val="6DAC7BC8"/>
    <w:rsid w:val="6DAE1443"/>
    <w:rsid w:val="6DB34098"/>
    <w:rsid w:val="6DB545B6"/>
    <w:rsid w:val="6DB76E92"/>
    <w:rsid w:val="6DB8406F"/>
    <w:rsid w:val="6DCF4F15"/>
    <w:rsid w:val="6DD413AD"/>
    <w:rsid w:val="6DDB1B0C"/>
    <w:rsid w:val="6DE02FB4"/>
    <w:rsid w:val="6DEE5CE3"/>
    <w:rsid w:val="6DF332FA"/>
    <w:rsid w:val="6E015DF0"/>
    <w:rsid w:val="6E027099"/>
    <w:rsid w:val="6E14501E"/>
    <w:rsid w:val="6E1804E6"/>
    <w:rsid w:val="6E1E24BD"/>
    <w:rsid w:val="6E290AC9"/>
    <w:rsid w:val="6E3A1C14"/>
    <w:rsid w:val="6E4E6782"/>
    <w:rsid w:val="6E514CED"/>
    <w:rsid w:val="6E755ABD"/>
    <w:rsid w:val="6E7855AD"/>
    <w:rsid w:val="6E8E6B7E"/>
    <w:rsid w:val="6EA2262A"/>
    <w:rsid w:val="6EB563D5"/>
    <w:rsid w:val="6EBA7973"/>
    <w:rsid w:val="6EC24A7A"/>
    <w:rsid w:val="6EC67DFF"/>
    <w:rsid w:val="6ECB4795"/>
    <w:rsid w:val="6ECC0578"/>
    <w:rsid w:val="6ED749C9"/>
    <w:rsid w:val="6ED8604B"/>
    <w:rsid w:val="6ED92677"/>
    <w:rsid w:val="6EDA0016"/>
    <w:rsid w:val="6EE3336E"/>
    <w:rsid w:val="6F0926A9"/>
    <w:rsid w:val="6F1A6664"/>
    <w:rsid w:val="6F225983"/>
    <w:rsid w:val="6F321C00"/>
    <w:rsid w:val="6F35576D"/>
    <w:rsid w:val="6F4251EF"/>
    <w:rsid w:val="6F4A333A"/>
    <w:rsid w:val="6F5C00EE"/>
    <w:rsid w:val="6F997ED1"/>
    <w:rsid w:val="6FA077A9"/>
    <w:rsid w:val="6FA51ACE"/>
    <w:rsid w:val="6FB72105"/>
    <w:rsid w:val="6FC15127"/>
    <w:rsid w:val="6FD809F9"/>
    <w:rsid w:val="6FD9207B"/>
    <w:rsid w:val="6FDC1B6B"/>
    <w:rsid w:val="6FF84BF7"/>
    <w:rsid w:val="6FF869A5"/>
    <w:rsid w:val="6FFC5590"/>
    <w:rsid w:val="70096E04"/>
    <w:rsid w:val="703025E3"/>
    <w:rsid w:val="703B4AE4"/>
    <w:rsid w:val="70495453"/>
    <w:rsid w:val="705A140E"/>
    <w:rsid w:val="7064403B"/>
    <w:rsid w:val="706D1DD0"/>
    <w:rsid w:val="70781894"/>
    <w:rsid w:val="7080699B"/>
    <w:rsid w:val="70856B87"/>
    <w:rsid w:val="70903082"/>
    <w:rsid w:val="709D579F"/>
    <w:rsid w:val="709F32C5"/>
    <w:rsid w:val="70A703CB"/>
    <w:rsid w:val="70B54896"/>
    <w:rsid w:val="70BD199D"/>
    <w:rsid w:val="70C60851"/>
    <w:rsid w:val="70C64CF5"/>
    <w:rsid w:val="70CB230C"/>
    <w:rsid w:val="70D02D36"/>
    <w:rsid w:val="70D50A94"/>
    <w:rsid w:val="70D527EE"/>
    <w:rsid w:val="70DD1E39"/>
    <w:rsid w:val="70EA3307"/>
    <w:rsid w:val="70EE7DA8"/>
    <w:rsid w:val="70F73101"/>
    <w:rsid w:val="70F84925"/>
    <w:rsid w:val="71025602"/>
    <w:rsid w:val="710F0027"/>
    <w:rsid w:val="71257ACF"/>
    <w:rsid w:val="713A123F"/>
    <w:rsid w:val="713A6AF4"/>
    <w:rsid w:val="715B5300"/>
    <w:rsid w:val="715C7408"/>
    <w:rsid w:val="716562BC"/>
    <w:rsid w:val="71662034"/>
    <w:rsid w:val="71722787"/>
    <w:rsid w:val="717464FF"/>
    <w:rsid w:val="717F11C6"/>
    <w:rsid w:val="71816E6E"/>
    <w:rsid w:val="71844269"/>
    <w:rsid w:val="7189187F"/>
    <w:rsid w:val="71950224"/>
    <w:rsid w:val="71995F66"/>
    <w:rsid w:val="71A4709A"/>
    <w:rsid w:val="71A768D5"/>
    <w:rsid w:val="71C456D7"/>
    <w:rsid w:val="71CF7BDA"/>
    <w:rsid w:val="71D13952"/>
    <w:rsid w:val="71D27F8A"/>
    <w:rsid w:val="71D64AC4"/>
    <w:rsid w:val="71DC40A5"/>
    <w:rsid w:val="71E52F59"/>
    <w:rsid w:val="720A0C12"/>
    <w:rsid w:val="721101F2"/>
    <w:rsid w:val="721F290F"/>
    <w:rsid w:val="724E257A"/>
    <w:rsid w:val="72536115"/>
    <w:rsid w:val="72553024"/>
    <w:rsid w:val="725E4ABA"/>
    <w:rsid w:val="726245AA"/>
    <w:rsid w:val="726301BA"/>
    <w:rsid w:val="727147ED"/>
    <w:rsid w:val="727A5D97"/>
    <w:rsid w:val="727B156D"/>
    <w:rsid w:val="727D5888"/>
    <w:rsid w:val="728A58AF"/>
    <w:rsid w:val="729C3F60"/>
    <w:rsid w:val="72A2709C"/>
    <w:rsid w:val="72CB66EC"/>
    <w:rsid w:val="72DA6836"/>
    <w:rsid w:val="72E2393D"/>
    <w:rsid w:val="72FD6976"/>
    <w:rsid w:val="730E028E"/>
    <w:rsid w:val="73122968"/>
    <w:rsid w:val="731F5D5E"/>
    <w:rsid w:val="732A59DB"/>
    <w:rsid w:val="733777E5"/>
    <w:rsid w:val="734A4C78"/>
    <w:rsid w:val="734B14E2"/>
    <w:rsid w:val="734B3290"/>
    <w:rsid w:val="7353032E"/>
    <w:rsid w:val="735F4F8D"/>
    <w:rsid w:val="73620C99"/>
    <w:rsid w:val="73635594"/>
    <w:rsid w:val="736B1B84"/>
    <w:rsid w:val="736D1458"/>
    <w:rsid w:val="736D3206"/>
    <w:rsid w:val="736E6F7E"/>
    <w:rsid w:val="73853978"/>
    <w:rsid w:val="738A200A"/>
    <w:rsid w:val="73A34E7A"/>
    <w:rsid w:val="73AB01D2"/>
    <w:rsid w:val="73C51AD5"/>
    <w:rsid w:val="73C848E1"/>
    <w:rsid w:val="73CF3EC1"/>
    <w:rsid w:val="74026044"/>
    <w:rsid w:val="741713C4"/>
    <w:rsid w:val="741E793C"/>
    <w:rsid w:val="74381A66"/>
    <w:rsid w:val="743B2F14"/>
    <w:rsid w:val="743E1546"/>
    <w:rsid w:val="745E3944"/>
    <w:rsid w:val="746B20BF"/>
    <w:rsid w:val="7479108A"/>
    <w:rsid w:val="748051BB"/>
    <w:rsid w:val="748166AE"/>
    <w:rsid w:val="74844CAB"/>
    <w:rsid w:val="748702F8"/>
    <w:rsid w:val="74A569D0"/>
    <w:rsid w:val="74B041AC"/>
    <w:rsid w:val="74B66E2F"/>
    <w:rsid w:val="74BB5B1E"/>
    <w:rsid w:val="74C94DB4"/>
    <w:rsid w:val="74D769FD"/>
    <w:rsid w:val="74E03EAC"/>
    <w:rsid w:val="74FA4F6E"/>
    <w:rsid w:val="74FE15AB"/>
    <w:rsid w:val="75134281"/>
    <w:rsid w:val="751C4440"/>
    <w:rsid w:val="75234F1D"/>
    <w:rsid w:val="755F1275"/>
    <w:rsid w:val="75610B49"/>
    <w:rsid w:val="75750A98"/>
    <w:rsid w:val="7592164A"/>
    <w:rsid w:val="75933079"/>
    <w:rsid w:val="759F0162"/>
    <w:rsid w:val="75B07D22"/>
    <w:rsid w:val="75C50BE4"/>
    <w:rsid w:val="75CE5C43"/>
    <w:rsid w:val="75D2632D"/>
    <w:rsid w:val="760D6F22"/>
    <w:rsid w:val="76143E0D"/>
    <w:rsid w:val="7635099D"/>
    <w:rsid w:val="763B575E"/>
    <w:rsid w:val="763E532E"/>
    <w:rsid w:val="764F753B"/>
    <w:rsid w:val="765661D4"/>
    <w:rsid w:val="765B5EE0"/>
    <w:rsid w:val="76740D50"/>
    <w:rsid w:val="76790114"/>
    <w:rsid w:val="76805946"/>
    <w:rsid w:val="7681158E"/>
    <w:rsid w:val="769A13A5"/>
    <w:rsid w:val="76A2766B"/>
    <w:rsid w:val="76A71125"/>
    <w:rsid w:val="76B64EC4"/>
    <w:rsid w:val="76B850E0"/>
    <w:rsid w:val="76BB072D"/>
    <w:rsid w:val="76BD471F"/>
    <w:rsid w:val="76C84BF7"/>
    <w:rsid w:val="76C9626D"/>
    <w:rsid w:val="76E762F1"/>
    <w:rsid w:val="76F24FF3"/>
    <w:rsid w:val="76FB02D0"/>
    <w:rsid w:val="771147F0"/>
    <w:rsid w:val="77212C85"/>
    <w:rsid w:val="77272607"/>
    <w:rsid w:val="776A0342"/>
    <w:rsid w:val="77762421"/>
    <w:rsid w:val="778762E0"/>
    <w:rsid w:val="778D031B"/>
    <w:rsid w:val="77A1504F"/>
    <w:rsid w:val="77AC60C5"/>
    <w:rsid w:val="77B56B1F"/>
    <w:rsid w:val="77BA09E4"/>
    <w:rsid w:val="77C15580"/>
    <w:rsid w:val="77C86594"/>
    <w:rsid w:val="77CE623E"/>
    <w:rsid w:val="77D25D2E"/>
    <w:rsid w:val="77E14132"/>
    <w:rsid w:val="77EB6DF0"/>
    <w:rsid w:val="77F43EF6"/>
    <w:rsid w:val="77FB186D"/>
    <w:rsid w:val="77FE6B23"/>
    <w:rsid w:val="780600CD"/>
    <w:rsid w:val="780F09F4"/>
    <w:rsid w:val="781639F1"/>
    <w:rsid w:val="781F2C8E"/>
    <w:rsid w:val="784671A4"/>
    <w:rsid w:val="78484242"/>
    <w:rsid w:val="784A620C"/>
    <w:rsid w:val="784D1858"/>
    <w:rsid w:val="78546E24"/>
    <w:rsid w:val="78570929"/>
    <w:rsid w:val="78593726"/>
    <w:rsid w:val="785D2852"/>
    <w:rsid w:val="785D5F3F"/>
    <w:rsid w:val="78606FF5"/>
    <w:rsid w:val="78650950"/>
    <w:rsid w:val="786A41B8"/>
    <w:rsid w:val="787B0173"/>
    <w:rsid w:val="78850FF2"/>
    <w:rsid w:val="788A6608"/>
    <w:rsid w:val="789254BD"/>
    <w:rsid w:val="78947487"/>
    <w:rsid w:val="78A27DF6"/>
    <w:rsid w:val="78A82768"/>
    <w:rsid w:val="78A90480"/>
    <w:rsid w:val="78B6564F"/>
    <w:rsid w:val="78D12489"/>
    <w:rsid w:val="78EC72C3"/>
    <w:rsid w:val="79077C59"/>
    <w:rsid w:val="791C7C7F"/>
    <w:rsid w:val="792425B9"/>
    <w:rsid w:val="792A61BA"/>
    <w:rsid w:val="792F71B0"/>
    <w:rsid w:val="794A6B61"/>
    <w:rsid w:val="795135CA"/>
    <w:rsid w:val="79517074"/>
    <w:rsid w:val="79554E68"/>
    <w:rsid w:val="79674B9C"/>
    <w:rsid w:val="79694470"/>
    <w:rsid w:val="797C0647"/>
    <w:rsid w:val="797F1CD4"/>
    <w:rsid w:val="7986452E"/>
    <w:rsid w:val="798E2128"/>
    <w:rsid w:val="79951709"/>
    <w:rsid w:val="79A67472"/>
    <w:rsid w:val="79B31B8F"/>
    <w:rsid w:val="79CE69C9"/>
    <w:rsid w:val="79D97847"/>
    <w:rsid w:val="79DC10E6"/>
    <w:rsid w:val="79E166FC"/>
    <w:rsid w:val="79EF706B"/>
    <w:rsid w:val="79F50C10"/>
    <w:rsid w:val="79FD5908"/>
    <w:rsid w:val="7A0C4D85"/>
    <w:rsid w:val="7A0F40D4"/>
    <w:rsid w:val="7A1268B5"/>
    <w:rsid w:val="7A146AD1"/>
    <w:rsid w:val="7A24780B"/>
    <w:rsid w:val="7A2606FE"/>
    <w:rsid w:val="7A320D06"/>
    <w:rsid w:val="7A364017"/>
    <w:rsid w:val="7A3F3423"/>
    <w:rsid w:val="7A4F7B0A"/>
    <w:rsid w:val="7A513882"/>
    <w:rsid w:val="7A562609"/>
    <w:rsid w:val="7A5944E4"/>
    <w:rsid w:val="7A5A200A"/>
    <w:rsid w:val="7A5E1AFB"/>
    <w:rsid w:val="7A650521"/>
    <w:rsid w:val="7A652E89"/>
    <w:rsid w:val="7A6B246A"/>
    <w:rsid w:val="7A8265E1"/>
    <w:rsid w:val="7A996FD7"/>
    <w:rsid w:val="7A9D633A"/>
    <w:rsid w:val="7AA03EC1"/>
    <w:rsid w:val="7AB132A5"/>
    <w:rsid w:val="7ABB0CFB"/>
    <w:rsid w:val="7AC32180"/>
    <w:rsid w:val="7AC8695B"/>
    <w:rsid w:val="7AFB559C"/>
    <w:rsid w:val="7B073F40"/>
    <w:rsid w:val="7B116710"/>
    <w:rsid w:val="7B18439F"/>
    <w:rsid w:val="7B191EC6"/>
    <w:rsid w:val="7B204C45"/>
    <w:rsid w:val="7B271119"/>
    <w:rsid w:val="7B3D3241"/>
    <w:rsid w:val="7B446F42"/>
    <w:rsid w:val="7B4C229B"/>
    <w:rsid w:val="7B5724BB"/>
    <w:rsid w:val="7B5F3D7C"/>
    <w:rsid w:val="7B6475E5"/>
    <w:rsid w:val="7B686D42"/>
    <w:rsid w:val="7B6E5D6D"/>
    <w:rsid w:val="7B841746"/>
    <w:rsid w:val="7B845591"/>
    <w:rsid w:val="7B867C36"/>
    <w:rsid w:val="7B890DF9"/>
    <w:rsid w:val="7B897F47"/>
    <w:rsid w:val="7B926698"/>
    <w:rsid w:val="7B9559F0"/>
    <w:rsid w:val="7B9571A7"/>
    <w:rsid w:val="7B974A82"/>
    <w:rsid w:val="7B98728E"/>
    <w:rsid w:val="7B9B0B2D"/>
    <w:rsid w:val="7BA07EF1"/>
    <w:rsid w:val="7BA93249"/>
    <w:rsid w:val="7BB75966"/>
    <w:rsid w:val="7BBF2A6D"/>
    <w:rsid w:val="7BC63DFB"/>
    <w:rsid w:val="7BC720F8"/>
    <w:rsid w:val="7BC736D0"/>
    <w:rsid w:val="7BEA38B4"/>
    <w:rsid w:val="7BF5648F"/>
    <w:rsid w:val="7C0B5CB2"/>
    <w:rsid w:val="7C293875"/>
    <w:rsid w:val="7C2A25DC"/>
    <w:rsid w:val="7C2F7BF3"/>
    <w:rsid w:val="7C3A1BEA"/>
    <w:rsid w:val="7C3D13B9"/>
    <w:rsid w:val="7C431520"/>
    <w:rsid w:val="7C46731F"/>
    <w:rsid w:val="7C482A62"/>
    <w:rsid w:val="7C552434"/>
    <w:rsid w:val="7C596A1E"/>
    <w:rsid w:val="7C605FFE"/>
    <w:rsid w:val="7C6C5AC7"/>
    <w:rsid w:val="7C6F7FEF"/>
    <w:rsid w:val="7C7E237D"/>
    <w:rsid w:val="7C887303"/>
    <w:rsid w:val="7C8B6DF3"/>
    <w:rsid w:val="7C8E62B7"/>
    <w:rsid w:val="7C9E6CC4"/>
    <w:rsid w:val="7CA12173"/>
    <w:rsid w:val="7CA55A57"/>
    <w:rsid w:val="7CB43349"/>
    <w:rsid w:val="7CC6544B"/>
    <w:rsid w:val="7CCD2092"/>
    <w:rsid w:val="7CCF6CE0"/>
    <w:rsid w:val="7CD341EB"/>
    <w:rsid w:val="7CDD764F"/>
    <w:rsid w:val="7CF76237"/>
    <w:rsid w:val="7D0239FF"/>
    <w:rsid w:val="7D084B43"/>
    <w:rsid w:val="7D3E3E65"/>
    <w:rsid w:val="7D4274B2"/>
    <w:rsid w:val="7D43322A"/>
    <w:rsid w:val="7D5E40CD"/>
    <w:rsid w:val="7D6A4C5A"/>
    <w:rsid w:val="7D7D2BE0"/>
    <w:rsid w:val="7D831878"/>
    <w:rsid w:val="7D8471D9"/>
    <w:rsid w:val="7D9879F5"/>
    <w:rsid w:val="7DA0067C"/>
    <w:rsid w:val="7DA43CC8"/>
    <w:rsid w:val="7DAE2D99"/>
    <w:rsid w:val="7DC12ACC"/>
    <w:rsid w:val="7DC97BD3"/>
    <w:rsid w:val="7DCD56F2"/>
    <w:rsid w:val="7DD722F0"/>
    <w:rsid w:val="7DD86068"/>
    <w:rsid w:val="7E237B36"/>
    <w:rsid w:val="7E301A00"/>
    <w:rsid w:val="7E357016"/>
    <w:rsid w:val="7E464D80"/>
    <w:rsid w:val="7E525E1A"/>
    <w:rsid w:val="7E56399B"/>
    <w:rsid w:val="7E6478FC"/>
    <w:rsid w:val="7E8F214A"/>
    <w:rsid w:val="7E925CCF"/>
    <w:rsid w:val="7EA47B7B"/>
    <w:rsid w:val="7EA71F32"/>
    <w:rsid w:val="7EA91828"/>
    <w:rsid w:val="7ECF1219"/>
    <w:rsid w:val="7ED20D09"/>
    <w:rsid w:val="7ED500EA"/>
    <w:rsid w:val="7ED54355"/>
    <w:rsid w:val="7ED61762"/>
    <w:rsid w:val="7ED76320"/>
    <w:rsid w:val="7ED92098"/>
    <w:rsid w:val="7EF0118F"/>
    <w:rsid w:val="7EF84FD8"/>
    <w:rsid w:val="7EFD1537"/>
    <w:rsid w:val="7F001CE7"/>
    <w:rsid w:val="7F032C71"/>
    <w:rsid w:val="7F04073A"/>
    <w:rsid w:val="7F062761"/>
    <w:rsid w:val="7F066F18"/>
    <w:rsid w:val="7F1C285B"/>
    <w:rsid w:val="7F1D24C2"/>
    <w:rsid w:val="7F21571F"/>
    <w:rsid w:val="7F2350C1"/>
    <w:rsid w:val="7F2C666B"/>
    <w:rsid w:val="7F3C6183"/>
    <w:rsid w:val="7F4724E2"/>
    <w:rsid w:val="7F4853E1"/>
    <w:rsid w:val="7F5E72BF"/>
    <w:rsid w:val="7F6236CF"/>
    <w:rsid w:val="7F625014"/>
    <w:rsid w:val="7F707618"/>
    <w:rsid w:val="7F7D7358"/>
    <w:rsid w:val="7F800765"/>
    <w:rsid w:val="7F930498"/>
    <w:rsid w:val="7F961D37"/>
    <w:rsid w:val="7F984651"/>
    <w:rsid w:val="7F985AAF"/>
    <w:rsid w:val="7F9B559F"/>
    <w:rsid w:val="7F9D7AC4"/>
    <w:rsid w:val="7FBD72C3"/>
    <w:rsid w:val="7FC95C68"/>
    <w:rsid w:val="7FCD2B4F"/>
    <w:rsid w:val="7FD14B1D"/>
    <w:rsid w:val="7FE47E50"/>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iPriority="99"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2"/>
    <w:qFormat/>
    <w:uiPriority w:val="0"/>
    <w:pPr>
      <w:keepNext/>
      <w:keepLines/>
      <w:spacing w:before="50" w:beforeLines="50" w:after="50" w:afterLines="50" w:line="360" w:lineRule="auto"/>
      <w:jc w:val="left"/>
      <w:outlineLvl w:val="1"/>
    </w:pPr>
    <w:rPr>
      <w:b/>
      <w:bCs/>
      <w:kern w:val="0"/>
      <w:sz w:val="30"/>
      <w:szCs w:val="32"/>
    </w:rPr>
  </w:style>
  <w:style w:type="paragraph" w:styleId="4">
    <w:name w:val="heading 3"/>
    <w:basedOn w:val="1"/>
    <w:next w:val="1"/>
    <w:qFormat/>
    <w:uiPriority w:val="0"/>
    <w:pPr>
      <w:snapToGrid w:val="0"/>
      <w:spacing w:before="50" w:beforeLines="50" w:after="50" w:afterLines="50" w:line="360" w:lineRule="auto"/>
      <w:jc w:val="left"/>
      <w:outlineLvl w:val="2"/>
    </w:pPr>
    <w:rPr>
      <w:rFonts w:hint="eastAsia"/>
      <w:b/>
      <w:bCs/>
      <w:kern w:val="0"/>
    </w:rPr>
  </w:style>
  <w:style w:type="paragraph" w:styleId="5">
    <w:name w:val="heading 4"/>
    <w:basedOn w:val="1"/>
    <w:next w:val="1"/>
    <w:qFormat/>
    <w:uiPriority w:val="0"/>
    <w:pPr>
      <w:tabs>
        <w:tab w:val="left" w:pos="5400"/>
      </w:tabs>
      <w:spacing w:line="360" w:lineRule="auto"/>
      <w:jc w:val="left"/>
      <w:outlineLvl w:val="3"/>
    </w:pPr>
    <w:rPr>
      <w:b/>
      <w:bCs/>
    </w:rPr>
  </w:style>
  <w:style w:type="paragraph" w:styleId="6">
    <w:name w:val="heading 6"/>
    <w:basedOn w:val="1"/>
    <w:next w:val="1"/>
    <w:qFormat/>
    <w:uiPriority w:val="9"/>
    <w:pPr>
      <w:keepNext/>
      <w:pageBreakBefore/>
      <w:jc w:val="left"/>
      <w:outlineLvl w:val="5"/>
    </w:pPr>
    <w:rPr>
      <w:rFonts w:cs="宋体"/>
      <w:bCs/>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1260"/>
      <w:jc w:val="left"/>
    </w:pPr>
    <w:rPr>
      <w:rFonts w:ascii="Calibri" w:hAnsi="Calibri" w:cs="Calibri"/>
      <w:sz w:val="18"/>
      <w:szCs w:val="18"/>
    </w:rPr>
  </w:style>
  <w:style w:type="paragraph" w:styleId="8">
    <w:name w:val="table of authorities"/>
    <w:basedOn w:val="1"/>
    <w:next w:val="1"/>
    <w:semiHidden/>
    <w:qFormat/>
    <w:uiPriority w:val="0"/>
    <w:pPr>
      <w:ind w:left="420" w:leftChars="200"/>
    </w:pPr>
  </w:style>
  <w:style w:type="paragraph" w:styleId="9">
    <w:name w:val="Note Heading"/>
    <w:basedOn w:val="1"/>
    <w:next w:val="1"/>
    <w:qFormat/>
    <w:uiPriority w:val="0"/>
    <w:pPr>
      <w:jc w:val="left"/>
    </w:pPr>
  </w:style>
  <w:style w:type="paragraph" w:styleId="10">
    <w:name w:val="Normal Indent"/>
    <w:basedOn w:val="1"/>
    <w:next w:val="1"/>
    <w:link w:val="43"/>
    <w:qFormat/>
    <w:uiPriority w:val="99"/>
    <w:pPr>
      <w:spacing w:line="360" w:lineRule="auto"/>
      <w:ind w:firstLine="200" w:firstLineChars="200"/>
    </w:pPr>
    <w:rPr>
      <w:szCs w:val="20"/>
    </w:rPr>
  </w:style>
  <w:style w:type="paragraph" w:styleId="11">
    <w:name w:val="Document Map"/>
    <w:basedOn w:val="1"/>
    <w:link w:val="45"/>
    <w:qFormat/>
    <w:uiPriority w:val="0"/>
    <w:rPr>
      <w:rFonts w:ascii="宋体"/>
      <w:sz w:val="18"/>
      <w:szCs w:val="18"/>
    </w:rPr>
  </w:style>
  <w:style w:type="paragraph" w:styleId="12">
    <w:name w:val="annotation text"/>
    <w:basedOn w:val="1"/>
    <w:link w:val="46"/>
    <w:semiHidden/>
    <w:qFormat/>
    <w:uiPriority w:val="0"/>
    <w:pPr>
      <w:spacing w:line="360" w:lineRule="auto"/>
      <w:ind w:firstLine="200" w:firstLineChars="200"/>
      <w:jc w:val="left"/>
    </w:pPr>
    <w:rPr>
      <w:szCs w:val="20"/>
    </w:rPr>
  </w:style>
  <w:style w:type="paragraph" w:styleId="13">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4">
    <w:name w:val="Body Text"/>
    <w:basedOn w:val="1"/>
    <w:link w:val="44"/>
    <w:qFormat/>
    <w:uiPriority w:val="0"/>
    <w:pPr>
      <w:widowControl/>
      <w:snapToGrid w:val="0"/>
      <w:spacing w:before="60" w:after="160" w:line="259" w:lineRule="auto"/>
      <w:ind w:right="113"/>
    </w:pPr>
    <w:rPr>
      <w:kern w:val="0"/>
      <w:sz w:val="18"/>
      <w:szCs w:val="20"/>
    </w:rPr>
  </w:style>
  <w:style w:type="paragraph" w:styleId="15">
    <w:name w:val="Body Text Indent"/>
    <w:basedOn w:val="1"/>
    <w:link w:val="47"/>
    <w:qFormat/>
    <w:uiPriority w:val="0"/>
    <w:pPr>
      <w:spacing w:after="120"/>
      <w:ind w:left="420" w:leftChars="200"/>
    </w:pPr>
    <w:rPr>
      <w:kern w:val="0"/>
      <w:szCs w:val="20"/>
    </w:rPr>
  </w:style>
  <w:style w:type="paragraph" w:styleId="16">
    <w:name w:val="index 4"/>
    <w:basedOn w:val="1"/>
    <w:next w:val="1"/>
    <w:qFormat/>
    <w:uiPriority w:val="0"/>
    <w:pPr>
      <w:ind w:left="600" w:leftChars="600"/>
    </w:pPr>
    <w:rPr>
      <w:sz w:val="21"/>
    </w:rPr>
  </w:style>
  <w:style w:type="paragraph" w:styleId="17">
    <w:name w:val="Plain Text"/>
    <w:basedOn w:val="1"/>
    <w:next w:val="14"/>
    <w:qFormat/>
    <w:uiPriority w:val="0"/>
    <w:rPr>
      <w:rFonts w:ascii="宋体" w:hAnsi="Courier New"/>
    </w:rPr>
  </w:style>
  <w:style w:type="paragraph" w:styleId="18">
    <w:name w:val="Date"/>
    <w:basedOn w:val="1"/>
    <w:next w:val="1"/>
    <w:link w:val="48"/>
    <w:qFormat/>
    <w:uiPriority w:val="0"/>
    <w:pPr>
      <w:ind w:left="100" w:leftChars="2500"/>
    </w:pPr>
    <w:rPr>
      <w:kern w:val="0"/>
      <w:szCs w:val="20"/>
    </w:rPr>
  </w:style>
  <w:style w:type="paragraph" w:styleId="19">
    <w:name w:val="Body Text Indent 2"/>
    <w:basedOn w:val="1"/>
    <w:next w:val="1"/>
    <w:qFormat/>
    <w:uiPriority w:val="0"/>
    <w:pPr>
      <w:adjustRightInd w:val="0"/>
      <w:snapToGrid w:val="0"/>
      <w:spacing w:line="360" w:lineRule="auto"/>
      <w:ind w:firstLine="1944" w:firstLineChars="1080"/>
    </w:pPr>
    <w:rPr>
      <w:sz w:val="18"/>
    </w:rPr>
  </w:style>
  <w:style w:type="paragraph" w:styleId="20">
    <w:name w:val="Balloon Text"/>
    <w:basedOn w:val="1"/>
    <w:link w:val="49"/>
    <w:semiHidden/>
    <w:qFormat/>
    <w:uiPriority w:val="0"/>
    <w:rPr>
      <w:kern w:val="0"/>
      <w:sz w:val="18"/>
      <w:szCs w:val="20"/>
    </w:rPr>
  </w:style>
  <w:style w:type="paragraph" w:styleId="21">
    <w:name w:val="footer"/>
    <w:basedOn w:val="1"/>
    <w:link w:val="50"/>
    <w:qFormat/>
    <w:uiPriority w:val="99"/>
    <w:pPr>
      <w:tabs>
        <w:tab w:val="center" w:pos="4153"/>
        <w:tab w:val="right" w:pos="8306"/>
      </w:tabs>
      <w:snapToGrid w:val="0"/>
      <w:jc w:val="left"/>
    </w:pPr>
    <w:rPr>
      <w:kern w:val="0"/>
      <w:sz w:val="18"/>
      <w:szCs w:val="20"/>
    </w:rPr>
  </w:style>
  <w:style w:type="paragraph" w:styleId="22">
    <w:name w:val="envelope return"/>
    <w:basedOn w:val="1"/>
    <w:qFormat/>
    <w:uiPriority w:val="0"/>
    <w:pPr>
      <w:adjustRightInd w:val="0"/>
      <w:snapToGrid w:val="0"/>
    </w:pPr>
    <w:rPr>
      <w:rFonts w:ascii="Arial" w:hAnsi="Arial"/>
      <w:szCs w:val="22"/>
    </w:rPr>
  </w:style>
  <w:style w:type="paragraph" w:styleId="23">
    <w:name w:val="header"/>
    <w:basedOn w:val="1"/>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unhideWhenUsed/>
    <w:qFormat/>
    <w:uiPriority w:val="39"/>
    <w:pPr>
      <w:spacing w:before="360"/>
      <w:jc w:val="left"/>
    </w:pPr>
    <w:rPr>
      <w:rFonts w:ascii="等线 Light" w:eastAsia="等线 Light"/>
      <w:b/>
      <w:bCs/>
      <w:caps/>
    </w:rPr>
  </w:style>
  <w:style w:type="paragraph" w:styleId="25">
    <w:name w:val="Subtitle"/>
    <w:basedOn w:val="1"/>
    <w:qFormat/>
    <w:uiPriority w:val="99"/>
    <w:pPr>
      <w:spacing w:line="360" w:lineRule="auto"/>
      <w:ind w:firstLine="200" w:firstLineChars="200"/>
    </w:pPr>
    <w:rPr>
      <w:bCs/>
      <w:kern w:val="28"/>
    </w:rPr>
  </w:style>
  <w:style w:type="paragraph" w:styleId="26">
    <w:name w:val="toc 2"/>
    <w:basedOn w:val="1"/>
    <w:next w:val="1"/>
    <w:qFormat/>
    <w:uiPriority w:val="0"/>
    <w:pPr>
      <w:ind w:left="420" w:leftChars="200"/>
    </w:pPr>
  </w:style>
  <w:style w:type="paragraph" w:styleId="27">
    <w:name w:val="Normal (Web)"/>
    <w:basedOn w:val="1"/>
    <w:link w:val="52"/>
    <w:qFormat/>
    <w:uiPriority w:val="0"/>
    <w:pPr>
      <w:widowControl/>
      <w:spacing w:before="100" w:beforeAutospacing="1" w:after="100" w:afterAutospacing="1"/>
      <w:jc w:val="left"/>
    </w:pPr>
    <w:rPr>
      <w:rFonts w:ascii="宋体" w:hAnsi="宋体"/>
      <w:kern w:val="0"/>
      <w:szCs w:val="20"/>
    </w:rPr>
  </w:style>
  <w:style w:type="paragraph" w:styleId="28">
    <w:name w:val="Title"/>
    <w:basedOn w:val="1"/>
    <w:next w:val="1"/>
    <w:qFormat/>
    <w:uiPriority w:val="99"/>
    <w:pPr>
      <w:spacing w:beforeLines="50" w:after="100" w:afterAutospacing="1" w:line="360" w:lineRule="auto"/>
      <w:jc w:val="left"/>
      <w:outlineLvl w:val="3"/>
    </w:pPr>
    <w:rPr>
      <w:b/>
      <w:bCs/>
    </w:rPr>
  </w:style>
  <w:style w:type="paragraph" w:styleId="29">
    <w:name w:val="annotation subject"/>
    <w:basedOn w:val="12"/>
    <w:next w:val="12"/>
    <w:link w:val="53"/>
    <w:semiHidden/>
    <w:qFormat/>
    <w:uiPriority w:val="0"/>
    <w:rPr>
      <w:b/>
    </w:rPr>
  </w:style>
  <w:style w:type="paragraph" w:styleId="30">
    <w:name w:val="Body Text First Indent"/>
    <w:basedOn w:val="14"/>
    <w:next w:val="1"/>
    <w:qFormat/>
    <w:uiPriority w:val="0"/>
    <w:pPr>
      <w:spacing w:line="360" w:lineRule="auto"/>
      <w:ind w:right="0" w:firstLine="720" w:firstLineChars="200"/>
    </w:pPr>
    <w:rPr>
      <w:sz w:val="21"/>
    </w:rPr>
  </w:style>
  <w:style w:type="paragraph" w:styleId="31">
    <w:name w:val="Body Text First Indent 2"/>
    <w:basedOn w:val="1"/>
    <w:next w:val="30"/>
    <w:qFormat/>
    <w:uiPriority w:val="0"/>
    <w:pPr>
      <w:ind w:left="0" w:leftChars="0" w:firstLine="420" w:firstLineChars="200"/>
    </w:pPr>
    <w:rPr>
      <w:sz w:val="21"/>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qFormat/>
    <w:uiPriority w:val="0"/>
  </w:style>
  <w:style w:type="character" w:styleId="37">
    <w:name w:val="Hyperlink"/>
    <w:qFormat/>
    <w:uiPriority w:val="0"/>
    <w:rPr>
      <w:color w:val="0000FF"/>
      <w:u w:val="single"/>
    </w:rPr>
  </w:style>
  <w:style w:type="character" w:styleId="38">
    <w:name w:val="annotation reference"/>
    <w:semiHidden/>
    <w:qFormat/>
    <w:uiPriority w:val="0"/>
    <w:rPr>
      <w:sz w:val="21"/>
    </w:rPr>
  </w:style>
  <w:style w:type="paragraph" w:customStyle="1" w:styleId="39">
    <w:name w:val="Default"/>
    <w:basedOn w:val="40"/>
    <w:next w:val="7"/>
    <w:unhideWhenUsed/>
    <w:qFormat/>
    <w:uiPriority w:val="99"/>
    <w:pPr>
      <w:widowControl w:val="0"/>
      <w:autoSpaceDE w:val="0"/>
      <w:autoSpaceDN w:val="0"/>
      <w:adjustRightInd w:val="0"/>
    </w:pPr>
    <w:rPr>
      <w:rFonts w:hint="eastAsia" w:ascii="Calibri" w:hAnsi="Calibri" w:eastAsia="Times New Roman" w:cs="Times New Roman"/>
      <w:color w:val="000000"/>
      <w:sz w:val="24"/>
      <w:szCs w:val="22"/>
    </w:rPr>
  </w:style>
  <w:style w:type="paragraph" w:customStyle="1" w:styleId="40">
    <w:name w:val="标题 段落4级"/>
    <w:qFormat/>
    <w:uiPriority w:val="0"/>
    <w:pPr>
      <w:spacing w:line="500" w:lineRule="exact"/>
      <w:outlineLvl w:val="3"/>
    </w:pPr>
    <w:rPr>
      <w:rFonts w:ascii="Times New Roman" w:hAnsi="Times New Roman" w:eastAsia="方正仿宋_GB2312" w:cs="Calibri"/>
      <w:b/>
      <w:kern w:val="2"/>
      <w:sz w:val="28"/>
      <w:szCs w:val="24"/>
      <w:lang w:val="en-US" w:eastAsia="zh-CN" w:bidi="ar-SA"/>
    </w:rPr>
  </w:style>
  <w:style w:type="character" w:customStyle="1" w:styleId="41">
    <w:name w:val="标题 1 字符"/>
    <w:link w:val="2"/>
    <w:qFormat/>
    <w:uiPriority w:val="0"/>
    <w:rPr>
      <w:b/>
      <w:bCs/>
      <w:kern w:val="44"/>
      <w:sz w:val="44"/>
      <w:szCs w:val="44"/>
    </w:rPr>
  </w:style>
  <w:style w:type="character" w:customStyle="1" w:styleId="42">
    <w:name w:val="标题 2 字符"/>
    <w:link w:val="3"/>
    <w:qFormat/>
    <w:uiPriority w:val="0"/>
    <w:rPr>
      <w:rFonts w:ascii="Times New Roman" w:hAnsi="Times New Roman" w:eastAsia="宋体" w:cs="Times New Roman"/>
      <w:b/>
      <w:bCs/>
      <w:sz w:val="30"/>
      <w:szCs w:val="32"/>
    </w:rPr>
  </w:style>
  <w:style w:type="character" w:customStyle="1" w:styleId="43">
    <w:name w:val="正文缩进 字符"/>
    <w:link w:val="10"/>
    <w:qFormat/>
    <w:uiPriority w:val="0"/>
    <w:rPr>
      <w:rFonts w:hint="eastAsia" w:ascii="黑体" w:hAnsi="宋体" w:eastAsia="黑体" w:cs="黑体"/>
      <w:kern w:val="2"/>
      <w:sz w:val="24"/>
    </w:rPr>
  </w:style>
  <w:style w:type="character" w:customStyle="1" w:styleId="44">
    <w:name w:val="正文文本 字符"/>
    <w:link w:val="14"/>
    <w:qFormat/>
    <w:uiPriority w:val="0"/>
    <w:rPr>
      <w:sz w:val="18"/>
    </w:rPr>
  </w:style>
  <w:style w:type="character" w:customStyle="1" w:styleId="45">
    <w:name w:val="文档结构图 字符"/>
    <w:link w:val="11"/>
    <w:qFormat/>
    <w:uiPriority w:val="0"/>
    <w:rPr>
      <w:rFonts w:ascii="宋体"/>
      <w:kern w:val="2"/>
      <w:sz w:val="18"/>
      <w:szCs w:val="18"/>
    </w:rPr>
  </w:style>
  <w:style w:type="character" w:customStyle="1" w:styleId="46">
    <w:name w:val="批注文字 字符"/>
    <w:link w:val="12"/>
    <w:qFormat/>
    <w:uiPriority w:val="0"/>
    <w:rPr>
      <w:rFonts w:ascii="Times New Roman" w:hAnsi="Times New Roman" w:eastAsia="宋体"/>
      <w:sz w:val="24"/>
    </w:rPr>
  </w:style>
  <w:style w:type="character" w:customStyle="1" w:styleId="47">
    <w:name w:val="正文文本缩进 字符1"/>
    <w:link w:val="15"/>
    <w:qFormat/>
    <w:uiPriority w:val="0"/>
    <w:rPr>
      <w:rFonts w:ascii="宋体" w:hAnsi="宋体" w:eastAsia="方正仿宋_GB2312" w:cs="Courier New"/>
      <w:kern w:val="2"/>
      <w:sz w:val="28"/>
      <w:szCs w:val="32"/>
      <w:lang w:val="en-US" w:eastAsia="zh-CN" w:bidi="ar-SA"/>
    </w:rPr>
  </w:style>
  <w:style w:type="character" w:customStyle="1" w:styleId="48">
    <w:name w:val="日期 字符1"/>
    <w:link w:val="18"/>
    <w:qFormat/>
    <w:uiPriority w:val="0"/>
    <w:rPr>
      <w:rFonts w:ascii="Times New Roman" w:hAnsi="Times New Roman" w:eastAsia="宋体"/>
      <w:sz w:val="24"/>
    </w:rPr>
  </w:style>
  <w:style w:type="character" w:customStyle="1" w:styleId="49">
    <w:name w:val="批注框文本 字符"/>
    <w:link w:val="20"/>
    <w:semiHidden/>
    <w:qFormat/>
    <w:uiPriority w:val="0"/>
    <w:rPr>
      <w:rFonts w:ascii="Times New Roman" w:hAnsi="Times New Roman" w:eastAsia="宋体"/>
      <w:sz w:val="18"/>
    </w:rPr>
  </w:style>
  <w:style w:type="character" w:customStyle="1" w:styleId="50">
    <w:name w:val="页脚 字符1"/>
    <w:link w:val="21"/>
    <w:qFormat/>
    <w:uiPriority w:val="99"/>
    <w:rPr>
      <w:sz w:val="18"/>
    </w:rPr>
  </w:style>
  <w:style w:type="character" w:customStyle="1" w:styleId="51">
    <w:name w:val="页眉 字符"/>
    <w:link w:val="23"/>
    <w:qFormat/>
    <w:uiPriority w:val="0"/>
    <w:rPr>
      <w:sz w:val="18"/>
    </w:rPr>
  </w:style>
  <w:style w:type="character" w:customStyle="1" w:styleId="52">
    <w:name w:val="普通(网站) 字符"/>
    <w:link w:val="27"/>
    <w:qFormat/>
    <w:uiPriority w:val="0"/>
    <w:rPr>
      <w:rFonts w:ascii="宋体" w:hAnsi="宋体" w:eastAsia="宋体"/>
      <w:sz w:val="24"/>
    </w:rPr>
  </w:style>
  <w:style w:type="character" w:customStyle="1" w:styleId="53">
    <w:name w:val="批注主题 字符"/>
    <w:link w:val="29"/>
    <w:semiHidden/>
    <w:qFormat/>
    <w:uiPriority w:val="0"/>
    <w:rPr>
      <w:rFonts w:ascii="Times New Roman" w:hAnsi="Times New Roman" w:eastAsia="宋体"/>
      <w:b/>
      <w:kern w:val="2"/>
      <w:sz w:val="24"/>
    </w:rPr>
  </w:style>
  <w:style w:type="character" w:customStyle="1" w:styleId="54">
    <w:name w:val="font61"/>
    <w:qFormat/>
    <w:uiPriority w:val="0"/>
    <w:rPr>
      <w:rFonts w:hint="eastAsia" w:ascii="宋体" w:hAnsi="宋体" w:eastAsia="宋体" w:cs="宋体"/>
      <w:color w:val="000000"/>
      <w:sz w:val="18"/>
      <w:szCs w:val="18"/>
      <w:u w:val="none"/>
    </w:rPr>
  </w:style>
  <w:style w:type="character" w:customStyle="1" w:styleId="55">
    <w:name w:val="Q表格标题 Char"/>
    <w:link w:val="56"/>
    <w:qFormat/>
    <w:uiPriority w:val="0"/>
    <w:rPr>
      <w:b/>
      <w:kern w:val="2"/>
      <w:sz w:val="24"/>
      <w:szCs w:val="24"/>
    </w:rPr>
  </w:style>
  <w:style w:type="paragraph" w:customStyle="1" w:styleId="56">
    <w:name w:val="Q表格标题"/>
    <w:basedOn w:val="1"/>
    <w:link w:val="55"/>
    <w:qFormat/>
    <w:uiPriority w:val="0"/>
    <w:pPr>
      <w:widowControl/>
      <w:spacing w:line="360" w:lineRule="auto"/>
      <w:jc w:val="center"/>
      <w:outlineLvl w:val="4"/>
    </w:pPr>
    <w:rPr>
      <w:b/>
    </w:rPr>
  </w:style>
  <w:style w:type="character" w:customStyle="1" w:styleId="57">
    <w:name w:val="Font Style92"/>
    <w:qFormat/>
    <w:uiPriority w:val="0"/>
    <w:rPr>
      <w:rFonts w:hint="eastAsia" w:ascii="宋体" w:hAnsi="宋体" w:eastAsia="宋体" w:cs="宋体"/>
      <w:spacing w:val="10"/>
      <w:sz w:val="26"/>
      <w:szCs w:val="26"/>
    </w:rPr>
  </w:style>
  <w:style w:type="character" w:customStyle="1" w:styleId="58">
    <w:name w:val="font31"/>
    <w:qFormat/>
    <w:uiPriority w:val="0"/>
    <w:rPr>
      <w:rFonts w:hint="default" w:ascii="Times New Roman" w:hAnsi="Times New Roman" w:cs="Times New Roman"/>
      <w:color w:val="000000"/>
      <w:sz w:val="21"/>
      <w:szCs w:val="21"/>
      <w:u w:val="none"/>
      <w:vertAlign w:val="superscript"/>
    </w:rPr>
  </w:style>
  <w:style w:type="character" w:customStyle="1" w:styleId="59">
    <w:name w:val="font21"/>
    <w:qFormat/>
    <w:uiPriority w:val="0"/>
    <w:rPr>
      <w:rFonts w:hint="eastAsia" w:ascii="宋体" w:hAnsi="宋体" w:eastAsia="宋体" w:cs="宋体"/>
      <w:color w:val="000000"/>
      <w:sz w:val="21"/>
      <w:szCs w:val="21"/>
      <w:u w:val="none"/>
    </w:rPr>
  </w:style>
  <w:style w:type="character" w:customStyle="1" w:styleId="60">
    <w:name w:val="表格 Char"/>
    <w:link w:val="61"/>
    <w:qFormat/>
    <w:uiPriority w:val="0"/>
    <w:rPr>
      <w:rFonts w:ascii="宋体"/>
      <w:sz w:val="21"/>
    </w:rPr>
  </w:style>
  <w:style w:type="paragraph" w:customStyle="1" w:styleId="61">
    <w:name w:val="表格"/>
    <w:basedOn w:val="1"/>
    <w:next w:val="1"/>
    <w:link w:val="60"/>
    <w:qFormat/>
    <w:uiPriority w:val="0"/>
    <w:pPr>
      <w:adjustRightInd w:val="0"/>
      <w:snapToGrid w:val="0"/>
      <w:spacing w:beforeLines="10" w:afterLines="10" w:line="259" w:lineRule="auto"/>
      <w:jc w:val="center"/>
    </w:pPr>
    <w:rPr>
      <w:rFonts w:ascii="宋体"/>
      <w:kern w:val="0"/>
      <w:szCs w:val="20"/>
    </w:rPr>
  </w:style>
  <w:style w:type="character" w:customStyle="1" w:styleId="62">
    <w:name w:val="表格内容 Char1"/>
    <w:qFormat/>
    <w:uiPriority w:val="0"/>
    <w:rPr>
      <w:rFonts w:hint="eastAsia" w:ascii="宋体" w:hAnsi="宋体" w:eastAsia="宋体" w:cs="宋体"/>
      <w:kern w:val="0"/>
      <w:sz w:val="21"/>
    </w:rPr>
  </w:style>
  <w:style w:type="character" w:customStyle="1" w:styleId="63">
    <w:name w:val="表格标题QQ Char"/>
    <w:link w:val="64"/>
    <w:qFormat/>
    <w:uiPriority w:val="0"/>
    <w:rPr>
      <w:b/>
    </w:rPr>
  </w:style>
  <w:style w:type="paragraph" w:customStyle="1" w:styleId="64">
    <w:name w:val="表格标题QQ"/>
    <w:basedOn w:val="1"/>
    <w:link w:val="63"/>
    <w:qFormat/>
    <w:uiPriority w:val="0"/>
    <w:pPr>
      <w:jc w:val="center"/>
      <w:outlineLvl w:val="4"/>
    </w:pPr>
    <w:rPr>
      <w:b/>
      <w:kern w:val="0"/>
      <w:sz w:val="20"/>
      <w:szCs w:val="20"/>
    </w:rPr>
  </w:style>
  <w:style w:type="character" w:customStyle="1" w:styleId="65">
    <w:name w:val="页脚 字符"/>
    <w:qFormat/>
    <w:uiPriority w:val="99"/>
  </w:style>
  <w:style w:type="character" w:customStyle="1" w:styleId="66">
    <w:name w:val="批注文字 字符1"/>
    <w:semiHidden/>
    <w:qFormat/>
    <w:uiPriority w:val="0"/>
    <w:rPr>
      <w:rFonts w:ascii="Times New Roman" w:hAnsi="Times New Roman" w:eastAsia="宋体"/>
      <w:sz w:val="24"/>
    </w:rPr>
  </w:style>
  <w:style w:type="character" w:customStyle="1" w:styleId="67">
    <w:name w:val="标题 3 字符"/>
    <w:qFormat/>
    <w:uiPriority w:val="0"/>
    <w:rPr>
      <w:b/>
      <w:bCs/>
      <w:kern w:val="2"/>
      <w:sz w:val="28"/>
      <w:szCs w:val="24"/>
    </w:rPr>
  </w:style>
  <w:style w:type="character" w:customStyle="1" w:styleId="68">
    <w:name w:val="样式 zhang正文 + 宋体 小四 Char"/>
    <w:link w:val="69"/>
    <w:qFormat/>
    <w:uiPriority w:val="0"/>
    <w:rPr>
      <w:rFonts w:ascii="宋体" w:hAnsi="宋体" w:eastAsia="宋体" w:cs="Courier New"/>
      <w:kern w:val="0"/>
      <w:sz w:val="24"/>
      <w:szCs w:val="32"/>
      <w:lang w:val="en-US" w:eastAsia="zh-CN" w:bidi="ar-SA"/>
    </w:rPr>
  </w:style>
  <w:style w:type="paragraph" w:customStyle="1" w:styleId="69">
    <w:name w:val="样式 zhang正文 + 宋体 小四"/>
    <w:basedOn w:val="70"/>
    <w:link w:val="68"/>
    <w:qFormat/>
    <w:uiPriority w:val="0"/>
    <w:rPr>
      <w:rFonts w:ascii="宋体" w:hAnsi="宋体" w:eastAsia="宋体"/>
    </w:rPr>
  </w:style>
  <w:style w:type="paragraph" w:customStyle="1" w:styleId="70">
    <w:name w:val="zhang正文"/>
    <w:basedOn w:val="15"/>
    <w:link w:val="71"/>
    <w:qFormat/>
    <w:uiPriority w:val="0"/>
    <w:pPr>
      <w:autoSpaceDE w:val="0"/>
      <w:autoSpaceDN w:val="0"/>
      <w:adjustRightInd w:val="0"/>
      <w:snapToGrid w:val="0"/>
      <w:spacing w:line="500" w:lineRule="exact"/>
      <w:ind w:firstLine="539"/>
      <w:textAlignment w:val="baseline"/>
    </w:pPr>
    <w:rPr>
      <w:rFonts w:eastAsia="方正仿宋_GB2312"/>
    </w:rPr>
  </w:style>
  <w:style w:type="character" w:customStyle="1" w:styleId="71">
    <w:name w:val="zhang正文 Char1"/>
    <w:link w:val="70"/>
    <w:qFormat/>
    <w:uiPriority w:val="0"/>
    <w:rPr>
      <w:rFonts w:ascii="宋体" w:hAnsi="宋体" w:eastAsia="方正仿宋_GB2312" w:cs="Courier New"/>
      <w:kern w:val="0"/>
      <w:sz w:val="28"/>
      <w:szCs w:val="32"/>
      <w:lang w:val="en-US" w:eastAsia="zh-CN" w:bidi="ar-SA"/>
    </w:rPr>
  </w:style>
  <w:style w:type="character" w:customStyle="1" w:styleId="72">
    <w:name w:val="font41"/>
    <w:qFormat/>
    <w:uiPriority w:val="0"/>
    <w:rPr>
      <w:rFonts w:hint="default" w:ascii="Times New Roman" w:hAnsi="Times New Roman" w:cs="Times New Roman"/>
      <w:color w:val="000000"/>
      <w:sz w:val="22"/>
      <w:szCs w:val="22"/>
      <w:u w:val="none"/>
    </w:rPr>
  </w:style>
  <w:style w:type="character" w:customStyle="1" w:styleId="73">
    <w:name w:val="正文文本缩进 字符"/>
    <w:semiHidden/>
    <w:qFormat/>
    <w:uiPriority w:val="0"/>
    <w:rPr>
      <w:rFonts w:ascii="Times New Roman" w:hAnsi="Times New Roman" w:eastAsia="宋体"/>
      <w:sz w:val="24"/>
    </w:rPr>
  </w:style>
  <w:style w:type="character" w:customStyle="1" w:styleId="74">
    <w:name w:val="表格标题CCW Char"/>
    <w:qFormat/>
    <w:uiPriority w:val="0"/>
    <w:rPr>
      <w:b/>
      <w:sz w:val="24"/>
    </w:rPr>
  </w:style>
  <w:style w:type="character" w:customStyle="1" w:styleId="75">
    <w:name w:val="font81"/>
    <w:qFormat/>
    <w:uiPriority w:val="0"/>
    <w:rPr>
      <w:rFonts w:hint="eastAsia" w:ascii="宋体" w:hAnsi="宋体" w:eastAsia="宋体" w:cs="宋体"/>
      <w:color w:val="000000"/>
      <w:sz w:val="18"/>
      <w:szCs w:val="18"/>
      <w:u w:val="none"/>
    </w:rPr>
  </w:style>
  <w:style w:type="character" w:customStyle="1" w:styleId="76">
    <w:name w:val="15"/>
    <w:qFormat/>
    <w:uiPriority w:val="0"/>
    <w:rPr>
      <w:rFonts w:hint="eastAsia" w:ascii="宋体" w:hAnsi="宋体" w:eastAsia="宋体"/>
      <w:spacing w:val="10"/>
      <w:sz w:val="26"/>
      <w:szCs w:val="26"/>
    </w:rPr>
  </w:style>
  <w:style w:type="character" w:customStyle="1" w:styleId="77">
    <w:name w:val="表格内正文1 Char Char"/>
    <w:link w:val="78"/>
    <w:qFormat/>
    <w:uiPriority w:val="0"/>
    <w:rPr>
      <w:sz w:val="21"/>
    </w:rPr>
  </w:style>
  <w:style w:type="paragraph" w:customStyle="1" w:styleId="78">
    <w:name w:val="表格内正文1"/>
    <w:basedOn w:val="1"/>
    <w:next w:val="1"/>
    <w:link w:val="77"/>
    <w:qFormat/>
    <w:uiPriority w:val="0"/>
    <w:pPr>
      <w:widowControl/>
      <w:adjustRightInd w:val="0"/>
      <w:snapToGrid w:val="0"/>
      <w:jc w:val="center"/>
    </w:pPr>
    <w:rPr>
      <w:sz w:val="21"/>
    </w:rPr>
  </w:style>
  <w:style w:type="character" w:customStyle="1" w:styleId="79">
    <w:name w:val="font11"/>
    <w:qFormat/>
    <w:uiPriority w:val="0"/>
    <w:rPr>
      <w:rFonts w:hint="eastAsia" w:ascii="宋体" w:hAnsi="宋体" w:eastAsia="宋体" w:cs="宋体"/>
      <w:color w:val="000000"/>
      <w:sz w:val="21"/>
      <w:szCs w:val="21"/>
      <w:u w:val="none"/>
    </w:rPr>
  </w:style>
  <w:style w:type="character" w:customStyle="1" w:styleId="80">
    <w:name w:val="正文文本 字符1"/>
    <w:semiHidden/>
    <w:qFormat/>
    <w:uiPriority w:val="0"/>
    <w:rPr>
      <w:rFonts w:ascii="Times New Roman" w:hAnsi="Times New Roman" w:eastAsia="宋体"/>
      <w:sz w:val="24"/>
    </w:rPr>
  </w:style>
  <w:style w:type="character" w:customStyle="1" w:styleId="81">
    <w:name w:val="表格内容 Char Char"/>
    <w:qFormat/>
    <w:uiPriority w:val="0"/>
    <w:rPr>
      <w:rFonts w:ascii="Times New Roman" w:hAnsi="Times New Roman" w:eastAsia="宋体" w:cs="Times New Roman"/>
      <w:kern w:val="2"/>
      <w:sz w:val="21"/>
      <w:szCs w:val="22"/>
    </w:rPr>
  </w:style>
  <w:style w:type="character" w:customStyle="1" w:styleId="82">
    <w:name w:val="font01"/>
    <w:qFormat/>
    <w:uiPriority w:val="0"/>
    <w:rPr>
      <w:rFonts w:hint="eastAsia" w:ascii="宋体" w:hAnsi="宋体" w:eastAsia="宋体" w:cs="宋体"/>
      <w:color w:val="000000"/>
      <w:sz w:val="21"/>
      <w:szCs w:val="21"/>
      <w:u w:val="none"/>
    </w:rPr>
  </w:style>
  <w:style w:type="character" w:customStyle="1" w:styleId="83">
    <w:name w:val="font71"/>
    <w:qFormat/>
    <w:uiPriority w:val="0"/>
    <w:rPr>
      <w:rFonts w:ascii="微软雅黑" w:hAnsi="微软雅黑" w:eastAsia="微软雅黑" w:cs="微软雅黑"/>
      <w:color w:val="333333"/>
      <w:sz w:val="24"/>
      <w:szCs w:val="24"/>
      <w:u w:val="none"/>
    </w:rPr>
  </w:style>
  <w:style w:type="character" w:customStyle="1" w:styleId="84">
    <w:name w:val="font51"/>
    <w:qFormat/>
    <w:uiPriority w:val="0"/>
    <w:rPr>
      <w:rFonts w:hint="eastAsia" w:ascii="微软雅黑" w:hAnsi="微软雅黑" w:eastAsia="微软雅黑" w:cs="微软雅黑"/>
      <w:color w:val="333333"/>
      <w:sz w:val="24"/>
      <w:szCs w:val="24"/>
      <w:u w:val="none"/>
    </w:rPr>
  </w:style>
  <w:style w:type="character" w:customStyle="1" w:styleId="85">
    <w:name w:val="正文文本首行缩进 2 字符"/>
    <w:qFormat/>
    <w:uiPriority w:val="0"/>
    <w:rPr>
      <w:kern w:val="2"/>
      <w:sz w:val="24"/>
      <w:szCs w:val="24"/>
    </w:rPr>
  </w:style>
  <w:style w:type="character" w:customStyle="1" w:styleId="86">
    <w:name w:val="日期 字符"/>
    <w:semiHidden/>
    <w:qFormat/>
    <w:uiPriority w:val="0"/>
    <w:rPr>
      <w:rFonts w:ascii="Times New Roman" w:hAnsi="Times New Roman" w:eastAsia="宋体"/>
      <w:sz w:val="24"/>
    </w:rPr>
  </w:style>
  <w:style w:type="character" w:customStyle="1" w:styleId="87">
    <w:name w:val="正文（小四） Char"/>
    <w:qFormat/>
    <w:uiPriority w:val="0"/>
    <w:rPr>
      <w:bCs/>
      <w:color w:val="000000"/>
      <w:kern w:val="2"/>
      <w:sz w:val="24"/>
      <w:szCs w:val="32"/>
    </w:rPr>
  </w:style>
  <w:style w:type="paragraph" w:customStyle="1" w:styleId="88">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b/>
      <w:bCs/>
      <w:kern w:val="0"/>
      <w:sz w:val="20"/>
      <w:szCs w:val="20"/>
    </w:rPr>
  </w:style>
  <w:style w:type="paragraph" w:customStyle="1" w:styleId="89">
    <w:name w:val="表格正文"/>
    <w:basedOn w:val="1"/>
    <w:qFormat/>
    <w:uiPriority w:val="0"/>
    <w:pPr>
      <w:jc w:val="center"/>
    </w:pPr>
    <w:rPr>
      <w:sz w:val="21"/>
    </w:rPr>
  </w:style>
  <w:style w:type="paragraph" w:styleId="90">
    <w:name w:val="List Paragraph"/>
    <w:basedOn w:val="1"/>
    <w:next w:val="1"/>
    <w:qFormat/>
    <w:uiPriority w:val="99"/>
    <w:pPr>
      <w:spacing w:beforeLines="50" w:after="100" w:afterAutospacing="1" w:line="360" w:lineRule="auto"/>
      <w:jc w:val="left"/>
      <w:outlineLvl w:val="2"/>
    </w:pPr>
    <w:rPr>
      <w:b/>
      <w:sz w:val="28"/>
      <w:szCs w:val="28"/>
    </w:rPr>
  </w:style>
  <w:style w:type="paragraph" w:styleId="91">
    <w:name w:val="Quote"/>
    <w:basedOn w:val="1"/>
    <w:next w:val="25"/>
    <w:qFormat/>
    <w:uiPriority w:val="99"/>
    <w:pPr>
      <w:jc w:val="center"/>
    </w:pPr>
    <w:rPr>
      <w:b/>
      <w:iCs/>
      <w:color w:val="000000"/>
    </w:rPr>
  </w:style>
  <w:style w:type="paragraph" w:customStyle="1" w:styleId="92">
    <w:name w:val="J标题二"/>
    <w:next w:val="93"/>
    <w:qFormat/>
    <w:uiPriority w:val="0"/>
    <w:pPr>
      <w:spacing w:line="360" w:lineRule="auto"/>
    </w:pPr>
    <w:rPr>
      <w:rFonts w:ascii="Times New Roman" w:hAnsi="Times New Roman" w:eastAsia="宋体" w:cs="宋体"/>
      <w:b/>
      <w:snapToGrid w:val="0"/>
      <w:sz w:val="21"/>
      <w:lang w:val="en-US" w:eastAsia="zh-CN" w:bidi="ar-SA"/>
    </w:rPr>
  </w:style>
  <w:style w:type="paragraph" w:customStyle="1" w:styleId="93">
    <w:name w:val="J报告表正文"/>
    <w:qFormat/>
    <w:uiPriority w:val="0"/>
    <w:pPr>
      <w:spacing w:line="360" w:lineRule="auto"/>
      <w:ind w:firstLine="200" w:firstLineChars="200"/>
      <w:jc w:val="both"/>
    </w:pPr>
    <w:rPr>
      <w:rFonts w:ascii="Times New Roman" w:hAnsi="Times New Roman" w:eastAsia="宋体" w:cs="宋体"/>
      <w:snapToGrid w:val="0"/>
      <w:sz w:val="21"/>
      <w:lang w:val="en-US" w:eastAsia="zh-CN" w:bidi="ar-SA"/>
    </w:rPr>
  </w:style>
  <w:style w:type="paragraph" w:customStyle="1" w:styleId="94">
    <w:name w:val="图表标题"/>
    <w:basedOn w:val="1"/>
    <w:next w:val="1"/>
    <w:qFormat/>
    <w:uiPriority w:val="0"/>
    <w:pPr>
      <w:jc w:val="center"/>
    </w:pPr>
    <w:rPr>
      <w:b/>
    </w:rPr>
  </w:style>
  <w:style w:type="paragraph" w:customStyle="1" w:styleId="95">
    <w:name w:val="4表格标题"/>
    <w:basedOn w:val="96"/>
    <w:next w:val="97"/>
    <w:qFormat/>
    <w:uiPriority w:val="0"/>
    <w:pPr>
      <w:spacing w:before="100" w:beforeAutospacing="1" w:after="100" w:afterAutospacing="1"/>
      <w:jc w:val="center"/>
    </w:pPr>
    <w:rPr>
      <w:rFonts w:cs="宋体"/>
      <w:b/>
      <w:szCs w:val="21"/>
    </w:rPr>
  </w:style>
  <w:style w:type="paragraph" w:customStyle="1" w:styleId="96">
    <w:name w:val="段落"/>
    <w:basedOn w:val="1"/>
    <w:qFormat/>
    <w:uiPriority w:val="0"/>
    <w:pPr>
      <w:adjustRightInd w:val="0"/>
      <w:snapToGrid w:val="0"/>
      <w:spacing w:line="360" w:lineRule="auto"/>
      <w:ind w:firstLine="420" w:firstLineChars="200"/>
      <w:jc w:val="left"/>
    </w:pPr>
    <w:rPr>
      <w:rFonts w:ascii="Constantia" w:hAnsi="Constantia" w:cs="Constantia"/>
      <w:bCs/>
      <w:color w:val="000000"/>
      <w:kern w:val="0"/>
      <w:szCs w:val="16"/>
    </w:rPr>
  </w:style>
  <w:style w:type="paragraph" w:customStyle="1" w:styleId="97">
    <w:name w:val="5段落"/>
    <w:basedOn w:val="1"/>
    <w:qFormat/>
    <w:uiPriority w:val="0"/>
    <w:pPr>
      <w:spacing w:line="360" w:lineRule="auto"/>
      <w:ind w:firstLine="200" w:firstLineChars="200"/>
    </w:pPr>
    <w:rPr>
      <w:szCs w:val="21"/>
    </w:rPr>
  </w:style>
  <w:style w:type="paragraph" w:customStyle="1" w:styleId="98">
    <w:name w:val="表格内容Q1"/>
    <w:basedOn w:val="1"/>
    <w:qFormat/>
    <w:uiPriority w:val="0"/>
    <w:pPr>
      <w:jc w:val="center"/>
    </w:pPr>
    <w:rPr>
      <w:kern w:val="0"/>
      <w:sz w:val="18"/>
      <w:szCs w:val="20"/>
    </w:rPr>
  </w:style>
  <w:style w:type="paragraph" w:customStyle="1" w:styleId="99">
    <w:name w:val="表内文字"/>
    <w:basedOn w:val="1"/>
    <w:qFormat/>
    <w:uiPriority w:val="0"/>
    <w:pPr>
      <w:widowControl/>
      <w:adjustRightInd w:val="0"/>
      <w:snapToGrid w:val="0"/>
      <w:jc w:val="center"/>
    </w:pPr>
    <w:rPr>
      <w:kern w:val="0"/>
      <w:sz w:val="20"/>
      <w:szCs w:val="20"/>
    </w:rPr>
  </w:style>
  <w:style w:type="paragraph" w:customStyle="1" w:styleId="100">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eastAsia="黑体"/>
    </w:rPr>
  </w:style>
  <w:style w:type="paragraph" w:customStyle="1" w:styleId="10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02">
    <w:name w:val="_Style 96"/>
    <w:unhideWhenUsed/>
    <w:qFormat/>
    <w:uiPriority w:val="99"/>
    <w:rPr>
      <w:rFonts w:ascii="Times New Roman" w:hAnsi="Times New Roman" w:eastAsia="宋体" w:cs="Times New Roman"/>
      <w:kern w:val="2"/>
      <w:sz w:val="24"/>
      <w:szCs w:val="24"/>
      <w:lang w:val="en-US" w:eastAsia="zh-CN" w:bidi="ar-SA"/>
    </w:rPr>
  </w:style>
  <w:style w:type="paragraph" w:customStyle="1" w:styleId="103">
    <w:name w:val="表内容"/>
    <w:qFormat/>
    <w:uiPriority w:val="0"/>
    <w:pPr>
      <w:adjustRightInd w:val="0"/>
      <w:jc w:val="center"/>
    </w:pPr>
    <w:rPr>
      <w:rFonts w:ascii="Times New Roman" w:hAnsi="Times New Roman" w:eastAsia="宋体" w:cs="Times New Roman"/>
      <w:kern w:val="2"/>
      <w:sz w:val="21"/>
      <w:szCs w:val="21"/>
      <w:lang w:val="en-US" w:eastAsia="zh-CN" w:bidi="ar-SA"/>
    </w:rPr>
  </w:style>
  <w:style w:type="paragraph" w:customStyle="1" w:styleId="104">
    <w:name w:val="表格内容"/>
    <w:basedOn w:val="105"/>
    <w:next w:val="14"/>
    <w:qFormat/>
    <w:uiPriority w:val="0"/>
    <w:pPr>
      <w:spacing w:line="340" w:lineRule="exact"/>
    </w:pPr>
    <w:rPr>
      <w:iCs/>
      <w:szCs w:val="21"/>
    </w:rPr>
  </w:style>
  <w:style w:type="paragraph" w:customStyle="1" w:styleId="105">
    <w:name w:val="表头（图表题）"/>
    <w:basedOn w:val="1"/>
    <w:next w:val="1"/>
    <w:qFormat/>
    <w:uiPriority w:val="0"/>
    <w:pPr>
      <w:jc w:val="center"/>
    </w:pPr>
    <w:rPr>
      <w:b/>
      <w:kern w:val="0"/>
      <w:szCs w:val="20"/>
    </w:rPr>
  </w:style>
  <w:style w:type="paragraph" w:customStyle="1" w:styleId="106">
    <w:name w:val="图标标题"/>
    <w:basedOn w:val="6"/>
    <w:qFormat/>
    <w:uiPriority w:val="0"/>
    <w:pPr>
      <w:keepNext w:val="0"/>
      <w:spacing w:before="50" w:beforeLines="50" w:line="360" w:lineRule="auto"/>
      <w:jc w:val="center"/>
    </w:pPr>
    <w:rPr>
      <w:kern w:val="0"/>
      <w:szCs w:val="20"/>
    </w:rPr>
  </w:style>
  <w:style w:type="paragraph" w:customStyle="1" w:styleId="107">
    <w:name w:val="6表格"/>
    <w:basedOn w:val="1"/>
    <w:qFormat/>
    <w:uiPriority w:val="0"/>
    <w:pPr>
      <w:jc w:val="center"/>
    </w:pPr>
  </w:style>
  <w:style w:type="paragraph" w:customStyle="1" w:styleId="108">
    <w:name w:val="样式2"/>
    <w:basedOn w:val="16"/>
    <w:next w:val="5"/>
    <w:qFormat/>
    <w:uiPriority w:val="0"/>
    <w:pPr>
      <w:spacing w:line="360" w:lineRule="auto"/>
      <w:ind w:firstLine="482" w:firstLineChars="200"/>
    </w:pPr>
    <w:rPr>
      <w:b/>
      <w:sz w:val="24"/>
    </w:rPr>
  </w:style>
  <w:style w:type="paragraph" w:customStyle="1" w:styleId="109">
    <w:name w:val="1.表格标题CM"/>
    <w:basedOn w:val="1"/>
    <w:qFormat/>
    <w:uiPriority w:val="0"/>
    <w:pPr>
      <w:adjustRightInd w:val="0"/>
      <w:snapToGrid w:val="0"/>
      <w:jc w:val="center"/>
      <w:outlineLvl w:val="6"/>
    </w:pPr>
    <w:rPr>
      <w:b/>
      <w:lang w:val="zh-CN"/>
    </w:rPr>
  </w:style>
  <w:style w:type="paragraph" w:customStyle="1" w:styleId="110">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111">
    <w:name w:val="表格的字"/>
    <w:next w:val="1"/>
    <w:qFormat/>
    <w:uiPriority w:val="0"/>
    <w:pPr>
      <w:jc w:val="center"/>
    </w:pPr>
    <w:rPr>
      <w:rFonts w:ascii="Times New Roman" w:hAnsi="Times New Roman" w:eastAsia="宋体" w:cs="Times New Roman"/>
      <w:kern w:val="2"/>
      <w:sz w:val="21"/>
      <w:szCs w:val="21"/>
      <w:lang w:val="en-US" w:eastAsia="zh-CN" w:bidi="ar-SA"/>
    </w:rPr>
  </w:style>
  <w:style w:type="paragraph" w:customStyle="1" w:styleId="112">
    <w:name w:val="表格内文字"/>
    <w:basedOn w:val="1"/>
    <w:qFormat/>
    <w:uiPriority w:val="0"/>
    <w:pPr>
      <w:jc w:val="center"/>
    </w:pPr>
    <w:rPr>
      <w:color w:val="000000"/>
      <w:kern w:val="0"/>
      <w:szCs w:val="21"/>
    </w:rPr>
  </w:style>
  <w:style w:type="paragraph" w:customStyle="1" w:styleId="113">
    <w:name w:val="正文（无网格）"/>
    <w:basedOn w:val="1"/>
    <w:qFormat/>
    <w:uiPriority w:val="0"/>
    <w:pPr>
      <w:adjustRightInd w:val="0"/>
      <w:snapToGrid w:val="0"/>
      <w:spacing w:line="360" w:lineRule="auto"/>
      <w:ind w:firstLine="480" w:firstLineChars="200"/>
    </w:pPr>
    <w:rPr>
      <w:rFonts w:cs="宋体"/>
      <w:szCs w:val="20"/>
    </w:rPr>
  </w:style>
  <w:style w:type="paragraph" w:customStyle="1" w:styleId="114">
    <w:name w:val="3表内文字"/>
    <w:basedOn w:val="1"/>
    <w:qFormat/>
    <w:uiPriority w:val="0"/>
    <w:pPr>
      <w:jc w:val="center"/>
    </w:pPr>
    <w:rPr>
      <w:color w:val="000000"/>
      <w:sz w:val="18"/>
    </w:rPr>
  </w:style>
  <w:style w:type="paragraph" w:customStyle="1" w:styleId="115">
    <w:name w:val="2图标名称"/>
    <w:basedOn w:val="1"/>
    <w:qFormat/>
    <w:uiPriority w:val="0"/>
    <w:pPr>
      <w:autoSpaceDE w:val="0"/>
      <w:autoSpaceDN w:val="0"/>
      <w:adjustRightInd w:val="0"/>
      <w:snapToGrid w:val="0"/>
      <w:ind w:firstLine="420"/>
      <w:jc w:val="center"/>
    </w:pPr>
    <w:rPr>
      <w:rFonts w:ascii="宋体" w:hAnsi="宋体"/>
      <w:b/>
      <w:kern w:val="0"/>
      <w:szCs w:val="21"/>
    </w:rPr>
  </w:style>
  <w:style w:type="paragraph" w:customStyle="1" w:styleId="116">
    <w:name w:val="标题3"/>
    <w:basedOn w:val="1"/>
    <w:qFormat/>
    <w:uiPriority w:val="0"/>
  </w:style>
  <w:style w:type="paragraph" w:customStyle="1" w:styleId="117">
    <w:name w:val="H标题3"/>
    <w:basedOn w:val="1"/>
    <w:qFormat/>
    <w:uiPriority w:val="0"/>
    <w:pPr>
      <w:spacing w:before="120" w:beforeLines="50" w:after="120" w:afterLines="50" w:line="360" w:lineRule="auto"/>
      <w:jc w:val="left"/>
      <w:outlineLvl w:val="2"/>
    </w:pPr>
    <w:rPr>
      <w:b/>
      <w:szCs w:val="20"/>
    </w:rPr>
  </w:style>
  <w:style w:type="paragraph" w:customStyle="1" w:styleId="118">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19">
    <w:name w:val="金皇-正文"/>
    <w:basedOn w:val="1"/>
    <w:qFormat/>
    <w:uiPriority w:val="0"/>
    <w:pPr>
      <w:spacing w:line="360" w:lineRule="auto"/>
      <w:ind w:firstLine="200" w:firstLineChars="200"/>
    </w:pPr>
  </w:style>
  <w:style w:type="paragraph" w:customStyle="1" w:styleId="120">
    <w:name w:val="2 图表标题"/>
    <w:basedOn w:val="115"/>
    <w:qFormat/>
    <w:uiPriority w:val="0"/>
    <w:pPr>
      <w:ind w:firstLine="0"/>
    </w:pPr>
    <w:rPr>
      <w:rFonts w:ascii="Times New Roman" w:hAnsi="Times New Roman"/>
    </w:rPr>
  </w:style>
  <w:style w:type="paragraph" w:customStyle="1" w:styleId="121">
    <w:name w:val="标题2"/>
    <w:basedOn w:val="8"/>
    <w:qFormat/>
    <w:uiPriority w:val="0"/>
    <w:pPr>
      <w:spacing w:beforeLines="50" w:afterLines="50"/>
      <w:ind w:left="0" w:leftChars="0"/>
    </w:pPr>
    <w:rPr>
      <w:rFonts w:ascii="宋体" w:hAnsi="宋体"/>
      <w:b/>
      <w:sz w:val="28"/>
      <w:szCs w:val="28"/>
    </w:rPr>
  </w:style>
  <w:style w:type="paragraph" w:customStyle="1" w:styleId="122">
    <w:name w:val="H图表标题"/>
    <w:basedOn w:val="1"/>
    <w:qFormat/>
    <w:uiPriority w:val="0"/>
    <w:pPr>
      <w:spacing w:before="120" w:beforeLines="50" w:line="360" w:lineRule="auto"/>
      <w:outlineLvl w:val="3"/>
    </w:pPr>
    <w:rPr>
      <w:b/>
      <w:snapToGrid w:val="0"/>
      <w:kern w:val="0"/>
      <w:szCs w:val="30"/>
    </w:rPr>
  </w:style>
  <w:style w:type="paragraph" w:customStyle="1" w:styleId="123">
    <w:name w:val="自定义标题2"/>
    <w:basedOn w:val="1"/>
    <w:qFormat/>
    <w:uiPriority w:val="0"/>
    <w:pPr>
      <w:spacing w:before="50" w:beforeLines="50" w:after="50" w:afterLines="50" w:line="360" w:lineRule="auto"/>
      <w:ind w:firstLine="480" w:firstLineChars="200"/>
      <w:jc w:val="left"/>
    </w:pPr>
    <w:rPr>
      <w:b/>
      <w:sz w:val="30"/>
      <w:szCs w:val="20"/>
    </w:rPr>
  </w:style>
  <w:style w:type="paragraph" w:customStyle="1" w:styleId="124">
    <w:name w:val="5.正文内容"/>
    <w:basedOn w:val="1"/>
    <w:qFormat/>
    <w:uiPriority w:val="0"/>
    <w:pPr>
      <w:widowControl/>
      <w:adjustRightInd w:val="0"/>
      <w:snapToGrid w:val="0"/>
    </w:pPr>
    <w:rPr>
      <w:rFonts w:cs="宋体"/>
      <w:kern w:val="0"/>
      <w:szCs w:val="20"/>
    </w:rPr>
  </w:style>
  <w:style w:type="paragraph" w:customStyle="1" w:styleId="125">
    <w:name w:val="5文章(金皇)"/>
    <w:basedOn w:val="1"/>
    <w:qFormat/>
    <w:uiPriority w:val="0"/>
    <w:pPr>
      <w:spacing w:line="360" w:lineRule="auto"/>
      <w:ind w:firstLine="480" w:firstLineChars="200"/>
    </w:pPr>
  </w:style>
  <w:style w:type="paragraph" w:customStyle="1" w:styleId="126">
    <w:name w:val="J报告表大文字"/>
    <w:qFormat/>
    <w:uiPriority w:val="0"/>
    <w:pPr>
      <w:adjustRightInd w:val="0"/>
      <w:snapToGrid w:val="0"/>
      <w:jc w:val="center"/>
    </w:pPr>
    <w:rPr>
      <w:rFonts w:ascii="Times New Roman" w:hAnsi="Times New Roman" w:eastAsia="宋体" w:cs="宋体"/>
      <w:color w:val="000000"/>
      <w:kern w:val="2"/>
      <w:sz w:val="21"/>
      <w:szCs w:val="21"/>
      <w:lang w:val="en-US" w:eastAsia="zh-CN" w:bidi="ar-SA"/>
    </w:rPr>
  </w:style>
  <w:style w:type="paragraph" w:customStyle="1" w:styleId="127">
    <w:name w:val="样式 标题 1 + 首行缩进:  0 字符"/>
    <w:basedOn w:val="2"/>
    <w:next w:val="88"/>
    <w:qFormat/>
    <w:uiPriority w:val="99"/>
    <w:pPr>
      <w:spacing w:before="0" w:after="0" w:line="520" w:lineRule="exact"/>
      <w:ind w:firstLine="0"/>
    </w:pPr>
    <w:rPr>
      <w:rFonts w:ascii="Arial" w:hAnsi="Arial" w:cs="宋体"/>
      <w:color w:val="auto"/>
      <w:szCs w:val="20"/>
    </w:rPr>
  </w:style>
  <w:style w:type="paragraph" w:customStyle="1" w:styleId="128">
    <w:name w:val="H标题2"/>
    <w:basedOn w:val="3"/>
    <w:qFormat/>
    <w:uiPriority w:val="0"/>
    <w:pPr>
      <w:keepNext w:val="0"/>
      <w:keepLines w:val="0"/>
      <w:tabs>
        <w:tab w:val="left" w:pos="5400"/>
      </w:tabs>
      <w:spacing w:before="120" w:after="120"/>
    </w:pPr>
  </w:style>
  <w:style w:type="paragraph" w:customStyle="1" w:styleId="129">
    <w:name w:val="3级标题"/>
    <w:basedOn w:val="96"/>
    <w:qFormat/>
    <w:uiPriority w:val="0"/>
    <w:pPr>
      <w:numPr>
        <w:ilvl w:val="2"/>
        <w:numId w:val="1"/>
      </w:numPr>
      <w:adjustRightInd/>
      <w:snapToGrid/>
      <w:ind w:firstLineChars="0"/>
    </w:pPr>
    <w:rPr>
      <w:b/>
    </w:rPr>
  </w:style>
  <w:style w:type="paragraph" w:customStyle="1" w:styleId="130">
    <w:name w:val="6表格后段落"/>
    <w:basedOn w:val="97"/>
    <w:qFormat/>
    <w:uiPriority w:val="0"/>
    <w:pPr>
      <w:spacing w:beforeLines="50" w:after="100" w:afterAutospacing="1"/>
    </w:pPr>
    <w:rPr>
      <w:rFonts w:cs="宋体"/>
    </w:rPr>
  </w:style>
  <w:style w:type="paragraph" w:customStyle="1" w:styleId="131">
    <w:name w:val="Table Paragraph"/>
    <w:basedOn w:val="1"/>
    <w:qFormat/>
    <w:uiPriority w:val="0"/>
    <w:pPr>
      <w:widowControl/>
      <w:jc w:val="left"/>
    </w:pPr>
    <w:rPr>
      <w:rFonts w:ascii="Calibri" w:hAnsi="Calibri"/>
      <w:kern w:val="0"/>
      <w:sz w:val="22"/>
      <w:szCs w:val="22"/>
    </w:rPr>
  </w:style>
  <w:style w:type="paragraph" w:customStyle="1" w:styleId="132">
    <w:name w:val="2表内正文CM"/>
    <w:basedOn w:val="1"/>
    <w:next w:val="1"/>
    <w:qFormat/>
    <w:uiPriority w:val="0"/>
    <w:pPr>
      <w:widowControl/>
      <w:adjustRightInd w:val="0"/>
      <w:snapToGrid w:val="0"/>
      <w:jc w:val="center"/>
    </w:pPr>
    <w:rPr>
      <w:rFonts w:cs="宋体"/>
      <w:szCs w:val="21"/>
    </w:rPr>
  </w:style>
  <w:style w:type="paragraph" w:customStyle="1" w:styleId="133">
    <w:name w:val="表格标题CCW"/>
    <w:basedOn w:val="1"/>
    <w:next w:val="1"/>
    <w:qFormat/>
    <w:uiPriority w:val="0"/>
    <w:pPr>
      <w:spacing w:line="360" w:lineRule="auto"/>
      <w:jc w:val="center"/>
      <w:outlineLvl w:val="4"/>
    </w:pPr>
    <w:rPr>
      <w:b/>
      <w:kern w:val="0"/>
    </w:rPr>
  </w:style>
  <w:style w:type="paragraph" w:customStyle="1" w:styleId="134">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135">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36">
    <w:name w:val="CM11"/>
    <w:basedOn w:val="1"/>
    <w:next w:val="1"/>
    <w:qFormat/>
    <w:uiPriority w:val="0"/>
    <w:pPr>
      <w:autoSpaceDE w:val="0"/>
      <w:autoSpaceDN w:val="0"/>
      <w:adjustRightInd w:val="0"/>
      <w:spacing w:line="520" w:lineRule="atLeast"/>
      <w:jc w:val="left"/>
    </w:pPr>
    <w:rPr>
      <w:rFonts w:ascii="宋体"/>
      <w:kern w:val="0"/>
    </w:rPr>
  </w:style>
  <w:style w:type="paragraph" w:customStyle="1" w:styleId="137">
    <w:name w:val="常用"/>
    <w:basedOn w:val="1"/>
    <w:qFormat/>
    <w:uiPriority w:val="0"/>
    <w:pPr>
      <w:widowControl/>
      <w:spacing w:line="360" w:lineRule="auto"/>
      <w:ind w:firstLine="200" w:firstLineChars="200"/>
      <w:jc w:val="left"/>
    </w:pPr>
    <w:rPr>
      <w:rFonts w:ascii="宋体" w:hAnsi="宋体"/>
      <w:kern w:val="0"/>
      <w:szCs w:val="28"/>
    </w:rPr>
  </w:style>
  <w:style w:type="paragraph" w:customStyle="1" w:styleId="138">
    <w:name w:val="表格内容Q"/>
    <w:basedOn w:val="1"/>
    <w:qFormat/>
    <w:uiPriority w:val="0"/>
    <w:pPr>
      <w:jc w:val="center"/>
    </w:pPr>
    <w:rPr>
      <w:szCs w:val="21"/>
    </w:rPr>
  </w:style>
  <w:style w:type="paragraph" w:customStyle="1" w:styleId="139">
    <w:name w:val="正文1"/>
    <w:basedOn w:val="15"/>
    <w:qFormat/>
    <w:uiPriority w:val="0"/>
    <w:pPr>
      <w:ind w:firstLine="200" w:firstLineChars="200"/>
    </w:pPr>
    <w:rPr>
      <w:rFonts w:cs="宋体"/>
    </w:rPr>
  </w:style>
  <w:style w:type="paragraph" w:customStyle="1" w:styleId="140">
    <w:name w:val="正文(首行缩进)"/>
    <w:basedOn w:val="1"/>
    <w:qFormat/>
    <w:uiPriority w:val="0"/>
    <w:pPr>
      <w:widowControl/>
      <w:adjustRightInd w:val="0"/>
      <w:snapToGrid w:val="0"/>
      <w:jc w:val="left"/>
    </w:pPr>
    <w:rPr>
      <w:rFonts w:ascii="宋体" w:hAnsi="宋体" w:cs="宋体"/>
      <w:snapToGrid w:val="0"/>
      <w:kern w:val="0"/>
    </w:rPr>
  </w:style>
  <w:style w:type="paragraph" w:customStyle="1" w:styleId="141">
    <w:name w:val="表正文"/>
    <w:basedOn w:val="1"/>
    <w:qFormat/>
    <w:uiPriority w:val="0"/>
    <w:pPr>
      <w:spacing w:line="360" w:lineRule="auto"/>
      <w:ind w:firstLine="200" w:firstLineChars="200"/>
    </w:pPr>
  </w:style>
  <w:style w:type="paragraph" w:customStyle="1" w:styleId="14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3">
    <w:name w:val="足乐正文"/>
    <w:basedOn w:val="1"/>
    <w:qFormat/>
    <w:uiPriority w:val="0"/>
    <w:pPr>
      <w:spacing w:line="360" w:lineRule="auto"/>
      <w:ind w:firstLine="720" w:firstLineChars="200"/>
    </w:pPr>
    <w:rPr>
      <w:kern w:val="0"/>
      <w:sz w:val="20"/>
      <w:szCs w:val="20"/>
    </w:rPr>
  </w:style>
  <w:style w:type="paragraph" w:customStyle="1" w:styleId="144">
    <w:name w:val="表格内容CCW"/>
    <w:basedOn w:val="1"/>
    <w:qFormat/>
    <w:uiPriority w:val="0"/>
    <w:pPr>
      <w:jc w:val="center"/>
    </w:pPr>
    <w:rPr>
      <w:szCs w:val="21"/>
    </w:rPr>
  </w:style>
  <w:style w:type="paragraph" w:customStyle="1" w:styleId="145">
    <w:name w:val="足乐表格"/>
    <w:basedOn w:val="1"/>
    <w:qFormat/>
    <w:uiPriority w:val="0"/>
    <w:pPr>
      <w:adjustRightInd w:val="0"/>
      <w:snapToGrid w:val="0"/>
      <w:jc w:val="center"/>
    </w:pPr>
    <w:rPr>
      <w:sz w:val="21"/>
    </w:rPr>
  </w:style>
  <w:style w:type="paragraph" w:customStyle="1" w:styleId="146">
    <w:name w:val="文本"/>
    <w:basedOn w:val="1"/>
    <w:qFormat/>
    <w:uiPriority w:val="0"/>
    <w:pPr>
      <w:spacing w:line="360" w:lineRule="auto"/>
      <w:ind w:firstLine="200" w:firstLineChars="200"/>
    </w:pPr>
    <w:rPr>
      <w:rFonts w:cs="宋体"/>
      <w:kern w:val="0"/>
    </w:rPr>
  </w:style>
  <w:style w:type="paragraph" w:customStyle="1" w:styleId="147">
    <w:name w:val="J标题一"/>
    <w:next w:val="93"/>
    <w:qFormat/>
    <w:uiPriority w:val="0"/>
    <w:pPr>
      <w:spacing w:line="360" w:lineRule="auto"/>
      <w:outlineLvl w:val="1"/>
    </w:pPr>
    <w:rPr>
      <w:rFonts w:ascii="Times New Roman" w:hAnsi="Times New Roman" w:eastAsia="宋体" w:cs="Times New Roman"/>
      <w:b/>
      <w:kern w:val="2"/>
      <w:sz w:val="24"/>
      <w:szCs w:val="22"/>
      <w:lang w:val="en-US" w:eastAsia="zh-CN" w:bidi="ar-SA"/>
    </w:rPr>
  </w:style>
  <w:style w:type="paragraph" w:customStyle="1" w:styleId="148">
    <w:name w:val="表格名称1"/>
    <w:basedOn w:val="1"/>
    <w:qFormat/>
    <w:uiPriority w:val="0"/>
    <w:pPr>
      <w:adjustRightInd w:val="0"/>
      <w:snapToGrid w:val="0"/>
      <w:jc w:val="center"/>
    </w:pPr>
    <w:rPr>
      <w:b/>
      <w:sz w:val="21"/>
    </w:rPr>
  </w:style>
  <w:style w:type="paragraph" w:customStyle="1" w:styleId="149">
    <w:name w:val="H图表内容"/>
    <w:basedOn w:val="1"/>
    <w:qFormat/>
    <w:uiPriority w:val="0"/>
    <w:rPr>
      <w:szCs w:val="20"/>
    </w:rPr>
  </w:style>
  <w:style w:type="paragraph" w:customStyle="1" w:styleId="150">
    <w:name w:val="7表格内容"/>
    <w:basedOn w:val="97"/>
    <w:qFormat/>
    <w:uiPriority w:val="0"/>
    <w:pPr>
      <w:spacing w:line="240" w:lineRule="auto"/>
      <w:ind w:firstLine="0" w:firstLineChars="0"/>
      <w:jc w:val="center"/>
    </w:pPr>
  </w:style>
  <w:style w:type="paragraph" w:customStyle="1" w:styleId="1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52">
    <w:name w:val="No Spacing"/>
    <w:basedOn w:val="1"/>
    <w:qFormat/>
    <w:uiPriority w:val="99"/>
    <w:rPr>
      <w:szCs w:val="21"/>
    </w:rPr>
  </w:style>
  <w:style w:type="paragraph" w:customStyle="1" w:styleId="153">
    <w:name w:val="环评 表格"/>
    <w:basedOn w:val="118"/>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54">
    <w:name w:val="表格标题1111111"/>
    <w:basedOn w:val="1"/>
    <w:qFormat/>
    <w:uiPriority w:val="0"/>
    <w:pPr>
      <w:adjustRightInd w:val="0"/>
      <w:snapToGrid w:val="0"/>
      <w:spacing w:line="360" w:lineRule="auto"/>
      <w:jc w:val="center"/>
      <w:outlineLvl w:val="5"/>
    </w:pPr>
    <w:rPr>
      <w:rFonts w:eastAsia="黑体"/>
      <w:b/>
    </w:rPr>
  </w:style>
  <w:style w:type="paragraph" w:customStyle="1" w:styleId="155">
    <w:name w:val="正文内容"/>
    <w:basedOn w:val="1"/>
    <w:qFormat/>
    <w:uiPriority w:val="0"/>
    <w:pPr>
      <w:widowControl/>
      <w:adjustRightInd w:val="0"/>
      <w:snapToGrid w:val="0"/>
      <w:spacing w:line="360" w:lineRule="auto"/>
      <w:ind w:firstLine="200" w:firstLineChars="200"/>
    </w:pPr>
    <w:rPr>
      <w:kern w:val="0"/>
      <w:szCs w:val="20"/>
    </w:rPr>
  </w:style>
  <w:style w:type="paragraph" w:customStyle="1" w:styleId="156">
    <w:name w:val="表头"/>
    <w:basedOn w:val="1"/>
    <w:qFormat/>
    <w:uiPriority w:val="0"/>
    <w:pPr>
      <w:jc w:val="center"/>
    </w:pPr>
    <w:rPr>
      <w:b/>
      <w:szCs w:val="21"/>
    </w:rPr>
  </w:style>
  <w:style w:type="paragraph" w:customStyle="1" w:styleId="157">
    <w:name w:val="0.正文内容"/>
    <w:basedOn w:val="1"/>
    <w:qFormat/>
    <w:uiPriority w:val="0"/>
    <w:pPr>
      <w:widowControl/>
      <w:adjustRightInd w:val="0"/>
      <w:snapToGrid w:val="0"/>
      <w:jc w:val="left"/>
    </w:pPr>
    <w:rPr>
      <w:rFonts w:ascii="Times New Roman" w:hAnsi="Times New Roman" w:cs="宋体"/>
      <w:kern w:val="0"/>
      <w:szCs w:val="20"/>
    </w:rPr>
  </w:style>
  <w:style w:type="paragraph" w:customStyle="1" w:styleId="158">
    <w:name w:val="Char Char Char Char Char Char Char Char Char1 Char"/>
    <w:basedOn w:val="1"/>
    <w:semiHidden/>
    <w:qFormat/>
    <w:uiPriority w:val="0"/>
    <w:rPr>
      <w:rFonts w:ascii="宋体" w:hAnsi="宋体" w:cs="Courier New"/>
      <w:sz w:val="32"/>
      <w:szCs w:val="32"/>
    </w:rPr>
  </w:style>
  <w:style w:type="paragraph" w:customStyle="1" w:styleId="159">
    <w:name w:val="表格标题"/>
    <w:basedOn w:val="1"/>
    <w:qFormat/>
    <w:uiPriority w:val="0"/>
    <w:pPr>
      <w:adjustRightInd w:val="0"/>
      <w:snapToGrid w:val="0"/>
      <w:spacing w:beforeLines="50" w:line="360" w:lineRule="auto"/>
      <w:jc w:val="center"/>
    </w:pPr>
    <w:rPr>
      <w:rFonts w:eastAsia="黑体"/>
      <w:b/>
    </w:rPr>
  </w:style>
  <w:style w:type="table" w:customStyle="1" w:styleId="160">
    <w:name w:val="表格样式刘"/>
    <w:basedOn w:val="32"/>
    <w:qFormat/>
    <w:uiPriority w:val="99"/>
    <w:tblPr>
      <w:tblBorders>
        <w:top w:val="single" w:color="auto" w:sz="12" w:space="0"/>
        <w:bottom w:val="single" w:color="auto" w:sz="12" w:space="0"/>
        <w:insideH w:val="single" w:color="auto" w:sz="4" w:space="0"/>
        <w:insideV w:val="single" w:color="auto" w:sz="4" w:space="0"/>
      </w:tblBorders>
    </w:tblPr>
  </w:style>
  <w:style w:type="table" w:customStyle="1" w:styleId="161">
    <w:name w:val="表格样式"/>
    <w:basedOn w:val="32"/>
    <w:qFormat/>
    <w:uiPriority w:val="0"/>
    <w:pPr>
      <w:jc w:val="center"/>
    </w:pPr>
    <w:rPr>
      <w:sz w:val="21"/>
      <w:szCs w:val="21"/>
    </w:rPr>
    <w:tblPr>
      <w:tblBorders>
        <w:top w:val="single" w:color="auto" w:sz="18" w:space="0"/>
        <w:bottom w:val="single" w:color="auto" w:sz="18" w:space="0"/>
        <w:insideH w:val="single" w:color="auto" w:sz="4" w:space="0"/>
        <w:insideV w:val="single" w:color="auto" w:sz="4" w:space="0"/>
      </w:tblBorders>
    </w:tblPr>
    <w:tcPr>
      <w:vAlign w:val="center"/>
    </w:tcPr>
  </w:style>
  <w:style w:type="table" w:customStyle="1" w:styleId="162">
    <w:name w:val="网格型7"/>
    <w:basedOn w:val="32"/>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63">
    <w:name w:val="标题111"/>
    <w:basedOn w:val="27"/>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164">
    <w:name w:val="111正文的格式"/>
    <w:basedOn w:val="1"/>
    <w:qFormat/>
    <w:uiPriority w:val="0"/>
    <w:pPr>
      <w:adjustRightInd w:val="0"/>
      <w:snapToGrid w:val="0"/>
      <w:spacing w:line="360" w:lineRule="auto"/>
      <w:ind w:firstLine="200" w:firstLineChars="200"/>
    </w:pPr>
    <w:rPr>
      <w:color w:val="0000FF"/>
    </w:rPr>
  </w:style>
  <w:style w:type="paragraph" w:customStyle="1" w:styleId="165">
    <w:name w:val="Table Text"/>
    <w:basedOn w:val="1"/>
    <w:semiHidden/>
    <w:qFormat/>
    <w:uiPriority w:val="0"/>
    <w:rPr>
      <w:rFonts w:ascii="宋体" w:hAnsi="宋体" w:cs="宋体"/>
      <w:lang w:eastAsia="en-US"/>
    </w:rPr>
  </w:style>
  <w:style w:type="table" w:customStyle="1" w:styleId="166">
    <w:name w:val="Table Normal"/>
    <w:unhideWhenUsed/>
    <w:qFormat/>
    <w:uiPriority w:val="0"/>
    <w:tblPr>
      <w:tblCellMar>
        <w:top w:w="0" w:type="dxa"/>
        <w:left w:w="0" w:type="dxa"/>
        <w:bottom w:w="0" w:type="dxa"/>
        <w:right w:w="0" w:type="dxa"/>
      </w:tblCellMar>
    </w:tblPr>
  </w:style>
  <w:style w:type="paragraph" w:customStyle="1" w:styleId="167">
    <w:name w:val="11111表土"/>
    <w:basedOn w:val="1"/>
    <w:qFormat/>
    <w:uiPriority w:val="0"/>
    <w:pPr>
      <w:widowControl/>
      <w:adjustRightInd w:val="0"/>
      <w:snapToGrid w:val="0"/>
      <w:jc w:val="center"/>
    </w:pPr>
    <w:rPr>
      <w:rFonts w:eastAsia="黑体"/>
      <w:kern w:val="0"/>
    </w:rPr>
  </w:style>
  <w:style w:type="paragraph" w:customStyle="1" w:styleId="168">
    <w:name w:val="11正文"/>
    <w:basedOn w:val="169"/>
    <w:qFormat/>
    <w:uiPriority w:val="0"/>
  </w:style>
  <w:style w:type="paragraph" w:customStyle="1" w:styleId="169">
    <w:name w:val="正文111"/>
    <w:basedOn w:val="170"/>
    <w:qFormat/>
    <w:uiPriority w:val="0"/>
    <w:pPr>
      <w:ind w:firstLine="480"/>
    </w:pPr>
  </w:style>
  <w:style w:type="paragraph" w:customStyle="1" w:styleId="170">
    <w:name w:val="正文的格式52"/>
    <w:basedOn w:val="1"/>
    <w:qFormat/>
    <w:uiPriority w:val="0"/>
    <w:pPr>
      <w:spacing w:line="360" w:lineRule="auto"/>
      <w:ind w:firstLine="200" w:firstLineChars="200"/>
    </w:pPr>
    <w:rPr>
      <w:kern w:val="0"/>
      <w:szCs w:val="20"/>
    </w:rPr>
  </w:style>
  <w:style w:type="paragraph" w:customStyle="1" w:styleId="171">
    <w:name w:val="111表头"/>
    <w:basedOn w:val="172"/>
    <w:qFormat/>
    <w:uiPriority w:val="0"/>
    <w:pPr>
      <w:adjustRightInd w:val="0"/>
      <w:snapToGrid w:val="0"/>
    </w:pPr>
  </w:style>
  <w:style w:type="paragraph" w:customStyle="1" w:styleId="172">
    <w:name w:val="表头 ylp"/>
    <w:basedOn w:val="1"/>
    <w:qFormat/>
    <w:uiPriority w:val="0"/>
    <w:pPr>
      <w:jc w:val="center"/>
    </w:pPr>
    <w:rPr>
      <w:rFonts w:eastAsia="黑体" w:asciiTheme="minorHAnsi" w:hAnsiTheme="minorHAnsi" w:cstheme="minorBidi"/>
      <w:color w:val="0000FF"/>
      <w:lang w:bidi="he-IL"/>
    </w:rPr>
  </w:style>
  <w:style w:type="paragraph" w:customStyle="1" w:styleId="173">
    <w:name w:val="111表格的格式"/>
    <w:basedOn w:val="174"/>
    <w:qFormat/>
    <w:uiPriority w:val="0"/>
    <w:rPr>
      <w:rFonts w:asciiTheme="minorHAnsi" w:hAnsiTheme="minorHAnsi" w:eastAsiaTheme="minorEastAsia" w:cstheme="minorBidi"/>
    </w:rPr>
  </w:style>
  <w:style w:type="paragraph" w:customStyle="1" w:styleId="174">
    <w:name w:val="规范表格文"/>
    <w:basedOn w:val="14"/>
    <w:qFormat/>
    <w:uiPriority w:val="0"/>
    <w:pPr>
      <w:widowControl w:val="0"/>
      <w:adjustRightInd w:val="0"/>
      <w:spacing w:before="0" w:after="0" w:line="240" w:lineRule="auto"/>
      <w:ind w:right="0"/>
      <w:jc w:val="center"/>
    </w:pPr>
    <w:rPr>
      <w:kern w:val="2"/>
      <w:sz w:val="21"/>
      <w:szCs w:val="24"/>
    </w:rPr>
  </w:style>
  <w:style w:type="paragraph" w:customStyle="1" w:styleId="175">
    <w:name w:val="44标题444"/>
    <w:basedOn w:val="1"/>
    <w:qFormat/>
    <w:uiPriority w:val="0"/>
    <w:pPr>
      <w:adjustRightInd w:val="0"/>
      <w:snapToGrid w:val="0"/>
      <w:spacing w:line="360" w:lineRule="auto"/>
      <w:outlineLvl w:val="3"/>
    </w:pPr>
    <w:rPr>
      <w:rFonts w:eastAsia="黑体" w:cs="宋体"/>
      <w:bCs/>
      <w:spacing w:val="-10"/>
      <w:szCs w:val="21"/>
    </w:rPr>
  </w:style>
  <w:style w:type="paragraph" w:customStyle="1" w:styleId="176">
    <w:name w:val="22表格"/>
    <w:basedOn w:val="177"/>
    <w:qFormat/>
    <w:uiPriority w:val="0"/>
    <w:pPr>
      <w:adjustRightInd w:val="0"/>
      <w:snapToGrid w:val="0"/>
      <w:textAlignment w:val="center"/>
    </w:pPr>
    <w:rPr>
      <w:rFonts w:eastAsia="宋体"/>
      <w:color w:val="000000"/>
    </w:rPr>
  </w:style>
  <w:style w:type="paragraph" w:customStyle="1" w:styleId="177">
    <w:name w:val="表表表表"/>
    <w:basedOn w:val="178"/>
    <w:qFormat/>
    <w:uiPriority w:val="0"/>
    <w:pPr>
      <w:widowControl/>
    </w:pPr>
    <w:rPr>
      <w:rFonts w:eastAsia="方正楷体简体"/>
    </w:rPr>
  </w:style>
  <w:style w:type="paragraph" w:customStyle="1" w:styleId="178">
    <w:name w:val="表格文字"/>
    <w:basedOn w:val="152"/>
    <w:next w:val="1"/>
    <w:qFormat/>
    <w:uiPriority w:val="0"/>
    <w:pPr>
      <w:spacing w:before="60" w:after="60" w:line="240" w:lineRule="atLeast"/>
      <w:jc w:val="center"/>
    </w:pPr>
  </w:style>
  <w:style w:type="paragraph" w:customStyle="1" w:styleId="179">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80">
    <w:name w:val="【表格文字】"/>
    <w:basedOn w:val="1"/>
    <w:next w:val="1"/>
    <w:qFormat/>
    <w:uiPriority w:val="0"/>
    <w:pPr>
      <w:adjustRightInd w:val="0"/>
      <w:snapToGrid w:val="0"/>
      <w:jc w:val="center"/>
    </w:pPr>
  </w:style>
  <w:style w:type="paragraph" w:customStyle="1" w:styleId="181">
    <w:name w:val="111zhengwen"/>
    <w:basedOn w:val="1"/>
    <w:qFormat/>
    <w:uiPriority w:val="0"/>
    <w:pPr>
      <w:adjustRightInd w:val="0"/>
      <w:snapToGrid w:val="0"/>
      <w:spacing w:line="360" w:lineRule="auto"/>
      <w:ind w:firstLine="200" w:firstLineChars="200"/>
    </w:pPr>
    <w:rPr>
      <w:szCs w:val="20"/>
    </w:rPr>
  </w:style>
  <w:style w:type="paragraph" w:customStyle="1" w:styleId="182">
    <w:name w:val="5文章(治) + 黑色"/>
    <w:basedOn w:val="183"/>
    <w:qFormat/>
    <w:uiPriority w:val="0"/>
    <w:pPr>
      <w:ind w:firstLine="560"/>
    </w:pPr>
    <w:rPr>
      <w:rFonts w:ascii="Arial" w:hAnsi="Arial" w:cs="Tahoma"/>
      <w:snapToGrid w:val="0"/>
      <w:color w:val="000000"/>
      <w:szCs w:val="21"/>
    </w:rPr>
  </w:style>
  <w:style w:type="paragraph" w:customStyle="1" w:styleId="183">
    <w:name w:val="5文章(治)"/>
    <w:basedOn w:val="1"/>
    <w:qFormat/>
    <w:uiPriority w:val="0"/>
    <w:pPr>
      <w:spacing w:line="360" w:lineRule="auto"/>
      <w:ind w:firstLine="561"/>
    </w:pPr>
    <w:rPr>
      <w:rFonts w:ascii="Calibri" w:hAnsi="Calibri" w:cs="黑体"/>
      <w:szCs w:val="22"/>
    </w:rPr>
  </w:style>
  <w:style w:type="paragraph" w:customStyle="1" w:styleId="184">
    <w:name w:val="WPSOffice手动目录 1"/>
    <w:qFormat/>
    <w:uiPriority w:val="0"/>
    <w:rPr>
      <w:rFonts w:ascii="Times New Roman" w:hAnsi="Times New Roman" w:eastAsia="宋体" w:cs="Times New Roman"/>
      <w:lang w:val="en-US" w:eastAsia="zh-CN" w:bidi="ar-SA"/>
    </w:rPr>
  </w:style>
  <w:style w:type="paragraph" w:customStyle="1" w:styleId="18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6">
    <w:name w:val="111正文"/>
    <w:basedOn w:val="1"/>
    <w:qFormat/>
    <w:uiPriority w:val="0"/>
    <w:pPr>
      <w:widowControl/>
      <w:tabs>
        <w:tab w:val="left" w:pos="7276"/>
      </w:tabs>
      <w:adjustRightInd w:val="0"/>
      <w:snapToGrid w:val="0"/>
      <w:spacing w:line="360" w:lineRule="auto"/>
      <w:ind w:firstLine="480" w:firstLineChars="200"/>
      <w:jc w:val="left"/>
    </w:pPr>
    <w:rPr>
      <w:color w:val="C00000"/>
      <w:kern w:val="0"/>
      <w:szCs w:val="32"/>
    </w:rPr>
  </w:style>
  <w:style w:type="paragraph" w:customStyle="1" w:styleId="187">
    <w:name w:val="正文（）"/>
    <w:basedOn w:val="1"/>
    <w:qFormat/>
    <w:uiPriority w:val="0"/>
    <w:pPr>
      <w:adjustRightInd w:val="0"/>
      <w:snapToGrid w:val="0"/>
      <w:spacing w:line="360" w:lineRule="auto"/>
      <w:ind w:firstLine="200" w:firstLineChars="200"/>
    </w:pPr>
    <w:rPr>
      <w:color w:val="5B9BD5"/>
      <w:szCs w:val="20"/>
    </w:rPr>
  </w:style>
  <w:style w:type="paragraph" w:customStyle="1" w:styleId="188">
    <w:name w:val="章1正文样式"/>
    <w:basedOn w:val="1"/>
    <w:qFormat/>
    <w:uiPriority w:val="0"/>
    <w:pPr>
      <w:adjustRightInd w:val="0"/>
      <w:snapToGrid w:val="0"/>
      <w:spacing w:line="360" w:lineRule="auto"/>
      <w:ind w:firstLine="720" w:firstLineChars="200"/>
    </w:pPr>
    <w:rPr>
      <w:rFonts w:hint="eastAsia"/>
      <w:szCs w:val="21"/>
    </w:rPr>
  </w:style>
  <w:style w:type="paragraph" w:customStyle="1" w:styleId="189">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表头样式"/>
    <w:basedOn w:val="1"/>
    <w:next w:val="1"/>
    <w:qFormat/>
    <w:uiPriority w:val="0"/>
    <w:pPr>
      <w:keepNext/>
      <w:overflowPunct w:val="0"/>
      <w:adjustRightInd w:val="0"/>
      <w:snapToGrid w:val="0"/>
      <w:spacing w:before="50" w:beforeLines="50"/>
      <w:jc w:val="center"/>
    </w:pPr>
    <w:rPr>
      <w:rFonts w:hint="eastAsia" w:eastAsia="黑体"/>
      <w:bCs/>
      <w:color w:val="000000"/>
      <w:kern w:val="44"/>
    </w:rPr>
  </w:style>
  <w:style w:type="table" w:customStyle="1" w:styleId="191">
    <w:name w:val="样式6"/>
    <w:basedOn w:val="32"/>
    <w:qFormat/>
    <w:uiPriority w:val="99"/>
    <w:pPr>
      <w:jc w:val="center"/>
    </w:p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92">
    <w:name w:val="111表格"/>
    <w:basedOn w:val="193"/>
    <w:qFormat/>
    <w:uiPriority w:val="0"/>
    <w:pPr>
      <w:autoSpaceDE w:val="0"/>
      <w:autoSpaceDN w:val="0"/>
      <w:adjustRightInd w:val="0"/>
      <w:snapToGrid w:val="0"/>
      <w:spacing w:line="360" w:lineRule="auto"/>
      <w:ind w:firstLine="200" w:firstLineChars="200"/>
    </w:pPr>
    <w:rPr>
      <w:sz w:val="21"/>
    </w:rPr>
  </w:style>
  <w:style w:type="paragraph" w:customStyle="1" w:styleId="193">
    <w:name w:val="表格的格式"/>
    <w:basedOn w:val="194"/>
    <w:qFormat/>
    <w:uiPriority w:val="0"/>
    <w:pPr>
      <w:jc w:val="center"/>
    </w:pPr>
    <w:rPr>
      <w:rFonts w:eastAsia="宋体"/>
      <w:b w:val="0"/>
      <w:sz w:val="20"/>
      <w:szCs w:val="21"/>
    </w:rPr>
  </w:style>
  <w:style w:type="paragraph" w:customStyle="1" w:styleId="194">
    <w:name w:val="样式3"/>
    <w:basedOn w:val="70"/>
    <w:qFormat/>
    <w:uiPriority w:val="0"/>
    <w:pPr>
      <w:spacing w:line="500" w:lineRule="atLeast"/>
      <w:ind w:firstLine="0"/>
      <w:jc w:val="left"/>
      <w:textAlignment w:val="auto"/>
      <w:outlineLvl w:val="1"/>
    </w:pPr>
    <w:rPr>
      <w:b/>
    </w:rPr>
  </w:style>
  <w:style w:type="paragraph" w:customStyle="1" w:styleId="195">
    <w:name w:val="报告表格"/>
    <w:basedOn w:val="1"/>
    <w:qFormat/>
    <w:uiPriority w:val="0"/>
    <w:pPr>
      <w:widowControl w:val="0"/>
      <w:autoSpaceDE w:val="0"/>
      <w:autoSpaceDN w:val="0"/>
      <w:adjustRightInd w:val="0"/>
      <w:spacing w:before="40" w:after="40"/>
      <w:jc w:val="center"/>
    </w:pPr>
    <w:rPr>
      <w:rFonts w:ascii="Times New Roman" w:hAnsi="Times New Roman" w:cs="Times New Roman"/>
      <w:sz w:val="21"/>
      <w:szCs w:val="20"/>
    </w:rPr>
  </w:style>
  <w:style w:type="paragraph" w:customStyle="1" w:styleId="196">
    <w:name w:val="表格标题（）"/>
    <w:basedOn w:val="1"/>
    <w:qFormat/>
    <w:uiPriority w:val="0"/>
    <w:pPr>
      <w:spacing w:line="360" w:lineRule="auto"/>
      <w:ind w:firstLine="200" w:firstLineChars="200"/>
      <w:jc w:val="center"/>
    </w:pPr>
    <w:rPr>
      <w:rFonts w:eastAsia="黑体"/>
      <w:color w:val="00B0F0"/>
      <w:sz w:val="24"/>
      <w:szCs w:val="20"/>
      <w:lang w:val="zh-CN" w:bidi="he-I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jpeg"/><Relationship Id="rId31" Type="http://schemas.openxmlformats.org/officeDocument/2006/relationships/image" Target="media/image14.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7.bin"/><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wmf"/><Relationship Id="rId17" Type="http://schemas.openxmlformats.org/officeDocument/2006/relationships/oleObject" Target="embeddings/oleObject2.bin"/><Relationship Id="rId16" Type="http://schemas.openxmlformats.org/officeDocument/2006/relationships/image" Target="media/image6.wmf"/><Relationship Id="rId15" Type="http://schemas.openxmlformats.org/officeDocument/2006/relationships/oleObject" Target="embeddings/oleObject1.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A1MzMxNTEyMzM4IiwKCSJHcm91cElkIiA6ICI2NzAyODUzNTkiLAoJIkltYWdlIiA6ICJpVkJPUncwS0dnb0FBQUFOU1VoRVVnQUFCQmdBQUFOcUNBWUFBQUFuclBndEFBQUFBWE5TUjBJQXJzNGM2UUFBSUFCSlJFRlVlSnpzM1hsOEZQWDl4L0gzZDJhVFFBSnlLR29wS0FJVmpHU3pNNmtXdkczclViVGloVmZWZXRSNjRWR3RyYTFVV3kzRis2aTNGTFVxcmJacTY0SFZLdldtWGp1ekNSQkJVYkVpUHlxbzNMbDI1L3Y3Z3lSZGtzMUJnZ1RDNi9sNDlOSHNkNzd6bWMvRWpEN21zOTlEQ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WZkTC9CL2JNSER5dGJNN01BQUFBQUVsRlRrU3VRbUNDIiwKCSJUaGVtZSIgOiAiIiwKCSJUeXBlIiA6ICJmbG93IiwKCSJWZXJzaW9uIiA6ICIiCn0K"/>
    </extobj>
    <extobj name="ECB019B1-382A-4266-B25C-5B523AA43C14-2">
      <extobjdata type="ECB019B1-382A-4266-B25C-5B523AA43C14" data="ewoJIkZpbGVJZCIgOiAiMjk5NTYwNTk3MjkwIiwKCSJHcm91cElkIiA6ICI2NzAyODUzNTkiLAoJIkltYWdlIiA6ICJpVkJPUncwS0dnb0FBQUFOU1VoRVVnQUFCa1VBQUFKY0NBWUFBQUJIZnFNUUFBQUFBWE5TUjBJQXJzNGM2UUFBSUFCSlJFRlVlSnpzM1htWVhIV1YvL0hQdWJkNnlVb1NDQW9FRE5KSWJEcFZkVzhKQWlLSUxLS0FnNmdNZ2lBeUR1ZzRpQ2ppQW80THVBRHVJcWlqb2pPTUlqb0kvZ1RaUVVBV3NlcFdWeWNOa1FBUkk0UmxJR3NuNmE2NjUvZEh1bUxSNlU0NlNaTk9oL2ZyZWZwSjEzYzl0NU9uLzdnbjMrK1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HF5LzhIcmhRcnJsOHlWMTBBQUFBQVNVVk9SSzVDWUlJPSIsCgkiVGhlbWUiIDogIiIsCgkiVHlwZSIgOiAiZmxvdyIsCgkiVmVyc2lvbiIgOiAiMTY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75</Pages>
  <Words>46163</Words>
  <Characters>54955</Characters>
  <Lines>341</Lines>
  <Paragraphs>96</Paragraphs>
  <TotalTime>6</TotalTime>
  <ScaleCrop>false</ScaleCrop>
  <LinksUpToDate>false</LinksUpToDate>
  <CharactersWithSpaces>56497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2023-03-16T12:35:00Z</dcterms:created>
  <dc:creator>lhj</dc:creator>
  <cp:lastModifiedBy>NTKO</cp:lastModifiedBy>
  <cp:lastPrinted>2024-10-25T01:19:00Z</cp:lastPrinted>
  <dcterms:modified xsi:type="dcterms:W3CDTF">2024-11-12T09:25:32Z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F8F4D52E95844000A4D0B2FEA991E540_13</vt:lpwstr>
  </property>
</Properties>
</file>